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E57" w:rsidRPr="0080756D" w:rsidRDefault="00E64A8F" w:rsidP="0080756D">
      <w:pPr>
        <w:suppressAutoHyphens w:val="0"/>
        <w:snapToGrid w:val="0"/>
        <w:jc w:val="center"/>
        <w:rPr>
          <w:b/>
          <w:sz w:val="20"/>
          <w:szCs w:val="20"/>
        </w:rPr>
      </w:pPr>
      <w:r>
        <w:rPr>
          <w:rFonts w:hint="eastAsia"/>
          <w:b/>
          <w:sz w:val="20"/>
          <w:lang w:eastAsia="zh-CN"/>
        </w:rPr>
        <w:t xml:space="preserve"> </w:t>
      </w:r>
      <w:r w:rsidR="00343CDB" w:rsidRPr="0080756D">
        <w:rPr>
          <w:b/>
          <w:sz w:val="20"/>
        </w:rPr>
        <w:t xml:space="preserve">Correlative Assessment of the Bacteriological and Physicochemical Parameters of Water Sources in </w:t>
      </w:r>
      <w:proofErr w:type="spellStart"/>
      <w:r w:rsidR="00343CDB" w:rsidRPr="0080756D">
        <w:rPr>
          <w:b/>
          <w:sz w:val="20"/>
        </w:rPr>
        <w:t>Magama</w:t>
      </w:r>
      <w:proofErr w:type="spellEnd"/>
      <w:r w:rsidR="00343CDB" w:rsidRPr="0080756D">
        <w:rPr>
          <w:b/>
          <w:sz w:val="20"/>
        </w:rPr>
        <w:t xml:space="preserve"> and </w:t>
      </w:r>
      <w:proofErr w:type="spellStart"/>
      <w:r w:rsidR="00343CDB" w:rsidRPr="0080756D">
        <w:rPr>
          <w:b/>
          <w:sz w:val="20"/>
        </w:rPr>
        <w:t>Bolgang</w:t>
      </w:r>
      <w:proofErr w:type="spellEnd"/>
      <w:r w:rsidR="00343CDB" w:rsidRPr="0080756D">
        <w:rPr>
          <w:b/>
          <w:sz w:val="20"/>
        </w:rPr>
        <w:t xml:space="preserve"> Villages of </w:t>
      </w:r>
      <w:proofErr w:type="spellStart"/>
      <w:r w:rsidR="00343CDB" w:rsidRPr="0080756D">
        <w:rPr>
          <w:b/>
          <w:sz w:val="20"/>
        </w:rPr>
        <w:t>Langtang</w:t>
      </w:r>
      <w:proofErr w:type="spellEnd"/>
      <w:r w:rsidR="00343CDB" w:rsidRPr="0080756D">
        <w:rPr>
          <w:b/>
          <w:sz w:val="20"/>
        </w:rPr>
        <w:t xml:space="preserve"> South, Plateau State, Nigeria</w:t>
      </w:r>
    </w:p>
    <w:p w:rsidR="00480715" w:rsidRPr="0080756D" w:rsidRDefault="00480715" w:rsidP="0080756D">
      <w:pPr>
        <w:suppressAutoHyphens w:val="0"/>
        <w:snapToGrid w:val="0"/>
        <w:jc w:val="center"/>
        <w:rPr>
          <w:sz w:val="20"/>
          <w:szCs w:val="20"/>
          <w:lang w:eastAsia="zh-CN"/>
        </w:rPr>
      </w:pPr>
    </w:p>
    <w:p w:rsidR="00471E57" w:rsidRPr="0080756D" w:rsidRDefault="00343CDB" w:rsidP="0080756D">
      <w:pPr>
        <w:suppressAutoHyphens w:val="0"/>
        <w:snapToGrid w:val="0"/>
        <w:jc w:val="center"/>
        <w:rPr>
          <w:sz w:val="20"/>
          <w:szCs w:val="20"/>
        </w:rPr>
      </w:pPr>
      <w:proofErr w:type="spellStart"/>
      <w:r w:rsidRPr="0080756D">
        <w:rPr>
          <w:sz w:val="20"/>
          <w:szCs w:val="20"/>
        </w:rPr>
        <w:t>Ocheme</w:t>
      </w:r>
      <w:proofErr w:type="spellEnd"/>
      <w:r w:rsidRPr="0080756D">
        <w:rPr>
          <w:sz w:val="20"/>
          <w:szCs w:val="20"/>
        </w:rPr>
        <w:t xml:space="preserve"> Julius </w:t>
      </w:r>
      <w:proofErr w:type="spellStart"/>
      <w:r w:rsidRPr="0080756D">
        <w:rPr>
          <w:sz w:val="20"/>
          <w:szCs w:val="20"/>
        </w:rPr>
        <w:t>Okojokwu</w:t>
      </w:r>
      <w:proofErr w:type="spellEnd"/>
      <w:r w:rsidRPr="0080756D">
        <w:rPr>
          <w:sz w:val="20"/>
          <w:szCs w:val="20"/>
        </w:rPr>
        <w:t xml:space="preserve"> </w:t>
      </w:r>
      <w:r w:rsidRPr="0080756D">
        <w:rPr>
          <w:sz w:val="20"/>
          <w:szCs w:val="20"/>
          <w:vertAlign w:val="superscript"/>
        </w:rPr>
        <w:t>*1</w:t>
      </w:r>
      <w:r w:rsidRPr="0080756D">
        <w:rPr>
          <w:sz w:val="20"/>
          <w:szCs w:val="20"/>
        </w:rPr>
        <w:t xml:space="preserve">, </w:t>
      </w:r>
      <w:proofErr w:type="spellStart"/>
      <w:r w:rsidRPr="0080756D">
        <w:rPr>
          <w:sz w:val="20"/>
          <w:szCs w:val="20"/>
        </w:rPr>
        <w:t>Denfa</w:t>
      </w:r>
      <w:proofErr w:type="spellEnd"/>
      <w:r w:rsidRPr="0080756D">
        <w:rPr>
          <w:sz w:val="20"/>
          <w:szCs w:val="20"/>
        </w:rPr>
        <w:t xml:space="preserve"> Dennis </w:t>
      </w:r>
      <w:proofErr w:type="spellStart"/>
      <w:r w:rsidRPr="0080756D">
        <w:rPr>
          <w:sz w:val="20"/>
          <w:szCs w:val="20"/>
        </w:rPr>
        <w:t>Butko</w:t>
      </w:r>
      <w:proofErr w:type="spellEnd"/>
      <w:r w:rsidRPr="0080756D">
        <w:rPr>
          <w:sz w:val="20"/>
          <w:szCs w:val="20"/>
        </w:rPr>
        <w:t xml:space="preserve"> </w:t>
      </w:r>
      <w:r w:rsidRPr="0080756D">
        <w:rPr>
          <w:sz w:val="20"/>
          <w:szCs w:val="20"/>
          <w:vertAlign w:val="superscript"/>
        </w:rPr>
        <w:t>1</w:t>
      </w:r>
      <w:r w:rsidRPr="0080756D">
        <w:rPr>
          <w:sz w:val="20"/>
          <w:szCs w:val="20"/>
        </w:rPr>
        <w:t xml:space="preserve">, </w:t>
      </w:r>
      <w:proofErr w:type="spellStart"/>
      <w:r w:rsidRPr="0080756D">
        <w:rPr>
          <w:sz w:val="20"/>
          <w:szCs w:val="20"/>
        </w:rPr>
        <w:t>Andefiki</w:t>
      </w:r>
      <w:proofErr w:type="spellEnd"/>
      <w:r w:rsidRPr="0080756D">
        <w:rPr>
          <w:sz w:val="20"/>
          <w:szCs w:val="20"/>
        </w:rPr>
        <w:t xml:space="preserve"> </w:t>
      </w:r>
      <w:proofErr w:type="spellStart"/>
      <w:r w:rsidRPr="0080756D">
        <w:rPr>
          <w:sz w:val="20"/>
          <w:szCs w:val="20"/>
        </w:rPr>
        <w:t>Ubandoma</w:t>
      </w:r>
      <w:proofErr w:type="spellEnd"/>
      <w:r w:rsidRPr="0080756D">
        <w:rPr>
          <w:sz w:val="20"/>
          <w:szCs w:val="20"/>
        </w:rPr>
        <w:t xml:space="preserve"> </w:t>
      </w:r>
      <w:r w:rsidRPr="0080756D">
        <w:rPr>
          <w:sz w:val="20"/>
          <w:szCs w:val="20"/>
          <w:vertAlign w:val="superscript"/>
        </w:rPr>
        <w:t>2</w:t>
      </w:r>
      <w:r w:rsidRPr="0080756D">
        <w:rPr>
          <w:sz w:val="20"/>
          <w:szCs w:val="20"/>
        </w:rPr>
        <w:t xml:space="preserve">, Michael </w:t>
      </w:r>
      <w:proofErr w:type="spellStart"/>
      <w:r w:rsidRPr="0080756D">
        <w:rPr>
          <w:sz w:val="20"/>
          <w:szCs w:val="20"/>
        </w:rPr>
        <w:t>Macvren</w:t>
      </w:r>
      <w:proofErr w:type="spellEnd"/>
      <w:r w:rsidRPr="0080756D">
        <w:rPr>
          <w:sz w:val="20"/>
          <w:szCs w:val="20"/>
        </w:rPr>
        <w:t xml:space="preserve"> </w:t>
      </w:r>
      <w:proofErr w:type="spellStart"/>
      <w:r w:rsidRPr="0080756D">
        <w:rPr>
          <w:sz w:val="20"/>
          <w:szCs w:val="20"/>
        </w:rPr>
        <w:t>Dashen</w:t>
      </w:r>
      <w:proofErr w:type="spellEnd"/>
      <w:r w:rsidRPr="0080756D">
        <w:rPr>
          <w:sz w:val="20"/>
          <w:szCs w:val="20"/>
        </w:rPr>
        <w:t xml:space="preserve"> </w:t>
      </w:r>
      <w:r w:rsidRPr="0080756D">
        <w:rPr>
          <w:sz w:val="20"/>
          <w:szCs w:val="20"/>
          <w:vertAlign w:val="superscript"/>
        </w:rPr>
        <w:t>1</w:t>
      </w:r>
      <w:r w:rsidRPr="0080756D">
        <w:rPr>
          <w:sz w:val="20"/>
          <w:szCs w:val="20"/>
        </w:rPr>
        <w:t xml:space="preserve">, </w:t>
      </w:r>
      <w:proofErr w:type="spellStart"/>
      <w:r w:rsidRPr="0080756D">
        <w:rPr>
          <w:sz w:val="20"/>
          <w:szCs w:val="20"/>
        </w:rPr>
        <w:t>Tarfena</w:t>
      </w:r>
      <w:proofErr w:type="spellEnd"/>
      <w:r w:rsidRPr="0080756D">
        <w:rPr>
          <w:sz w:val="20"/>
          <w:szCs w:val="20"/>
        </w:rPr>
        <w:t xml:space="preserve"> </w:t>
      </w:r>
      <w:proofErr w:type="spellStart"/>
      <w:r w:rsidRPr="0080756D">
        <w:rPr>
          <w:sz w:val="20"/>
          <w:szCs w:val="20"/>
        </w:rPr>
        <w:t>Yoila</w:t>
      </w:r>
      <w:proofErr w:type="spellEnd"/>
      <w:r w:rsidRPr="0080756D">
        <w:rPr>
          <w:sz w:val="20"/>
          <w:szCs w:val="20"/>
        </w:rPr>
        <w:t xml:space="preserve"> </w:t>
      </w:r>
      <w:proofErr w:type="spellStart"/>
      <w:r w:rsidRPr="0080756D">
        <w:rPr>
          <w:sz w:val="20"/>
          <w:szCs w:val="20"/>
        </w:rPr>
        <w:t>Amapu</w:t>
      </w:r>
      <w:proofErr w:type="spellEnd"/>
      <w:r w:rsidRPr="0080756D">
        <w:rPr>
          <w:sz w:val="20"/>
          <w:szCs w:val="20"/>
          <w:vertAlign w:val="superscript"/>
        </w:rPr>
        <w:t xml:space="preserve"> 3</w:t>
      </w:r>
      <w:r w:rsidRPr="0080756D">
        <w:rPr>
          <w:sz w:val="20"/>
          <w:szCs w:val="20"/>
        </w:rPr>
        <w:t xml:space="preserve">, Hezekiah Yusuf </w:t>
      </w:r>
      <w:proofErr w:type="spellStart"/>
      <w:r w:rsidRPr="0080756D">
        <w:rPr>
          <w:sz w:val="20"/>
          <w:szCs w:val="20"/>
        </w:rPr>
        <w:t>Azi</w:t>
      </w:r>
      <w:proofErr w:type="spellEnd"/>
      <w:r w:rsidRPr="0080756D">
        <w:rPr>
          <w:sz w:val="20"/>
          <w:szCs w:val="20"/>
        </w:rPr>
        <w:t xml:space="preserve"> </w:t>
      </w:r>
      <w:r w:rsidRPr="0080756D">
        <w:rPr>
          <w:sz w:val="20"/>
          <w:szCs w:val="20"/>
          <w:vertAlign w:val="superscript"/>
        </w:rPr>
        <w:t>1</w:t>
      </w:r>
      <w:r w:rsidRPr="0080756D">
        <w:rPr>
          <w:sz w:val="20"/>
          <w:szCs w:val="20"/>
        </w:rPr>
        <w:t xml:space="preserve">, </w:t>
      </w:r>
      <w:proofErr w:type="spellStart"/>
      <w:r w:rsidRPr="0080756D">
        <w:rPr>
          <w:sz w:val="20"/>
          <w:szCs w:val="20"/>
        </w:rPr>
        <w:t>Otumala</w:t>
      </w:r>
      <w:proofErr w:type="spellEnd"/>
      <w:r w:rsidRPr="0080756D">
        <w:rPr>
          <w:sz w:val="20"/>
          <w:szCs w:val="20"/>
        </w:rPr>
        <w:t xml:space="preserve"> John </w:t>
      </w:r>
      <w:proofErr w:type="spellStart"/>
      <w:r w:rsidRPr="0080756D">
        <w:rPr>
          <w:sz w:val="20"/>
          <w:szCs w:val="20"/>
        </w:rPr>
        <w:t>Egbere</w:t>
      </w:r>
      <w:proofErr w:type="spellEnd"/>
      <w:r w:rsidRPr="0080756D">
        <w:rPr>
          <w:sz w:val="20"/>
          <w:szCs w:val="20"/>
        </w:rPr>
        <w:t xml:space="preserve"> </w:t>
      </w:r>
      <w:r w:rsidRPr="0080756D">
        <w:rPr>
          <w:sz w:val="20"/>
          <w:szCs w:val="20"/>
          <w:vertAlign w:val="superscript"/>
        </w:rPr>
        <w:t>1</w:t>
      </w:r>
      <w:r w:rsidRPr="0080756D">
        <w:rPr>
          <w:sz w:val="20"/>
          <w:szCs w:val="20"/>
        </w:rPr>
        <w:t xml:space="preserve">, Patricia </w:t>
      </w:r>
      <w:proofErr w:type="spellStart"/>
      <w:r w:rsidRPr="0080756D">
        <w:rPr>
          <w:sz w:val="20"/>
          <w:szCs w:val="20"/>
        </w:rPr>
        <w:t>Fremu</w:t>
      </w:r>
      <w:proofErr w:type="spellEnd"/>
      <w:r w:rsidRPr="0080756D">
        <w:rPr>
          <w:sz w:val="20"/>
          <w:szCs w:val="20"/>
        </w:rPr>
        <w:t xml:space="preserve"> </w:t>
      </w:r>
      <w:proofErr w:type="spellStart"/>
      <w:r w:rsidRPr="0080756D">
        <w:rPr>
          <w:sz w:val="20"/>
          <w:szCs w:val="20"/>
        </w:rPr>
        <w:t>Chollom</w:t>
      </w:r>
      <w:proofErr w:type="spellEnd"/>
      <w:r w:rsidRPr="0080756D">
        <w:rPr>
          <w:sz w:val="20"/>
          <w:szCs w:val="20"/>
        </w:rPr>
        <w:t xml:space="preserve"> </w:t>
      </w:r>
      <w:r w:rsidRPr="0080756D">
        <w:rPr>
          <w:sz w:val="20"/>
          <w:szCs w:val="20"/>
          <w:vertAlign w:val="superscript"/>
        </w:rPr>
        <w:t>1</w:t>
      </w:r>
    </w:p>
    <w:p w:rsidR="00471E57" w:rsidRPr="0080756D" w:rsidRDefault="00471E57" w:rsidP="0080756D">
      <w:pPr>
        <w:suppressAutoHyphens w:val="0"/>
        <w:snapToGrid w:val="0"/>
        <w:jc w:val="center"/>
        <w:rPr>
          <w:sz w:val="20"/>
          <w:szCs w:val="20"/>
        </w:rPr>
      </w:pPr>
    </w:p>
    <w:p w:rsidR="007A0D02" w:rsidRPr="0080756D" w:rsidRDefault="007A0D02" w:rsidP="0080756D">
      <w:pPr>
        <w:suppressAutoHyphens w:val="0"/>
        <w:snapToGrid w:val="0"/>
        <w:jc w:val="center"/>
        <w:rPr>
          <w:sz w:val="20"/>
          <w:szCs w:val="20"/>
        </w:rPr>
      </w:pPr>
      <w:r w:rsidRPr="0080756D">
        <w:rPr>
          <w:b/>
          <w:sz w:val="20"/>
          <w:szCs w:val="20"/>
          <w:vertAlign w:val="superscript"/>
        </w:rPr>
        <w:t xml:space="preserve">1. </w:t>
      </w:r>
      <w:r w:rsidRPr="0080756D">
        <w:rPr>
          <w:sz w:val="20"/>
          <w:szCs w:val="20"/>
        </w:rPr>
        <w:t xml:space="preserve">Department of Microbiology, Faculty of Natural Sciences, University of </w:t>
      </w:r>
      <w:proofErr w:type="spellStart"/>
      <w:r w:rsidRPr="0080756D">
        <w:rPr>
          <w:sz w:val="20"/>
          <w:szCs w:val="20"/>
        </w:rPr>
        <w:t>Jos</w:t>
      </w:r>
      <w:proofErr w:type="spellEnd"/>
      <w:r w:rsidRPr="0080756D">
        <w:rPr>
          <w:sz w:val="20"/>
          <w:szCs w:val="20"/>
        </w:rPr>
        <w:t xml:space="preserve">, </w:t>
      </w:r>
      <w:proofErr w:type="spellStart"/>
      <w:r w:rsidRPr="0080756D">
        <w:rPr>
          <w:sz w:val="20"/>
          <w:szCs w:val="20"/>
        </w:rPr>
        <w:t>Jos</w:t>
      </w:r>
      <w:proofErr w:type="spellEnd"/>
      <w:r w:rsidRPr="0080756D">
        <w:rPr>
          <w:sz w:val="20"/>
          <w:szCs w:val="20"/>
        </w:rPr>
        <w:t>, Plateau State, Nigeria.</w:t>
      </w:r>
    </w:p>
    <w:p w:rsidR="007A0D02" w:rsidRPr="0080756D" w:rsidRDefault="007A0D02" w:rsidP="0080756D">
      <w:pPr>
        <w:suppressAutoHyphens w:val="0"/>
        <w:snapToGrid w:val="0"/>
        <w:jc w:val="center"/>
        <w:rPr>
          <w:sz w:val="20"/>
          <w:szCs w:val="20"/>
        </w:rPr>
      </w:pPr>
      <w:r w:rsidRPr="0080756D">
        <w:rPr>
          <w:sz w:val="20"/>
          <w:szCs w:val="20"/>
          <w:vertAlign w:val="superscript"/>
        </w:rPr>
        <w:t xml:space="preserve">2. </w:t>
      </w:r>
      <w:r w:rsidRPr="0080756D">
        <w:rPr>
          <w:sz w:val="20"/>
          <w:szCs w:val="20"/>
        </w:rPr>
        <w:t xml:space="preserve">Department of Microbiology, Faculty of Pure and Applied Sciences, Federal University </w:t>
      </w:r>
      <w:proofErr w:type="spellStart"/>
      <w:r w:rsidRPr="0080756D">
        <w:rPr>
          <w:sz w:val="20"/>
          <w:szCs w:val="20"/>
        </w:rPr>
        <w:t>Wukari</w:t>
      </w:r>
      <w:proofErr w:type="spellEnd"/>
      <w:r w:rsidRPr="0080756D">
        <w:rPr>
          <w:sz w:val="20"/>
          <w:szCs w:val="20"/>
        </w:rPr>
        <w:t xml:space="preserve">, </w:t>
      </w:r>
      <w:proofErr w:type="spellStart"/>
      <w:r w:rsidRPr="0080756D">
        <w:rPr>
          <w:sz w:val="20"/>
          <w:szCs w:val="20"/>
        </w:rPr>
        <w:t>Taraba</w:t>
      </w:r>
      <w:proofErr w:type="spellEnd"/>
      <w:r w:rsidRPr="0080756D">
        <w:rPr>
          <w:sz w:val="20"/>
          <w:szCs w:val="20"/>
        </w:rPr>
        <w:t xml:space="preserve"> State, Nigeria.</w:t>
      </w:r>
    </w:p>
    <w:p w:rsidR="007A0D02" w:rsidRPr="0080756D" w:rsidRDefault="007A0D02" w:rsidP="0080756D">
      <w:pPr>
        <w:suppressAutoHyphens w:val="0"/>
        <w:snapToGrid w:val="0"/>
        <w:jc w:val="center"/>
        <w:rPr>
          <w:sz w:val="20"/>
          <w:szCs w:val="20"/>
        </w:rPr>
      </w:pPr>
      <w:r w:rsidRPr="0080756D">
        <w:rPr>
          <w:sz w:val="20"/>
          <w:szCs w:val="20"/>
          <w:vertAlign w:val="superscript"/>
        </w:rPr>
        <w:t xml:space="preserve">3. </w:t>
      </w:r>
      <w:r w:rsidRPr="0080756D">
        <w:rPr>
          <w:sz w:val="20"/>
          <w:szCs w:val="20"/>
        </w:rPr>
        <w:t>Department of Science Laboratory Technology, Faculty of Natural Sciences,</w:t>
      </w:r>
    </w:p>
    <w:p w:rsidR="007A0D02" w:rsidRPr="0080756D" w:rsidRDefault="007A0D02" w:rsidP="0080756D">
      <w:pPr>
        <w:suppressAutoHyphens w:val="0"/>
        <w:snapToGrid w:val="0"/>
        <w:jc w:val="center"/>
        <w:rPr>
          <w:sz w:val="20"/>
          <w:szCs w:val="20"/>
        </w:rPr>
      </w:pPr>
      <w:r w:rsidRPr="0080756D">
        <w:rPr>
          <w:sz w:val="20"/>
          <w:szCs w:val="20"/>
        </w:rPr>
        <w:t xml:space="preserve">University </w:t>
      </w:r>
      <w:proofErr w:type="spellStart"/>
      <w:r w:rsidRPr="0080756D">
        <w:rPr>
          <w:sz w:val="20"/>
          <w:szCs w:val="20"/>
        </w:rPr>
        <w:t>Jos</w:t>
      </w:r>
      <w:proofErr w:type="spellEnd"/>
      <w:r w:rsidRPr="0080756D">
        <w:rPr>
          <w:sz w:val="20"/>
          <w:szCs w:val="20"/>
        </w:rPr>
        <w:t xml:space="preserve">, </w:t>
      </w:r>
      <w:proofErr w:type="spellStart"/>
      <w:r w:rsidRPr="0080756D">
        <w:rPr>
          <w:sz w:val="20"/>
          <w:szCs w:val="20"/>
        </w:rPr>
        <w:t>Jos</w:t>
      </w:r>
      <w:proofErr w:type="spellEnd"/>
      <w:r w:rsidRPr="0080756D">
        <w:rPr>
          <w:sz w:val="20"/>
          <w:szCs w:val="20"/>
        </w:rPr>
        <w:t>, Plateau State, Nigeria.</w:t>
      </w:r>
    </w:p>
    <w:p w:rsidR="007A0D02" w:rsidRPr="0080756D" w:rsidRDefault="007A0D02" w:rsidP="0080756D">
      <w:pPr>
        <w:suppressAutoHyphens w:val="0"/>
        <w:snapToGrid w:val="0"/>
        <w:jc w:val="center"/>
        <w:rPr>
          <w:sz w:val="20"/>
          <w:szCs w:val="20"/>
        </w:rPr>
      </w:pPr>
      <w:r w:rsidRPr="0080756D">
        <w:rPr>
          <w:sz w:val="20"/>
          <w:szCs w:val="20"/>
        </w:rPr>
        <w:t xml:space="preserve">*Corresponding author: </w:t>
      </w:r>
      <w:hyperlink r:id="rId7" w:history="1">
        <w:r w:rsidRPr="0080756D">
          <w:rPr>
            <w:rStyle w:val="Hyperlink"/>
            <w:sz w:val="20"/>
            <w:szCs w:val="20"/>
          </w:rPr>
          <w:t>okojokwuoj@gmail.com</w:t>
        </w:r>
      </w:hyperlink>
    </w:p>
    <w:p w:rsidR="001817C7" w:rsidRPr="0080756D" w:rsidRDefault="001817C7" w:rsidP="0080756D">
      <w:pPr>
        <w:suppressAutoHyphens w:val="0"/>
        <w:snapToGrid w:val="0"/>
        <w:jc w:val="center"/>
        <w:rPr>
          <w:sz w:val="20"/>
          <w:szCs w:val="20"/>
        </w:rPr>
      </w:pPr>
    </w:p>
    <w:p w:rsidR="00343CDB" w:rsidRPr="0080756D" w:rsidRDefault="00471E57" w:rsidP="0080756D">
      <w:pPr>
        <w:tabs>
          <w:tab w:val="left" w:pos="360"/>
          <w:tab w:val="center" w:pos="4680"/>
        </w:tabs>
        <w:suppressAutoHyphens w:val="0"/>
        <w:snapToGrid w:val="0"/>
        <w:jc w:val="both"/>
        <w:rPr>
          <w:sz w:val="20"/>
        </w:rPr>
      </w:pPr>
      <w:r w:rsidRPr="0080756D">
        <w:rPr>
          <w:b/>
          <w:sz w:val="20"/>
          <w:szCs w:val="20"/>
        </w:rPr>
        <w:t xml:space="preserve">Abstract: </w:t>
      </w:r>
      <w:r w:rsidR="00343CDB" w:rsidRPr="0080756D">
        <w:rPr>
          <w:sz w:val="20"/>
          <w:szCs w:val="20"/>
        </w:rPr>
        <w:t xml:space="preserve">This study was carried out to determine the relationship between bacteriological and physicochemical parameters of water from wells, streams, ponds and boreholes which serve as drinking water sources to inhabitants of </w:t>
      </w:r>
      <w:proofErr w:type="spellStart"/>
      <w:r w:rsidR="00343CDB" w:rsidRPr="0080756D">
        <w:rPr>
          <w:sz w:val="20"/>
          <w:szCs w:val="20"/>
        </w:rPr>
        <w:t>Magama</w:t>
      </w:r>
      <w:proofErr w:type="spellEnd"/>
      <w:r w:rsidR="00343CDB" w:rsidRPr="0080756D">
        <w:rPr>
          <w:sz w:val="20"/>
          <w:szCs w:val="20"/>
        </w:rPr>
        <w:t xml:space="preserve"> and </w:t>
      </w:r>
      <w:proofErr w:type="spellStart"/>
      <w:r w:rsidR="00343CDB" w:rsidRPr="0080756D">
        <w:rPr>
          <w:sz w:val="20"/>
          <w:szCs w:val="20"/>
        </w:rPr>
        <w:t>Bolgang</w:t>
      </w:r>
      <w:proofErr w:type="spellEnd"/>
      <w:r w:rsidR="00343CDB" w:rsidRPr="0080756D">
        <w:rPr>
          <w:sz w:val="20"/>
          <w:szCs w:val="20"/>
        </w:rPr>
        <w:t xml:space="preserve"> villages of </w:t>
      </w:r>
      <w:proofErr w:type="spellStart"/>
      <w:r w:rsidR="00343CDB" w:rsidRPr="0080756D">
        <w:rPr>
          <w:sz w:val="20"/>
          <w:szCs w:val="20"/>
        </w:rPr>
        <w:t>Langtang</w:t>
      </w:r>
      <w:proofErr w:type="spellEnd"/>
      <w:r w:rsidR="00343CDB" w:rsidRPr="0080756D">
        <w:rPr>
          <w:sz w:val="20"/>
          <w:szCs w:val="20"/>
        </w:rPr>
        <w:t xml:space="preserve"> South Local Government Area of Plateau State, Nigeria. The water sample were collected from fourteen (14) wells, two (2) streams, two (2) ponds and two (2) boreholes in three (3) batches making a total of 60 samples and subjected to physicochemical tests and bacteriological analysis by membrane filtration techniques. In </w:t>
      </w:r>
      <w:proofErr w:type="spellStart"/>
      <w:r w:rsidR="00343CDB" w:rsidRPr="0080756D">
        <w:rPr>
          <w:sz w:val="20"/>
          <w:szCs w:val="20"/>
        </w:rPr>
        <w:t>Magama</w:t>
      </w:r>
      <w:proofErr w:type="spellEnd"/>
      <w:r w:rsidR="00343CDB" w:rsidRPr="0080756D">
        <w:rPr>
          <w:sz w:val="20"/>
          <w:szCs w:val="20"/>
        </w:rPr>
        <w:t xml:space="preserve"> village, total heterotrophic counts showed bacteria growth in varying degrees with water samples from pond being the most contaminated (7.7 ×10</w:t>
      </w:r>
      <w:r w:rsidR="00343CDB" w:rsidRPr="0080756D">
        <w:rPr>
          <w:sz w:val="20"/>
          <w:szCs w:val="20"/>
          <w:vertAlign w:val="superscript"/>
        </w:rPr>
        <w:t>5</w:t>
      </w:r>
      <w:r w:rsidR="00343CDB" w:rsidRPr="0080756D">
        <w:rPr>
          <w:sz w:val="20"/>
          <w:szCs w:val="20"/>
        </w:rPr>
        <w:t xml:space="preserve"> ± 0.0 ×10</w:t>
      </w:r>
      <w:r w:rsidR="00343CDB" w:rsidRPr="0080756D">
        <w:rPr>
          <w:sz w:val="20"/>
          <w:szCs w:val="20"/>
          <w:vertAlign w:val="superscript"/>
        </w:rPr>
        <w:t xml:space="preserve">5 </w:t>
      </w:r>
      <w:proofErr w:type="spellStart"/>
      <w:r w:rsidR="00343CDB" w:rsidRPr="0080756D">
        <w:rPr>
          <w:sz w:val="20"/>
          <w:szCs w:val="20"/>
        </w:rPr>
        <w:t>cfu</w:t>
      </w:r>
      <w:proofErr w:type="spellEnd"/>
      <w:r w:rsidR="00343CDB" w:rsidRPr="0080756D">
        <w:rPr>
          <w:sz w:val="20"/>
          <w:szCs w:val="20"/>
        </w:rPr>
        <w:t>/ml), followed by wells (6.3 ×10</w:t>
      </w:r>
      <w:r w:rsidR="00343CDB" w:rsidRPr="0080756D">
        <w:rPr>
          <w:sz w:val="20"/>
          <w:szCs w:val="20"/>
          <w:vertAlign w:val="superscript"/>
        </w:rPr>
        <w:t>5</w:t>
      </w:r>
      <w:r w:rsidR="00343CDB" w:rsidRPr="0080756D">
        <w:rPr>
          <w:sz w:val="20"/>
          <w:szCs w:val="20"/>
        </w:rPr>
        <w:t xml:space="preserve"> ± 0.7 ×10</w:t>
      </w:r>
      <w:r w:rsidR="00343CDB" w:rsidRPr="0080756D">
        <w:rPr>
          <w:sz w:val="20"/>
          <w:szCs w:val="20"/>
          <w:vertAlign w:val="superscript"/>
        </w:rPr>
        <w:t xml:space="preserve">5 </w:t>
      </w:r>
      <w:proofErr w:type="spellStart"/>
      <w:r w:rsidR="00343CDB" w:rsidRPr="0080756D">
        <w:rPr>
          <w:sz w:val="20"/>
          <w:szCs w:val="20"/>
        </w:rPr>
        <w:t>cfu</w:t>
      </w:r>
      <w:proofErr w:type="spellEnd"/>
      <w:r w:rsidR="00343CDB" w:rsidRPr="0080756D">
        <w:rPr>
          <w:sz w:val="20"/>
          <w:szCs w:val="20"/>
        </w:rPr>
        <w:t>/ml) and the least contaminated was from boreholes (1.9 ×10</w:t>
      </w:r>
      <w:r w:rsidR="00343CDB" w:rsidRPr="0080756D">
        <w:rPr>
          <w:sz w:val="20"/>
          <w:szCs w:val="20"/>
          <w:vertAlign w:val="superscript"/>
        </w:rPr>
        <w:t>5</w:t>
      </w:r>
      <w:r w:rsidR="00343CDB" w:rsidRPr="0080756D">
        <w:rPr>
          <w:sz w:val="20"/>
          <w:szCs w:val="20"/>
        </w:rPr>
        <w:t xml:space="preserve"> ± 0.0 ×10</w:t>
      </w:r>
      <w:r w:rsidR="00343CDB" w:rsidRPr="0080756D">
        <w:rPr>
          <w:sz w:val="20"/>
          <w:szCs w:val="20"/>
          <w:vertAlign w:val="superscript"/>
        </w:rPr>
        <w:t xml:space="preserve">5 </w:t>
      </w:r>
      <w:proofErr w:type="spellStart"/>
      <w:r w:rsidR="00343CDB" w:rsidRPr="0080756D">
        <w:rPr>
          <w:sz w:val="20"/>
          <w:szCs w:val="20"/>
        </w:rPr>
        <w:t>cfu</w:t>
      </w:r>
      <w:proofErr w:type="spellEnd"/>
      <w:r w:rsidR="00343CDB" w:rsidRPr="0080756D">
        <w:rPr>
          <w:sz w:val="20"/>
          <w:szCs w:val="20"/>
        </w:rPr>
        <w:t xml:space="preserve">/ml). the total </w:t>
      </w:r>
      <w:proofErr w:type="spellStart"/>
      <w:r w:rsidR="00343CDB" w:rsidRPr="0080756D">
        <w:rPr>
          <w:sz w:val="20"/>
          <w:szCs w:val="20"/>
        </w:rPr>
        <w:t>coliform</w:t>
      </w:r>
      <w:proofErr w:type="spellEnd"/>
      <w:r w:rsidR="00343CDB" w:rsidRPr="0080756D">
        <w:rPr>
          <w:sz w:val="20"/>
          <w:szCs w:val="20"/>
        </w:rPr>
        <w:t xml:space="preserve"> was highest in well water (5.2 x 10</w:t>
      </w:r>
      <w:r w:rsidR="00343CDB" w:rsidRPr="0080756D">
        <w:rPr>
          <w:sz w:val="20"/>
          <w:szCs w:val="20"/>
          <w:vertAlign w:val="superscript"/>
        </w:rPr>
        <w:t>5</w:t>
      </w:r>
      <w:r w:rsidR="00343CDB" w:rsidRPr="0080756D">
        <w:rPr>
          <w:sz w:val="20"/>
          <w:szCs w:val="20"/>
        </w:rPr>
        <w:t xml:space="preserve"> ± 0.3 x 10</w:t>
      </w:r>
      <w:r w:rsidR="00343CDB" w:rsidRPr="0080756D">
        <w:rPr>
          <w:sz w:val="20"/>
          <w:szCs w:val="20"/>
          <w:vertAlign w:val="superscript"/>
        </w:rPr>
        <w:t xml:space="preserve">5 </w:t>
      </w:r>
      <w:proofErr w:type="spellStart"/>
      <w:r w:rsidR="00343CDB" w:rsidRPr="0080756D">
        <w:rPr>
          <w:sz w:val="20"/>
          <w:szCs w:val="20"/>
        </w:rPr>
        <w:t>cfu</w:t>
      </w:r>
      <w:proofErr w:type="spellEnd"/>
      <w:r w:rsidR="00343CDB" w:rsidRPr="0080756D">
        <w:rPr>
          <w:sz w:val="20"/>
          <w:szCs w:val="20"/>
        </w:rPr>
        <w:t>/ml) followed by ponds (5.1 x 10</w:t>
      </w:r>
      <w:r w:rsidR="00343CDB" w:rsidRPr="0080756D">
        <w:rPr>
          <w:sz w:val="20"/>
          <w:szCs w:val="20"/>
          <w:vertAlign w:val="superscript"/>
        </w:rPr>
        <w:t>5</w:t>
      </w:r>
      <w:r w:rsidR="00343CDB" w:rsidRPr="0080756D">
        <w:rPr>
          <w:sz w:val="20"/>
          <w:szCs w:val="20"/>
        </w:rPr>
        <w:t xml:space="preserve"> ± 0.0 x 10</w:t>
      </w:r>
      <w:r w:rsidR="00343CDB" w:rsidRPr="0080756D">
        <w:rPr>
          <w:sz w:val="20"/>
          <w:szCs w:val="20"/>
          <w:vertAlign w:val="superscript"/>
        </w:rPr>
        <w:t xml:space="preserve">5 </w:t>
      </w:r>
      <w:proofErr w:type="spellStart"/>
      <w:r w:rsidR="00343CDB" w:rsidRPr="0080756D">
        <w:rPr>
          <w:sz w:val="20"/>
          <w:szCs w:val="20"/>
        </w:rPr>
        <w:t>cfu</w:t>
      </w:r>
      <w:proofErr w:type="spellEnd"/>
      <w:r w:rsidR="00343CDB" w:rsidRPr="0080756D">
        <w:rPr>
          <w:sz w:val="20"/>
          <w:szCs w:val="20"/>
        </w:rPr>
        <w:t>/ml)</w:t>
      </w:r>
      <w:r w:rsidR="00DB3049">
        <w:rPr>
          <w:sz w:val="20"/>
          <w:szCs w:val="20"/>
        </w:rPr>
        <w:t xml:space="preserve"> </w:t>
      </w:r>
      <w:r w:rsidR="00343CDB" w:rsidRPr="0080756D">
        <w:rPr>
          <w:sz w:val="20"/>
          <w:szCs w:val="20"/>
        </w:rPr>
        <w:t xml:space="preserve">while borehole water had the least count. The heterotrophic bacterial count in </w:t>
      </w:r>
      <w:proofErr w:type="spellStart"/>
      <w:r w:rsidR="00343CDB" w:rsidRPr="0080756D">
        <w:rPr>
          <w:sz w:val="20"/>
          <w:szCs w:val="20"/>
        </w:rPr>
        <w:t>Bolgang</w:t>
      </w:r>
      <w:proofErr w:type="spellEnd"/>
      <w:r w:rsidR="00343CDB" w:rsidRPr="0080756D">
        <w:rPr>
          <w:sz w:val="20"/>
          <w:szCs w:val="20"/>
        </w:rPr>
        <w:t xml:space="preserve"> was highest in ponds (7.6 x 10</w:t>
      </w:r>
      <w:r w:rsidR="00343CDB" w:rsidRPr="0080756D">
        <w:rPr>
          <w:sz w:val="20"/>
          <w:szCs w:val="20"/>
          <w:vertAlign w:val="superscript"/>
        </w:rPr>
        <w:t>5</w:t>
      </w:r>
      <w:r w:rsidR="00343CDB" w:rsidRPr="0080756D">
        <w:rPr>
          <w:sz w:val="20"/>
          <w:szCs w:val="20"/>
        </w:rPr>
        <w:t xml:space="preserve"> ± 0.0 x 10</w:t>
      </w:r>
      <w:r w:rsidR="00343CDB" w:rsidRPr="0080756D">
        <w:rPr>
          <w:sz w:val="20"/>
          <w:szCs w:val="20"/>
          <w:vertAlign w:val="superscript"/>
        </w:rPr>
        <w:t xml:space="preserve">5 </w:t>
      </w:r>
      <w:proofErr w:type="spellStart"/>
      <w:r w:rsidR="00343CDB" w:rsidRPr="0080756D">
        <w:rPr>
          <w:sz w:val="20"/>
          <w:szCs w:val="20"/>
        </w:rPr>
        <w:t>cfu</w:t>
      </w:r>
      <w:proofErr w:type="spellEnd"/>
      <w:r w:rsidR="00343CDB" w:rsidRPr="0080756D">
        <w:rPr>
          <w:sz w:val="20"/>
          <w:szCs w:val="20"/>
        </w:rPr>
        <w:t>/ml) and borehole had the least count (1.1 x 10</w:t>
      </w:r>
      <w:r w:rsidR="00343CDB" w:rsidRPr="0080756D">
        <w:rPr>
          <w:sz w:val="20"/>
          <w:szCs w:val="20"/>
          <w:vertAlign w:val="superscript"/>
        </w:rPr>
        <w:t>5</w:t>
      </w:r>
      <w:r w:rsidR="00343CDB" w:rsidRPr="0080756D">
        <w:rPr>
          <w:sz w:val="20"/>
          <w:szCs w:val="20"/>
        </w:rPr>
        <w:t xml:space="preserve"> ± 0.0 x 10</w:t>
      </w:r>
      <w:r w:rsidR="00343CDB" w:rsidRPr="0080756D">
        <w:rPr>
          <w:sz w:val="20"/>
          <w:szCs w:val="20"/>
          <w:vertAlign w:val="superscript"/>
        </w:rPr>
        <w:t xml:space="preserve">5 </w:t>
      </w:r>
      <w:proofErr w:type="spellStart"/>
      <w:r w:rsidR="00343CDB" w:rsidRPr="0080756D">
        <w:rPr>
          <w:sz w:val="20"/>
          <w:szCs w:val="20"/>
        </w:rPr>
        <w:t>cfu</w:t>
      </w:r>
      <w:proofErr w:type="spellEnd"/>
      <w:r w:rsidR="00343CDB" w:rsidRPr="0080756D">
        <w:rPr>
          <w:sz w:val="20"/>
          <w:szCs w:val="20"/>
        </w:rPr>
        <w:t xml:space="preserve">/ml). On the other hand, the total </w:t>
      </w:r>
      <w:proofErr w:type="spellStart"/>
      <w:r w:rsidR="00343CDB" w:rsidRPr="0080756D">
        <w:rPr>
          <w:sz w:val="20"/>
          <w:szCs w:val="20"/>
        </w:rPr>
        <w:t>coliform</w:t>
      </w:r>
      <w:proofErr w:type="spellEnd"/>
      <w:r w:rsidR="00343CDB" w:rsidRPr="0080756D">
        <w:rPr>
          <w:sz w:val="20"/>
          <w:szCs w:val="20"/>
        </w:rPr>
        <w:t xml:space="preserve"> count was highest in well water (5.2 x 10</w:t>
      </w:r>
      <w:r w:rsidR="00343CDB" w:rsidRPr="0080756D">
        <w:rPr>
          <w:sz w:val="20"/>
          <w:szCs w:val="20"/>
          <w:vertAlign w:val="superscript"/>
        </w:rPr>
        <w:t>5</w:t>
      </w:r>
      <w:r w:rsidR="00343CDB" w:rsidRPr="0080756D">
        <w:rPr>
          <w:sz w:val="20"/>
          <w:szCs w:val="20"/>
        </w:rPr>
        <w:t xml:space="preserve"> ± 0.3 x 10</w:t>
      </w:r>
      <w:r w:rsidR="00343CDB" w:rsidRPr="0080756D">
        <w:rPr>
          <w:sz w:val="20"/>
          <w:szCs w:val="20"/>
          <w:vertAlign w:val="superscript"/>
        </w:rPr>
        <w:t xml:space="preserve">5 </w:t>
      </w:r>
      <w:proofErr w:type="spellStart"/>
      <w:r w:rsidR="00343CDB" w:rsidRPr="0080756D">
        <w:rPr>
          <w:sz w:val="20"/>
          <w:szCs w:val="20"/>
        </w:rPr>
        <w:t>cfu</w:t>
      </w:r>
      <w:proofErr w:type="spellEnd"/>
      <w:r w:rsidR="00343CDB" w:rsidRPr="0080756D">
        <w:rPr>
          <w:sz w:val="20"/>
          <w:szCs w:val="20"/>
        </w:rPr>
        <w:t>/ml) and least in borehole. Only two of the water samples (</w:t>
      </w:r>
      <w:proofErr w:type="spellStart"/>
      <w:r w:rsidR="00343CDB" w:rsidRPr="0080756D">
        <w:rPr>
          <w:sz w:val="20"/>
          <w:szCs w:val="20"/>
        </w:rPr>
        <w:t>Magama</w:t>
      </w:r>
      <w:proofErr w:type="spellEnd"/>
      <w:r w:rsidR="00343CDB" w:rsidRPr="0080756D">
        <w:rPr>
          <w:sz w:val="20"/>
          <w:szCs w:val="20"/>
        </w:rPr>
        <w:t xml:space="preserve"> and </w:t>
      </w:r>
      <w:proofErr w:type="spellStart"/>
      <w:r w:rsidR="00343CDB" w:rsidRPr="0080756D">
        <w:rPr>
          <w:sz w:val="20"/>
          <w:szCs w:val="20"/>
        </w:rPr>
        <w:t>Bolgang</w:t>
      </w:r>
      <w:proofErr w:type="spellEnd"/>
      <w:r w:rsidR="00343CDB" w:rsidRPr="0080756D">
        <w:rPr>
          <w:sz w:val="20"/>
          <w:szCs w:val="20"/>
        </w:rPr>
        <w:t xml:space="preserve"> Centre boreholes) met the WHO standard for drinking water of 0 </w:t>
      </w:r>
      <w:proofErr w:type="spellStart"/>
      <w:r w:rsidR="00343CDB" w:rsidRPr="0080756D">
        <w:rPr>
          <w:sz w:val="20"/>
          <w:szCs w:val="20"/>
        </w:rPr>
        <w:t>coliform</w:t>
      </w:r>
      <w:proofErr w:type="spellEnd"/>
      <w:r w:rsidR="00343CDB" w:rsidRPr="0080756D">
        <w:rPr>
          <w:sz w:val="20"/>
          <w:szCs w:val="20"/>
        </w:rPr>
        <w:t xml:space="preserve"> as </w:t>
      </w:r>
      <w:proofErr w:type="spellStart"/>
      <w:r w:rsidR="00343CDB" w:rsidRPr="0080756D">
        <w:rPr>
          <w:sz w:val="20"/>
          <w:szCs w:val="20"/>
        </w:rPr>
        <w:t>coliforms</w:t>
      </w:r>
      <w:proofErr w:type="spellEnd"/>
      <w:r w:rsidR="00343CDB" w:rsidRPr="0080756D">
        <w:rPr>
          <w:sz w:val="20"/>
          <w:szCs w:val="20"/>
        </w:rPr>
        <w:t xml:space="preserve"> were isolated from other sources except two. The enteric bacteria isolated included </w:t>
      </w:r>
      <w:r w:rsidR="00343CDB" w:rsidRPr="0080756D">
        <w:rPr>
          <w:i/>
          <w:sz w:val="20"/>
          <w:szCs w:val="20"/>
        </w:rPr>
        <w:t xml:space="preserve">Escherichia coli, Staphylococcus </w:t>
      </w:r>
      <w:proofErr w:type="spellStart"/>
      <w:r w:rsidR="00343CDB" w:rsidRPr="0080756D">
        <w:rPr>
          <w:i/>
          <w:sz w:val="20"/>
          <w:szCs w:val="20"/>
        </w:rPr>
        <w:t>aureus</w:t>
      </w:r>
      <w:proofErr w:type="spellEnd"/>
      <w:r w:rsidR="00343CDB" w:rsidRPr="0080756D">
        <w:rPr>
          <w:i/>
          <w:sz w:val="20"/>
          <w:szCs w:val="20"/>
        </w:rPr>
        <w:t xml:space="preserve">, Pseudomonas </w:t>
      </w:r>
      <w:proofErr w:type="spellStart"/>
      <w:r w:rsidR="00343CDB" w:rsidRPr="0080756D">
        <w:rPr>
          <w:i/>
          <w:sz w:val="20"/>
          <w:szCs w:val="20"/>
        </w:rPr>
        <w:t>aeruginosa</w:t>
      </w:r>
      <w:proofErr w:type="spellEnd"/>
      <w:r w:rsidR="00343CDB" w:rsidRPr="0080756D">
        <w:rPr>
          <w:sz w:val="20"/>
          <w:szCs w:val="20"/>
        </w:rPr>
        <w:t xml:space="preserve">, </w:t>
      </w:r>
      <w:proofErr w:type="spellStart"/>
      <w:r w:rsidR="00343CDB" w:rsidRPr="0080756D">
        <w:rPr>
          <w:i/>
          <w:sz w:val="20"/>
          <w:szCs w:val="20"/>
        </w:rPr>
        <w:t>Klebsiella</w:t>
      </w:r>
      <w:proofErr w:type="spellEnd"/>
      <w:r w:rsidR="00343CDB" w:rsidRPr="0080756D">
        <w:rPr>
          <w:i/>
          <w:sz w:val="20"/>
          <w:szCs w:val="20"/>
        </w:rPr>
        <w:t xml:space="preserve"> </w:t>
      </w:r>
      <w:proofErr w:type="spellStart"/>
      <w:r w:rsidR="00343CDB" w:rsidRPr="0080756D">
        <w:rPr>
          <w:i/>
          <w:sz w:val="20"/>
          <w:szCs w:val="20"/>
        </w:rPr>
        <w:t>pneumoniae</w:t>
      </w:r>
      <w:proofErr w:type="spellEnd"/>
      <w:r w:rsidR="00343CDB" w:rsidRPr="0080756D">
        <w:rPr>
          <w:sz w:val="20"/>
          <w:szCs w:val="20"/>
        </w:rPr>
        <w:t xml:space="preserve">, </w:t>
      </w:r>
      <w:proofErr w:type="spellStart"/>
      <w:r w:rsidR="00343CDB" w:rsidRPr="0080756D">
        <w:rPr>
          <w:i/>
          <w:sz w:val="20"/>
          <w:szCs w:val="20"/>
        </w:rPr>
        <w:t>Enterococcus</w:t>
      </w:r>
      <w:proofErr w:type="spellEnd"/>
      <w:r w:rsidR="00343CDB" w:rsidRPr="0080756D">
        <w:rPr>
          <w:i/>
          <w:sz w:val="20"/>
          <w:szCs w:val="20"/>
        </w:rPr>
        <w:t xml:space="preserve"> </w:t>
      </w:r>
      <w:proofErr w:type="spellStart"/>
      <w:r w:rsidR="00343CDB" w:rsidRPr="0080756D">
        <w:rPr>
          <w:i/>
          <w:sz w:val="20"/>
          <w:szCs w:val="20"/>
        </w:rPr>
        <w:t>faecalis</w:t>
      </w:r>
      <w:proofErr w:type="spellEnd"/>
      <w:r w:rsidR="00343CDB" w:rsidRPr="0080756D">
        <w:rPr>
          <w:sz w:val="20"/>
          <w:szCs w:val="20"/>
        </w:rPr>
        <w:t>,</w:t>
      </w:r>
      <w:r w:rsidR="00343CDB" w:rsidRPr="0080756D">
        <w:rPr>
          <w:i/>
          <w:sz w:val="20"/>
          <w:szCs w:val="20"/>
        </w:rPr>
        <w:t xml:space="preserve"> Salmonella</w:t>
      </w:r>
      <w:r w:rsidR="00343CDB" w:rsidRPr="0080756D">
        <w:rPr>
          <w:sz w:val="20"/>
          <w:szCs w:val="20"/>
        </w:rPr>
        <w:t xml:space="preserve"> </w:t>
      </w:r>
      <w:proofErr w:type="spellStart"/>
      <w:r w:rsidR="00343CDB" w:rsidRPr="0080756D">
        <w:rPr>
          <w:sz w:val="20"/>
          <w:szCs w:val="20"/>
        </w:rPr>
        <w:t>typhi</w:t>
      </w:r>
      <w:proofErr w:type="spellEnd"/>
      <w:r w:rsidR="00343CDB" w:rsidRPr="0080756D">
        <w:rPr>
          <w:sz w:val="20"/>
          <w:szCs w:val="20"/>
        </w:rPr>
        <w:t xml:space="preserve"> and </w:t>
      </w:r>
      <w:r w:rsidR="00343CDB" w:rsidRPr="0080756D">
        <w:rPr>
          <w:i/>
          <w:sz w:val="20"/>
          <w:szCs w:val="20"/>
        </w:rPr>
        <w:t>Proteus mirabilis</w:t>
      </w:r>
      <w:r w:rsidR="00343CDB" w:rsidRPr="0080756D">
        <w:rPr>
          <w:sz w:val="20"/>
          <w:szCs w:val="20"/>
        </w:rPr>
        <w:t xml:space="preserve">. </w:t>
      </w:r>
      <w:r w:rsidR="00343CDB" w:rsidRPr="0080756D">
        <w:rPr>
          <w:rFonts w:eastAsia="Times New Roman"/>
          <w:sz w:val="20"/>
          <w:szCs w:val="20"/>
        </w:rPr>
        <w:t>The water from the two villages were found to be unsuitable for consumption and recreational purposes without treatment.</w:t>
      </w:r>
      <w:r w:rsidR="00DB3049">
        <w:rPr>
          <w:rFonts w:eastAsia="Times New Roman"/>
          <w:sz w:val="20"/>
          <w:szCs w:val="20"/>
        </w:rPr>
        <w:t xml:space="preserve"> </w:t>
      </w:r>
      <w:r w:rsidR="00343CDB" w:rsidRPr="0080756D">
        <w:rPr>
          <w:rFonts w:eastAsia="Times New Roman"/>
          <w:sz w:val="20"/>
          <w:szCs w:val="20"/>
        </w:rPr>
        <w:t xml:space="preserve">Generally, correlation studies revealed that pH, alkalinity and total hardness have a strong positive association with total heterotrophic and </w:t>
      </w:r>
      <w:proofErr w:type="spellStart"/>
      <w:r w:rsidR="00343CDB" w:rsidRPr="0080756D">
        <w:rPr>
          <w:rFonts w:eastAsia="Times New Roman"/>
          <w:sz w:val="20"/>
          <w:szCs w:val="20"/>
        </w:rPr>
        <w:t>coliform</w:t>
      </w:r>
      <w:proofErr w:type="spellEnd"/>
      <w:r w:rsidR="00343CDB" w:rsidRPr="0080756D">
        <w:rPr>
          <w:rFonts w:eastAsia="Times New Roman"/>
          <w:sz w:val="20"/>
          <w:szCs w:val="20"/>
        </w:rPr>
        <w:t xml:space="preserve"> counts. Therefore, as compared to standards, the waters studied could be regarded as </w:t>
      </w:r>
      <w:proofErr w:type="spellStart"/>
      <w:r w:rsidR="00343CDB" w:rsidRPr="0080756D">
        <w:rPr>
          <w:rFonts w:eastAsia="Times New Roman"/>
          <w:sz w:val="20"/>
          <w:szCs w:val="20"/>
        </w:rPr>
        <w:t>physicochemically</w:t>
      </w:r>
      <w:proofErr w:type="spellEnd"/>
      <w:r w:rsidR="00343CDB" w:rsidRPr="0080756D">
        <w:rPr>
          <w:rFonts w:eastAsia="Times New Roman"/>
          <w:sz w:val="20"/>
          <w:szCs w:val="20"/>
        </w:rPr>
        <w:t xml:space="preserve"> acceptable but </w:t>
      </w:r>
      <w:proofErr w:type="spellStart"/>
      <w:r w:rsidR="00343CDB" w:rsidRPr="0080756D">
        <w:rPr>
          <w:rFonts w:eastAsia="Times New Roman"/>
          <w:sz w:val="20"/>
          <w:szCs w:val="20"/>
        </w:rPr>
        <w:t>bacteriologically</w:t>
      </w:r>
      <w:proofErr w:type="spellEnd"/>
      <w:r w:rsidR="00343CDB" w:rsidRPr="0080756D">
        <w:rPr>
          <w:rFonts w:eastAsia="Times New Roman"/>
          <w:sz w:val="20"/>
          <w:szCs w:val="20"/>
        </w:rPr>
        <w:t xml:space="preserve"> unsafe for use as raw water for drinking, animal herding, recreational activities and the irrigation of food crops to be consumed raw. There is need to control the </w:t>
      </w:r>
      <w:proofErr w:type="spellStart"/>
      <w:r w:rsidR="00343CDB" w:rsidRPr="0080756D">
        <w:rPr>
          <w:rFonts w:eastAsia="Times New Roman"/>
          <w:sz w:val="20"/>
          <w:szCs w:val="20"/>
        </w:rPr>
        <w:t>faecal</w:t>
      </w:r>
      <w:proofErr w:type="spellEnd"/>
      <w:r w:rsidR="00343CDB" w:rsidRPr="0080756D">
        <w:rPr>
          <w:rFonts w:eastAsia="Times New Roman"/>
          <w:sz w:val="20"/>
          <w:szCs w:val="20"/>
        </w:rPr>
        <w:t xml:space="preserve"> bacteria, the indicator for the </w:t>
      </w:r>
      <w:proofErr w:type="spellStart"/>
      <w:r w:rsidR="00343CDB" w:rsidRPr="0080756D">
        <w:rPr>
          <w:rFonts w:eastAsia="Times New Roman"/>
          <w:sz w:val="20"/>
          <w:szCs w:val="20"/>
        </w:rPr>
        <w:t>faecal</w:t>
      </w:r>
      <w:proofErr w:type="spellEnd"/>
      <w:r w:rsidR="00343CDB" w:rsidRPr="0080756D">
        <w:rPr>
          <w:rFonts w:eastAsia="Times New Roman"/>
          <w:sz w:val="20"/>
          <w:szCs w:val="20"/>
        </w:rPr>
        <w:t xml:space="preserve"> pollution of the water bodies. Improvement in water quality and availability will aid hygienic practices and interrupt the transmission of enteric pathogens through contaminated water in the study area. Public health education aimed at improving personal, household and community hygiene is imperative. The waters studied was considered </w:t>
      </w:r>
      <w:proofErr w:type="spellStart"/>
      <w:r w:rsidR="00343CDB" w:rsidRPr="0080756D">
        <w:rPr>
          <w:rFonts w:eastAsia="Times New Roman"/>
          <w:sz w:val="20"/>
          <w:szCs w:val="20"/>
        </w:rPr>
        <w:t>physicochemically</w:t>
      </w:r>
      <w:proofErr w:type="spellEnd"/>
      <w:r w:rsidR="00343CDB" w:rsidRPr="0080756D">
        <w:rPr>
          <w:rFonts w:eastAsia="Times New Roman"/>
          <w:sz w:val="20"/>
          <w:szCs w:val="20"/>
        </w:rPr>
        <w:t xml:space="preserve"> acceptable but </w:t>
      </w:r>
      <w:proofErr w:type="spellStart"/>
      <w:r w:rsidR="00343CDB" w:rsidRPr="0080756D">
        <w:rPr>
          <w:rFonts w:eastAsia="Times New Roman"/>
          <w:sz w:val="20"/>
          <w:szCs w:val="20"/>
        </w:rPr>
        <w:t>bacteriologically</w:t>
      </w:r>
      <w:proofErr w:type="spellEnd"/>
      <w:r w:rsidR="00343CDB" w:rsidRPr="0080756D">
        <w:rPr>
          <w:rFonts w:eastAsia="Times New Roman"/>
          <w:sz w:val="20"/>
          <w:szCs w:val="20"/>
        </w:rPr>
        <w:t xml:space="preserve"> unsafe for use as raw water for drinking, animal herding, recreational activities and the irrigation of food crops to be consumed raw.</w:t>
      </w:r>
    </w:p>
    <w:p w:rsidR="0080756D" w:rsidRPr="0080756D" w:rsidRDefault="00D778C9" w:rsidP="0080756D">
      <w:pPr>
        <w:adjustRightInd w:val="0"/>
        <w:snapToGrid w:val="0"/>
        <w:jc w:val="both"/>
        <w:rPr>
          <w:color w:val="000000"/>
          <w:sz w:val="20"/>
          <w:szCs w:val="20"/>
          <w:shd w:val="clear" w:color="auto" w:fill="FFFFFF"/>
        </w:rPr>
      </w:pPr>
      <w:r w:rsidRPr="0080756D">
        <w:rPr>
          <w:color w:val="000000"/>
          <w:sz w:val="20"/>
          <w:szCs w:val="20"/>
        </w:rPr>
        <w:t>[</w:t>
      </w:r>
      <w:proofErr w:type="spellStart"/>
      <w:r w:rsidR="001B37C1" w:rsidRPr="0080756D">
        <w:rPr>
          <w:sz w:val="20"/>
          <w:szCs w:val="20"/>
        </w:rPr>
        <w:t>Okojokwu</w:t>
      </w:r>
      <w:proofErr w:type="spellEnd"/>
      <w:r w:rsidR="00B04D00" w:rsidRPr="0080756D">
        <w:rPr>
          <w:sz w:val="20"/>
          <w:szCs w:val="20"/>
        </w:rPr>
        <w:t xml:space="preserve"> OJ, </w:t>
      </w:r>
      <w:proofErr w:type="spellStart"/>
      <w:r w:rsidR="001B37C1" w:rsidRPr="0080756D">
        <w:rPr>
          <w:sz w:val="20"/>
          <w:szCs w:val="20"/>
        </w:rPr>
        <w:t>Butko</w:t>
      </w:r>
      <w:proofErr w:type="spellEnd"/>
      <w:r w:rsidR="00B04D00" w:rsidRPr="0080756D">
        <w:rPr>
          <w:sz w:val="20"/>
          <w:szCs w:val="20"/>
        </w:rPr>
        <w:t xml:space="preserve"> DD, </w:t>
      </w:r>
      <w:proofErr w:type="spellStart"/>
      <w:r w:rsidR="001B37C1" w:rsidRPr="0080756D">
        <w:rPr>
          <w:sz w:val="20"/>
          <w:szCs w:val="20"/>
        </w:rPr>
        <w:t>Ubandoma</w:t>
      </w:r>
      <w:proofErr w:type="spellEnd"/>
      <w:r w:rsidR="00B04D00" w:rsidRPr="0080756D">
        <w:rPr>
          <w:sz w:val="20"/>
          <w:szCs w:val="20"/>
        </w:rPr>
        <w:t xml:space="preserve"> AMD, </w:t>
      </w:r>
      <w:proofErr w:type="spellStart"/>
      <w:r w:rsidR="001B37C1" w:rsidRPr="0080756D">
        <w:rPr>
          <w:sz w:val="20"/>
          <w:szCs w:val="20"/>
        </w:rPr>
        <w:t>Dashen</w:t>
      </w:r>
      <w:proofErr w:type="spellEnd"/>
      <w:r w:rsidR="00B04D00" w:rsidRPr="0080756D">
        <w:rPr>
          <w:sz w:val="20"/>
          <w:szCs w:val="20"/>
        </w:rPr>
        <w:t xml:space="preserve"> MM</w:t>
      </w:r>
      <w:r w:rsidR="001B37C1" w:rsidRPr="0080756D">
        <w:rPr>
          <w:sz w:val="20"/>
          <w:szCs w:val="20"/>
        </w:rPr>
        <w:t xml:space="preserve">, </w:t>
      </w:r>
      <w:proofErr w:type="spellStart"/>
      <w:r w:rsidR="001B37C1" w:rsidRPr="0080756D">
        <w:rPr>
          <w:sz w:val="20"/>
          <w:szCs w:val="20"/>
        </w:rPr>
        <w:t>Amapu</w:t>
      </w:r>
      <w:proofErr w:type="spellEnd"/>
      <w:r w:rsidR="00B04D00" w:rsidRPr="0080756D">
        <w:rPr>
          <w:sz w:val="20"/>
          <w:szCs w:val="20"/>
        </w:rPr>
        <w:t xml:space="preserve"> TY</w:t>
      </w:r>
      <w:r w:rsidR="001B37C1" w:rsidRPr="0080756D">
        <w:rPr>
          <w:sz w:val="20"/>
          <w:szCs w:val="20"/>
        </w:rPr>
        <w:t xml:space="preserve">, </w:t>
      </w:r>
      <w:proofErr w:type="spellStart"/>
      <w:r w:rsidR="001B37C1" w:rsidRPr="0080756D">
        <w:rPr>
          <w:sz w:val="20"/>
          <w:szCs w:val="20"/>
        </w:rPr>
        <w:t>Azi</w:t>
      </w:r>
      <w:proofErr w:type="spellEnd"/>
      <w:r w:rsidR="00B04D00" w:rsidRPr="0080756D">
        <w:rPr>
          <w:sz w:val="20"/>
          <w:szCs w:val="20"/>
        </w:rPr>
        <w:t xml:space="preserve"> HY</w:t>
      </w:r>
      <w:r w:rsidR="001B37C1" w:rsidRPr="0080756D">
        <w:rPr>
          <w:sz w:val="20"/>
          <w:szCs w:val="20"/>
        </w:rPr>
        <w:t xml:space="preserve">, </w:t>
      </w:r>
      <w:proofErr w:type="spellStart"/>
      <w:r w:rsidR="001B37C1" w:rsidRPr="0080756D">
        <w:rPr>
          <w:sz w:val="20"/>
          <w:szCs w:val="20"/>
        </w:rPr>
        <w:t>Egbere</w:t>
      </w:r>
      <w:proofErr w:type="spellEnd"/>
      <w:r w:rsidR="00B04D00" w:rsidRPr="0080756D">
        <w:rPr>
          <w:sz w:val="20"/>
          <w:szCs w:val="20"/>
        </w:rPr>
        <w:t xml:space="preserve"> OJ</w:t>
      </w:r>
      <w:r w:rsidR="001B37C1" w:rsidRPr="0080756D">
        <w:rPr>
          <w:sz w:val="20"/>
          <w:szCs w:val="20"/>
        </w:rPr>
        <w:t xml:space="preserve">, </w:t>
      </w:r>
      <w:proofErr w:type="spellStart"/>
      <w:r w:rsidR="001B37C1" w:rsidRPr="0080756D">
        <w:rPr>
          <w:sz w:val="20"/>
          <w:szCs w:val="20"/>
        </w:rPr>
        <w:t>Chollom</w:t>
      </w:r>
      <w:proofErr w:type="spellEnd"/>
      <w:r w:rsidR="00B04D00" w:rsidRPr="0080756D">
        <w:rPr>
          <w:sz w:val="20"/>
          <w:szCs w:val="20"/>
        </w:rPr>
        <w:t xml:space="preserve"> PF</w:t>
      </w:r>
      <w:r w:rsidR="00BA1AFB" w:rsidRPr="0080756D">
        <w:rPr>
          <w:sz w:val="20"/>
          <w:szCs w:val="20"/>
        </w:rPr>
        <w:t>.</w:t>
      </w:r>
      <w:r w:rsidRPr="0080756D">
        <w:rPr>
          <w:sz w:val="20"/>
          <w:szCs w:val="20"/>
        </w:rPr>
        <w:t xml:space="preserve"> </w:t>
      </w:r>
      <w:r w:rsidR="00BA1AFB" w:rsidRPr="0080756D">
        <w:rPr>
          <w:b/>
          <w:sz w:val="20"/>
        </w:rPr>
        <w:t xml:space="preserve">Correlative Assessment of the Bacteriological and Physicochemical Parameters of Water Sources in </w:t>
      </w:r>
      <w:proofErr w:type="spellStart"/>
      <w:r w:rsidR="00BA1AFB" w:rsidRPr="0080756D">
        <w:rPr>
          <w:b/>
          <w:sz w:val="20"/>
        </w:rPr>
        <w:t>Magama</w:t>
      </w:r>
      <w:proofErr w:type="spellEnd"/>
      <w:r w:rsidR="00BA1AFB" w:rsidRPr="0080756D">
        <w:rPr>
          <w:b/>
          <w:sz w:val="20"/>
        </w:rPr>
        <w:t xml:space="preserve"> and </w:t>
      </w:r>
      <w:proofErr w:type="spellStart"/>
      <w:r w:rsidR="00BA1AFB" w:rsidRPr="0080756D">
        <w:rPr>
          <w:b/>
          <w:sz w:val="20"/>
        </w:rPr>
        <w:t>Bolgang</w:t>
      </w:r>
      <w:proofErr w:type="spellEnd"/>
      <w:r w:rsidR="00BA1AFB" w:rsidRPr="0080756D">
        <w:rPr>
          <w:b/>
          <w:sz w:val="20"/>
        </w:rPr>
        <w:t xml:space="preserve"> Villages of </w:t>
      </w:r>
      <w:proofErr w:type="spellStart"/>
      <w:r w:rsidR="00BA1AFB" w:rsidRPr="0080756D">
        <w:rPr>
          <w:b/>
          <w:sz w:val="20"/>
        </w:rPr>
        <w:t>Langtang</w:t>
      </w:r>
      <w:proofErr w:type="spellEnd"/>
      <w:r w:rsidR="00BA1AFB" w:rsidRPr="0080756D">
        <w:rPr>
          <w:b/>
          <w:sz w:val="20"/>
        </w:rPr>
        <w:t xml:space="preserve"> South, Plateau State, Nigeria</w:t>
      </w:r>
      <w:r w:rsidR="0080756D" w:rsidRPr="0080756D">
        <w:rPr>
          <w:rFonts w:eastAsia="Times New Roman"/>
          <w:b/>
          <w:bCs/>
          <w:sz w:val="20"/>
          <w:szCs w:val="20"/>
          <w:lang w:bidi="fa-IR"/>
        </w:rPr>
        <w:t>.</w:t>
      </w:r>
      <w:r w:rsidR="0080756D" w:rsidRPr="0080756D">
        <w:rPr>
          <w:bCs/>
          <w:i/>
          <w:sz w:val="20"/>
          <w:szCs w:val="20"/>
        </w:rPr>
        <w:t xml:space="preserve"> Researcher</w:t>
      </w:r>
      <w:r w:rsidR="0080756D" w:rsidRPr="0080756D">
        <w:rPr>
          <w:bCs/>
          <w:sz w:val="20"/>
          <w:szCs w:val="20"/>
        </w:rPr>
        <w:t xml:space="preserve"> 201</w:t>
      </w:r>
      <w:r w:rsidR="0080756D" w:rsidRPr="0080756D">
        <w:rPr>
          <w:rFonts w:hint="eastAsia"/>
          <w:bCs/>
          <w:sz w:val="20"/>
          <w:szCs w:val="20"/>
        </w:rPr>
        <w:t>7</w:t>
      </w:r>
      <w:r w:rsidR="0080756D" w:rsidRPr="0080756D">
        <w:rPr>
          <w:bCs/>
          <w:sz w:val="20"/>
          <w:szCs w:val="20"/>
        </w:rPr>
        <w:t>;</w:t>
      </w:r>
      <w:r w:rsidR="0080756D" w:rsidRPr="0080756D">
        <w:rPr>
          <w:rFonts w:hint="eastAsia"/>
          <w:bCs/>
          <w:sz w:val="20"/>
          <w:szCs w:val="20"/>
        </w:rPr>
        <w:t>9</w:t>
      </w:r>
      <w:r w:rsidR="0080756D" w:rsidRPr="0080756D">
        <w:rPr>
          <w:bCs/>
          <w:sz w:val="20"/>
          <w:szCs w:val="20"/>
        </w:rPr>
        <w:t>(</w:t>
      </w:r>
      <w:r w:rsidR="0080756D" w:rsidRPr="0080756D">
        <w:rPr>
          <w:rFonts w:hint="eastAsia"/>
          <w:bCs/>
          <w:sz w:val="20"/>
          <w:szCs w:val="20"/>
        </w:rPr>
        <w:t>7</w:t>
      </w:r>
      <w:r w:rsidR="0080756D" w:rsidRPr="0080756D">
        <w:rPr>
          <w:bCs/>
          <w:sz w:val="20"/>
          <w:szCs w:val="20"/>
        </w:rPr>
        <w:t>):</w:t>
      </w:r>
      <w:r w:rsidR="00190258">
        <w:rPr>
          <w:noProof/>
          <w:color w:val="000000"/>
          <w:sz w:val="20"/>
          <w:szCs w:val="20"/>
        </w:rPr>
        <w:t>1-10</w:t>
      </w:r>
      <w:r w:rsidR="0080756D" w:rsidRPr="0080756D">
        <w:rPr>
          <w:bCs/>
          <w:sz w:val="20"/>
          <w:szCs w:val="20"/>
        </w:rPr>
        <w:t xml:space="preserve">]. </w:t>
      </w:r>
      <w:r w:rsidR="0080756D" w:rsidRPr="0080756D">
        <w:rPr>
          <w:sz w:val="20"/>
          <w:szCs w:val="20"/>
        </w:rPr>
        <w:t>ISSN 1553-9865 (print); ISSN 2163-8950 (online)</w:t>
      </w:r>
      <w:r w:rsidR="0080756D" w:rsidRPr="0080756D">
        <w:rPr>
          <w:bCs/>
          <w:sz w:val="20"/>
          <w:szCs w:val="20"/>
        </w:rPr>
        <w:t xml:space="preserve">. </w:t>
      </w:r>
      <w:hyperlink r:id="rId8" w:history="1">
        <w:r w:rsidR="0080756D" w:rsidRPr="0080756D">
          <w:rPr>
            <w:rStyle w:val="Hyperlink"/>
            <w:sz w:val="20"/>
            <w:szCs w:val="20"/>
          </w:rPr>
          <w:t>http://www.sciencepub.net/researcher</w:t>
        </w:r>
      </w:hyperlink>
      <w:r w:rsidR="0080756D" w:rsidRPr="0080756D">
        <w:rPr>
          <w:bCs/>
          <w:sz w:val="20"/>
          <w:szCs w:val="20"/>
        </w:rPr>
        <w:t>.</w:t>
      </w:r>
      <w:r w:rsidR="0080756D" w:rsidRPr="0080756D">
        <w:rPr>
          <w:rFonts w:hint="eastAsia"/>
          <w:bCs/>
          <w:sz w:val="20"/>
          <w:szCs w:val="20"/>
        </w:rPr>
        <w:t xml:space="preserve"> </w:t>
      </w:r>
      <w:r w:rsidR="0080756D">
        <w:rPr>
          <w:rFonts w:hint="eastAsia"/>
          <w:bCs/>
          <w:sz w:val="20"/>
          <w:szCs w:val="20"/>
          <w:lang w:eastAsia="zh-CN"/>
        </w:rPr>
        <w:t>1</w:t>
      </w:r>
      <w:r w:rsidR="0080756D" w:rsidRPr="0080756D">
        <w:rPr>
          <w:rFonts w:hint="eastAsia"/>
          <w:bCs/>
          <w:sz w:val="20"/>
          <w:szCs w:val="20"/>
        </w:rPr>
        <w:t xml:space="preserve">. </w:t>
      </w:r>
      <w:r w:rsidR="0080756D" w:rsidRPr="0080756D">
        <w:rPr>
          <w:color w:val="000000"/>
          <w:sz w:val="20"/>
          <w:szCs w:val="20"/>
          <w:shd w:val="clear" w:color="auto" w:fill="FFFFFF"/>
        </w:rPr>
        <w:t>doi:</w:t>
      </w:r>
      <w:hyperlink r:id="rId9" w:history="1">
        <w:r w:rsidR="0080756D" w:rsidRPr="0080756D">
          <w:rPr>
            <w:rStyle w:val="Hyperlink"/>
            <w:sz w:val="20"/>
            <w:szCs w:val="20"/>
            <w:shd w:val="clear" w:color="auto" w:fill="FFFFFF"/>
          </w:rPr>
          <w:t>10.7537/mars</w:t>
        </w:r>
        <w:r w:rsidR="0080756D" w:rsidRPr="0080756D">
          <w:rPr>
            <w:rStyle w:val="Hyperlink"/>
            <w:rFonts w:hint="eastAsia"/>
            <w:sz w:val="20"/>
            <w:szCs w:val="20"/>
            <w:shd w:val="clear" w:color="auto" w:fill="FFFFFF"/>
          </w:rPr>
          <w:t>r</w:t>
        </w:r>
        <w:r w:rsidR="0080756D" w:rsidRPr="0080756D">
          <w:rPr>
            <w:rStyle w:val="Hyperlink"/>
            <w:sz w:val="20"/>
            <w:szCs w:val="20"/>
            <w:shd w:val="clear" w:color="auto" w:fill="FFFFFF"/>
          </w:rPr>
          <w:t>sj</w:t>
        </w:r>
        <w:r w:rsidR="0080756D" w:rsidRPr="0080756D">
          <w:rPr>
            <w:rStyle w:val="Hyperlink"/>
            <w:rFonts w:hint="eastAsia"/>
            <w:sz w:val="20"/>
            <w:szCs w:val="20"/>
            <w:shd w:val="clear" w:color="auto" w:fill="FFFFFF"/>
          </w:rPr>
          <w:t>090717.</w:t>
        </w:r>
        <w:r w:rsidR="0080756D" w:rsidRPr="0080756D">
          <w:rPr>
            <w:rStyle w:val="Hyperlink"/>
            <w:sz w:val="20"/>
            <w:szCs w:val="20"/>
            <w:shd w:val="clear" w:color="auto" w:fill="FFFFFF"/>
          </w:rPr>
          <w:t>0</w:t>
        </w:r>
        <w:r w:rsidR="0080756D">
          <w:rPr>
            <w:rStyle w:val="Hyperlink"/>
            <w:rFonts w:hint="eastAsia"/>
            <w:sz w:val="20"/>
            <w:szCs w:val="20"/>
            <w:shd w:val="clear" w:color="auto" w:fill="FFFFFF"/>
            <w:lang w:eastAsia="zh-CN"/>
          </w:rPr>
          <w:t>1</w:t>
        </w:r>
      </w:hyperlink>
      <w:r w:rsidR="0080756D" w:rsidRPr="0080756D">
        <w:rPr>
          <w:color w:val="000000"/>
          <w:sz w:val="20"/>
          <w:szCs w:val="20"/>
          <w:shd w:val="clear" w:color="auto" w:fill="FFFFFF"/>
        </w:rPr>
        <w:t>.</w:t>
      </w:r>
    </w:p>
    <w:p w:rsidR="001817C7" w:rsidRPr="0080756D" w:rsidRDefault="00DB3049" w:rsidP="0080756D">
      <w:pPr>
        <w:suppressAutoHyphens w:val="0"/>
        <w:snapToGrid w:val="0"/>
        <w:ind w:firstLine="425"/>
        <w:jc w:val="both"/>
        <w:rPr>
          <w:sz w:val="20"/>
          <w:szCs w:val="20"/>
          <w:lang w:eastAsia="zh-CN"/>
        </w:rPr>
      </w:pPr>
      <w:r>
        <w:rPr>
          <w:rFonts w:hint="eastAsia"/>
          <w:sz w:val="20"/>
          <w:szCs w:val="20"/>
          <w:lang w:eastAsia="zh-CN"/>
        </w:rPr>
        <w:t xml:space="preserve"> </w:t>
      </w:r>
    </w:p>
    <w:p w:rsidR="001817C7" w:rsidRPr="0080756D" w:rsidRDefault="001B37C1" w:rsidP="0080756D">
      <w:pPr>
        <w:suppressAutoHyphens w:val="0"/>
        <w:snapToGrid w:val="0"/>
        <w:jc w:val="both"/>
        <w:rPr>
          <w:sz w:val="20"/>
          <w:szCs w:val="20"/>
        </w:rPr>
      </w:pPr>
      <w:r w:rsidRPr="0080756D">
        <w:rPr>
          <w:b/>
          <w:sz w:val="20"/>
        </w:rPr>
        <w:t xml:space="preserve">Key words: </w:t>
      </w:r>
      <w:r w:rsidRPr="0080756D">
        <w:rPr>
          <w:sz w:val="20"/>
        </w:rPr>
        <w:t>Water, Well, Stream, Bore-hole, Bacteriological quality, Plateau State.</w:t>
      </w:r>
    </w:p>
    <w:p w:rsidR="00BE3CA6" w:rsidRPr="0080756D" w:rsidRDefault="00BE3CA6" w:rsidP="0080756D">
      <w:pPr>
        <w:suppressAutoHyphens w:val="0"/>
        <w:snapToGrid w:val="0"/>
        <w:jc w:val="both"/>
        <w:rPr>
          <w:b/>
          <w:sz w:val="20"/>
          <w:szCs w:val="20"/>
        </w:rPr>
      </w:pPr>
    </w:p>
    <w:p w:rsidR="00BE3CA6" w:rsidRPr="0080756D" w:rsidRDefault="00BE3CA6" w:rsidP="0080756D">
      <w:pPr>
        <w:suppressAutoHyphens w:val="0"/>
        <w:snapToGrid w:val="0"/>
        <w:jc w:val="both"/>
        <w:rPr>
          <w:b/>
          <w:sz w:val="20"/>
          <w:szCs w:val="20"/>
        </w:rPr>
        <w:sectPr w:rsidR="00BE3CA6" w:rsidRPr="0080756D" w:rsidSect="00BE3CA6">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1"/>
          <w:cols w:space="720"/>
          <w:docGrid w:linePitch="360"/>
        </w:sectPr>
      </w:pPr>
    </w:p>
    <w:p w:rsidR="00471E57" w:rsidRPr="0080756D" w:rsidRDefault="00471E57" w:rsidP="0080756D">
      <w:pPr>
        <w:suppressAutoHyphens w:val="0"/>
        <w:snapToGrid w:val="0"/>
        <w:jc w:val="both"/>
        <w:rPr>
          <w:b/>
          <w:sz w:val="20"/>
          <w:szCs w:val="20"/>
        </w:rPr>
      </w:pPr>
      <w:r w:rsidRPr="0080756D">
        <w:rPr>
          <w:b/>
          <w:sz w:val="20"/>
          <w:szCs w:val="20"/>
        </w:rPr>
        <w:lastRenderedPageBreak/>
        <w:t>1. Introduction</w:t>
      </w:r>
    </w:p>
    <w:p w:rsidR="00612BBC" w:rsidRPr="0080756D" w:rsidRDefault="00612BBC" w:rsidP="0080756D">
      <w:pPr>
        <w:suppressAutoHyphens w:val="0"/>
        <w:snapToGrid w:val="0"/>
        <w:ind w:firstLine="425"/>
        <w:jc w:val="both"/>
        <w:rPr>
          <w:sz w:val="20"/>
          <w:szCs w:val="20"/>
        </w:rPr>
      </w:pPr>
      <w:r w:rsidRPr="0080756D">
        <w:rPr>
          <w:sz w:val="20"/>
          <w:szCs w:val="20"/>
        </w:rPr>
        <w:t xml:space="preserve">Water is one of the most important natural resources that is very useful for several purposes such as household needs (bathing, drinking and cleaning), recreational needs, industrial needs, electricity generation and agricultural needs (irrigation, farming), in urban and rural areas. It is the most essential resources needed by living organism and the universal solvent (water) and also a vehicle of transmission of infection to human and animals when it is </w:t>
      </w:r>
      <w:r w:rsidRPr="0080756D">
        <w:rPr>
          <w:sz w:val="20"/>
          <w:szCs w:val="20"/>
        </w:rPr>
        <w:lastRenderedPageBreak/>
        <w:t>contaminated with agricultural, industrial and human wastes.</w:t>
      </w:r>
    </w:p>
    <w:p w:rsidR="00612BBC" w:rsidRPr="0080756D" w:rsidRDefault="00612BBC" w:rsidP="0080756D">
      <w:pPr>
        <w:suppressAutoHyphens w:val="0"/>
        <w:snapToGrid w:val="0"/>
        <w:ind w:firstLine="425"/>
        <w:jc w:val="both"/>
        <w:rPr>
          <w:sz w:val="20"/>
          <w:szCs w:val="20"/>
        </w:rPr>
      </w:pPr>
      <w:r w:rsidRPr="0080756D">
        <w:rPr>
          <w:sz w:val="20"/>
          <w:szCs w:val="20"/>
        </w:rPr>
        <w:t xml:space="preserve">Clean and safe drinking water is not only on the basic need of human beings but it has a great influence on all the </w:t>
      </w:r>
      <w:r w:rsidR="00985C66" w:rsidRPr="0080756D">
        <w:rPr>
          <w:sz w:val="20"/>
          <w:szCs w:val="20"/>
        </w:rPr>
        <w:t>aspects of living organism (Ahma</w:t>
      </w:r>
      <w:r w:rsidRPr="0080756D">
        <w:rPr>
          <w:sz w:val="20"/>
          <w:szCs w:val="20"/>
        </w:rPr>
        <w:t xml:space="preserve">d, 2005). Water exist in three states </w:t>
      </w:r>
      <w:proofErr w:type="spellStart"/>
      <w:r w:rsidRPr="0080756D">
        <w:rPr>
          <w:sz w:val="20"/>
          <w:szCs w:val="20"/>
        </w:rPr>
        <w:t>viz</w:t>
      </w:r>
      <w:proofErr w:type="spellEnd"/>
      <w:r w:rsidRPr="0080756D">
        <w:rPr>
          <w:sz w:val="20"/>
          <w:szCs w:val="20"/>
        </w:rPr>
        <w:t xml:space="preserve"> Liquid, solid and gas. The primary concern of most people living in developing countries is that of obtaining clean and portable drinking water. In some parts of the </w:t>
      </w:r>
      <w:r w:rsidRPr="0080756D">
        <w:rPr>
          <w:sz w:val="20"/>
          <w:szCs w:val="20"/>
        </w:rPr>
        <w:lastRenderedPageBreak/>
        <w:t>world, water is taken directly from it sources without undergoing any form of treatment.</w:t>
      </w:r>
    </w:p>
    <w:p w:rsidR="00612BBC" w:rsidRPr="0080756D" w:rsidRDefault="00612BBC" w:rsidP="0080756D">
      <w:pPr>
        <w:suppressAutoHyphens w:val="0"/>
        <w:snapToGrid w:val="0"/>
        <w:ind w:firstLine="425"/>
        <w:jc w:val="both"/>
        <w:rPr>
          <w:sz w:val="20"/>
          <w:szCs w:val="20"/>
        </w:rPr>
      </w:pPr>
      <w:r w:rsidRPr="0080756D">
        <w:rPr>
          <w:sz w:val="20"/>
          <w:szCs w:val="20"/>
        </w:rPr>
        <w:t>The quality of drinking water has been put into consideration throughout the world and it has been mentioned that contaminated sources is attributed to direct discharge of domestic, industrial waste, improperly maintained water sources and poor management of farm wastes are the major sources of water pollution and water borne diseases (Jain</w:t>
      </w:r>
      <w:r w:rsidR="00985C66" w:rsidRPr="0080756D">
        <w:rPr>
          <w:sz w:val="20"/>
          <w:szCs w:val="20"/>
        </w:rPr>
        <w:t xml:space="preserve"> </w:t>
      </w:r>
      <w:r w:rsidR="00985C66" w:rsidRPr="0080756D">
        <w:rPr>
          <w:i/>
          <w:sz w:val="20"/>
          <w:szCs w:val="20"/>
        </w:rPr>
        <w:t>et al.</w:t>
      </w:r>
      <w:r w:rsidRPr="0080756D">
        <w:rPr>
          <w:sz w:val="20"/>
          <w:szCs w:val="20"/>
        </w:rPr>
        <w:t>, 2005).</w:t>
      </w:r>
    </w:p>
    <w:p w:rsidR="00612BBC" w:rsidRPr="0080756D" w:rsidRDefault="00612BBC" w:rsidP="0080756D">
      <w:pPr>
        <w:suppressAutoHyphens w:val="0"/>
        <w:snapToGrid w:val="0"/>
        <w:ind w:firstLine="425"/>
        <w:jc w:val="both"/>
        <w:rPr>
          <w:sz w:val="20"/>
          <w:szCs w:val="20"/>
        </w:rPr>
      </w:pPr>
      <w:r w:rsidRPr="0080756D">
        <w:rPr>
          <w:sz w:val="20"/>
          <w:szCs w:val="20"/>
        </w:rPr>
        <w:t>Poor quality of drinking water can lead to death. As reported that, an estimated 5-billion children worldwide die annually due to water related diseases and 80% of this incidence occur in developing countries (WHO, 20</w:t>
      </w:r>
      <w:r w:rsidR="003D169F" w:rsidRPr="0080756D">
        <w:rPr>
          <w:sz w:val="20"/>
          <w:szCs w:val="20"/>
        </w:rPr>
        <w:t>1</w:t>
      </w:r>
      <w:r w:rsidRPr="0080756D">
        <w:rPr>
          <w:sz w:val="20"/>
          <w:szCs w:val="20"/>
        </w:rPr>
        <w:t xml:space="preserve">0). Therefore water for domestic purposes must be checked regularly and continuously for microbial contamination. To access microbiological safety of water, indicator organism which live in the gastrointestinal tract of human and animals are used throughout the world. Studies have shown that the occurrence of </w:t>
      </w:r>
      <w:proofErr w:type="spellStart"/>
      <w:r w:rsidRPr="0080756D">
        <w:rPr>
          <w:sz w:val="20"/>
          <w:szCs w:val="20"/>
        </w:rPr>
        <w:t>coliforms</w:t>
      </w:r>
      <w:proofErr w:type="spellEnd"/>
      <w:r w:rsidRPr="0080756D">
        <w:rPr>
          <w:sz w:val="20"/>
          <w:szCs w:val="20"/>
        </w:rPr>
        <w:t xml:space="preserve"> in water sources indicates </w:t>
      </w:r>
      <w:proofErr w:type="spellStart"/>
      <w:r w:rsidRPr="0080756D">
        <w:rPr>
          <w:sz w:val="20"/>
          <w:szCs w:val="20"/>
        </w:rPr>
        <w:t>faecal</w:t>
      </w:r>
      <w:proofErr w:type="spellEnd"/>
      <w:r w:rsidRPr="0080756D">
        <w:rPr>
          <w:sz w:val="20"/>
          <w:szCs w:val="20"/>
        </w:rPr>
        <w:t xml:space="preserve"> contamination (</w:t>
      </w:r>
      <w:proofErr w:type="spellStart"/>
      <w:r w:rsidR="00985C66" w:rsidRPr="0080756D">
        <w:rPr>
          <w:sz w:val="20"/>
          <w:szCs w:val="20"/>
        </w:rPr>
        <w:t>Banu</w:t>
      </w:r>
      <w:proofErr w:type="spellEnd"/>
      <w:r w:rsidR="00985C66" w:rsidRPr="0080756D">
        <w:rPr>
          <w:sz w:val="20"/>
          <w:szCs w:val="20"/>
        </w:rPr>
        <w:t xml:space="preserve"> and </w:t>
      </w:r>
      <w:proofErr w:type="spellStart"/>
      <w:r w:rsidR="00985C66" w:rsidRPr="0080756D">
        <w:rPr>
          <w:sz w:val="20"/>
          <w:szCs w:val="20"/>
        </w:rPr>
        <w:t>Menakuru</w:t>
      </w:r>
      <w:proofErr w:type="spellEnd"/>
      <w:r w:rsidR="00985C66" w:rsidRPr="0080756D">
        <w:rPr>
          <w:sz w:val="20"/>
          <w:szCs w:val="20"/>
        </w:rPr>
        <w:t>,</w:t>
      </w:r>
      <w:r w:rsidRPr="0080756D">
        <w:rPr>
          <w:sz w:val="20"/>
          <w:szCs w:val="20"/>
        </w:rPr>
        <w:t xml:space="preserve"> 20</w:t>
      </w:r>
      <w:r w:rsidR="00985C66" w:rsidRPr="0080756D">
        <w:rPr>
          <w:sz w:val="20"/>
          <w:szCs w:val="20"/>
        </w:rPr>
        <w:t>1</w:t>
      </w:r>
      <w:r w:rsidRPr="0080756D">
        <w:rPr>
          <w:sz w:val="20"/>
          <w:szCs w:val="20"/>
        </w:rPr>
        <w:t>0).</w:t>
      </w:r>
    </w:p>
    <w:p w:rsidR="00612BBC" w:rsidRPr="0080756D" w:rsidRDefault="00612BBC" w:rsidP="0080756D">
      <w:pPr>
        <w:suppressAutoHyphens w:val="0"/>
        <w:snapToGrid w:val="0"/>
        <w:ind w:firstLine="425"/>
        <w:jc w:val="both"/>
        <w:rPr>
          <w:sz w:val="20"/>
          <w:szCs w:val="20"/>
        </w:rPr>
      </w:pPr>
      <w:r w:rsidRPr="0080756D">
        <w:rPr>
          <w:sz w:val="20"/>
          <w:szCs w:val="20"/>
        </w:rPr>
        <w:t xml:space="preserve">The quality of drinking water </w:t>
      </w:r>
      <w:r w:rsidR="00AE1974" w:rsidRPr="0080756D">
        <w:rPr>
          <w:sz w:val="20"/>
          <w:szCs w:val="20"/>
        </w:rPr>
        <w:t xml:space="preserve">is </w:t>
      </w:r>
      <w:r w:rsidRPr="0080756D">
        <w:rPr>
          <w:sz w:val="20"/>
          <w:szCs w:val="20"/>
        </w:rPr>
        <w:t xml:space="preserve">a powerful environmental determinant of health (WHO, 2010). Water plays an indispensable role in sustenance of life and it is a key pillar of health determinant, since 80% of diseases in developing countries are due to lack of </w:t>
      </w:r>
      <w:r w:rsidR="00305B86" w:rsidRPr="0080756D">
        <w:rPr>
          <w:sz w:val="20"/>
          <w:szCs w:val="20"/>
        </w:rPr>
        <w:t xml:space="preserve">good </w:t>
      </w:r>
      <w:r w:rsidRPr="0080756D">
        <w:rPr>
          <w:sz w:val="20"/>
          <w:szCs w:val="20"/>
        </w:rPr>
        <w:t>quality water (</w:t>
      </w:r>
      <w:proofErr w:type="spellStart"/>
      <w:r w:rsidRPr="0080756D">
        <w:rPr>
          <w:sz w:val="20"/>
          <w:szCs w:val="20"/>
        </w:rPr>
        <w:t>Cheesbrough</w:t>
      </w:r>
      <w:proofErr w:type="spellEnd"/>
      <w:r w:rsidRPr="0080756D">
        <w:rPr>
          <w:sz w:val="20"/>
          <w:szCs w:val="20"/>
        </w:rPr>
        <w:t>, 2006). Drinking water quality management has been a key pillar of primary prevention for over one and half centuries and it continues to be the foundation for the prevention and control of water borne diseases (WHO, 2010). Contaminated water is a global public health threat placing people at risk of a host of a diarrhea and other illness as well as chemical intoxication (</w:t>
      </w:r>
      <w:proofErr w:type="spellStart"/>
      <w:r w:rsidRPr="0080756D">
        <w:rPr>
          <w:sz w:val="20"/>
          <w:szCs w:val="20"/>
        </w:rPr>
        <w:t>Okonko</w:t>
      </w:r>
      <w:proofErr w:type="spellEnd"/>
      <w:r w:rsidRPr="0080756D">
        <w:rPr>
          <w:sz w:val="20"/>
          <w:szCs w:val="20"/>
        </w:rPr>
        <w:t xml:space="preserve"> </w:t>
      </w:r>
      <w:r w:rsidRPr="0080756D">
        <w:rPr>
          <w:i/>
          <w:sz w:val="20"/>
          <w:szCs w:val="20"/>
        </w:rPr>
        <w:t>et al</w:t>
      </w:r>
      <w:r w:rsidRPr="0080756D">
        <w:rPr>
          <w:sz w:val="20"/>
          <w:szCs w:val="20"/>
        </w:rPr>
        <w:t>., 2009). The major</w:t>
      </w:r>
      <w:r w:rsidR="0074387D" w:rsidRPr="0080756D">
        <w:rPr>
          <w:sz w:val="20"/>
          <w:szCs w:val="20"/>
        </w:rPr>
        <w:t xml:space="preserve"> public health risk </w:t>
      </w:r>
      <w:r w:rsidRPr="0080756D">
        <w:rPr>
          <w:sz w:val="20"/>
          <w:szCs w:val="20"/>
        </w:rPr>
        <w:t xml:space="preserve">is </w:t>
      </w:r>
      <w:proofErr w:type="spellStart"/>
      <w:r w:rsidRPr="0080756D">
        <w:rPr>
          <w:sz w:val="20"/>
          <w:szCs w:val="20"/>
        </w:rPr>
        <w:t>faecal</w:t>
      </w:r>
      <w:proofErr w:type="spellEnd"/>
      <w:r w:rsidRPr="0080756D">
        <w:rPr>
          <w:sz w:val="20"/>
          <w:szCs w:val="20"/>
        </w:rPr>
        <w:t xml:space="preserve"> contamination of water supplies. Serious ill health can be caused by water contaminated from </w:t>
      </w:r>
      <w:proofErr w:type="spellStart"/>
      <w:r w:rsidRPr="0080756D">
        <w:rPr>
          <w:sz w:val="20"/>
          <w:szCs w:val="20"/>
        </w:rPr>
        <w:t>faeces</w:t>
      </w:r>
      <w:proofErr w:type="spellEnd"/>
      <w:r w:rsidRPr="0080756D">
        <w:rPr>
          <w:sz w:val="20"/>
          <w:szCs w:val="20"/>
        </w:rPr>
        <w:t xml:space="preserve"> being passed or washed into river, stream, pond or being allowed to seep into well or borehole (</w:t>
      </w:r>
      <w:proofErr w:type="spellStart"/>
      <w:r w:rsidRPr="0080756D">
        <w:rPr>
          <w:sz w:val="20"/>
          <w:szCs w:val="20"/>
        </w:rPr>
        <w:t>Cheesbrough</w:t>
      </w:r>
      <w:proofErr w:type="spellEnd"/>
      <w:r w:rsidRPr="0080756D">
        <w:rPr>
          <w:sz w:val="20"/>
          <w:szCs w:val="20"/>
        </w:rPr>
        <w:t xml:space="preserve">, 2006). </w:t>
      </w:r>
      <w:r w:rsidR="00A95489" w:rsidRPr="0080756D">
        <w:rPr>
          <w:sz w:val="20"/>
          <w:szCs w:val="20"/>
        </w:rPr>
        <w:t xml:space="preserve">Obi and </w:t>
      </w:r>
      <w:proofErr w:type="spellStart"/>
      <w:r w:rsidR="00A95489" w:rsidRPr="0080756D">
        <w:rPr>
          <w:sz w:val="20"/>
          <w:szCs w:val="20"/>
        </w:rPr>
        <w:t>Okacha</w:t>
      </w:r>
      <w:proofErr w:type="spellEnd"/>
      <w:r w:rsidR="00A95489" w:rsidRPr="0080756D">
        <w:rPr>
          <w:sz w:val="20"/>
          <w:szCs w:val="20"/>
        </w:rPr>
        <w:t xml:space="preserve"> (2007) reported that</w:t>
      </w:r>
      <w:r w:rsidRPr="0080756D">
        <w:rPr>
          <w:sz w:val="20"/>
          <w:szCs w:val="20"/>
        </w:rPr>
        <w:t xml:space="preserve"> borehole water contamination through many domestic waste water and livestock manure especially if there is a puncture</w:t>
      </w:r>
      <w:r w:rsidR="00305B86" w:rsidRPr="0080756D">
        <w:rPr>
          <w:sz w:val="20"/>
          <w:szCs w:val="20"/>
        </w:rPr>
        <w:t xml:space="preserve"> in a layer of soil </w:t>
      </w:r>
      <w:r w:rsidR="00A95489" w:rsidRPr="0080756D">
        <w:rPr>
          <w:sz w:val="20"/>
          <w:szCs w:val="20"/>
        </w:rPr>
        <w:t>can cause waterborne illnesses especially when consumed raw.</w:t>
      </w:r>
      <w:r w:rsidRPr="0080756D">
        <w:rPr>
          <w:sz w:val="20"/>
          <w:szCs w:val="20"/>
        </w:rPr>
        <w:t xml:space="preserve"> </w:t>
      </w:r>
      <w:r w:rsidR="00D43B34" w:rsidRPr="0080756D">
        <w:rPr>
          <w:sz w:val="20"/>
          <w:szCs w:val="20"/>
        </w:rPr>
        <w:t>Also, when</w:t>
      </w:r>
      <w:r w:rsidRPr="0080756D">
        <w:rPr>
          <w:sz w:val="20"/>
          <w:szCs w:val="20"/>
        </w:rPr>
        <w:t xml:space="preserve"> wastes and sewage </w:t>
      </w:r>
      <w:r w:rsidR="00D43B34" w:rsidRPr="0080756D">
        <w:rPr>
          <w:sz w:val="20"/>
          <w:szCs w:val="20"/>
        </w:rPr>
        <w:t xml:space="preserve">are deposited near </w:t>
      </w:r>
      <w:r w:rsidRPr="0080756D">
        <w:rPr>
          <w:sz w:val="20"/>
          <w:szCs w:val="20"/>
        </w:rPr>
        <w:t xml:space="preserve">boreholes </w:t>
      </w:r>
      <w:r w:rsidR="00D43B34" w:rsidRPr="0080756D">
        <w:rPr>
          <w:sz w:val="20"/>
          <w:szCs w:val="20"/>
        </w:rPr>
        <w:t xml:space="preserve">they </w:t>
      </w:r>
      <w:r w:rsidRPr="0080756D">
        <w:rPr>
          <w:sz w:val="20"/>
          <w:szCs w:val="20"/>
        </w:rPr>
        <w:t xml:space="preserve">may travel with percolating </w:t>
      </w:r>
      <w:r w:rsidR="00D43B34" w:rsidRPr="0080756D">
        <w:rPr>
          <w:sz w:val="20"/>
          <w:szCs w:val="20"/>
        </w:rPr>
        <w:t xml:space="preserve">water particularly </w:t>
      </w:r>
      <w:r w:rsidRPr="0080756D">
        <w:rPr>
          <w:sz w:val="20"/>
          <w:szCs w:val="20"/>
        </w:rPr>
        <w:t>rain water directly into the borehole or may travel along the well wall or surrounding materia</w:t>
      </w:r>
      <w:r w:rsidR="00D43B34" w:rsidRPr="0080756D">
        <w:rPr>
          <w:sz w:val="20"/>
          <w:szCs w:val="20"/>
        </w:rPr>
        <w:t xml:space="preserve">l of the drill-hole (Obi and </w:t>
      </w:r>
      <w:proofErr w:type="spellStart"/>
      <w:r w:rsidR="00D43B34" w:rsidRPr="0080756D">
        <w:rPr>
          <w:sz w:val="20"/>
          <w:szCs w:val="20"/>
        </w:rPr>
        <w:t>Oka</w:t>
      </w:r>
      <w:r w:rsidRPr="0080756D">
        <w:rPr>
          <w:sz w:val="20"/>
          <w:szCs w:val="20"/>
        </w:rPr>
        <w:t>cha</w:t>
      </w:r>
      <w:proofErr w:type="spellEnd"/>
      <w:r w:rsidRPr="0080756D">
        <w:rPr>
          <w:sz w:val="20"/>
          <w:szCs w:val="20"/>
        </w:rPr>
        <w:t xml:space="preserve">, 2007). </w:t>
      </w:r>
      <w:r w:rsidR="00DC3A86" w:rsidRPr="0080756D">
        <w:rPr>
          <w:sz w:val="20"/>
          <w:szCs w:val="20"/>
        </w:rPr>
        <w:t>S</w:t>
      </w:r>
      <w:r w:rsidRPr="0080756D">
        <w:rPr>
          <w:sz w:val="20"/>
          <w:szCs w:val="20"/>
        </w:rPr>
        <w:t xml:space="preserve">everal variants of the </w:t>
      </w:r>
      <w:proofErr w:type="spellStart"/>
      <w:r w:rsidRPr="0080756D">
        <w:rPr>
          <w:sz w:val="20"/>
          <w:szCs w:val="20"/>
        </w:rPr>
        <w:t>faecal</w:t>
      </w:r>
      <w:proofErr w:type="spellEnd"/>
      <w:r w:rsidRPr="0080756D">
        <w:rPr>
          <w:sz w:val="20"/>
          <w:szCs w:val="20"/>
        </w:rPr>
        <w:t>-oral pathway of waterborne disease transmission</w:t>
      </w:r>
      <w:r w:rsidR="00DC3A86" w:rsidRPr="0080756D">
        <w:rPr>
          <w:sz w:val="20"/>
          <w:szCs w:val="20"/>
        </w:rPr>
        <w:t xml:space="preserve"> exist</w:t>
      </w:r>
      <w:r w:rsidRPr="0080756D">
        <w:rPr>
          <w:sz w:val="20"/>
          <w:szCs w:val="20"/>
        </w:rPr>
        <w:t>. These include</w:t>
      </w:r>
      <w:r w:rsidR="00DC3A86" w:rsidRPr="0080756D">
        <w:rPr>
          <w:sz w:val="20"/>
          <w:szCs w:val="20"/>
        </w:rPr>
        <w:t>, but not limited to</w:t>
      </w:r>
      <w:r w:rsidRPr="0080756D">
        <w:rPr>
          <w:sz w:val="20"/>
          <w:szCs w:val="20"/>
        </w:rPr>
        <w:t xml:space="preserve"> contamination of drinking water catchments (example, human or animal </w:t>
      </w:r>
      <w:proofErr w:type="spellStart"/>
      <w:r w:rsidRPr="0080756D">
        <w:rPr>
          <w:sz w:val="20"/>
          <w:szCs w:val="20"/>
        </w:rPr>
        <w:t>faeces</w:t>
      </w:r>
      <w:proofErr w:type="spellEnd"/>
      <w:r w:rsidRPr="0080756D">
        <w:rPr>
          <w:sz w:val="20"/>
          <w:szCs w:val="20"/>
        </w:rPr>
        <w:t xml:space="preserve">). Water within the distribution system (such as leaky pipe or obsolete </w:t>
      </w:r>
      <w:r w:rsidRPr="0080756D">
        <w:rPr>
          <w:sz w:val="20"/>
          <w:szCs w:val="20"/>
        </w:rPr>
        <w:lastRenderedPageBreak/>
        <w:t>infrastructure) or of stored household water as a result of unhygienic handling (WHO, 2010). Increase in human population pose a great pressure on provision of safe drinking water especially in developing countries (</w:t>
      </w:r>
      <w:proofErr w:type="spellStart"/>
      <w:r w:rsidRPr="0080756D">
        <w:rPr>
          <w:sz w:val="20"/>
          <w:szCs w:val="20"/>
        </w:rPr>
        <w:t>Okonko</w:t>
      </w:r>
      <w:proofErr w:type="spellEnd"/>
      <w:r w:rsidRPr="0080756D">
        <w:rPr>
          <w:sz w:val="20"/>
          <w:szCs w:val="20"/>
        </w:rPr>
        <w:t xml:space="preserve"> </w:t>
      </w:r>
      <w:r w:rsidRPr="0080756D">
        <w:rPr>
          <w:i/>
          <w:sz w:val="20"/>
          <w:szCs w:val="20"/>
        </w:rPr>
        <w:t>et al</w:t>
      </w:r>
      <w:r w:rsidRPr="0080756D">
        <w:rPr>
          <w:sz w:val="20"/>
          <w:szCs w:val="20"/>
        </w:rPr>
        <w:t>., 2009). Consequently, water borne diseases such as cholera and typhoid often have their outbreak especially during dry season (</w:t>
      </w:r>
      <w:proofErr w:type="spellStart"/>
      <w:r w:rsidRPr="0080756D">
        <w:rPr>
          <w:sz w:val="20"/>
          <w:szCs w:val="20"/>
        </w:rPr>
        <w:t>Adekunle</w:t>
      </w:r>
      <w:proofErr w:type="spellEnd"/>
      <w:r w:rsidRPr="0080756D">
        <w:rPr>
          <w:sz w:val="20"/>
          <w:szCs w:val="20"/>
        </w:rPr>
        <w:t xml:space="preserve"> </w:t>
      </w:r>
      <w:r w:rsidRPr="0080756D">
        <w:rPr>
          <w:i/>
          <w:sz w:val="20"/>
          <w:szCs w:val="20"/>
        </w:rPr>
        <w:t>et al</w:t>
      </w:r>
      <w:r w:rsidRPr="0080756D">
        <w:rPr>
          <w:sz w:val="20"/>
          <w:szCs w:val="20"/>
        </w:rPr>
        <w:t xml:space="preserve">., 2004; </w:t>
      </w:r>
      <w:proofErr w:type="spellStart"/>
      <w:r w:rsidRPr="0080756D">
        <w:rPr>
          <w:sz w:val="20"/>
          <w:szCs w:val="20"/>
        </w:rPr>
        <w:t>Banu</w:t>
      </w:r>
      <w:proofErr w:type="spellEnd"/>
      <w:r w:rsidRPr="0080756D">
        <w:rPr>
          <w:sz w:val="20"/>
          <w:szCs w:val="20"/>
        </w:rPr>
        <w:t xml:space="preserve"> and </w:t>
      </w:r>
      <w:proofErr w:type="spellStart"/>
      <w:r w:rsidRPr="0080756D">
        <w:rPr>
          <w:sz w:val="20"/>
          <w:szCs w:val="20"/>
        </w:rPr>
        <w:t>Menakuru</w:t>
      </w:r>
      <w:proofErr w:type="spellEnd"/>
      <w:r w:rsidRPr="0080756D">
        <w:rPr>
          <w:sz w:val="20"/>
          <w:szCs w:val="20"/>
        </w:rPr>
        <w:t>, 2010). High prevalence of diarrhea among children and infants can be due to the use of unsafe water and unhygienic practices (</w:t>
      </w:r>
      <w:proofErr w:type="spellStart"/>
      <w:r w:rsidRPr="0080756D">
        <w:rPr>
          <w:sz w:val="20"/>
          <w:szCs w:val="20"/>
        </w:rPr>
        <w:t>Tortora</w:t>
      </w:r>
      <w:proofErr w:type="spellEnd"/>
      <w:r w:rsidRPr="0080756D">
        <w:rPr>
          <w:sz w:val="20"/>
          <w:szCs w:val="20"/>
        </w:rPr>
        <w:t xml:space="preserve"> </w:t>
      </w:r>
      <w:r w:rsidRPr="0080756D">
        <w:rPr>
          <w:i/>
          <w:sz w:val="20"/>
          <w:szCs w:val="20"/>
        </w:rPr>
        <w:t>et al</w:t>
      </w:r>
      <w:r w:rsidRPr="0080756D">
        <w:rPr>
          <w:sz w:val="20"/>
          <w:szCs w:val="20"/>
        </w:rPr>
        <w:t xml:space="preserve">., 2002; </w:t>
      </w:r>
      <w:proofErr w:type="spellStart"/>
      <w:r w:rsidRPr="0080756D">
        <w:rPr>
          <w:sz w:val="20"/>
          <w:szCs w:val="20"/>
        </w:rPr>
        <w:t>Oladipo</w:t>
      </w:r>
      <w:proofErr w:type="spellEnd"/>
      <w:r w:rsidRPr="0080756D">
        <w:rPr>
          <w:sz w:val="20"/>
          <w:szCs w:val="20"/>
        </w:rPr>
        <w:t xml:space="preserve"> </w:t>
      </w:r>
      <w:r w:rsidRPr="0080756D">
        <w:rPr>
          <w:i/>
          <w:sz w:val="20"/>
          <w:szCs w:val="20"/>
        </w:rPr>
        <w:t>et al</w:t>
      </w:r>
      <w:r w:rsidRPr="0080756D">
        <w:rPr>
          <w:sz w:val="20"/>
          <w:szCs w:val="20"/>
        </w:rPr>
        <w:t>., 2009).</w:t>
      </w:r>
    </w:p>
    <w:p w:rsidR="00FD1F77" w:rsidRPr="0080756D" w:rsidRDefault="00056A16" w:rsidP="0080756D">
      <w:pPr>
        <w:suppressAutoHyphens w:val="0"/>
        <w:snapToGrid w:val="0"/>
        <w:ind w:firstLine="425"/>
        <w:jc w:val="both"/>
        <w:rPr>
          <w:sz w:val="20"/>
          <w:szCs w:val="20"/>
        </w:rPr>
      </w:pPr>
      <w:r w:rsidRPr="0080756D">
        <w:rPr>
          <w:sz w:val="20"/>
          <w:szCs w:val="20"/>
        </w:rPr>
        <w:t>The presence of</w:t>
      </w:r>
      <w:r w:rsidR="00612BBC" w:rsidRPr="0080756D">
        <w:rPr>
          <w:sz w:val="20"/>
          <w:szCs w:val="20"/>
        </w:rPr>
        <w:t xml:space="preserve"> toxic inorganic chemicals </w:t>
      </w:r>
      <w:r w:rsidRPr="0080756D">
        <w:rPr>
          <w:sz w:val="20"/>
          <w:szCs w:val="20"/>
        </w:rPr>
        <w:t>in water</w:t>
      </w:r>
      <w:r w:rsidR="00612BBC" w:rsidRPr="0080756D">
        <w:rPr>
          <w:sz w:val="20"/>
          <w:szCs w:val="20"/>
        </w:rPr>
        <w:t xml:space="preserve"> may cause either acute or chronic health effect </w:t>
      </w:r>
      <w:r w:rsidRPr="0080756D">
        <w:rPr>
          <w:sz w:val="20"/>
          <w:szCs w:val="20"/>
        </w:rPr>
        <w:t>such as</w:t>
      </w:r>
      <w:r w:rsidR="00612BBC" w:rsidRPr="0080756D">
        <w:rPr>
          <w:sz w:val="20"/>
          <w:szCs w:val="20"/>
        </w:rPr>
        <w:t xml:space="preserve"> nausea, long irritation, skin rash, vomiting</w:t>
      </w:r>
      <w:r w:rsidRPr="0080756D">
        <w:rPr>
          <w:sz w:val="20"/>
          <w:szCs w:val="20"/>
        </w:rPr>
        <w:t>,</w:t>
      </w:r>
      <w:r w:rsidR="00612BBC" w:rsidRPr="0080756D">
        <w:rPr>
          <w:sz w:val="20"/>
          <w:szCs w:val="20"/>
        </w:rPr>
        <w:t xml:space="preserve"> dizziness</w:t>
      </w:r>
      <w:r w:rsidRPr="0080756D">
        <w:rPr>
          <w:sz w:val="20"/>
          <w:szCs w:val="20"/>
        </w:rPr>
        <w:t xml:space="preserve"> and</w:t>
      </w:r>
      <w:r w:rsidR="00612BBC" w:rsidRPr="0080756D">
        <w:rPr>
          <w:sz w:val="20"/>
          <w:szCs w:val="20"/>
        </w:rPr>
        <w:t xml:space="preserve"> sometimes death. Chronic effect like cancer, birth defect, organs damage, disorder of the nervous system and damage to the immune system are usually more common (</w:t>
      </w:r>
      <w:proofErr w:type="spellStart"/>
      <w:r w:rsidR="00612BBC" w:rsidRPr="0080756D">
        <w:rPr>
          <w:sz w:val="20"/>
          <w:szCs w:val="20"/>
        </w:rPr>
        <w:t>Erah</w:t>
      </w:r>
      <w:proofErr w:type="spellEnd"/>
      <w:r w:rsidR="00612BBC" w:rsidRPr="0080756D">
        <w:rPr>
          <w:sz w:val="20"/>
          <w:szCs w:val="20"/>
        </w:rPr>
        <w:t xml:space="preserve"> </w:t>
      </w:r>
      <w:r w:rsidR="00612BBC" w:rsidRPr="0080756D">
        <w:rPr>
          <w:i/>
          <w:sz w:val="20"/>
          <w:szCs w:val="20"/>
        </w:rPr>
        <w:t>et al</w:t>
      </w:r>
      <w:r w:rsidR="00612BBC" w:rsidRPr="0080756D">
        <w:rPr>
          <w:sz w:val="20"/>
          <w:szCs w:val="20"/>
        </w:rPr>
        <w:t>., 2002). Inorganic chemicals like lead may produce adverse effect which include interference with red blood cell chemistry, delay in normal physical and mental development in babies and young children, slit deficit in attention span, hearing and learning abilities of children and slight increase in blood pressure in some adults.</w:t>
      </w:r>
    </w:p>
    <w:p w:rsidR="00612BBC" w:rsidRPr="0080756D" w:rsidRDefault="00612BBC" w:rsidP="0080756D">
      <w:pPr>
        <w:suppressAutoHyphens w:val="0"/>
        <w:snapToGrid w:val="0"/>
        <w:ind w:firstLine="425"/>
        <w:jc w:val="both"/>
        <w:rPr>
          <w:sz w:val="20"/>
          <w:szCs w:val="20"/>
        </w:rPr>
      </w:pPr>
      <w:r w:rsidRPr="0080756D">
        <w:rPr>
          <w:sz w:val="20"/>
          <w:szCs w:val="20"/>
        </w:rPr>
        <w:t>Although the sources of metal contaminant of the underground water are uncertain, it may likely be due to natural process and anthropogenic activities (</w:t>
      </w:r>
      <w:proofErr w:type="spellStart"/>
      <w:r w:rsidRPr="0080756D">
        <w:rPr>
          <w:sz w:val="20"/>
          <w:szCs w:val="20"/>
        </w:rPr>
        <w:t>Erah</w:t>
      </w:r>
      <w:proofErr w:type="spellEnd"/>
      <w:r w:rsidRPr="0080756D">
        <w:rPr>
          <w:sz w:val="20"/>
          <w:szCs w:val="20"/>
        </w:rPr>
        <w:t xml:space="preserve"> </w:t>
      </w:r>
      <w:r w:rsidRPr="0080756D">
        <w:rPr>
          <w:i/>
          <w:sz w:val="20"/>
          <w:szCs w:val="20"/>
        </w:rPr>
        <w:t>et al</w:t>
      </w:r>
      <w:r w:rsidRPr="0080756D">
        <w:rPr>
          <w:sz w:val="20"/>
          <w:szCs w:val="20"/>
        </w:rPr>
        <w:t>., 2002). In addition, rural water also have excessive amount of nitrite from microbial action on agricultural fertilizer, when ingested nitrite compete for oxygen in the blood (</w:t>
      </w:r>
      <w:proofErr w:type="spellStart"/>
      <w:r w:rsidRPr="0080756D">
        <w:rPr>
          <w:sz w:val="20"/>
          <w:szCs w:val="20"/>
        </w:rPr>
        <w:t>Oladipo</w:t>
      </w:r>
      <w:proofErr w:type="spellEnd"/>
      <w:r w:rsidRPr="0080756D">
        <w:rPr>
          <w:sz w:val="20"/>
          <w:szCs w:val="20"/>
        </w:rPr>
        <w:t xml:space="preserve"> </w:t>
      </w:r>
      <w:r w:rsidRPr="0080756D">
        <w:rPr>
          <w:i/>
          <w:sz w:val="20"/>
          <w:szCs w:val="20"/>
        </w:rPr>
        <w:t>et al</w:t>
      </w:r>
      <w:r w:rsidRPr="0080756D">
        <w:rPr>
          <w:sz w:val="20"/>
          <w:szCs w:val="20"/>
        </w:rPr>
        <w:t>., 2009).</w:t>
      </w:r>
    </w:p>
    <w:p w:rsidR="00612BBC" w:rsidRPr="0080756D" w:rsidRDefault="00612BBC" w:rsidP="0080756D">
      <w:pPr>
        <w:suppressAutoHyphens w:val="0"/>
        <w:snapToGrid w:val="0"/>
        <w:ind w:firstLine="425"/>
        <w:jc w:val="both"/>
        <w:rPr>
          <w:sz w:val="20"/>
          <w:szCs w:val="20"/>
        </w:rPr>
      </w:pPr>
      <w:r w:rsidRPr="0080756D">
        <w:rPr>
          <w:sz w:val="20"/>
          <w:szCs w:val="20"/>
        </w:rPr>
        <w:t xml:space="preserve">The aim of the present study was to assess the relationship between bacteriological quality and physicochemical parameters of the drinking water sources in </w:t>
      </w: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villages of </w:t>
      </w:r>
      <w:proofErr w:type="spellStart"/>
      <w:r w:rsidRPr="0080756D">
        <w:rPr>
          <w:sz w:val="20"/>
          <w:szCs w:val="20"/>
        </w:rPr>
        <w:t>Langtang</w:t>
      </w:r>
      <w:proofErr w:type="spellEnd"/>
      <w:r w:rsidRPr="0080756D">
        <w:rPr>
          <w:sz w:val="20"/>
          <w:szCs w:val="20"/>
        </w:rPr>
        <w:t xml:space="preserve"> South Local Government Area of Plateau State, Nigeria to ascertain their fitness for human consumption.</w:t>
      </w:r>
    </w:p>
    <w:p w:rsidR="00612BBC" w:rsidRPr="0080756D" w:rsidRDefault="00612BBC" w:rsidP="0080756D">
      <w:pPr>
        <w:suppressAutoHyphens w:val="0"/>
        <w:snapToGrid w:val="0"/>
        <w:ind w:firstLine="425"/>
        <w:jc w:val="both"/>
        <w:rPr>
          <w:sz w:val="20"/>
          <w:szCs w:val="20"/>
        </w:rPr>
      </w:pPr>
    </w:p>
    <w:p w:rsidR="00471E57" w:rsidRPr="0080756D" w:rsidRDefault="00471E57" w:rsidP="0080756D">
      <w:pPr>
        <w:suppressAutoHyphens w:val="0"/>
        <w:snapToGrid w:val="0"/>
        <w:jc w:val="both"/>
        <w:rPr>
          <w:b/>
          <w:sz w:val="20"/>
          <w:szCs w:val="20"/>
        </w:rPr>
      </w:pPr>
      <w:r w:rsidRPr="0080756D">
        <w:rPr>
          <w:b/>
          <w:sz w:val="20"/>
          <w:szCs w:val="20"/>
        </w:rPr>
        <w:t>2. Material and Methods</w:t>
      </w:r>
    </w:p>
    <w:p w:rsidR="004A1C62" w:rsidRPr="0080756D" w:rsidRDefault="004A1C62" w:rsidP="0080756D">
      <w:pPr>
        <w:suppressAutoHyphens w:val="0"/>
        <w:snapToGrid w:val="0"/>
        <w:jc w:val="both"/>
        <w:rPr>
          <w:b/>
          <w:sz w:val="20"/>
          <w:szCs w:val="20"/>
        </w:rPr>
      </w:pPr>
      <w:r w:rsidRPr="0080756D">
        <w:rPr>
          <w:b/>
          <w:sz w:val="20"/>
          <w:szCs w:val="20"/>
        </w:rPr>
        <w:t>Study Area</w:t>
      </w:r>
    </w:p>
    <w:p w:rsidR="004A1C62" w:rsidRPr="0080756D" w:rsidRDefault="004A1C62" w:rsidP="0080756D">
      <w:pPr>
        <w:suppressAutoHyphens w:val="0"/>
        <w:snapToGrid w:val="0"/>
        <w:ind w:firstLine="425"/>
        <w:jc w:val="both"/>
        <w:rPr>
          <w:sz w:val="20"/>
          <w:szCs w:val="20"/>
        </w:rPr>
      </w:pP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villages are located in </w:t>
      </w:r>
      <w:proofErr w:type="spellStart"/>
      <w:r w:rsidRPr="0080756D">
        <w:rPr>
          <w:sz w:val="20"/>
          <w:szCs w:val="20"/>
        </w:rPr>
        <w:t>Sabon-gidan</w:t>
      </w:r>
      <w:proofErr w:type="spellEnd"/>
      <w:r w:rsidRPr="0080756D">
        <w:rPr>
          <w:sz w:val="20"/>
          <w:szCs w:val="20"/>
        </w:rPr>
        <w:t xml:space="preserve"> District, in the southern part of </w:t>
      </w:r>
      <w:proofErr w:type="spellStart"/>
      <w:r w:rsidRPr="0080756D">
        <w:rPr>
          <w:sz w:val="20"/>
          <w:szCs w:val="20"/>
        </w:rPr>
        <w:t>Langtang</w:t>
      </w:r>
      <w:proofErr w:type="spellEnd"/>
      <w:r w:rsidRPr="0080756D">
        <w:rPr>
          <w:sz w:val="20"/>
          <w:szCs w:val="20"/>
        </w:rPr>
        <w:t xml:space="preserve"> South Local Government Area in the southern part of Plateau State, North Central, Nigeria. These are rural communities whose sources of domestic water supplies are wells, streams, ponds and few boreholes.</w:t>
      </w:r>
    </w:p>
    <w:p w:rsidR="004A1C62" w:rsidRPr="0080756D" w:rsidRDefault="004A1C62" w:rsidP="0080756D">
      <w:pPr>
        <w:suppressAutoHyphens w:val="0"/>
        <w:snapToGrid w:val="0"/>
        <w:jc w:val="both"/>
        <w:rPr>
          <w:b/>
          <w:sz w:val="20"/>
          <w:szCs w:val="20"/>
        </w:rPr>
      </w:pPr>
      <w:r w:rsidRPr="0080756D">
        <w:rPr>
          <w:b/>
          <w:sz w:val="20"/>
          <w:szCs w:val="20"/>
        </w:rPr>
        <w:t>Sample Collection</w:t>
      </w:r>
    </w:p>
    <w:p w:rsidR="004A1C62" w:rsidRPr="0080756D" w:rsidRDefault="004A1C62" w:rsidP="0080756D">
      <w:pPr>
        <w:suppressAutoHyphens w:val="0"/>
        <w:snapToGrid w:val="0"/>
        <w:ind w:firstLine="425"/>
        <w:jc w:val="both"/>
        <w:rPr>
          <w:sz w:val="20"/>
          <w:szCs w:val="20"/>
        </w:rPr>
      </w:pPr>
      <w:r w:rsidRPr="0080756D">
        <w:rPr>
          <w:sz w:val="20"/>
          <w:szCs w:val="20"/>
        </w:rPr>
        <w:t xml:space="preserve">Samples of water from various sources were taken aseptically using sterile bottles. The samples collected were taken to the testing laboratory in an ice cooler for analysis within 3 hours. A total of 60 samples were collected in three batches between October and November with each batch having a total sample of 20, comprising 14 wells, 2 streams, 2 ponds and 2 bore holes throughout </w:t>
      </w: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w:t>
      </w:r>
      <w:r w:rsidRPr="0080756D">
        <w:rPr>
          <w:sz w:val="20"/>
          <w:szCs w:val="20"/>
        </w:rPr>
        <w:lastRenderedPageBreak/>
        <w:t>villages. The sterile bottles were held by the base in one hand and the other hand was then used to uncover the screw caps. The cover was held with one hand while the bottle was filled with the sample at each sample site and the samples were covered with the screw cap after each collection.</w:t>
      </w:r>
    </w:p>
    <w:p w:rsidR="004A1C62" w:rsidRPr="0080756D" w:rsidRDefault="004A1C62" w:rsidP="0080756D">
      <w:pPr>
        <w:suppressAutoHyphens w:val="0"/>
        <w:snapToGrid w:val="0"/>
        <w:jc w:val="both"/>
        <w:rPr>
          <w:b/>
          <w:sz w:val="20"/>
          <w:szCs w:val="20"/>
        </w:rPr>
      </w:pPr>
      <w:r w:rsidRPr="0080756D">
        <w:rPr>
          <w:b/>
          <w:sz w:val="20"/>
          <w:szCs w:val="20"/>
        </w:rPr>
        <w:t>Collection of Sample from an Open Well</w:t>
      </w:r>
    </w:p>
    <w:p w:rsidR="004A1C62" w:rsidRPr="0080756D" w:rsidRDefault="00DD2966" w:rsidP="0080756D">
      <w:pPr>
        <w:suppressAutoHyphens w:val="0"/>
        <w:snapToGrid w:val="0"/>
        <w:ind w:firstLine="425"/>
        <w:jc w:val="both"/>
        <w:rPr>
          <w:sz w:val="20"/>
          <w:szCs w:val="20"/>
        </w:rPr>
      </w:pPr>
      <w:r w:rsidRPr="0080756D">
        <w:rPr>
          <w:sz w:val="20"/>
          <w:szCs w:val="20"/>
        </w:rPr>
        <w:t>The sample bottle was tied</w:t>
      </w:r>
      <w:r w:rsidR="004A1C62" w:rsidRPr="0080756D">
        <w:rPr>
          <w:sz w:val="20"/>
          <w:szCs w:val="20"/>
        </w:rPr>
        <w:t xml:space="preserve"> firmly </w:t>
      </w:r>
      <w:r w:rsidRPr="0080756D">
        <w:rPr>
          <w:sz w:val="20"/>
          <w:szCs w:val="20"/>
        </w:rPr>
        <w:t xml:space="preserve">with </w:t>
      </w:r>
      <w:r w:rsidR="004A1C62" w:rsidRPr="0080756D">
        <w:rPr>
          <w:sz w:val="20"/>
          <w:szCs w:val="20"/>
        </w:rPr>
        <w:t xml:space="preserve">a rope. The cap was aseptically removed and the bottle was lowered into the well to a depth of about a meter. When no bubble rises to the surface, the bottle was then carefully raised out of the well and the cap was replaced and appropriately </w:t>
      </w:r>
      <w:proofErr w:type="spellStart"/>
      <w:r w:rsidR="004A1C62" w:rsidRPr="0080756D">
        <w:rPr>
          <w:sz w:val="20"/>
          <w:szCs w:val="20"/>
        </w:rPr>
        <w:t>labelled</w:t>
      </w:r>
      <w:proofErr w:type="spellEnd"/>
      <w:r w:rsidR="004A1C62" w:rsidRPr="0080756D">
        <w:rPr>
          <w:sz w:val="20"/>
          <w:szCs w:val="20"/>
        </w:rPr>
        <w:t xml:space="preserve"> with a permanent marker.</w:t>
      </w:r>
    </w:p>
    <w:p w:rsidR="004A1C62" w:rsidRPr="0080756D" w:rsidRDefault="004A1C62" w:rsidP="0080756D">
      <w:pPr>
        <w:suppressAutoHyphens w:val="0"/>
        <w:snapToGrid w:val="0"/>
        <w:jc w:val="both"/>
        <w:rPr>
          <w:b/>
          <w:sz w:val="20"/>
          <w:szCs w:val="20"/>
        </w:rPr>
      </w:pPr>
      <w:r w:rsidRPr="0080756D">
        <w:rPr>
          <w:b/>
          <w:sz w:val="20"/>
          <w:szCs w:val="20"/>
        </w:rPr>
        <w:t>Collection of Sample from Streams</w:t>
      </w:r>
    </w:p>
    <w:p w:rsidR="004A1C62" w:rsidRPr="0080756D" w:rsidRDefault="004A1C62" w:rsidP="0080756D">
      <w:pPr>
        <w:suppressAutoHyphens w:val="0"/>
        <w:snapToGrid w:val="0"/>
        <w:ind w:firstLine="425"/>
        <w:jc w:val="both"/>
        <w:rPr>
          <w:sz w:val="20"/>
          <w:szCs w:val="20"/>
        </w:rPr>
      </w:pPr>
      <w:r w:rsidRPr="0080756D">
        <w:rPr>
          <w:sz w:val="20"/>
          <w:szCs w:val="20"/>
        </w:rPr>
        <w:t xml:space="preserve">The cap of the sterile bottle was aseptically removed. The mouth of the bottle was made to face the direction of flow of the water. The neck of the bottle was plunged downward about 30cm below the water surface and was tightly tilted upwards until the bottle was filled with water and the cap was carefully replaced. The sample was appropriately </w:t>
      </w:r>
      <w:proofErr w:type="spellStart"/>
      <w:r w:rsidRPr="0080756D">
        <w:rPr>
          <w:sz w:val="20"/>
          <w:szCs w:val="20"/>
        </w:rPr>
        <w:t>labelled</w:t>
      </w:r>
      <w:proofErr w:type="spellEnd"/>
      <w:r w:rsidRPr="0080756D">
        <w:rPr>
          <w:sz w:val="20"/>
          <w:szCs w:val="20"/>
        </w:rPr>
        <w:t xml:space="preserve"> with a masking tape using a permanent marker.</w:t>
      </w:r>
    </w:p>
    <w:p w:rsidR="004A1C62" w:rsidRPr="0080756D" w:rsidRDefault="004A1C62" w:rsidP="0080756D">
      <w:pPr>
        <w:suppressAutoHyphens w:val="0"/>
        <w:snapToGrid w:val="0"/>
        <w:jc w:val="both"/>
        <w:rPr>
          <w:sz w:val="20"/>
          <w:szCs w:val="20"/>
        </w:rPr>
      </w:pPr>
      <w:r w:rsidRPr="0080756D">
        <w:rPr>
          <w:b/>
          <w:sz w:val="20"/>
          <w:szCs w:val="20"/>
        </w:rPr>
        <w:t>Collection of Sample from Ponds</w:t>
      </w:r>
    </w:p>
    <w:p w:rsidR="004A1C62" w:rsidRPr="0080756D" w:rsidRDefault="004A1C62" w:rsidP="0080756D">
      <w:pPr>
        <w:suppressAutoHyphens w:val="0"/>
        <w:snapToGrid w:val="0"/>
        <w:ind w:firstLine="425"/>
        <w:jc w:val="both"/>
        <w:rPr>
          <w:sz w:val="20"/>
          <w:szCs w:val="20"/>
        </w:rPr>
      </w:pPr>
      <w:r w:rsidRPr="0080756D">
        <w:rPr>
          <w:sz w:val="20"/>
          <w:szCs w:val="20"/>
        </w:rPr>
        <w:t xml:space="preserve">The cap of the sterile bottle was aseptically removed. The neck of the bottle was plunged downward about 30cm below the water surface and was tightly tilted upwards until the bottle was filled with water and the cap was carefully replaced. The sample was appropriately </w:t>
      </w:r>
      <w:proofErr w:type="spellStart"/>
      <w:r w:rsidRPr="0080756D">
        <w:rPr>
          <w:sz w:val="20"/>
          <w:szCs w:val="20"/>
        </w:rPr>
        <w:t>labelled</w:t>
      </w:r>
      <w:proofErr w:type="spellEnd"/>
      <w:r w:rsidRPr="0080756D">
        <w:rPr>
          <w:sz w:val="20"/>
          <w:szCs w:val="20"/>
        </w:rPr>
        <w:t xml:space="preserve"> with a masking tape using a permanent marker.</w:t>
      </w:r>
    </w:p>
    <w:p w:rsidR="004A1C62" w:rsidRPr="0080756D" w:rsidRDefault="004A1C62" w:rsidP="0080756D">
      <w:pPr>
        <w:suppressAutoHyphens w:val="0"/>
        <w:snapToGrid w:val="0"/>
        <w:jc w:val="both"/>
        <w:rPr>
          <w:b/>
          <w:sz w:val="20"/>
          <w:szCs w:val="20"/>
        </w:rPr>
      </w:pPr>
      <w:r w:rsidRPr="0080756D">
        <w:rPr>
          <w:b/>
          <w:sz w:val="20"/>
          <w:szCs w:val="20"/>
        </w:rPr>
        <w:t>Collection of Samples from Boreholes</w:t>
      </w:r>
    </w:p>
    <w:p w:rsidR="004A1C62" w:rsidRPr="0080756D" w:rsidRDefault="004A1C62" w:rsidP="0080756D">
      <w:pPr>
        <w:suppressAutoHyphens w:val="0"/>
        <w:snapToGrid w:val="0"/>
        <w:ind w:firstLine="425"/>
        <w:jc w:val="both"/>
        <w:rPr>
          <w:sz w:val="20"/>
          <w:szCs w:val="20"/>
        </w:rPr>
      </w:pPr>
      <w:r w:rsidRPr="0080756D">
        <w:rPr>
          <w:sz w:val="20"/>
          <w:szCs w:val="20"/>
        </w:rPr>
        <w:t>Cotton wool soaked in 70% (v/v) ethanol was used to sterilize the nozzle of the boreholes from which samples were collected. The taps were allowed to run for two minutes before sterile 250ml screw capped glass bottles were carefully uncapped and filled with the water and recapped. Water samples were transported to the laboratory in a cooler with ice for bacteriological analysis with three hours of collection.</w:t>
      </w:r>
    </w:p>
    <w:p w:rsidR="004A1C62" w:rsidRPr="0080756D" w:rsidRDefault="004A1C62" w:rsidP="0080756D">
      <w:pPr>
        <w:suppressAutoHyphens w:val="0"/>
        <w:snapToGrid w:val="0"/>
        <w:jc w:val="both"/>
        <w:rPr>
          <w:b/>
          <w:sz w:val="20"/>
          <w:szCs w:val="20"/>
        </w:rPr>
      </w:pPr>
      <w:r w:rsidRPr="0080756D">
        <w:rPr>
          <w:b/>
          <w:sz w:val="20"/>
          <w:szCs w:val="20"/>
        </w:rPr>
        <w:t>Analysis of Sample</w:t>
      </w:r>
    </w:p>
    <w:p w:rsidR="004A1C62" w:rsidRPr="0080756D" w:rsidRDefault="004A1C62" w:rsidP="0080756D">
      <w:pPr>
        <w:suppressAutoHyphens w:val="0"/>
        <w:snapToGrid w:val="0"/>
        <w:ind w:firstLine="425"/>
        <w:jc w:val="both"/>
        <w:rPr>
          <w:sz w:val="20"/>
          <w:szCs w:val="20"/>
        </w:rPr>
      </w:pPr>
      <w:r w:rsidRPr="0080756D">
        <w:rPr>
          <w:sz w:val="20"/>
          <w:szCs w:val="20"/>
        </w:rPr>
        <w:t xml:space="preserve">Samples collected were analyzed using membrane filtration method at microbiology laboratory. Ten (10) </w:t>
      </w:r>
      <w:proofErr w:type="spellStart"/>
      <w:r w:rsidRPr="0080756D">
        <w:rPr>
          <w:sz w:val="20"/>
          <w:szCs w:val="20"/>
        </w:rPr>
        <w:t>millitres</w:t>
      </w:r>
      <w:proofErr w:type="spellEnd"/>
      <w:r w:rsidRPr="0080756D">
        <w:rPr>
          <w:sz w:val="20"/>
          <w:szCs w:val="20"/>
        </w:rPr>
        <w:t xml:space="preserve"> of the sample was transferred into a sterile conical flask with a fixed volume of 90ml of sterile </w:t>
      </w:r>
      <w:proofErr w:type="spellStart"/>
      <w:r w:rsidRPr="0080756D">
        <w:rPr>
          <w:sz w:val="20"/>
          <w:szCs w:val="20"/>
        </w:rPr>
        <w:t>diluent</w:t>
      </w:r>
      <w:proofErr w:type="spellEnd"/>
      <w:r w:rsidRPr="0080756D">
        <w:rPr>
          <w:sz w:val="20"/>
          <w:szCs w:val="20"/>
        </w:rPr>
        <w:t xml:space="preserve"> to form the stock solution.</w:t>
      </w:r>
      <w:r w:rsidR="00DB3049">
        <w:rPr>
          <w:sz w:val="20"/>
          <w:szCs w:val="20"/>
        </w:rPr>
        <w:t xml:space="preserve"> </w:t>
      </w:r>
      <w:r w:rsidRPr="0080756D">
        <w:rPr>
          <w:sz w:val="20"/>
          <w:szCs w:val="20"/>
        </w:rPr>
        <w:t>1millilitre of the stock solution was then transferred to a sterile conical flask containing 9ml of sterile diluents to give a 10</w:t>
      </w:r>
      <w:r w:rsidRPr="0080756D">
        <w:rPr>
          <w:sz w:val="20"/>
          <w:szCs w:val="20"/>
          <w:vertAlign w:val="superscript"/>
        </w:rPr>
        <w:t>-1</w:t>
      </w:r>
      <w:r w:rsidRPr="0080756D">
        <w:rPr>
          <w:sz w:val="20"/>
          <w:szCs w:val="20"/>
        </w:rPr>
        <w:t xml:space="preserve"> dilution. The procedure was repeated up to the fourth serial dilution. One (1) </w:t>
      </w:r>
      <w:proofErr w:type="spellStart"/>
      <w:r w:rsidRPr="0080756D">
        <w:rPr>
          <w:sz w:val="20"/>
          <w:szCs w:val="20"/>
        </w:rPr>
        <w:t>millilitre</w:t>
      </w:r>
      <w:proofErr w:type="spellEnd"/>
      <w:r w:rsidRPr="0080756D">
        <w:rPr>
          <w:sz w:val="20"/>
          <w:szCs w:val="20"/>
        </w:rPr>
        <w:t xml:space="preserve"> of each sample was </w:t>
      </w:r>
      <w:proofErr w:type="spellStart"/>
      <w:r w:rsidRPr="0080756D">
        <w:rPr>
          <w:sz w:val="20"/>
          <w:szCs w:val="20"/>
        </w:rPr>
        <w:t>pipetted</w:t>
      </w:r>
      <w:proofErr w:type="spellEnd"/>
      <w:r w:rsidRPr="0080756D">
        <w:rPr>
          <w:sz w:val="20"/>
          <w:szCs w:val="20"/>
        </w:rPr>
        <w:t xml:space="preserve"> from the second (10</w:t>
      </w:r>
      <w:r w:rsidRPr="0080756D">
        <w:rPr>
          <w:sz w:val="20"/>
          <w:szCs w:val="20"/>
          <w:vertAlign w:val="superscript"/>
        </w:rPr>
        <w:t>-2</w:t>
      </w:r>
      <w:r w:rsidRPr="0080756D">
        <w:rPr>
          <w:sz w:val="20"/>
          <w:szCs w:val="20"/>
        </w:rPr>
        <w:t>)</w:t>
      </w:r>
      <w:r w:rsidR="00DD2966" w:rsidRPr="0080756D">
        <w:rPr>
          <w:sz w:val="20"/>
          <w:szCs w:val="20"/>
        </w:rPr>
        <w:t xml:space="preserve"> and</w:t>
      </w:r>
      <w:r w:rsidRPr="0080756D">
        <w:rPr>
          <w:sz w:val="20"/>
          <w:szCs w:val="20"/>
        </w:rPr>
        <w:t xml:space="preserve"> fourth (4th) dilution factor (10</w:t>
      </w:r>
      <w:r w:rsidRPr="0080756D">
        <w:rPr>
          <w:sz w:val="20"/>
          <w:szCs w:val="20"/>
          <w:vertAlign w:val="superscript"/>
        </w:rPr>
        <w:t>-4</w:t>
      </w:r>
      <w:r w:rsidRPr="0080756D">
        <w:rPr>
          <w:sz w:val="20"/>
          <w:szCs w:val="20"/>
        </w:rPr>
        <w:t xml:space="preserve">) into sterile </w:t>
      </w:r>
      <w:proofErr w:type="spellStart"/>
      <w:r w:rsidRPr="0080756D">
        <w:rPr>
          <w:sz w:val="20"/>
          <w:szCs w:val="20"/>
        </w:rPr>
        <w:t>petri</w:t>
      </w:r>
      <w:proofErr w:type="spellEnd"/>
      <w:r w:rsidRPr="0080756D">
        <w:rPr>
          <w:sz w:val="20"/>
          <w:szCs w:val="20"/>
        </w:rPr>
        <w:t xml:space="preserve"> dishes. About 20ml of the molten but lukewarm nutrient agar was added and swirled with the content under aseptic conditions and allow to solidify. The </w:t>
      </w:r>
      <w:r w:rsidRPr="0080756D">
        <w:rPr>
          <w:sz w:val="20"/>
          <w:szCs w:val="20"/>
        </w:rPr>
        <w:lastRenderedPageBreak/>
        <w:t xml:space="preserve">plates were incubated at 37°C in an inverted position to prevent condensation of water </w:t>
      </w:r>
      <w:proofErr w:type="spellStart"/>
      <w:r w:rsidRPr="0080756D">
        <w:rPr>
          <w:sz w:val="20"/>
          <w:szCs w:val="20"/>
        </w:rPr>
        <w:t>vapour</w:t>
      </w:r>
      <w:proofErr w:type="spellEnd"/>
      <w:r w:rsidRPr="0080756D">
        <w:rPr>
          <w:sz w:val="20"/>
          <w:szCs w:val="20"/>
        </w:rPr>
        <w:t xml:space="preserve"> on the growth, for 24 hours for bacterial load count.</w:t>
      </w:r>
    </w:p>
    <w:p w:rsidR="004A1C62" w:rsidRPr="0080756D" w:rsidRDefault="004A1C62" w:rsidP="0080756D">
      <w:pPr>
        <w:suppressAutoHyphens w:val="0"/>
        <w:snapToGrid w:val="0"/>
        <w:jc w:val="both"/>
        <w:rPr>
          <w:b/>
          <w:sz w:val="20"/>
          <w:szCs w:val="20"/>
        </w:rPr>
      </w:pPr>
      <w:r w:rsidRPr="0080756D">
        <w:rPr>
          <w:b/>
          <w:sz w:val="20"/>
          <w:szCs w:val="20"/>
        </w:rPr>
        <w:t>Membrane filtration method</w:t>
      </w:r>
    </w:p>
    <w:p w:rsidR="004A1C62" w:rsidRPr="0080756D" w:rsidRDefault="004A1C62" w:rsidP="0080756D">
      <w:pPr>
        <w:tabs>
          <w:tab w:val="left" w:pos="7335"/>
        </w:tabs>
        <w:suppressAutoHyphens w:val="0"/>
        <w:snapToGrid w:val="0"/>
        <w:jc w:val="both"/>
        <w:rPr>
          <w:b/>
          <w:sz w:val="20"/>
          <w:szCs w:val="20"/>
        </w:rPr>
      </w:pPr>
      <w:r w:rsidRPr="0080756D">
        <w:rPr>
          <w:b/>
          <w:sz w:val="20"/>
          <w:szCs w:val="20"/>
        </w:rPr>
        <w:t xml:space="preserve">Total </w:t>
      </w:r>
      <w:proofErr w:type="spellStart"/>
      <w:r w:rsidRPr="0080756D">
        <w:rPr>
          <w:b/>
          <w:sz w:val="20"/>
          <w:szCs w:val="20"/>
        </w:rPr>
        <w:t>Coliform</w:t>
      </w:r>
      <w:proofErr w:type="spellEnd"/>
      <w:r w:rsidRPr="0080756D">
        <w:rPr>
          <w:b/>
          <w:sz w:val="20"/>
          <w:szCs w:val="20"/>
        </w:rPr>
        <w:t xml:space="preserve"> Count on Eosin </w:t>
      </w:r>
      <w:proofErr w:type="spellStart"/>
      <w:r w:rsidRPr="0080756D">
        <w:rPr>
          <w:b/>
          <w:sz w:val="20"/>
          <w:szCs w:val="20"/>
        </w:rPr>
        <w:t>Methylene</w:t>
      </w:r>
      <w:proofErr w:type="spellEnd"/>
      <w:r w:rsidRPr="0080756D">
        <w:rPr>
          <w:b/>
          <w:sz w:val="20"/>
          <w:szCs w:val="20"/>
        </w:rPr>
        <w:t xml:space="preserve"> Blue Agar)</w:t>
      </w:r>
    </w:p>
    <w:p w:rsidR="004A1C62" w:rsidRPr="0080756D" w:rsidRDefault="004A1C62" w:rsidP="0080756D">
      <w:pPr>
        <w:tabs>
          <w:tab w:val="left" w:pos="0"/>
        </w:tabs>
        <w:suppressAutoHyphens w:val="0"/>
        <w:snapToGrid w:val="0"/>
        <w:ind w:firstLine="425"/>
        <w:jc w:val="both"/>
        <w:rPr>
          <w:sz w:val="20"/>
          <w:szCs w:val="20"/>
        </w:rPr>
      </w:pPr>
      <w:r w:rsidRPr="0080756D">
        <w:rPr>
          <w:sz w:val="20"/>
          <w:szCs w:val="20"/>
        </w:rPr>
        <w:t xml:space="preserve">One hundred </w:t>
      </w:r>
      <w:proofErr w:type="spellStart"/>
      <w:r w:rsidRPr="0080756D">
        <w:rPr>
          <w:sz w:val="20"/>
          <w:szCs w:val="20"/>
        </w:rPr>
        <w:t>millilitres</w:t>
      </w:r>
      <w:proofErr w:type="spellEnd"/>
      <w:r w:rsidRPr="0080756D">
        <w:rPr>
          <w:sz w:val="20"/>
          <w:szCs w:val="20"/>
        </w:rPr>
        <w:t xml:space="preserve"> (100 ml) of the water samples was passed through the membrane filter with the aid of suction pump. The filter pad was aseptically transferred with the aid of a sterile forceps unto the surface of a nutrient agar in </w:t>
      </w:r>
      <w:proofErr w:type="spellStart"/>
      <w:r w:rsidRPr="0080756D">
        <w:rPr>
          <w:sz w:val="20"/>
          <w:szCs w:val="20"/>
        </w:rPr>
        <w:t>petri</w:t>
      </w:r>
      <w:proofErr w:type="spellEnd"/>
      <w:r w:rsidRPr="0080756D">
        <w:rPr>
          <w:sz w:val="20"/>
          <w:szCs w:val="20"/>
        </w:rPr>
        <w:t xml:space="preserve"> dishes. It was then incubated at 37°C for 24 hours. The number of colonies were then counted after the incubation period. Representative colonies on plate count agar were selected and were sub-cultured on nutrient agar to obtain the pure culture and the preliminary test carried out (Geo </w:t>
      </w:r>
      <w:r w:rsidRPr="0080756D">
        <w:rPr>
          <w:i/>
          <w:sz w:val="20"/>
          <w:szCs w:val="20"/>
        </w:rPr>
        <w:t>et al</w:t>
      </w:r>
      <w:r w:rsidRPr="0080756D">
        <w:rPr>
          <w:sz w:val="20"/>
          <w:szCs w:val="20"/>
        </w:rPr>
        <w:t>., 2004).</w:t>
      </w:r>
    </w:p>
    <w:p w:rsidR="004A1C62" w:rsidRPr="0080756D" w:rsidRDefault="004A1C62" w:rsidP="0080756D">
      <w:pPr>
        <w:suppressAutoHyphens w:val="0"/>
        <w:snapToGrid w:val="0"/>
        <w:ind w:firstLine="425"/>
        <w:jc w:val="both"/>
        <w:rPr>
          <w:sz w:val="20"/>
          <w:szCs w:val="20"/>
        </w:rPr>
      </w:pPr>
      <w:r w:rsidRPr="0080756D">
        <w:rPr>
          <w:sz w:val="20"/>
          <w:szCs w:val="20"/>
        </w:rPr>
        <w:t xml:space="preserve">A drop of sterile water was placed on a clean grease-free slide. A wired-loop was flamed red hot, cooled and a </w:t>
      </w:r>
      <w:proofErr w:type="spellStart"/>
      <w:r w:rsidRPr="0080756D">
        <w:rPr>
          <w:sz w:val="20"/>
          <w:szCs w:val="20"/>
        </w:rPr>
        <w:t>loopful</w:t>
      </w:r>
      <w:proofErr w:type="spellEnd"/>
      <w:r w:rsidRPr="0080756D">
        <w:rPr>
          <w:sz w:val="20"/>
          <w:szCs w:val="20"/>
        </w:rPr>
        <w:t xml:space="preserve"> of sample was picked and placed on the slide and another slide at an angle to it, a thin smear was then made by dragging the slide over it. The smear was then air-dried and heat-fixed by passage through flame and the smear was immersed in crystal violet for one minute. The slide was washed with water and was then immersed in gram iodine for one minute and again washed with water. The slide was de-</w:t>
      </w:r>
      <w:proofErr w:type="spellStart"/>
      <w:r w:rsidRPr="0080756D">
        <w:rPr>
          <w:sz w:val="20"/>
          <w:szCs w:val="20"/>
        </w:rPr>
        <w:t>colourised</w:t>
      </w:r>
      <w:proofErr w:type="spellEnd"/>
      <w:r w:rsidRPr="0080756D">
        <w:rPr>
          <w:sz w:val="20"/>
          <w:szCs w:val="20"/>
        </w:rPr>
        <w:t xml:space="preserve"> by shaking the slide gently for 15seconds in alcohol till the violet </w:t>
      </w:r>
      <w:proofErr w:type="spellStart"/>
      <w:r w:rsidRPr="0080756D">
        <w:rPr>
          <w:sz w:val="20"/>
          <w:szCs w:val="20"/>
        </w:rPr>
        <w:t>colour</w:t>
      </w:r>
      <w:proofErr w:type="spellEnd"/>
      <w:r w:rsidRPr="0080756D">
        <w:rPr>
          <w:sz w:val="20"/>
          <w:szCs w:val="20"/>
        </w:rPr>
        <w:t xml:space="preserve"> comes out and was then immediately washed with water. It was counterstained with </w:t>
      </w:r>
      <w:proofErr w:type="spellStart"/>
      <w:r w:rsidRPr="0080756D">
        <w:rPr>
          <w:sz w:val="20"/>
          <w:szCs w:val="20"/>
        </w:rPr>
        <w:t>safranin</w:t>
      </w:r>
      <w:proofErr w:type="spellEnd"/>
      <w:r w:rsidRPr="0080756D">
        <w:rPr>
          <w:sz w:val="20"/>
          <w:szCs w:val="20"/>
        </w:rPr>
        <w:t xml:space="preserve"> for 30 seconds and again was washed with water. Slides were blot dried and were examined in the oil immersion lens of the microscope x100 objectives (Sharma, 2011).</w:t>
      </w:r>
    </w:p>
    <w:p w:rsidR="004A1C62" w:rsidRPr="0080756D" w:rsidRDefault="004A1C62" w:rsidP="0080756D">
      <w:pPr>
        <w:suppressAutoHyphens w:val="0"/>
        <w:snapToGrid w:val="0"/>
        <w:jc w:val="both"/>
        <w:rPr>
          <w:b/>
          <w:sz w:val="20"/>
          <w:szCs w:val="20"/>
        </w:rPr>
      </w:pPr>
      <w:r w:rsidRPr="0080756D">
        <w:rPr>
          <w:b/>
          <w:sz w:val="20"/>
          <w:szCs w:val="20"/>
        </w:rPr>
        <w:t>Identification of Bacterial Isolates</w:t>
      </w:r>
    </w:p>
    <w:p w:rsidR="004A1C62" w:rsidRPr="0080756D" w:rsidRDefault="004A1C62" w:rsidP="0080756D">
      <w:pPr>
        <w:suppressAutoHyphens w:val="0"/>
        <w:snapToGrid w:val="0"/>
        <w:ind w:firstLine="425"/>
        <w:jc w:val="both"/>
        <w:rPr>
          <w:sz w:val="20"/>
          <w:szCs w:val="20"/>
        </w:rPr>
      </w:pPr>
      <w:r w:rsidRPr="0080756D">
        <w:rPr>
          <w:sz w:val="20"/>
          <w:szCs w:val="20"/>
        </w:rPr>
        <w:t xml:space="preserve">Stock cultures of the isolates with different cultural characteristics were made on nutrient agar slants. Gram staining was used to check for morphology and biochemical tests were carried out to help in identification. The biochemical tests performed in probable identification of the isolates included the </w:t>
      </w:r>
      <w:proofErr w:type="spellStart"/>
      <w:r w:rsidRPr="0080756D">
        <w:rPr>
          <w:sz w:val="20"/>
          <w:szCs w:val="20"/>
        </w:rPr>
        <w:t>oxidase</w:t>
      </w:r>
      <w:proofErr w:type="spellEnd"/>
      <w:r w:rsidRPr="0080756D">
        <w:rPr>
          <w:sz w:val="20"/>
          <w:szCs w:val="20"/>
        </w:rPr>
        <w:t xml:space="preserve"> test, motility test, </w:t>
      </w:r>
      <w:proofErr w:type="spellStart"/>
      <w:r w:rsidRPr="0080756D">
        <w:rPr>
          <w:sz w:val="20"/>
          <w:szCs w:val="20"/>
        </w:rPr>
        <w:t>catalase</w:t>
      </w:r>
      <w:proofErr w:type="spellEnd"/>
      <w:r w:rsidRPr="0080756D">
        <w:rPr>
          <w:sz w:val="20"/>
          <w:szCs w:val="20"/>
        </w:rPr>
        <w:t xml:space="preserve"> test, </w:t>
      </w:r>
      <w:proofErr w:type="spellStart"/>
      <w:r w:rsidRPr="0080756D">
        <w:rPr>
          <w:sz w:val="20"/>
          <w:szCs w:val="20"/>
        </w:rPr>
        <w:t>urease</w:t>
      </w:r>
      <w:proofErr w:type="spellEnd"/>
      <w:r w:rsidRPr="0080756D">
        <w:rPr>
          <w:sz w:val="20"/>
          <w:szCs w:val="20"/>
        </w:rPr>
        <w:t xml:space="preserve"> test, </w:t>
      </w:r>
      <w:proofErr w:type="spellStart"/>
      <w:r w:rsidRPr="0080756D">
        <w:rPr>
          <w:sz w:val="20"/>
          <w:szCs w:val="20"/>
        </w:rPr>
        <w:t>coagulase</w:t>
      </w:r>
      <w:proofErr w:type="spellEnd"/>
      <w:r w:rsidRPr="0080756D">
        <w:rPr>
          <w:sz w:val="20"/>
          <w:szCs w:val="20"/>
        </w:rPr>
        <w:t xml:space="preserve"> test, </w:t>
      </w:r>
      <w:proofErr w:type="spellStart"/>
      <w:r w:rsidRPr="0080756D">
        <w:rPr>
          <w:sz w:val="20"/>
          <w:szCs w:val="20"/>
        </w:rPr>
        <w:t>indole</w:t>
      </w:r>
      <w:proofErr w:type="spellEnd"/>
      <w:r w:rsidRPr="0080756D">
        <w:rPr>
          <w:sz w:val="20"/>
          <w:szCs w:val="20"/>
        </w:rPr>
        <w:t xml:space="preserve"> test, methyl red test, </w:t>
      </w:r>
      <w:proofErr w:type="spellStart"/>
      <w:r w:rsidRPr="0080756D">
        <w:rPr>
          <w:sz w:val="20"/>
          <w:szCs w:val="20"/>
        </w:rPr>
        <w:t>Voges-Proskauer</w:t>
      </w:r>
      <w:proofErr w:type="spellEnd"/>
      <w:r w:rsidRPr="0080756D">
        <w:rPr>
          <w:sz w:val="20"/>
          <w:szCs w:val="20"/>
        </w:rPr>
        <w:t xml:space="preserve"> and citrate utilization test (</w:t>
      </w:r>
      <w:proofErr w:type="spellStart"/>
      <w:r w:rsidRPr="0080756D">
        <w:rPr>
          <w:sz w:val="20"/>
          <w:szCs w:val="20"/>
        </w:rPr>
        <w:t>Ibe</w:t>
      </w:r>
      <w:proofErr w:type="spellEnd"/>
      <w:r w:rsidRPr="0080756D">
        <w:rPr>
          <w:sz w:val="20"/>
          <w:szCs w:val="20"/>
        </w:rPr>
        <w:t xml:space="preserve"> and </w:t>
      </w:r>
      <w:proofErr w:type="spellStart"/>
      <w:r w:rsidRPr="0080756D">
        <w:rPr>
          <w:sz w:val="20"/>
          <w:szCs w:val="20"/>
        </w:rPr>
        <w:t>Okplenye</w:t>
      </w:r>
      <w:proofErr w:type="spellEnd"/>
      <w:r w:rsidRPr="0080756D">
        <w:rPr>
          <w:sz w:val="20"/>
          <w:szCs w:val="20"/>
        </w:rPr>
        <w:t>, 2005). Physicochemical parameters including pH, electrical conductivity and total hardness were also assessed.</w:t>
      </w:r>
    </w:p>
    <w:p w:rsidR="004A1C62" w:rsidRPr="0080756D" w:rsidRDefault="004A1C62" w:rsidP="0080756D">
      <w:pPr>
        <w:suppressAutoHyphens w:val="0"/>
        <w:snapToGrid w:val="0"/>
        <w:jc w:val="both"/>
        <w:rPr>
          <w:b/>
          <w:sz w:val="20"/>
          <w:szCs w:val="20"/>
        </w:rPr>
      </w:pPr>
      <w:r w:rsidRPr="0080756D">
        <w:rPr>
          <w:b/>
          <w:sz w:val="20"/>
          <w:szCs w:val="20"/>
        </w:rPr>
        <w:t>Statistical Analysis</w:t>
      </w:r>
    </w:p>
    <w:p w:rsidR="004A1C62" w:rsidRDefault="004A1C62" w:rsidP="0080756D">
      <w:pPr>
        <w:suppressAutoHyphens w:val="0"/>
        <w:snapToGrid w:val="0"/>
        <w:ind w:firstLine="425"/>
        <w:jc w:val="both"/>
        <w:rPr>
          <w:sz w:val="20"/>
          <w:szCs w:val="20"/>
          <w:lang w:eastAsia="zh-CN"/>
        </w:rPr>
      </w:pPr>
      <w:r w:rsidRPr="0080756D">
        <w:rPr>
          <w:sz w:val="20"/>
          <w:szCs w:val="20"/>
        </w:rPr>
        <w:t xml:space="preserve">Data were </w:t>
      </w:r>
      <w:proofErr w:type="spellStart"/>
      <w:r w:rsidRPr="0080756D">
        <w:rPr>
          <w:sz w:val="20"/>
          <w:szCs w:val="20"/>
        </w:rPr>
        <w:t>analysed</w:t>
      </w:r>
      <w:proofErr w:type="spellEnd"/>
      <w:r w:rsidRPr="0080756D">
        <w:rPr>
          <w:sz w:val="20"/>
          <w:szCs w:val="20"/>
        </w:rPr>
        <w:t xml:space="preserve"> using Statistical Package for Social Sciences (SPSS) version 23 for Windows</w:t>
      </w:r>
      <w:r w:rsidRPr="0080756D">
        <w:rPr>
          <w:sz w:val="20"/>
          <w:szCs w:val="20"/>
          <w:vertAlign w:val="superscript"/>
        </w:rPr>
        <w:t>®</w:t>
      </w:r>
      <w:r w:rsidRPr="0080756D">
        <w:rPr>
          <w:sz w:val="20"/>
          <w:szCs w:val="20"/>
        </w:rPr>
        <w:t xml:space="preserve">. Mean values were compared using analysis of variance and separated using Duncan’s multiple range test where necessary, and student’s t-test to compare mean values of water parameters between the two villages. Total heterotrophic counts and total </w:t>
      </w:r>
      <w:proofErr w:type="spellStart"/>
      <w:r w:rsidRPr="0080756D">
        <w:rPr>
          <w:sz w:val="20"/>
          <w:szCs w:val="20"/>
        </w:rPr>
        <w:t>coliform</w:t>
      </w:r>
      <w:proofErr w:type="spellEnd"/>
      <w:r w:rsidRPr="0080756D">
        <w:rPr>
          <w:sz w:val="20"/>
          <w:szCs w:val="20"/>
        </w:rPr>
        <w:t xml:space="preserve"> counts were correlated with physicochemical </w:t>
      </w:r>
      <w:r w:rsidRPr="0080756D">
        <w:rPr>
          <w:sz w:val="20"/>
          <w:szCs w:val="20"/>
        </w:rPr>
        <w:lastRenderedPageBreak/>
        <w:t>parameters of the water samples using Pearson correlation. Results were presented in tables and charts. The level of significance for all the analyses was set at p = 0.05.</w:t>
      </w:r>
    </w:p>
    <w:p w:rsidR="0080756D" w:rsidRPr="0080756D" w:rsidRDefault="0080756D" w:rsidP="0080756D">
      <w:pPr>
        <w:suppressAutoHyphens w:val="0"/>
        <w:snapToGrid w:val="0"/>
        <w:ind w:firstLine="425"/>
        <w:jc w:val="both"/>
        <w:rPr>
          <w:sz w:val="20"/>
          <w:szCs w:val="20"/>
          <w:lang w:eastAsia="zh-CN"/>
        </w:rPr>
      </w:pPr>
    </w:p>
    <w:p w:rsidR="00471E57" w:rsidRPr="0080756D" w:rsidRDefault="00471E57" w:rsidP="0080756D">
      <w:pPr>
        <w:suppressAutoHyphens w:val="0"/>
        <w:snapToGrid w:val="0"/>
        <w:jc w:val="both"/>
        <w:rPr>
          <w:b/>
          <w:sz w:val="20"/>
          <w:szCs w:val="20"/>
        </w:rPr>
      </w:pPr>
      <w:r w:rsidRPr="0080756D">
        <w:rPr>
          <w:b/>
          <w:sz w:val="20"/>
          <w:szCs w:val="20"/>
        </w:rPr>
        <w:t>3. Results</w:t>
      </w:r>
    </w:p>
    <w:p w:rsidR="00410669" w:rsidRPr="0080756D" w:rsidRDefault="00410669" w:rsidP="0080756D">
      <w:pPr>
        <w:suppressAutoHyphens w:val="0"/>
        <w:snapToGrid w:val="0"/>
        <w:ind w:firstLine="425"/>
        <w:jc w:val="both"/>
        <w:rPr>
          <w:sz w:val="20"/>
          <w:szCs w:val="20"/>
          <w:vertAlign w:val="superscript"/>
        </w:rPr>
      </w:pPr>
      <w:r w:rsidRPr="0080756D">
        <w:rPr>
          <w:sz w:val="20"/>
          <w:szCs w:val="20"/>
        </w:rPr>
        <w:t xml:space="preserve">Table 1 presents the result of comparison of total bacterial counts and total </w:t>
      </w:r>
      <w:proofErr w:type="spellStart"/>
      <w:r w:rsidRPr="0080756D">
        <w:rPr>
          <w:sz w:val="20"/>
          <w:szCs w:val="20"/>
        </w:rPr>
        <w:t>coliform</w:t>
      </w:r>
      <w:proofErr w:type="spellEnd"/>
      <w:r w:rsidRPr="0080756D">
        <w:rPr>
          <w:sz w:val="20"/>
          <w:szCs w:val="20"/>
        </w:rPr>
        <w:t xml:space="preserve"> counts of the different water sources in village 1. The result shows that there was statistically significant difference (F = 5.911, </w:t>
      </w:r>
      <w:r w:rsidRPr="0080756D">
        <w:rPr>
          <w:i/>
          <w:sz w:val="20"/>
          <w:szCs w:val="20"/>
        </w:rPr>
        <w:t>P</w:t>
      </w:r>
      <w:r w:rsidRPr="0080756D">
        <w:rPr>
          <w:sz w:val="20"/>
          <w:szCs w:val="20"/>
        </w:rPr>
        <w:t xml:space="preserve"> = 0.023) in the mean total bacterial count obtained from the different water sources. Separation of the mean values revealed that wells and pond to have the same mean total bacterial counts (6.3 × 10</w:t>
      </w:r>
      <w:r w:rsidRPr="0080756D">
        <w:rPr>
          <w:sz w:val="20"/>
          <w:szCs w:val="20"/>
          <w:vertAlign w:val="superscript"/>
        </w:rPr>
        <w:t>5</w:t>
      </w:r>
      <w:r w:rsidRPr="0080756D">
        <w:rPr>
          <w:sz w:val="20"/>
          <w:szCs w:val="20"/>
        </w:rPr>
        <w:t xml:space="preserve"> ± 0.7 × 10</w:t>
      </w:r>
      <w:r w:rsidRPr="0080756D">
        <w:rPr>
          <w:sz w:val="20"/>
          <w:szCs w:val="20"/>
          <w:vertAlign w:val="superscript"/>
        </w:rPr>
        <w:t>5</w:t>
      </w:r>
      <w:r w:rsidRPr="0080756D">
        <w:rPr>
          <w:sz w:val="20"/>
          <w:szCs w:val="20"/>
        </w:rPr>
        <w:t xml:space="preserve"> and 7.7 × 10</w:t>
      </w:r>
      <w:r w:rsidRPr="0080756D">
        <w:rPr>
          <w:sz w:val="20"/>
          <w:szCs w:val="20"/>
          <w:vertAlign w:val="superscript"/>
        </w:rPr>
        <w:t>5</w:t>
      </w:r>
      <w:r w:rsidRPr="0080756D">
        <w:rPr>
          <w:sz w:val="20"/>
          <w:szCs w:val="20"/>
        </w:rPr>
        <w:t xml:space="preserve"> ± 0.0 × 10</w:t>
      </w:r>
      <w:r w:rsidRPr="0080756D">
        <w:rPr>
          <w:sz w:val="20"/>
          <w:szCs w:val="20"/>
          <w:vertAlign w:val="superscript"/>
        </w:rPr>
        <w:t>5</w:t>
      </w:r>
      <w:r w:rsidRPr="0080756D">
        <w:rPr>
          <w:sz w:val="20"/>
          <w:szCs w:val="20"/>
        </w:rPr>
        <w:t xml:space="preserve"> respectively) which were different from the level of contamination of the borehole water (1.9 × 10</w:t>
      </w:r>
      <w:r w:rsidRPr="0080756D">
        <w:rPr>
          <w:sz w:val="20"/>
          <w:szCs w:val="20"/>
          <w:vertAlign w:val="superscript"/>
        </w:rPr>
        <w:t>5</w:t>
      </w:r>
      <w:r w:rsidRPr="0080756D">
        <w:rPr>
          <w:sz w:val="20"/>
          <w:szCs w:val="20"/>
        </w:rPr>
        <w:t xml:space="preserve"> ± 0.0 × 10</w:t>
      </w:r>
      <w:r w:rsidRPr="0080756D">
        <w:rPr>
          <w:sz w:val="20"/>
          <w:szCs w:val="20"/>
          <w:vertAlign w:val="superscript"/>
        </w:rPr>
        <w:t>5</w:t>
      </w:r>
      <w:r w:rsidRPr="0080756D">
        <w:rPr>
          <w:sz w:val="20"/>
          <w:szCs w:val="20"/>
        </w:rPr>
        <w:t xml:space="preserve">). Similarly, comparison of the total </w:t>
      </w:r>
      <w:proofErr w:type="spellStart"/>
      <w:r w:rsidRPr="0080756D">
        <w:rPr>
          <w:sz w:val="20"/>
          <w:szCs w:val="20"/>
        </w:rPr>
        <w:t>coliform</w:t>
      </w:r>
      <w:proofErr w:type="spellEnd"/>
      <w:r w:rsidRPr="0080756D">
        <w:rPr>
          <w:sz w:val="20"/>
          <w:szCs w:val="20"/>
        </w:rPr>
        <w:t xml:space="preserve"> counts of well water, borehole and pond indicated presence of significant difference (F = 47.611, </w:t>
      </w:r>
      <w:r w:rsidRPr="0080756D">
        <w:rPr>
          <w:i/>
          <w:sz w:val="20"/>
          <w:szCs w:val="20"/>
        </w:rPr>
        <w:t xml:space="preserve">P </w:t>
      </w:r>
      <w:r w:rsidRPr="0080756D">
        <w:rPr>
          <w:sz w:val="20"/>
          <w:szCs w:val="20"/>
        </w:rPr>
        <w:t>&lt; 0.001) with well and pond water having equal level of contamination which was significantly different from borehole water.</w:t>
      </w:r>
    </w:p>
    <w:p w:rsidR="00410669" w:rsidRPr="0080756D" w:rsidRDefault="00410669" w:rsidP="0080756D">
      <w:pPr>
        <w:suppressAutoHyphens w:val="0"/>
        <w:snapToGrid w:val="0"/>
        <w:ind w:firstLine="425"/>
        <w:jc w:val="both"/>
        <w:rPr>
          <w:sz w:val="20"/>
          <w:szCs w:val="20"/>
        </w:rPr>
      </w:pPr>
      <w:r w:rsidRPr="0080756D">
        <w:rPr>
          <w:sz w:val="20"/>
          <w:szCs w:val="20"/>
        </w:rPr>
        <w:t xml:space="preserve">The Comparison between total bacterial counts and total </w:t>
      </w:r>
      <w:proofErr w:type="spellStart"/>
      <w:r w:rsidRPr="0080756D">
        <w:rPr>
          <w:sz w:val="20"/>
          <w:szCs w:val="20"/>
        </w:rPr>
        <w:t>coliform</w:t>
      </w:r>
      <w:proofErr w:type="spellEnd"/>
      <w:r w:rsidRPr="0080756D">
        <w:rPr>
          <w:sz w:val="20"/>
          <w:szCs w:val="20"/>
        </w:rPr>
        <w:t xml:space="preserve"> count of the different water source in village was zone and presented in Table 2. The result shows that there was no statistically significant difference (F= 21.491, </w:t>
      </w:r>
      <w:r w:rsidRPr="0080756D">
        <w:rPr>
          <w:i/>
          <w:sz w:val="20"/>
          <w:szCs w:val="20"/>
        </w:rPr>
        <w:t xml:space="preserve">P </w:t>
      </w:r>
      <w:r w:rsidRPr="0080756D">
        <w:rPr>
          <w:sz w:val="20"/>
          <w:szCs w:val="20"/>
        </w:rPr>
        <w:t>&lt; 0.001**) in the mean total bacterial count gotten from the different water sources in village 2. Separation of the mean values revealed that ponds and streams have the same mean total bacterial counts (7.6 x 10</w:t>
      </w:r>
      <w:r w:rsidRPr="0080756D">
        <w:rPr>
          <w:sz w:val="20"/>
          <w:szCs w:val="20"/>
          <w:vertAlign w:val="superscript"/>
        </w:rPr>
        <w:t>5</w:t>
      </w:r>
      <w:r w:rsidRPr="0080756D">
        <w:rPr>
          <w:sz w:val="20"/>
          <w:szCs w:val="20"/>
          <w:u w:val="single"/>
        </w:rPr>
        <w:t>+</w:t>
      </w:r>
      <w:r w:rsidRPr="0080756D">
        <w:rPr>
          <w:sz w:val="20"/>
          <w:szCs w:val="20"/>
        </w:rPr>
        <w:t xml:space="preserve"> 0.0 x 10</w:t>
      </w:r>
      <w:r w:rsidRPr="0080756D">
        <w:rPr>
          <w:sz w:val="20"/>
          <w:szCs w:val="20"/>
          <w:vertAlign w:val="superscript"/>
        </w:rPr>
        <w:t>5</w:t>
      </w:r>
      <w:r w:rsidRPr="0080756D">
        <w:rPr>
          <w:sz w:val="20"/>
          <w:szCs w:val="20"/>
        </w:rPr>
        <w:t xml:space="preserve"> and 5.9 X 10</w:t>
      </w:r>
      <w:r w:rsidRPr="0080756D">
        <w:rPr>
          <w:sz w:val="20"/>
          <w:szCs w:val="20"/>
          <w:vertAlign w:val="superscript"/>
        </w:rPr>
        <w:t xml:space="preserve">5 </w:t>
      </w:r>
      <w:r w:rsidRPr="0080756D">
        <w:rPr>
          <w:sz w:val="20"/>
          <w:szCs w:val="20"/>
          <w:u w:val="single"/>
        </w:rPr>
        <w:t>+</w:t>
      </w:r>
      <w:r w:rsidRPr="0080756D">
        <w:rPr>
          <w:sz w:val="20"/>
          <w:szCs w:val="20"/>
        </w:rPr>
        <w:t xml:space="preserve"> </w:t>
      </w:r>
      <w:r w:rsidRPr="0080756D">
        <w:rPr>
          <w:sz w:val="20"/>
          <w:szCs w:val="20"/>
        </w:rPr>
        <w:lastRenderedPageBreak/>
        <w:t>1.3 x 10</w:t>
      </w:r>
      <w:r w:rsidRPr="0080756D">
        <w:rPr>
          <w:sz w:val="20"/>
          <w:szCs w:val="20"/>
          <w:vertAlign w:val="superscript"/>
        </w:rPr>
        <w:t>5</w:t>
      </w:r>
      <w:r w:rsidRPr="0080756D">
        <w:rPr>
          <w:sz w:val="20"/>
          <w:szCs w:val="20"/>
        </w:rPr>
        <w:t>) respectively which were different from the level of contamination of well and borehole water (4.0 x 10</w:t>
      </w:r>
      <w:r w:rsidRPr="0080756D">
        <w:rPr>
          <w:sz w:val="20"/>
          <w:szCs w:val="20"/>
          <w:vertAlign w:val="superscript"/>
        </w:rPr>
        <w:t xml:space="preserve">5 </w:t>
      </w:r>
      <w:r w:rsidRPr="0080756D">
        <w:rPr>
          <w:sz w:val="20"/>
          <w:szCs w:val="20"/>
          <w:u w:val="single"/>
        </w:rPr>
        <w:t>+</w:t>
      </w:r>
      <w:r w:rsidRPr="0080756D">
        <w:rPr>
          <w:sz w:val="20"/>
          <w:szCs w:val="20"/>
        </w:rPr>
        <w:t xml:space="preserve"> 0.3 x 10</w:t>
      </w:r>
      <w:r w:rsidRPr="0080756D">
        <w:rPr>
          <w:sz w:val="20"/>
          <w:szCs w:val="20"/>
          <w:vertAlign w:val="superscript"/>
        </w:rPr>
        <w:t>5</w:t>
      </w:r>
      <w:r w:rsidRPr="0080756D">
        <w:rPr>
          <w:sz w:val="20"/>
          <w:szCs w:val="20"/>
        </w:rPr>
        <w:t xml:space="preserve"> and 1.1 x 10</w:t>
      </w:r>
      <w:r w:rsidRPr="0080756D">
        <w:rPr>
          <w:sz w:val="20"/>
          <w:szCs w:val="20"/>
          <w:vertAlign w:val="superscript"/>
        </w:rPr>
        <w:t xml:space="preserve">5 </w:t>
      </w:r>
      <w:r w:rsidRPr="0080756D">
        <w:rPr>
          <w:sz w:val="20"/>
          <w:szCs w:val="20"/>
          <w:u w:val="single"/>
        </w:rPr>
        <w:t>+</w:t>
      </w:r>
      <w:r w:rsidRPr="0080756D">
        <w:rPr>
          <w:sz w:val="20"/>
          <w:szCs w:val="20"/>
        </w:rPr>
        <w:t xml:space="preserve"> 0.0 x 10</w:t>
      </w:r>
      <w:r w:rsidRPr="0080756D">
        <w:rPr>
          <w:sz w:val="20"/>
          <w:szCs w:val="20"/>
          <w:vertAlign w:val="superscript"/>
        </w:rPr>
        <w:t>5</w:t>
      </w:r>
      <w:r w:rsidRPr="0080756D">
        <w:rPr>
          <w:sz w:val="20"/>
          <w:szCs w:val="20"/>
        </w:rPr>
        <w:t xml:space="preserve">). In the same way, comparison of the total </w:t>
      </w:r>
      <w:proofErr w:type="spellStart"/>
      <w:r w:rsidRPr="0080756D">
        <w:rPr>
          <w:sz w:val="20"/>
          <w:szCs w:val="20"/>
        </w:rPr>
        <w:t>coliform</w:t>
      </w:r>
      <w:proofErr w:type="spellEnd"/>
      <w:r w:rsidRPr="0080756D">
        <w:rPr>
          <w:sz w:val="20"/>
          <w:szCs w:val="20"/>
        </w:rPr>
        <w:t xml:space="preserve"> counts of stream, borehole and well indicated that there was no presence of significance difference (F =2.222, </w:t>
      </w:r>
      <w:r w:rsidRPr="0080756D">
        <w:rPr>
          <w:i/>
          <w:sz w:val="20"/>
          <w:szCs w:val="20"/>
        </w:rPr>
        <w:t>P</w:t>
      </w:r>
      <w:r w:rsidRPr="0080756D">
        <w:rPr>
          <w:sz w:val="20"/>
          <w:szCs w:val="20"/>
        </w:rPr>
        <w:t xml:space="preserve"> = 0.163) with well and stream having equal level of contamination which was not significantly different with pond and borehole water (Table 2).</w:t>
      </w:r>
    </w:p>
    <w:p w:rsidR="00410669" w:rsidRPr="0080756D" w:rsidRDefault="00410669" w:rsidP="0080756D">
      <w:pPr>
        <w:suppressAutoHyphens w:val="0"/>
        <w:snapToGrid w:val="0"/>
        <w:ind w:firstLine="425"/>
        <w:jc w:val="both"/>
        <w:rPr>
          <w:sz w:val="20"/>
          <w:szCs w:val="20"/>
        </w:rPr>
      </w:pPr>
      <w:r w:rsidRPr="0080756D">
        <w:rPr>
          <w:sz w:val="20"/>
          <w:szCs w:val="20"/>
        </w:rPr>
        <w:t xml:space="preserve">Table 3 compares the heterotrophic bacterial counts of the water sources from </w:t>
      </w: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villages.</w:t>
      </w:r>
      <w:r w:rsidR="00DB3049">
        <w:rPr>
          <w:sz w:val="20"/>
          <w:szCs w:val="20"/>
        </w:rPr>
        <w:t xml:space="preserve"> </w:t>
      </w:r>
      <w:r w:rsidRPr="0080756D">
        <w:rPr>
          <w:sz w:val="20"/>
          <w:szCs w:val="20"/>
        </w:rPr>
        <w:t xml:space="preserve">All the water sources from the two villages had significantly different (p &lt; 0.05) heterotrophic bacterial counts. Well water from </w:t>
      </w:r>
      <w:proofErr w:type="spellStart"/>
      <w:r w:rsidRPr="0080756D">
        <w:rPr>
          <w:sz w:val="20"/>
          <w:szCs w:val="20"/>
        </w:rPr>
        <w:t>Magama</w:t>
      </w:r>
      <w:proofErr w:type="spellEnd"/>
      <w:r w:rsidRPr="0080756D">
        <w:rPr>
          <w:sz w:val="20"/>
          <w:szCs w:val="20"/>
        </w:rPr>
        <w:t xml:space="preserve"> (6.3 x 10</w:t>
      </w:r>
      <w:r w:rsidRPr="0080756D">
        <w:rPr>
          <w:sz w:val="20"/>
          <w:szCs w:val="20"/>
          <w:vertAlign w:val="superscript"/>
        </w:rPr>
        <w:t>5</w:t>
      </w:r>
      <w:r w:rsidRPr="0080756D">
        <w:rPr>
          <w:sz w:val="20"/>
          <w:szCs w:val="20"/>
        </w:rPr>
        <w:t xml:space="preserve"> ± 0.7x 10</w:t>
      </w:r>
      <w:r w:rsidRPr="0080756D">
        <w:rPr>
          <w:sz w:val="20"/>
          <w:szCs w:val="20"/>
          <w:vertAlign w:val="superscript"/>
        </w:rPr>
        <w:t>5</w:t>
      </w:r>
      <w:r w:rsidRPr="0080756D">
        <w:rPr>
          <w:sz w:val="20"/>
          <w:szCs w:val="20"/>
        </w:rPr>
        <w:t xml:space="preserve">) had significantly (t = 2.875; p = 0.018) higher heterotrophic bacterial count than </w:t>
      </w:r>
      <w:proofErr w:type="spellStart"/>
      <w:r w:rsidRPr="0080756D">
        <w:rPr>
          <w:sz w:val="20"/>
          <w:szCs w:val="20"/>
        </w:rPr>
        <w:t>Bolgang</w:t>
      </w:r>
      <w:proofErr w:type="spellEnd"/>
      <w:r w:rsidRPr="0080756D">
        <w:rPr>
          <w:sz w:val="20"/>
          <w:szCs w:val="20"/>
        </w:rPr>
        <w:t xml:space="preserve"> (4.0 x 10</w:t>
      </w:r>
      <w:r w:rsidRPr="0080756D">
        <w:rPr>
          <w:sz w:val="20"/>
          <w:szCs w:val="20"/>
          <w:vertAlign w:val="superscript"/>
        </w:rPr>
        <w:t>5</w:t>
      </w:r>
      <w:r w:rsidRPr="0080756D">
        <w:rPr>
          <w:sz w:val="20"/>
          <w:szCs w:val="20"/>
        </w:rPr>
        <w:t xml:space="preserve"> ± 0.3 x 10</w:t>
      </w:r>
      <w:r w:rsidRPr="0080756D">
        <w:rPr>
          <w:sz w:val="20"/>
          <w:szCs w:val="20"/>
          <w:vertAlign w:val="superscript"/>
        </w:rPr>
        <w:t>5</w:t>
      </w:r>
      <w:r w:rsidRPr="0080756D">
        <w:rPr>
          <w:sz w:val="20"/>
          <w:szCs w:val="20"/>
        </w:rPr>
        <w:t xml:space="preserve">). In like manner, ponds in </w:t>
      </w:r>
      <w:proofErr w:type="spellStart"/>
      <w:r w:rsidRPr="0080756D">
        <w:rPr>
          <w:sz w:val="20"/>
          <w:szCs w:val="20"/>
        </w:rPr>
        <w:t>Magama</w:t>
      </w:r>
      <w:proofErr w:type="spellEnd"/>
      <w:r w:rsidRPr="0080756D">
        <w:rPr>
          <w:sz w:val="20"/>
          <w:szCs w:val="20"/>
        </w:rPr>
        <w:t xml:space="preserve"> had significantly (t = 14142.136; p &lt; 0.001) higher heterotrophic bacterial counts (7.7 x 10</w:t>
      </w:r>
      <w:r w:rsidRPr="0080756D">
        <w:rPr>
          <w:sz w:val="20"/>
          <w:szCs w:val="20"/>
          <w:vertAlign w:val="superscript"/>
        </w:rPr>
        <w:t>5</w:t>
      </w:r>
      <w:r w:rsidRPr="0080756D">
        <w:rPr>
          <w:sz w:val="20"/>
          <w:szCs w:val="20"/>
          <w:u w:val="single"/>
        </w:rPr>
        <w:t>+</w:t>
      </w:r>
      <w:r w:rsidRPr="0080756D">
        <w:rPr>
          <w:sz w:val="20"/>
          <w:szCs w:val="20"/>
        </w:rPr>
        <w:t xml:space="preserve"> 5.0 x 10</w:t>
      </w:r>
      <w:r w:rsidRPr="0080756D">
        <w:rPr>
          <w:sz w:val="20"/>
          <w:szCs w:val="20"/>
          <w:vertAlign w:val="superscript"/>
        </w:rPr>
        <w:t>4</w:t>
      </w:r>
      <w:r w:rsidRPr="0080756D">
        <w:rPr>
          <w:sz w:val="20"/>
          <w:szCs w:val="20"/>
        </w:rPr>
        <w:t xml:space="preserve">) than ponds in </w:t>
      </w:r>
      <w:proofErr w:type="spellStart"/>
      <w:r w:rsidRPr="0080756D">
        <w:rPr>
          <w:sz w:val="20"/>
          <w:szCs w:val="20"/>
        </w:rPr>
        <w:t>Bolgang</w:t>
      </w:r>
      <w:proofErr w:type="spellEnd"/>
      <w:r w:rsidRPr="0080756D">
        <w:rPr>
          <w:sz w:val="20"/>
          <w:szCs w:val="20"/>
        </w:rPr>
        <w:t xml:space="preserve"> (1.1 x 10</w:t>
      </w:r>
      <w:r w:rsidRPr="0080756D">
        <w:rPr>
          <w:sz w:val="20"/>
          <w:szCs w:val="20"/>
          <w:vertAlign w:val="superscript"/>
        </w:rPr>
        <w:t xml:space="preserve">5 </w:t>
      </w:r>
      <w:r w:rsidRPr="0080756D">
        <w:rPr>
          <w:sz w:val="20"/>
          <w:szCs w:val="20"/>
          <w:u w:val="single"/>
        </w:rPr>
        <w:t>+</w:t>
      </w:r>
      <w:r w:rsidRPr="0080756D">
        <w:rPr>
          <w:sz w:val="20"/>
          <w:szCs w:val="20"/>
        </w:rPr>
        <w:t xml:space="preserve"> 5.0 x 10</w:t>
      </w:r>
      <w:r w:rsidRPr="0080756D">
        <w:rPr>
          <w:sz w:val="20"/>
          <w:szCs w:val="20"/>
          <w:vertAlign w:val="superscript"/>
        </w:rPr>
        <w:t>4</w:t>
      </w:r>
      <w:r w:rsidRPr="0080756D">
        <w:rPr>
          <w:sz w:val="20"/>
          <w:szCs w:val="20"/>
        </w:rPr>
        <w:t>).</w:t>
      </w:r>
    </w:p>
    <w:p w:rsidR="00410669" w:rsidRPr="0080756D" w:rsidRDefault="00410669" w:rsidP="0080756D">
      <w:pPr>
        <w:suppressAutoHyphens w:val="0"/>
        <w:snapToGrid w:val="0"/>
        <w:ind w:firstLine="425"/>
        <w:jc w:val="both"/>
        <w:rPr>
          <w:sz w:val="20"/>
          <w:szCs w:val="20"/>
        </w:rPr>
      </w:pPr>
      <w:r w:rsidRPr="0080756D">
        <w:rPr>
          <w:sz w:val="20"/>
          <w:szCs w:val="20"/>
        </w:rPr>
        <w:t xml:space="preserve">Ponds in the two villages varied significantly (t = -466690.476; p &lt; 0.001) in total </w:t>
      </w:r>
      <w:proofErr w:type="spellStart"/>
      <w:r w:rsidRPr="0080756D">
        <w:rPr>
          <w:sz w:val="20"/>
          <w:szCs w:val="20"/>
        </w:rPr>
        <w:t>coliform</w:t>
      </w:r>
      <w:proofErr w:type="spellEnd"/>
      <w:r w:rsidRPr="0080756D">
        <w:rPr>
          <w:sz w:val="20"/>
          <w:szCs w:val="20"/>
        </w:rPr>
        <w:t xml:space="preserve"> counts. Ponds in </w:t>
      </w:r>
      <w:proofErr w:type="spellStart"/>
      <w:r w:rsidRPr="0080756D">
        <w:rPr>
          <w:sz w:val="20"/>
          <w:szCs w:val="20"/>
        </w:rPr>
        <w:t>Bolgang</w:t>
      </w:r>
      <w:proofErr w:type="spellEnd"/>
      <w:r w:rsidRPr="0080756D">
        <w:rPr>
          <w:sz w:val="20"/>
          <w:szCs w:val="20"/>
        </w:rPr>
        <w:t xml:space="preserve"> village had higher </w:t>
      </w:r>
      <w:proofErr w:type="spellStart"/>
      <w:r w:rsidRPr="0080756D">
        <w:rPr>
          <w:sz w:val="20"/>
          <w:szCs w:val="20"/>
        </w:rPr>
        <w:t>coliform</w:t>
      </w:r>
      <w:proofErr w:type="spellEnd"/>
      <w:r w:rsidRPr="0080756D">
        <w:rPr>
          <w:sz w:val="20"/>
          <w:szCs w:val="20"/>
        </w:rPr>
        <w:t xml:space="preserve"> counts (8.4 x 10</w:t>
      </w:r>
      <w:r w:rsidRPr="0080756D">
        <w:rPr>
          <w:sz w:val="20"/>
          <w:szCs w:val="20"/>
          <w:vertAlign w:val="superscript"/>
        </w:rPr>
        <w:t xml:space="preserve">5 </w:t>
      </w:r>
      <w:r w:rsidRPr="0080756D">
        <w:rPr>
          <w:sz w:val="20"/>
          <w:szCs w:val="20"/>
          <w:u w:val="single"/>
        </w:rPr>
        <w:t>+</w:t>
      </w:r>
      <w:r w:rsidRPr="0080756D">
        <w:rPr>
          <w:sz w:val="20"/>
          <w:szCs w:val="20"/>
        </w:rPr>
        <w:t xml:space="preserve"> 5.0 x 10</w:t>
      </w:r>
      <w:r w:rsidRPr="0080756D">
        <w:rPr>
          <w:sz w:val="20"/>
          <w:szCs w:val="20"/>
          <w:vertAlign w:val="superscript"/>
        </w:rPr>
        <w:t>4</w:t>
      </w:r>
      <w:r w:rsidRPr="0080756D">
        <w:rPr>
          <w:sz w:val="20"/>
          <w:szCs w:val="20"/>
        </w:rPr>
        <w:t xml:space="preserve">) than those from </w:t>
      </w:r>
      <w:proofErr w:type="spellStart"/>
      <w:r w:rsidRPr="0080756D">
        <w:rPr>
          <w:sz w:val="20"/>
          <w:szCs w:val="20"/>
        </w:rPr>
        <w:t>Magama</w:t>
      </w:r>
      <w:proofErr w:type="spellEnd"/>
      <w:r w:rsidRPr="0080756D">
        <w:rPr>
          <w:sz w:val="20"/>
          <w:szCs w:val="20"/>
        </w:rPr>
        <w:t xml:space="preserve"> village (5.1 x 10</w:t>
      </w:r>
      <w:r w:rsidRPr="0080756D">
        <w:rPr>
          <w:sz w:val="20"/>
          <w:szCs w:val="20"/>
          <w:vertAlign w:val="superscript"/>
        </w:rPr>
        <w:t>5</w:t>
      </w:r>
      <w:r w:rsidRPr="0080756D">
        <w:rPr>
          <w:sz w:val="20"/>
          <w:szCs w:val="20"/>
          <w:u w:val="single"/>
        </w:rPr>
        <w:t>+</w:t>
      </w:r>
      <w:r w:rsidRPr="0080756D">
        <w:rPr>
          <w:sz w:val="20"/>
          <w:szCs w:val="20"/>
        </w:rPr>
        <w:t xml:space="preserve"> 5.0 x 10</w:t>
      </w:r>
      <w:r w:rsidRPr="0080756D">
        <w:rPr>
          <w:sz w:val="20"/>
          <w:szCs w:val="20"/>
          <w:vertAlign w:val="superscript"/>
        </w:rPr>
        <w:t>4</w:t>
      </w:r>
      <w:r w:rsidRPr="0080756D">
        <w:rPr>
          <w:sz w:val="20"/>
          <w:szCs w:val="20"/>
        </w:rPr>
        <w:t xml:space="preserve">). On the other hand, well and borehole waters from the two villages revealed no significant difference (p &gt; 0.05) in total </w:t>
      </w:r>
      <w:proofErr w:type="spellStart"/>
      <w:r w:rsidRPr="0080756D">
        <w:rPr>
          <w:sz w:val="20"/>
          <w:szCs w:val="20"/>
        </w:rPr>
        <w:t>coliform</w:t>
      </w:r>
      <w:proofErr w:type="spellEnd"/>
      <w:r w:rsidRPr="0080756D">
        <w:rPr>
          <w:sz w:val="20"/>
          <w:szCs w:val="20"/>
        </w:rPr>
        <w:t xml:space="preserve"> counts (Table 4). Table 5 presents the biochemical profile of the bacterial isolates from all the water sources in this study.</w:t>
      </w:r>
    </w:p>
    <w:p w:rsidR="00BE3CA6" w:rsidRPr="0080756D" w:rsidRDefault="00BE3CA6" w:rsidP="0080756D">
      <w:pPr>
        <w:suppressAutoHyphens w:val="0"/>
        <w:snapToGrid w:val="0"/>
        <w:ind w:firstLine="425"/>
        <w:jc w:val="both"/>
        <w:rPr>
          <w:sz w:val="20"/>
          <w:szCs w:val="20"/>
        </w:rPr>
        <w:sectPr w:rsidR="00BE3CA6" w:rsidRPr="0080756D" w:rsidSect="0080756D">
          <w:headerReference w:type="default" r:id="rId13"/>
          <w:footerReference w:type="even" r:id="rId14"/>
          <w:footerReference w:type="default" r:id="rId15"/>
          <w:footnotePr>
            <w:pos w:val="beneathText"/>
          </w:footnotePr>
          <w:type w:val="continuous"/>
          <w:pgSz w:w="12240" w:h="15840" w:code="1"/>
          <w:pgMar w:top="1440" w:right="1440" w:bottom="1440" w:left="1440" w:header="720" w:footer="720" w:gutter="0"/>
          <w:cols w:num="2" w:space="600"/>
          <w:docGrid w:linePitch="360"/>
        </w:sectPr>
      </w:pPr>
    </w:p>
    <w:p w:rsidR="0080756D" w:rsidRDefault="0080756D" w:rsidP="0080756D">
      <w:pPr>
        <w:suppressAutoHyphens w:val="0"/>
        <w:snapToGrid w:val="0"/>
        <w:jc w:val="both"/>
        <w:rPr>
          <w:b/>
          <w:sz w:val="20"/>
          <w:szCs w:val="20"/>
          <w:lang w:eastAsia="zh-CN"/>
        </w:rPr>
      </w:pPr>
    </w:p>
    <w:p w:rsidR="00410669" w:rsidRPr="0080756D" w:rsidRDefault="00410669" w:rsidP="0080756D">
      <w:pPr>
        <w:suppressAutoHyphens w:val="0"/>
        <w:snapToGrid w:val="0"/>
        <w:jc w:val="center"/>
        <w:rPr>
          <w:sz w:val="20"/>
          <w:szCs w:val="20"/>
          <w:vertAlign w:val="superscript"/>
        </w:rPr>
      </w:pPr>
      <w:r w:rsidRPr="0080756D">
        <w:rPr>
          <w:b/>
          <w:sz w:val="20"/>
          <w:szCs w:val="20"/>
        </w:rPr>
        <w:t xml:space="preserve">Table 1: Total bacterial and total </w:t>
      </w:r>
      <w:proofErr w:type="spellStart"/>
      <w:r w:rsidRPr="0080756D">
        <w:rPr>
          <w:b/>
          <w:sz w:val="20"/>
          <w:szCs w:val="20"/>
        </w:rPr>
        <w:t>coliform</w:t>
      </w:r>
      <w:proofErr w:type="spellEnd"/>
      <w:r w:rsidRPr="0080756D">
        <w:rPr>
          <w:b/>
          <w:sz w:val="20"/>
          <w:szCs w:val="20"/>
        </w:rPr>
        <w:t xml:space="preserve"> count of bacterial in water sources from </w:t>
      </w:r>
      <w:proofErr w:type="spellStart"/>
      <w:r w:rsidRPr="0080756D">
        <w:rPr>
          <w:b/>
          <w:sz w:val="20"/>
          <w:szCs w:val="20"/>
        </w:rPr>
        <w:t>Magama</w:t>
      </w:r>
      <w:proofErr w:type="spellEnd"/>
    </w:p>
    <w:tbl>
      <w:tblPr>
        <w:tblW w:w="5000" w:type="pct"/>
        <w:jc w:val="center"/>
        <w:tblLook w:val="04A0"/>
      </w:tblPr>
      <w:tblGrid>
        <w:gridCol w:w="1999"/>
        <w:gridCol w:w="1615"/>
        <w:gridCol w:w="3108"/>
        <w:gridCol w:w="2854"/>
      </w:tblGrid>
      <w:tr w:rsidR="00410669" w:rsidRPr="0080756D" w:rsidTr="0080756D">
        <w:trPr>
          <w:jc w:val="center"/>
        </w:trPr>
        <w:tc>
          <w:tcPr>
            <w:tcW w:w="1044" w:type="pct"/>
            <w:tcBorders>
              <w:top w:val="single" w:sz="4" w:space="0" w:color="auto"/>
            </w:tcBorders>
            <w:vAlign w:val="center"/>
          </w:tcPr>
          <w:p w:rsidR="00410669" w:rsidRPr="0080756D" w:rsidRDefault="00410669" w:rsidP="0080756D">
            <w:pPr>
              <w:suppressAutoHyphens w:val="0"/>
              <w:snapToGrid w:val="0"/>
              <w:jc w:val="both"/>
              <w:rPr>
                <w:b/>
                <w:sz w:val="20"/>
                <w:szCs w:val="20"/>
              </w:rPr>
            </w:pPr>
          </w:p>
        </w:tc>
        <w:tc>
          <w:tcPr>
            <w:tcW w:w="843" w:type="pct"/>
            <w:tcBorders>
              <w:top w:val="single" w:sz="4" w:space="0" w:color="auto"/>
            </w:tcBorders>
            <w:vAlign w:val="center"/>
          </w:tcPr>
          <w:p w:rsidR="00410669" w:rsidRPr="0080756D" w:rsidRDefault="00410669" w:rsidP="0080756D">
            <w:pPr>
              <w:suppressAutoHyphens w:val="0"/>
              <w:snapToGrid w:val="0"/>
              <w:jc w:val="both"/>
              <w:rPr>
                <w:b/>
                <w:sz w:val="20"/>
                <w:szCs w:val="20"/>
              </w:rPr>
            </w:pPr>
          </w:p>
        </w:tc>
        <w:tc>
          <w:tcPr>
            <w:tcW w:w="3113" w:type="pct"/>
            <w:gridSpan w:val="2"/>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 xml:space="preserve">Mean </w:t>
            </w:r>
            <w:r w:rsidRPr="0080756D">
              <w:rPr>
                <w:b/>
                <w:sz w:val="20"/>
                <w:szCs w:val="20"/>
                <w:u w:val="single"/>
              </w:rPr>
              <w:t>+</w:t>
            </w:r>
            <w:r w:rsidRPr="0080756D">
              <w:rPr>
                <w:b/>
                <w:sz w:val="20"/>
                <w:szCs w:val="20"/>
              </w:rPr>
              <w:t xml:space="preserve"> SEM</w:t>
            </w:r>
          </w:p>
        </w:tc>
      </w:tr>
      <w:tr w:rsidR="00410669" w:rsidRPr="0080756D" w:rsidTr="0080756D">
        <w:trPr>
          <w:jc w:val="center"/>
        </w:trPr>
        <w:tc>
          <w:tcPr>
            <w:tcW w:w="1044" w:type="pct"/>
            <w:tcBorders>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Water source</w:t>
            </w:r>
          </w:p>
        </w:tc>
        <w:tc>
          <w:tcPr>
            <w:tcW w:w="843" w:type="pct"/>
            <w:tcBorders>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No. of sample</w:t>
            </w:r>
          </w:p>
        </w:tc>
        <w:tc>
          <w:tcPr>
            <w:tcW w:w="1623"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Total bacterial count (</w:t>
            </w:r>
            <w:proofErr w:type="spellStart"/>
            <w:r w:rsidRPr="0080756D">
              <w:rPr>
                <w:b/>
                <w:sz w:val="20"/>
                <w:szCs w:val="20"/>
              </w:rPr>
              <w:t>cfu</w:t>
            </w:r>
            <w:proofErr w:type="spellEnd"/>
            <w:r w:rsidRPr="0080756D">
              <w:rPr>
                <w:b/>
                <w:sz w:val="20"/>
                <w:szCs w:val="20"/>
              </w:rPr>
              <w:t>/ml)</w:t>
            </w:r>
          </w:p>
        </w:tc>
        <w:tc>
          <w:tcPr>
            <w:tcW w:w="1490"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 xml:space="preserve">Total </w:t>
            </w:r>
            <w:proofErr w:type="spellStart"/>
            <w:r w:rsidRPr="0080756D">
              <w:rPr>
                <w:b/>
                <w:sz w:val="20"/>
                <w:szCs w:val="20"/>
              </w:rPr>
              <w:t>coliform</w:t>
            </w:r>
            <w:proofErr w:type="spellEnd"/>
            <w:r w:rsidRPr="0080756D">
              <w:rPr>
                <w:b/>
                <w:sz w:val="20"/>
                <w:szCs w:val="20"/>
              </w:rPr>
              <w:t xml:space="preserve"> count (</w:t>
            </w:r>
            <w:proofErr w:type="spellStart"/>
            <w:r w:rsidRPr="0080756D">
              <w:rPr>
                <w:b/>
                <w:sz w:val="20"/>
                <w:szCs w:val="20"/>
              </w:rPr>
              <w:t>cfu</w:t>
            </w:r>
            <w:proofErr w:type="spellEnd"/>
            <w:r w:rsidRPr="0080756D">
              <w:rPr>
                <w:b/>
                <w:sz w:val="20"/>
                <w:szCs w:val="20"/>
              </w:rPr>
              <w:t>/ml)</w:t>
            </w:r>
          </w:p>
        </w:tc>
      </w:tr>
      <w:tr w:rsidR="00410669" w:rsidRPr="0080756D" w:rsidTr="0080756D">
        <w:trPr>
          <w:jc w:val="center"/>
        </w:trPr>
        <w:tc>
          <w:tcPr>
            <w:tcW w:w="1044"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Well</w:t>
            </w:r>
          </w:p>
        </w:tc>
        <w:tc>
          <w:tcPr>
            <w:tcW w:w="843"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8</w:t>
            </w:r>
          </w:p>
        </w:tc>
        <w:tc>
          <w:tcPr>
            <w:tcW w:w="1623"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6.3 x 10</w:t>
            </w:r>
            <w:r w:rsidRPr="0080756D">
              <w:rPr>
                <w:sz w:val="20"/>
                <w:szCs w:val="20"/>
                <w:vertAlign w:val="superscript"/>
              </w:rPr>
              <w:t>5</w:t>
            </w:r>
            <w:r w:rsidR="00DB3049">
              <w:rPr>
                <w:sz w:val="20"/>
                <w:szCs w:val="20"/>
                <w:vertAlign w:val="superscript"/>
              </w:rPr>
              <w:t xml:space="preserve"> </w:t>
            </w:r>
            <w:r w:rsidRPr="0080756D">
              <w:rPr>
                <w:sz w:val="20"/>
                <w:szCs w:val="20"/>
              </w:rPr>
              <w:t>± 0.7 x 10</w:t>
            </w:r>
            <w:r w:rsidRPr="0080756D">
              <w:rPr>
                <w:sz w:val="20"/>
                <w:szCs w:val="20"/>
                <w:vertAlign w:val="superscript"/>
              </w:rPr>
              <w:t>5 a</w:t>
            </w:r>
          </w:p>
        </w:tc>
        <w:tc>
          <w:tcPr>
            <w:tcW w:w="1490"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5.2 x 10</w:t>
            </w:r>
            <w:r w:rsidRPr="0080756D">
              <w:rPr>
                <w:sz w:val="20"/>
                <w:szCs w:val="20"/>
                <w:vertAlign w:val="superscript"/>
              </w:rPr>
              <w:t xml:space="preserve">5 </w:t>
            </w:r>
            <w:r w:rsidRPr="0080756D">
              <w:rPr>
                <w:sz w:val="20"/>
                <w:szCs w:val="20"/>
              </w:rPr>
              <w:t>± 0.3 x 10</w:t>
            </w:r>
            <w:r w:rsidRPr="0080756D">
              <w:rPr>
                <w:sz w:val="20"/>
                <w:szCs w:val="20"/>
                <w:vertAlign w:val="superscript"/>
              </w:rPr>
              <w:t>5 a</w:t>
            </w:r>
          </w:p>
        </w:tc>
      </w:tr>
      <w:tr w:rsidR="00410669" w:rsidRPr="0080756D" w:rsidTr="0080756D">
        <w:trPr>
          <w:jc w:val="center"/>
        </w:trPr>
        <w:tc>
          <w:tcPr>
            <w:tcW w:w="1044" w:type="pct"/>
            <w:vAlign w:val="center"/>
          </w:tcPr>
          <w:p w:rsidR="00410669" w:rsidRPr="0080756D" w:rsidRDefault="00410669" w:rsidP="0080756D">
            <w:pPr>
              <w:suppressAutoHyphens w:val="0"/>
              <w:snapToGrid w:val="0"/>
              <w:jc w:val="both"/>
              <w:rPr>
                <w:sz w:val="20"/>
                <w:szCs w:val="20"/>
              </w:rPr>
            </w:pPr>
            <w:r w:rsidRPr="0080756D">
              <w:rPr>
                <w:sz w:val="20"/>
                <w:szCs w:val="20"/>
              </w:rPr>
              <w:t>Pond</w:t>
            </w:r>
          </w:p>
        </w:tc>
        <w:tc>
          <w:tcPr>
            <w:tcW w:w="843" w:type="pct"/>
            <w:vAlign w:val="center"/>
          </w:tcPr>
          <w:p w:rsidR="00410669" w:rsidRPr="0080756D" w:rsidRDefault="00410669" w:rsidP="0080756D">
            <w:pPr>
              <w:suppressAutoHyphens w:val="0"/>
              <w:snapToGrid w:val="0"/>
              <w:jc w:val="both"/>
              <w:rPr>
                <w:sz w:val="20"/>
                <w:szCs w:val="20"/>
              </w:rPr>
            </w:pPr>
            <w:r w:rsidRPr="0080756D">
              <w:rPr>
                <w:sz w:val="20"/>
                <w:szCs w:val="20"/>
              </w:rPr>
              <w:t>2</w:t>
            </w:r>
          </w:p>
        </w:tc>
        <w:tc>
          <w:tcPr>
            <w:tcW w:w="1623" w:type="pct"/>
            <w:vAlign w:val="center"/>
          </w:tcPr>
          <w:p w:rsidR="00410669" w:rsidRPr="0080756D" w:rsidRDefault="00410669" w:rsidP="0080756D">
            <w:pPr>
              <w:suppressAutoHyphens w:val="0"/>
              <w:snapToGrid w:val="0"/>
              <w:jc w:val="both"/>
              <w:rPr>
                <w:sz w:val="20"/>
                <w:szCs w:val="20"/>
              </w:rPr>
            </w:pPr>
            <w:r w:rsidRPr="0080756D">
              <w:rPr>
                <w:sz w:val="20"/>
                <w:szCs w:val="20"/>
              </w:rPr>
              <w:t>7.7 x 10</w:t>
            </w:r>
            <w:r w:rsidRPr="0080756D">
              <w:rPr>
                <w:sz w:val="20"/>
                <w:szCs w:val="20"/>
                <w:vertAlign w:val="superscript"/>
              </w:rPr>
              <w:t xml:space="preserve">5 </w:t>
            </w:r>
            <w:r w:rsidRPr="0080756D">
              <w:rPr>
                <w:sz w:val="20"/>
                <w:szCs w:val="20"/>
              </w:rPr>
              <w:t>± 0.0 x10</w:t>
            </w:r>
            <w:r w:rsidRPr="0080756D">
              <w:rPr>
                <w:sz w:val="20"/>
                <w:szCs w:val="20"/>
                <w:vertAlign w:val="superscript"/>
              </w:rPr>
              <w:t>5 a</w:t>
            </w:r>
          </w:p>
        </w:tc>
        <w:tc>
          <w:tcPr>
            <w:tcW w:w="1490" w:type="pct"/>
            <w:vAlign w:val="center"/>
          </w:tcPr>
          <w:p w:rsidR="00410669" w:rsidRPr="0080756D" w:rsidRDefault="00410669" w:rsidP="0080756D">
            <w:pPr>
              <w:suppressAutoHyphens w:val="0"/>
              <w:snapToGrid w:val="0"/>
              <w:jc w:val="both"/>
              <w:rPr>
                <w:sz w:val="20"/>
                <w:szCs w:val="20"/>
                <w:vertAlign w:val="superscript"/>
              </w:rPr>
            </w:pPr>
            <w:r w:rsidRPr="0080756D">
              <w:rPr>
                <w:sz w:val="20"/>
                <w:szCs w:val="20"/>
              </w:rPr>
              <w:t>5.1 x 10</w:t>
            </w:r>
            <w:r w:rsidRPr="0080756D">
              <w:rPr>
                <w:sz w:val="20"/>
                <w:szCs w:val="20"/>
                <w:vertAlign w:val="superscript"/>
              </w:rPr>
              <w:t xml:space="preserve">5 </w:t>
            </w:r>
            <w:r w:rsidRPr="0080756D">
              <w:rPr>
                <w:sz w:val="20"/>
                <w:szCs w:val="20"/>
              </w:rPr>
              <w:t>± 0.0 x 10</w:t>
            </w:r>
            <w:r w:rsidRPr="0080756D">
              <w:rPr>
                <w:sz w:val="20"/>
                <w:szCs w:val="20"/>
                <w:vertAlign w:val="superscript"/>
              </w:rPr>
              <w:t>5 a</w:t>
            </w:r>
          </w:p>
        </w:tc>
      </w:tr>
      <w:tr w:rsidR="00410669" w:rsidRPr="0080756D" w:rsidTr="0080756D">
        <w:trPr>
          <w:jc w:val="center"/>
        </w:trPr>
        <w:tc>
          <w:tcPr>
            <w:tcW w:w="1044" w:type="pct"/>
            <w:tcBorders>
              <w:bottom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Borehole</w:t>
            </w:r>
          </w:p>
        </w:tc>
        <w:tc>
          <w:tcPr>
            <w:tcW w:w="843" w:type="pct"/>
            <w:tcBorders>
              <w:bottom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2</w:t>
            </w:r>
          </w:p>
        </w:tc>
        <w:tc>
          <w:tcPr>
            <w:tcW w:w="1623" w:type="pct"/>
            <w:tcBorders>
              <w:bottom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1.9 x 10</w:t>
            </w:r>
            <w:r w:rsidRPr="0080756D">
              <w:rPr>
                <w:sz w:val="20"/>
                <w:szCs w:val="20"/>
                <w:vertAlign w:val="superscript"/>
              </w:rPr>
              <w:t>5</w:t>
            </w:r>
            <w:r w:rsidRPr="0080756D">
              <w:rPr>
                <w:sz w:val="20"/>
                <w:szCs w:val="20"/>
              </w:rPr>
              <w:t xml:space="preserve"> ± 0.0 x10</w:t>
            </w:r>
            <w:r w:rsidRPr="0080756D">
              <w:rPr>
                <w:sz w:val="20"/>
                <w:szCs w:val="20"/>
                <w:vertAlign w:val="superscript"/>
              </w:rPr>
              <w:t>5 b</w:t>
            </w:r>
          </w:p>
        </w:tc>
        <w:tc>
          <w:tcPr>
            <w:tcW w:w="1490" w:type="pct"/>
            <w:tcBorders>
              <w:bottom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TSTC</w:t>
            </w:r>
          </w:p>
        </w:tc>
      </w:tr>
      <w:tr w:rsidR="00410669" w:rsidRPr="0080756D" w:rsidTr="0080756D">
        <w:trPr>
          <w:jc w:val="center"/>
        </w:trPr>
        <w:tc>
          <w:tcPr>
            <w:tcW w:w="1044"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Statistics</w:t>
            </w:r>
          </w:p>
        </w:tc>
        <w:tc>
          <w:tcPr>
            <w:tcW w:w="843" w:type="pct"/>
            <w:tcBorders>
              <w:top w:val="single" w:sz="4" w:space="0" w:color="auto"/>
            </w:tcBorders>
            <w:vAlign w:val="center"/>
          </w:tcPr>
          <w:p w:rsidR="00410669" w:rsidRPr="0080756D" w:rsidRDefault="00410669" w:rsidP="0080756D">
            <w:pPr>
              <w:suppressAutoHyphens w:val="0"/>
              <w:snapToGrid w:val="0"/>
              <w:jc w:val="both"/>
              <w:rPr>
                <w:sz w:val="20"/>
                <w:szCs w:val="20"/>
              </w:rPr>
            </w:pPr>
          </w:p>
        </w:tc>
        <w:tc>
          <w:tcPr>
            <w:tcW w:w="1623"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 xml:space="preserve">F = 5.911, </w:t>
            </w:r>
            <w:r w:rsidRPr="0080756D">
              <w:rPr>
                <w:i/>
                <w:sz w:val="20"/>
                <w:szCs w:val="20"/>
              </w:rPr>
              <w:t>P</w:t>
            </w:r>
            <w:r w:rsidRPr="0080756D">
              <w:rPr>
                <w:sz w:val="20"/>
                <w:szCs w:val="20"/>
              </w:rPr>
              <w:t xml:space="preserve"> = 0.023*</w:t>
            </w:r>
          </w:p>
        </w:tc>
        <w:tc>
          <w:tcPr>
            <w:tcW w:w="1490"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 xml:space="preserve">F = 47.611, </w:t>
            </w:r>
            <w:r w:rsidRPr="0080756D">
              <w:rPr>
                <w:i/>
                <w:sz w:val="20"/>
                <w:szCs w:val="20"/>
              </w:rPr>
              <w:t xml:space="preserve">P </w:t>
            </w:r>
            <w:r w:rsidRPr="0080756D">
              <w:rPr>
                <w:sz w:val="20"/>
                <w:szCs w:val="20"/>
              </w:rPr>
              <w:t>&lt; 0.001**</w:t>
            </w:r>
          </w:p>
        </w:tc>
      </w:tr>
    </w:tbl>
    <w:p w:rsidR="00410669" w:rsidRPr="0080756D" w:rsidRDefault="00410669" w:rsidP="0080756D">
      <w:pPr>
        <w:suppressAutoHyphens w:val="0"/>
        <w:snapToGrid w:val="0"/>
        <w:jc w:val="both"/>
        <w:rPr>
          <w:sz w:val="20"/>
          <w:szCs w:val="20"/>
        </w:rPr>
      </w:pPr>
      <w:r w:rsidRPr="0080756D">
        <w:rPr>
          <w:sz w:val="20"/>
          <w:szCs w:val="20"/>
        </w:rPr>
        <w:t xml:space="preserve">* = Significant difference exist at </w:t>
      </w:r>
      <w:r w:rsidRPr="0080756D">
        <w:rPr>
          <w:i/>
          <w:sz w:val="20"/>
          <w:szCs w:val="20"/>
        </w:rPr>
        <w:t>P</w:t>
      </w:r>
      <w:r w:rsidRPr="0080756D">
        <w:rPr>
          <w:sz w:val="20"/>
          <w:szCs w:val="20"/>
        </w:rPr>
        <w:t xml:space="preserve"> = 0.05;</w:t>
      </w:r>
      <w:r w:rsidR="00DB3049">
        <w:rPr>
          <w:sz w:val="20"/>
          <w:szCs w:val="20"/>
        </w:rPr>
        <w:t xml:space="preserve"> </w:t>
      </w:r>
      <w:r w:rsidRPr="0080756D">
        <w:rPr>
          <w:sz w:val="20"/>
          <w:szCs w:val="20"/>
        </w:rPr>
        <w:t xml:space="preserve">** = Significant difference exist at </w:t>
      </w:r>
      <w:r w:rsidRPr="0080756D">
        <w:rPr>
          <w:i/>
          <w:sz w:val="20"/>
          <w:szCs w:val="20"/>
        </w:rPr>
        <w:t>P</w:t>
      </w:r>
      <w:r w:rsidRPr="0080756D">
        <w:rPr>
          <w:sz w:val="20"/>
          <w:szCs w:val="20"/>
        </w:rPr>
        <w:t xml:space="preserve"> = 0.01; TSTC = Too scanty to count. Values are mean of triplicate readings. Mean values were separated using Duncan’s multiple range test (DMRT). Mean values with different superscript in the same column are significantly different.</w:t>
      </w:r>
    </w:p>
    <w:p w:rsidR="00FD1F77" w:rsidRPr="0080756D" w:rsidRDefault="00FD1F77" w:rsidP="0080756D">
      <w:pPr>
        <w:suppressAutoHyphens w:val="0"/>
        <w:snapToGrid w:val="0"/>
        <w:jc w:val="center"/>
        <w:rPr>
          <w:b/>
          <w:sz w:val="20"/>
          <w:szCs w:val="20"/>
        </w:rPr>
      </w:pPr>
    </w:p>
    <w:p w:rsidR="00410669" w:rsidRPr="0080756D" w:rsidRDefault="00410669" w:rsidP="0080756D">
      <w:pPr>
        <w:suppressAutoHyphens w:val="0"/>
        <w:snapToGrid w:val="0"/>
        <w:jc w:val="center"/>
        <w:rPr>
          <w:b/>
          <w:sz w:val="20"/>
          <w:szCs w:val="20"/>
        </w:rPr>
      </w:pPr>
      <w:r w:rsidRPr="0080756D">
        <w:rPr>
          <w:b/>
          <w:sz w:val="20"/>
          <w:szCs w:val="20"/>
        </w:rPr>
        <w:t xml:space="preserve">Table 2: Total bacterial and total </w:t>
      </w:r>
      <w:proofErr w:type="spellStart"/>
      <w:r w:rsidRPr="0080756D">
        <w:rPr>
          <w:b/>
          <w:sz w:val="20"/>
          <w:szCs w:val="20"/>
        </w:rPr>
        <w:t>coliform</w:t>
      </w:r>
      <w:proofErr w:type="spellEnd"/>
      <w:r w:rsidRPr="0080756D">
        <w:rPr>
          <w:b/>
          <w:sz w:val="20"/>
          <w:szCs w:val="20"/>
        </w:rPr>
        <w:t xml:space="preserve"> count of bacterial in water sources from </w:t>
      </w:r>
      <w:proofErr w:type="spellStart"/>
      <w:r w:rsidRPr="0080756D">
        <w:rPr>
          <w:b/>
          <w:sz w:val="20"/>
          <w:szCs w:val="20"/>
        </w:rPr>
        <w:t>Bolgang</w:t>
      </w:r>
      <w:proofErr w:type="spellEnd"/>
    </w:p>
    <w:tbl>
      <w:tblPr>
        <w:tblW w:w="5000" w:type="pct"/>
        <w:jc w:val="center"/>
        <w:tblBorders>
          <w:top w:val="single" w:sz="4" w:space="0" w:color="auto"/>
        </w:tblBorders>
        <w:tblLook w:val="04A0"/>
      </w:tblPr>
      <w:tblGrid>
        <w:gridCol w:w="1999"/>
        <w:gridCol w:w="1615"/>
        <w:gridCol w:w="3108"/>
        <w:gridCol w:w="2854"/>
      </w:tblGrid>
      <w:tr w:rsidR="00410669" w:rsidRPr="0080756D" w:rsidTr="0080756D">
        <w:trPr>
          <w:jc w:val="center"/>
        </w:trPr>
        <w:tc>
          <w:tcPr>
            <w:tcW w:w="1044" w:type="pct"/>
            <w:tcBorders>
              <w:top w:val="single" w:sz="4" w:space="0" w:color="auto"/>
            </w:tcBorders>
            <w:vAlign w:val="center"/>
          </w:tcPr>
          <w:p w:rsidR="00410669" w:rsidRPr="0080756D" w:rsidRDefault="00410669" w:rsidP="0080756D">
            <w:pPr>
              <w:suppressAutoHyphens w:val="0"/>
              <w:snapToGrid w:val="0"/>
              <w:jc w:val="both"/>
              <w:rPr>
                <w:b/>
                <w:sz w:val="20"/>
                <w:szCs w:val="20"/>
              </w:rPr>
            </w:pPr>
          </w:p>
        </w:tc>
        <w:tc>
          <w:tcPr>
            <w:tcW w:w="843" w:type="pct"/>
            <w:tcBorders>
              <w:top w:val="single" w:sz="4" w:space="0" w:color="auto"/>
            </w:tcBorders>
            <w:vAlign w:val="center"/>
          </w:tcPr>
          <w:p w:rsidR="00410669" w:rsidRPr="0080756D" w:rsidRDefault="00410669" w:rsidP="0080756D">
            <w:pPr>
              <w:suppressAutoHyphens w:val="0"/>
              <w:snapToGrid w:val="0"/>
              <w:jc w:val="both"/>
              <w:rPr>
                <w:b/>
                <w:sz w:val="20"/>
                <w:szCs w:val="20"/>
              </w:rPr>
            </w:pPr>
          </w:p>
        </w:tc>
        <w:tc>
          <w:tcPr>
            <w:tcW w:w="3113" w:type="pct"/>
            <w:gridSpan w:val="2"/>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 xml:space="preserve">Mean </w:t>
            </w:r>
            <w:r w:rsidRPr="0080756D">
              <w:rPr>
                <w:b/>
                <w:sz w:val="20"/>
                <w:szCs w:val="20"/>
                <w:u w:val="single"/>
              </w:rPr>
              <w:t>+</w:t>
            </w:r>
            <w:r w:rsidRPr="0080756D">
              <w:rPr>
                <w:b/>
                <w:sz w:val="20"/>
                <w:szCs w:val="20"/>
              </w:rPr>
              <w:t xml:space="preserve"> SEM</w:t>
            </w:r>
          </w:p>
        </w:tc>
      </w:tr>
      <w:tr w:rsidR="00410669" w:rsidRPr="0080756D" w:rsidTr="0080756D">
        <w:trPr>
          <w:jc w:val="center"/>
        </w:trPr>
        <w:tc>
          <w:tcPr>
            <w:tcW w:w="1044" w:type="pct"/>
            <w:tcBorders>
              <w:top w:val="nil"/>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Water source</w:t>
            </w:r>
          </w:p>
        </w:tc>
        <w:tc>
          <w:tcPr>
            <w:tcW w:w="843" w:type="pct"/>
            <w:tcBorders>
              <w:top w:val="nil"/>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No. of sample</w:t>
            </w:r>
          </w:p>
        </w:tc>
        <w:tc>
          <w:tcPr>
            <w:tcW w:w="1623"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Total bacterial count (</w:t>
            </w:r>
            <w:proofErr w:type="spellStart"/>
            <w:r w:rsidRPr="0080756D">
              <w:rPr>
                <w:b/>
                <w:sz w:val="20"/>
                <w:szCs w:val="20"/>
              </w:rPr>
              <w:t>cfu</w:t>
            </w:r>
            <w:proofErr w:type="spellEnd"/>
            <w:r w:rsidRPr="0080756D">
              <w:rPr>
                <w:b/>
                <w:sz w:val="20"/>
                <w:szCs w:val="20"/>
              </w:rPr>
              <w:t>/ml)</w:t>
            </w:r>
          </w:p>
        </w:tc>
        <w:tc>
          <w:tcPr>
            <w:tcW w:w="1490"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 xml:space="preserve">Total </w:t>
            </w:r>
            <w:proofErr w:type="spellStart"/>
            <w:r w:rsidRPr="0080756D">
              <w:rPr>
                <w:b/>
                <w:sz w:val="20"/>
                <w:szCs w:val="20"/>
              </w:rPr>
              <w:t>coliform</w:t>
            </w:r>
            <w:proofErr w:type="spellEnd"/>
            <w:r w:rsidRPr="0080756D">
              <w:rPr>
                <w:b/>
                <w:sz w:val="20"/>
                <w:szCs w:val="20"/>
              </w:rPr>
              <w:t xml:space="preserve"> count (</w:t>
            </w:r>
            <w:proofErr w:type="spellStart"/>
            <w:r w:rsidRPr="0080756D">
              <w:rPr>
                <w:b/>
                <w:sz w:val="20"/>
                <w:szCs w:val="20"/>
              </w:rPr>
              <w:t>cfu</w:t>
            </w:r>
            <w:proofErr w:type="spellEnd"/>
            <w:r w:rsidRPr="0080756D">
              <w:rPr>
                <w:b/>
                <w:sz w:val="20"/>
                <w:szCs w:val="20"/>
              </w:rPr>
              <w:t>/ml)</w:t>
            </w:r>
          </w:p>
        </w:tc>
      </w:tr>
      <w:tr w:rsidR="00410669" w:rsidRPr="0080756D" w:rsidTr="0080756D">
        <w:trPr>
          <w:jc w:val="center"/>
        </w:trPr>
        <w:tc>
          <w:tcPr>
            <w:tcW w:w="1044"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Well</w:t>
            </w:r>
          </w:p>
        </w:tc>
        <w:tc>
          <w:tcPr>
            <w:tcW w:w="843"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6</w:t>
            </w:r>
          </w:p>
        </w:tc>
        <w:tc>
          <w:tcPr>
            <w:tcW w:w="1623"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4.0 x 10</w:t>
            </w:r>
            <w:r w:rsidRPr="0080756D">
              <w:rPr>
                <w:sz w:val="20"/>
                <w:szCs w:val="20"/>
                <w:vertAlign w:val="superscript"/>
              </w:rPr>
              <w:t xml:space="preserve">5 </w:t>
            </w:r>
            <w:r w:rsidRPr="0080756D">
              <w:rPr>
                <w:sz w:val="20"/>
                <w:szCs w:val="20"/>
                <w:u w:val="single"/>
              </w:rPr>
              <w:t>+</w:t>
            </w:r>
            <w:r w:rsidRPr="0080756D">
              <w:rPr>
                <w:sz w:val="20"/>
                <w:szCs w:val="20"/>
              </w:rPr>
              <w:t xml:space="preserve"> 0.3 x 10</w:t>
            </w:r>
            <w:r w:rsidRPr="0080756D">
              <w:rPr>
                <w:sz w:val="20"/>
                <w:szCs w:val="20"/>
                <w:vertAlign w:val="superscript"/>
              </w:rPr>
              <w:t>5b</w:t>
            </w:r>
          </w:p>
        </w:tc>
        <w:tc>
          <w:tcPr>
            <w:tcW w:w="1490"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5.2 x 10</w:t>
            </w:r>
            <w:r w:rsidRPr="0080756D">
              <w:rPr>
                <w:sz w:val="20"/>
                <w:szCs w:val="20"/>
                <w:vertAlign w:val="superscript"/>
              </w:rPr>
              <w:t xml:space="preserve">5 </w:t>
            </w:r>
            <w:r w:rsidRPr="0080756D">
              <w:rPr>
                <w:sz w:val="20"/>
                <w:szCs w:val="20"/>
                <w:u w:val="single"/>
              </w:rPr>
              <w:t>+</w:t>
            </w:r>
            <w:r w:rsidRPr="0080756D">
              <w:rPr>
                <w:sz w:val="20"/>
                <w:szCs w:val="20"/>
              </w:rPr>
              <w:t xml:space="preserve"> 0.3 x 10</w:t>
            </w:r>
            <w:r w:rsidRPr="0080756D">
              <w:rPr>
                <w:sz w:val="20"/>
                <w:szCs w:val="20"/>
                <w:vertAlign w:val="superscript"/>
              </w:rPr>
              <w:t>5a</w:t>
            </w:r>
          </w:p>
        </w:tc>
      </w:tr>
      <w:tr w:rsidR="00410669" w:rsidRPr="0080756D" w:rsidTr="0080756D">
        <w:trPr>
          <w:jc w:val="center"/>
        </w:trPr>
        <w:tc>
          <w:tcPr>
            <w:tcW w:w="1044" w:type="pct"/>
            <w:tcBorders>
              <w:top w:val="nil"/>
            </w:tcBorders>
            <w:vAlign w:val="center"/>
          </w:tcPr>
          <w:p w:rsidR="00410669" w:rsidRPr="0080756D" w:rsidRDefault="00410669" w:rsidP="0080756D">
            <w:pPr>
              <w:suppressAutoHyphens w:val="0"/>
              <w:snapToGrid w:val="0"/>
              <w:jc w:val="both"/>
              <w:rPr>
                <w:sz w:val="20"/>
                <w:szCs w:val="20"/>
              </w:rPr>
            </w:pPr>
            <w:r w:rsidRPr="0080756D">
              <w:rPr>
                <w:sz w:val="20"/>
                <w:szCs w:val="20"/>
              </w:rPr>
              <w:t>Pond</w:t>
            </w:r>
          </w:p>
        </w:tc>
        <w:tc>
          <w:tcPr>
            <w:tcW w:w="843" w:type="pct"/>
            <w:tcBorders>
              <w:top w:val="nil"/>
            </w:tcBorders>
            <w:vAlign w:val="center"/>
          </w:tcPr>
          <w:p w:rsidR="00410669" w:rsidRPr="0080756D" w:rsidRDefault="00410669" w:rsidP="0080756D">
            <w:pPr>
              <w:suppressAutoHyphens w:val="0"/>
              <w:snapToGrid w:val="0"/>
              <w:jc w:val="both"/>
              <w:rPr>
                <w:sz w:val="20"/>
                <w:szCs w:val="20"/>
              </w:rPr>
            </w:pPr>
            <w:r w:rsidRPr="0080756D">
              <w:rPr>
                <w:sz w:val="20"/>
                <w:szCs w:val="20"/>
              </w:rPr>
              <w:t>2</w:t>
            </w:r>
          </w:p>
        </w:tc>
        <w:tc>
          <w:tcPr>
            <w:tcW w:w="1623" w:type="pct"/>
            <w:tcBorders>
              <w:top w:val="nil"/>
            </w:tcBorders>
            <w:vAlign w:val="center"/>
          </w:tcPr>
          <w:p w:rsidR="00410669" w:rsidRPr="0080756D" w:rsidRDefault="00410669" w:rsidP="0080756D">
            <w:pPr>
              <w:suppressAutoHyphens w:val="0"/>
              <w:snapToGrid w:val="0"/>
              <w:jc w:val="both"/>
              <w:rPr>
                <w:sz w:val="20"/>
                <w:szCs w:val="20"/>
              </w:rPr>
            </w:pPr>
            <w:r w:rsidRPr="0080756D">
              <w:rPr>
                <w:sz w:val="20"/>
                <w:szCs w:val="20"/>
              </w:rPr>
              <w:t>7.6 x 10</w:t>
            </w:r>
            <w:r w:rsidRPr="0080756D">
              <w:rPr>
                <w:sz w:val="20"/>
                <w:szCs w:val="20"/>
                <w:vertAlign w:val="superscript"/>
              </w:rPr>
              <w:t xml:space="preserve">5 </w:t>
            </w:r>
            <w:r w:rsidRPr="0080756D">
              <w:rPr>
                <w:sz w:val="20"/>
                <w:szCs w:val="20"/>
                <w:u w:val="single"/>
              </w:rPr>
              <w:t>+</w:t>
            </w:r>
            <w:r w:rsidRPr="0080756D">
              <w:rPr>
                <w:sz w:val="20"/>
                <w:szCs w:val="20"/>
              </w:rPr>
              <w:t xml:space="preserve"> 0.0 x 10</w:t>
            </w:r>
            <w:r w:rsidRPr="0080756D">
              <w:rPr>
                <w:sz w:val="20"/>
                <w:szCs w:val="20"/>
                <w:vertAlign w:val="superscript"/>
              </w:rPr>
              <w:t>5a</w:t>
            </w:r>
          </w:p>
        </w:tc>
        <w:tc>
          <w:tcPr>
            <w:tcW w:w="1490" w:type="pct"/>
            <w:tcBorders>
              <w:top w:val="nil"/>
            </w:tcBorders>
            <w:vAlign w:val="center"/>
          </w:tcPr>
          <w:p w:rsidR="00410669" w:rsidRPr="0080756D" w:rsidRDefault="00410669" w:rsidP="0080756D">
            <w:pPr>
              <w:suppressAutoHyphens w:val="0"/>
              <w:snapToGrid w:val="0"/>
              <w:jc w:val="both"/>
              <w:rPr>
                <w:sz w:val="20"/>
                <w:szCs w:val="20"/>
                <w:vertAlign w:val="superscript"/>
              </w:rPr>
            </w:pPr>
            <w:r w:rsidRPr="0080756D">
              <w:rPr>
                <w:sz w:val="20"/>
                <w:szCs w:val="20"/>
              </w:rPr>
              <w:t>5.1 x 10</w:t>
            </w:r>
            <w:r w:rsidRPr="0080756D">
              <w:rPr>
                <w:sz w:val="20"/>
                <w:szCs w:val="20"/>
                <w:vertAlign w:val="superscript"/>
              </w:rPr>
              <w:t xml:space="preserve">5 </w:t>
            </w:r>
            <w:r w:rsidRPr="0080756D">
              <w:rPr>
                <w:sz w:val="20"/>
                <w:szCs w:val="20"/>
                <w:u w:val="single"/>
              </w:rPr>
              <w:t>+</w:t>
            </w:r>
            <w:r w:rsidRPr="0080756D">
              <w:rPr>
                <w:sz w:val="20"/>
                <w:szCs w:val="20"/>
              </w:rPr>
              <w:t xml:space="preserve"> 0.0 x 10</w:t>
            </w:r>
            <w:r w:rsidRPr="0080756D">
              <w:rPr>
                <w:sz w:val="20"/>
                <w:szCs w:val="20"/>
                <w:vertAlign w:val="superscript"/>
              </w:rPr>
              <w:t>5a</w:t>
            </w:r>
          </w:p>
        </w:tc>
      </w:tr>
      <w:tr w:rsidR="00410669" w:rsidRPr="0080756D" w:rsidTr="0080756D">
        <w:trPr>
          <w:jc w:val="center"/>
        </w:trPr>
        <w:tc>
          <w:tcPr>
            <w:tcW w:w="1044" w:type="pct"/>
            <w:tcBorders>
              <w:top w:val="nil"/>
            </w:tcBorders>
            <w:vAlign w:val="center"/>
          </w:tcPr>
          <w:p w:rsidR="00410669" w:rsidRPr="0080756D" w:rsidRDefault="00410669" w:rsidP="0080756D">
            <w:pPr>
              <w:suppressAutoHyphens w:val="0"/>
              <w:snapToGrid w:val="0"/>
              <w:jc w:val="both"/>
              <w:rPr>
                <w:sz w:val="20"/>
                <w:szCs w:val="20"/>
              </w:rPr>
            </w:pPr>
            <w:r w:rsidRPr="0080756D">
              <w:rPr>
                <w:sz w:val="20"/>
                <w:szCs w:val="20"/>
              </w:rPr>
              <w:t>Borehole</w:t>
            </w:r>
          </w:p>
        </w:tc>
        <w:tc>
          <w:tcPr>
            <w:tcW w:w="843" w:type="pct"/>
            <w:tcBorders>
              <w:top w:val="nil"/>
            </w:tcBorders>
            <w:vAlign w:val="center"/>
          </w:tcPr>
          <w:p w:rsidR="00410669" w:rsidRPr="0080756D" w:rsidRDefault="00410669" w:rsidP="0080756D">
            <w:pPr>
              <w:suppressAutoHyphens w:val="0"/>
              <w:snapToGrid w:val="0"/>
              <w:jc w:val="both"/>
              <w:rPr>
                <w:sz w:val="20"/>
                <w:szCs w:val="20"/>
              </w:rPr>
            </w:pPr>
            <w:r w:rsidRPr="0080756D">
              <w:rPr>
                <w:sz w:val="20"/>
                <w:szCs w:val="20"/>
              </w:rPr>
              <w:t>2</w:t>
            </w:r>
          </w:p>
        </w:tc>
        <w:tc>
          <w:tcPr>
            <w:tcW w:w="1623" w:type="pct"/>
            <w:tcBorders>
              <w:top w:val="nil"/>
            </w:tcBorders>
            <w:vAlign w:val="center"/>
          </w:tcPr>
          <w:p w:rsidR="00410669" w:rsidRPr="0080756D" w:rsidRDefault="00410669" w:rsidP="0080756D">
            <w:pPr>
              <w:suppressAutoHyphens w:val="0"/>
              <w:snapToGrid w:val="0"/>
              <w:jc w:val="both"/>
              <w:rPr>
                <w:sz w:val="20"/>
                <w:szCs w:val="20"/>
              </w:rPr>
            </w:pPr>
            <w:r w:rsidRPr="0080756D">
              <w:rPr>
                <w:sz w:val="20"/>
                <w:szCs w:val="20"/>
              </w:rPr>
              <w:t>1.1 x 10</w:t>
            </w:r>
            <w:r w:rsidRPr="0080756D">
              <w:rPr>
                <w:sz w:val="20"/>
                <w:szCs w:val="20"/>
                <w:vertAlign w:val="superscript"/>
              </w:rPr>
              <w:t xml:space="preserve">5 </w:t>
            </w:r>
            <w:r w:rsidRPr="0080756D">
              <w:rPr>
                <w:sz w:val="20"/>
                <w:szCs w:val="20"/>
                <w:u w:val="single"/>
              </w:rPr>
              <w:t>+</w:t>
            </w:r>
            <w:r w:rsidRPr="0080756D">
              <w:rPr>
                <w:sz w:val="20"/>
                <w:szCs w:val="20"/>
              </w:rPr>
              <w:t xml:space="preserve"> 0.0 x 10</w:t>
            </w:r>
            <w:r w:rsidRPr="0080756D">
              <w:rPr>
                <w:sz w:val="20"/>
                <w:szCs w:val="20"/>
                <w:vertAlign w:val="superscript"/>
              </w:rPr>
              <w:t>5c</w:t>
            </w:r>
          </w:p>
        </w:tc>
        <w:tc>
          <w:tcPr>
            <w:tcW w:w="1490" w:type="pct"/>
            <w:tcBorders>
              <w:top w:val="nil"/>
            </w:tcBorders>
            <w:vAlign w:val="center"/>
          </w:tcPr>
          <w:p w:rsidR="00410669" w:rsidRPr="0080756D" w:rsidRDefault="00410669" w:rsidP="0080756D">
            <w:pPr>
              <w:suppressAutoHyphens w:val="0"/>
              <w:snapToGrid w:val="0"/>
              <w:jc w:val="both"/>
              <w:rPr>
                <w:sz w:val="20"/>
                <w:szCs w:val="20"/>
              </w:rPr>
            </w:pPr>
            <w:r w:rsidRPr="0080756D">
              <w:rPr>
                <w:sz w:val="20"/>
                <w:szCs w:val="20"/>
              </w:rPr>
              <w:t>TSTC</w:t>
            </w:r>
          </w:p>
        </w:tc>
      </w:tr>
      <w:tr w:rsidR="00410669" w:rsidRPr="0080756D" w:rsidTr="0080756D">
        <w:trPr>
          <w:jc w:val="center"/>
        </w:trPr>
        <w:tc>
          <w:tcPr>
            <w:tcW w:w="1044" w:type="pct"/>
            <w:tcBorders>
              <w:top w:val="nil"/>
              <w:bottom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Stream</w:t>
            </w:r>
          </w:p>
        </w:tc>
        <w:tc>
          <w:tcPr>
            <w:tcW w:w="843" w:type="pct"/>
            <w:tcBorders>
              <w:top w:val="nil"/>
              <w:bottom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2</w:t>
            </w:r>
          </w:p>
        </w:tc>
        <w:tc>
          <w:tcPr>
            <w:tcW w:w="1623" w:type="pct"/>
            <w:tcBorders>
              <w:top w:val="nil"/>
              <w:bottom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5.9 x 10</w:t>
            </w:r>
            <w:r w:rsidRPr="0080756D">
              <w:rPr>
                <w:sz w:val="20"/>
                <w:szCs w:val="20"/>
                <w:vertAlign w:val="superscript"/>
              </w:rPr>
              <w:t xml:space="preserve">5 </w:t>
            </w:r>
            <w:r w:rsidRPr="0080756D">
              <w:rPr>
                <w:sz w:val="20"/>
                <w:szCs w:val="20"/>
                <w:u w:val="single"/>
              </w:rPr>
              <w:t>+</w:t>
            </w:r>
            <w:r w:rsidRPr="0080756D">
              <w:rPr>
                <w:sz w:val="20"/>
                <w:szCs w:val="20"/>
              </w:rPr>
              <w:t xml:space="preserve"> 1.3 x 10</w:t>
            </w:r>
            <w:r w:rsidRPr="0080756D">
              <w:rPr>
                <w:sz w:val="20"/>
                <w:szCs w:val="20"/>
                <w:vertAlign w:val="superscript"/>
              </w:rPr>
              <w:t>5a</w:t>
            </w:r>
          </w:p>
        </w:tc>
        <w:tc>
          <w:tcPr>
            <w:tcW w:w="1490" w:type="pct"/>
            <w:tcBorders>
              <w:top w:val="nil"/>
              <w:bottom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5.0 x 10</w:t>
            </w:r>
            <w:r w:rsidRPr="0080756D">
              <w:rPr>
                <w:sz w:val="20"/>
                <w:szCs w:val="20"/>
                <w:vertAlign w:val="superscript"/>
              </w:rPr>
              <w:t xml:space="preserve">10 </w:t>
            </w:r>
            <w:r w:rsidRPr="0080756D">
              <w:rPr>
                <w:sz w:val="20"/>
                <w:szCs w:val="20"/>
                <w:u w:val="single"/>
              </w:rPr>
              <w:t xml:space="preserve">+ </w:t>
            </w:r>
            <w:r w:rsidRPr="0080756D">
              <w:rPr>
                <w:sz w:val="20"/>
                <w:szCs w:val="20"/>
              </w:rPr>
              <w:t>5.0 x 10</w:t>
            </w:r>
            <w:r w:rsidRPr="0080756D">
              <w:rPr>
                <w:sz w:val="20"/>
                <w:szCs w:val="20"/>
                <w:vertAlign w:val="superscript"/>
              </w:rPr>
              <w:t>10</w:t>
            </w:r>
          </w:p>
        </w:tc>
      </w:tr>
      <w:tr w:rsidR="00410669" w:rsidRPr="0080756D" w:rsidTr="0080756D">
        <w:trPr>
          <w:jc w:val="center"/>
        </w:trPr>
        <w:tc>
          <w:tcPr>
            <w:tcW w:w="1044" w:type="pct"/>
            <w:tcBorders>
              <w:top w:val="single" w:sz="4" w:space="0" w:color="auto"/>
            </w:tcBorders>
            <w:vAlign w:val="center"/>
          </w:tcPr>
          <w:p w:rsidR="00410669" w:rsidRPr="0080756D" w:rsidRDefault="00410669" w:rsidP="0080756D">
            <w:pPr>
              <w:suppressAutoHyphens w:val="0"/>
              <w:snapToGrid w:val="0"/>
              <w:jc w:val="both"/>
              <w:rPr>
                <w:noProof/>
                <w:sz w:val="20"/>
                <w:szCs w:val="20"/>
              </w:rPr>
            </w:pPr>
            <w:r w:rsidRPr="0080756D">
              <w:rPr>
                <w:noProof/>
                <w:sz w:val="20"/>
                <w:szCs w:val="20"/>
              </w:rPr>
              <w:t>Stattistics</w:t>
            </w:r>
          </w:p>
        </w:tc>
        <w:tc>
          <w:tcPr>
            <w:tcW w:w="843" w:type="pct"/>
            <w:tcBorders>
              <w:top w:val="single" w:sz="4" w:space="0" w:color="auto"/>
            </w:tcBorders>
            <w:vAlign w:val="center"/>
          </w:tcPr>
          <w:p w:rsidR="00410669" w:rsidRPr="0080756D" w:rsidRDefault="00410669" w:rsidP="0080756D">
            <w:pPr>
              <w:suppressAutoHyphens w:val="0"/>
              <w:snapToGrid w:val="0"/>
              <w:jc w:val="both"/>
              <w:rPr>
                <w:sz w:val="20"/>
                <w:szCs w:val="20"/>
              </w:rPr>
            </w:pPr>
          </w:p>
        </w:tc>
        <w:tc>
          <w:tcPr>
            <w:tcW w:w="1623"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 xml:space="preserve">F = 21.491, </w:t>
            </w:r>
            <w:r w:rsidRPr="0080756D">
              <w:rPr>
                <w:i/>
                <w:sz w:val="20"/>
                <w:szCs w:val="20"/>
              </w:rPr>
              <w:t xml:space="preserve">P </w:t>
            </w:r>
            <w:r w:rsidRPr="0080756D">
              <w:rPr>
                <w:sz w:val="20"/>
                <w:szCs w:val="20"/>
              </w:rPr>
              <w:t>&lt; 0.001**</w:t>
            </w:r>
          </w:p>
        </w:tc>
        <w:tc>
          <w:tcPr>
            <w:tcW w:w="1490"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 xml:space="preserve">F = 2.222, </w:t>
            </w:r>
            <w:r w:rsidRPr="0080756D">
              <w:rPr>
                <w:i/>
                <w:sz w:val="20"/>
                <w:szCs w:val="20"/>
              </w:rPr>
              <w:t xml:space="preserve">P </w:t>
            </w:r>
            <w:r w:rsidRPr="0080756D">
              <w:rPr>
                <w:sz w:val="20"/>
                <w:szCs w:val="20"/>
              </w:rPr>
              <w:t>&lt; 0.163</w:t>
            </w:r>
          </w:p>
        </w:tc>
      </w:tr>
    </w:tbl>
    <w:p w:rsidR="00410669" w:rsidRPr="0080756D" w:rsidRDefault="00410669" w:rsidP="0080756D">
      <w:pPr>
        <w:suppressAutoHyphens w:val="0"/>
        <w:snapToGrid w:val="0"/>
        <w:jc w:val="both"/>
        <w:rPr>
          <w:sz w:val="20"/>
          <w:szCs w:val="20"/>
        </w:rPr>
      </w:pPr>
      <w:r w:rsidRPr="0080756D">
        <w:rPr>
          <w:sz w:val="20"/>
          <w:szCs w:val="20"/>
        </w:rPr>
        <w:t xml:space="preserve">* = Significant difference exist at </w:t>
      </w:r>
      <w:r w:rsidRPr="0080756D">
        <w:rPr>
          <w:i/>
          <w:sz w:val="20"/>
          <w:szCs w:val="20"/>
        </w:rPr>
        <w:t>P</w:t>
      </w:r>
      <w:r w:rsidRPr="0080756D">
        <w:rPr>
          <w:sz w:val="20"/>
          <w:szCs w:val="20"/>
        </w:rPr>
        <w:t xml:space="preserve"> = 0.05; ** = Significant difference exist at </w:t>
      </w:r>
      <w:r w:rsidRPr="0080756D">
        <w:rPr>
          <w:i/>
          <w:sz w:val="20"/>
          <w:szCs w:val="20"/>
        </w:rPr>
        <w:t>P</w:t>
      </w:r>
      <w:r w:rsidRPr="0080756D">
        <w:rPr>
          <w:sz w:val="20"/>
          <w:szCs w:val="20"/>
        </w:rPr>
        <w:t xml:space="preserve"> = 0.01; TSTC = Too scanty to count</w:t>
      </w:r>
      <w:r w:rsidR="00FD1F77" w:rsidRPr="0080756D">
        <w:rPr>
          <w:sz w:val="20"/>
          <w:szCs w:val="20"/>
        </w:rPr>
        <w:t xml:space="preserve">; </w:t>
      </w:r>
      <w:r w:rsidRPr="0080756D">
        <w:rPr>
          <w:sz w:val="20"/>
          <w:szCs w:val="20"/>
        </w:rPr>
        <w:t>Values are mean of triplicate readings. Mean values were separated using Duncan’s multiple range test (DMRT). Mean values with different superscript in the same column are significantly different.</w:t>
      </w:r>
    </w:p>
    <w:p w:rsidR="00410669" w:rsidRPr="0080756D" w:rsidRDefault="00410669" w:rsidP="0080756D">
      <w:pPr>
        <w:suppressAutoHyphens w:val="0"/>
        <w:snapToGrid w:val="0"/>
        <w:jc w:val="center"/>
        <w:rPr>
          <w:sz w:val="20"/>
          <w:szCs w:val="20"/>
        </w:rPr>
      </w:pPr>
    </w:p>
    <w:p w:rsidR="00410669" w:rsidRPr="0080756D" w:rsidRDefault="00410669" w:rsidP="0080756D">
      <w:pPr>
        <w:suppressAutoHyphens w:val="0"/>
        <w:snapToGrid w:val="0"/>
        <w:jc w:val="center"/>
        <w:rPr>
          <w:sz w:val="20"/>
          <w:szCs w:val="20"/>
        </w:rPr>
      </w:pPr>
      <w:r w:rsidRPr="0080756D">
        <w:rPr>
          <w:sz w:val="20"/>
          <w:szCs w:val="20"/>
        </w:rPr>
        <w:lastRenderedPageBreak/>
        <w:t>Table 3:</w:t>
      </w:r>
      <w:r w:rsidRPr="0080756D">
        <w:rPr>
          <w:b/>
          <w:sz w:val="20"/>
          <w:szCs w:val="20"/>
        </w:rPr>
        <w:t xml:space="preserve"> </w:t>
      </w:r>
      <w:r w:rsidRPr="0080756D">
        <w:rPr>
          <w:sz w:val="20"/>
          <w:szCs w:val="20"/>
        </w:rPr>
        <w:t xml:space="preserve">Comparison of the heterotrophic bacterial counts of water sources in </w:t>
      </w: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villages</w:t>
      </w:r>
    </w:p>
    <w:tbl>
      <w:tblPr>
        <w:tblW w:w="5000" w:type="pct"/>
        <w:jc w:val="center"/>
        <w:tblBorders>
          <w:top w:val="single" w:sz="4" w:space="0" w:color="auto"/>
          <w:bottom w:val="single" w:sz="4" w:space="0" w:color="auto"/>
        </w:tblBorders>
        <w:tblLook w:val="04A0"/>
      </w:tblPr>
      <w:tblGrid>
        <w:gridCol w:w="1628"/>
        <w:gridCol w:w="1988"/>
        <w:gridCol w:w="2298"/>
        <w:gridCol w:w="1739"/>
        <w:gridCol w:w="1923"/>
      </w:tblGrid>
      <w:tr w:rsidR="00410669" w:rsidRPr="0080756D" w:rsidTr="0080756D">
        <w:trPr>
          <w:jc w:val="center"/>
        </w:trPr>
        <w:tc>
          <w:tcPr>
            <w:tcW w:w="850" w:type="pct"/>
            <w:vMerge w:val="restart"/>
            <w:tcBorders>
              <w:top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Water source</w:t>
            </w:r>
          </w:p>
        </w:tc>
        <w:tc>
          <w:tcPr>
            <w:tcW w:w="2238" w:type="pct"/>
            <w:gridSpan w:val="2"/>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 xml:space="preserve">Mean </w:t>
            </w:r>
            <w:r w:rsidRPr="0080756D">
              <w:rPr>
                <w:b/>
                <w:sz w:val="20"/>
                <w:szCs w:val="20"/>
                <w:u w:val="single"/>
              </w:rPr>
              <w:t>+</w:t>
            </w:r>
            <w:r w:rsidRPr="0080756D">
              <w:rPr>
                <w:b/>
                <w:sz w:val="20"/>
                <w:szCs w:val="20"/>
              </w:rPr>
              <w:t xml:space="preserve"> SEM</w:t>
            </w:r>
          </w:p>
        </w:tc>
        <w:tc>
          <w:tcPr>
            <w:tcW w:w="908" w:type="pct"/>
            <w:vMerge w:val="restart"/>
            <w:tcBorders>
              <w:top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t-test</w:t>
            </w:r>
          </w:p>
        </w:tc>
        <w:tc>
          <w:tcPr>
            <w:tcW w:w="1004" w:type="pct"/>
            <w:vMerge w:val="restart"/>
            <w:tcBorders>
              <w:top w:val="single" w:sz="4" w:space="0" w:color="auto"/>
            </w:tcBorders>
            <w:vAlign w:val="center"/>
          </w:tcPr>
          <w:p w:rsidR="00410669" w:rsidRPr="0080756D" w:rsidRDefault="00410669" w:rsidP="0080756D">
            <w:pPr>
              <w:suppressAutoHyphens w:val="0"/>
              <w:snapToGrid w:val="0"/>
              <w:jc w:val="both"/>
              <w:rPr>
                <w:b/>
                <w:sz w:val="20"/>
                <w:szCs w:val="20"/>
              </w:rPr>
            </w:pPr>
            <w:r w:rsidRPr="0080756D">
              <w:rPr>
                <w:b/>
                <w:sz w:val="20"/>
                <w:szCs w:val="20"/>
              </w:rPr>
              <w:t>P-value</w:t>
            </w:r>
          </w:p>
        </w:tc>
      </w:tr>
      <w:tr w:rsidR="00410669" w:rsidRPr="0080756D" w:rsidTr="0080756D">
        <w:trPr>
          <w:jc w:val="center"/>
        </w:trPr>
        <w:tc>
          <w:tcPr>
            <w:tcW w:w="850" w:type="pct"/>
            <w:vMerge/>
            <w:tcBorders>
              <w:bottom w:val="single" w:sz="4" w:space="0" w:color="auto"/>
            </w:tcBorders>
            <w:vAlign w:val="center"/>
          </w:tcPr>
          <w:p w:rsidR="00410669" w:rsidRPr="0080756D" w:rsidRDefault="00410669" w:rsidP="0080756D">
            <w:pPr>
              <w:suppressAutoHyphens w:val="0"/>
              <w:snapToGrid w:val="0"/>
              <w:jc w:val="both"/>
              <w:rPr>
                <w:b/>
                <w:sz w:val="20"/>
                <w:szCs w:val="20"/>
              </w:rPr>
            </w:pPr>
          </w:p>
        </w:tc>
        <w:tc>
          <w:tcPr>
            <w:tcW w:w="1038"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proofErr w:type="spellStart"/>
            <w:r w:rsidRPr="0080756D">
              <w:rPr>
                <w:b/>
                <w:sz w:val="20"/>
                <w:szCs w:val="20"/>
              </w:rPr>
              <w:t>Magama</w:t>
            </w:r>
            <w:proofErr w:type="spellEnd"/>
          </w:p>
        </w:tc>
        <w:tc>
          <w:tcPr>
            <w:tcW w:w="1200"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b/>
                <w:sz w:val="20"/>
                <w:szCs w:val="20"/>
              </w:rPr>
            </w:pPr>
            <w:proofErr w:type="spellStart"/>
            <w:r w:rsidRPr="0080756D">
              <w:rPr>
                <w:b/>
                <w:sz w:val="20"/>
                <w:szCs w:val="20"/>
              </w:rPr>
              <w:t>Bolgang</w:t>
            </w:r>
            <w:proofErr w:type="spellEnd"/>
          </w:p>
        </w:tc>
        <w:tc>
          <w:tcPr>
            <w:tcW w:w="908" w:type="pct"/>
            <w:vMerge/>
            <w:tcBorders>
              <w:bottom w:val="single" w:sz="4" w:space="0" w:color="auto"/>
            </w:tcBorders>
            <w:vAlign w:val="center"/>
          </w:tcPr>
          <w:p w:rsidR="00410669" w:rsidRPr="0080756D" w:rsidRDefault="00410669" w:rsidP="0080756D">
            <w:pPr>
              <w:suppressAutoHyphens w:val="0"/>
              <w:snapToGrid w:val="0"/>
              <w:jc w:val="both"/>
              <w:rPr>
                <w:b/>
                <w:sz w:val="20"/>
                <w:szCs w:val="20"/>
              </w:rPr>
            </w:pPr>
          </w:p>
        </w:tc>
        <w:tc>
          <w:tcPr>
            <w:tcW w:w="1004" w:type="pct"/>
            <w:vMerge/>
            <w:tcBorders>
              <w:bottom w:val="single" w:sz="4" w:space="0" w:color="auto"/>
            </w:tcBorders>
            <w:vAlign w:val="center"/>
          </w:tcPr>
          <w:p w:rsidR="00410669" w:rsidRPr="0080756D" w:rsidRDefault="00410669" w:rsidP="0080756D">
            <w:pPr>
              <w:suppressAutoHyphens w:val="0"/>
              <w:snapToGrid w:val="0"/>
              <w:jc w:val="both"/>
              <w:rPr>
                <w:b/>
                <w:sz w:val="20"/>
                <w:szCs w:val="20"/>
              </w:rPr>
            </w:pPr>
          </w:p>
        </w:tc>
      </w:tr>
      <w:tr w:rsidR="00410669" w:rsidRPr="0080756D" w:rsidTr="0080756D">
        <w:trPr>
          <w:jc w:val="center"/>
        </w:trPr>
        <w:tc>
          <w:tcPr>
            <w:tcW w:w="850"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Well</w:t>
            </w:r>
          </w:p>
        </w:tc>
        <w:tc>
          <w:tcPr>
            <w:tcW w:w="1038"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6.3 x 10</w:t>
            </w:r>
            <w:r w:rsidRPr="0080756D">
              <w:rPr>
                <w:sz w:val="20"/>
                <w:szCs w:val="20"/>
                <w:vertAlign w:val="superscript"/>
              </w:rPr>
              <w:t xml:space="preserve">5 </w:t>
            </w:r>
            <w:r w:rsidRPr="0080756D">
              <w:rPr>
                <w:sz w:val="20"/>
                <w:szCs w:val="20"/>
                <w:u w:val="single"/>
              </w:rPr>
              <w:t>+</w:t>
            </w:r>
            <w:r w:rsidRPr="0080756D">
              <w:rPr>
                <w:sz w:val="20"/>
                <w:szCs w:val="20"/>
              </w:rPr>
              <w:t xml:space="preserve"> 0.7 x 10</w:t>
            </w:r>
            <w:r w:rsidRPr="0080756D">
              <w:rPr>
                <w:sz w:val="20"/>
                <w:szCs w:val="20"/>
                <w:vertAlign w:val="superscript"/>
              </w:rPr>
              <w:t>5</w:t>
            </w:r>
          </w:p>
        </w:tc>
        <w:tc>
          <w:tcPr>
            <w:tcW w:w="1200"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4.0 x 10</w:t>
            </w:r>
            <w:r w:rsidRPr="0080756D">
              <w:rPr>
                <w:sz w:val="20"/>
                <w:szCs w:val="20"/>
                <w:vertAlign w:val="superscript"/>
              </w:rPr>
              <w:t xml:space="preserve">5 </w:t>
            </w:r>
            <w:r w:rsidRPr="0080756D">
              <w:rPr>
                <w:sz w:val="20"/>
                <w:szCs w:val="20"/>
                <w:u w:val="single"/>
              </w:rPr>
              <w:t>+</w:t>
            </w:r>
            <w:r w:rsidRPr="0080756D">
              <w:rPr>
                <w:sz w:val="20"/>
                <w:szCs w:val="20"/>
              </w:rPr>
              <w:t xml:space="preserve"> 0.3 x 10</w:t>
            </w:r>
            <w:r w:rsidRPr="0080756D">
              <w:rPr>
                <w:sz w:val="20"/>
                <w:szCs w:val="20"/>
                <w:vertAlign w:val="superscript"/>
              </w:rPr>
              <w:t>5</w:t>
            </w:r>
          </w:p>
        </w:tc>
        <w:tc>
          <w:tcPr>
            <w:tcW w:w="908"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2.875</w:t>
            </w:r>
          </w:p>
        </w:tc>
        <w:tc>
          <w:tcPr>
            <w:tcW w:w="1004" w:type="pct"/>
            <w:tcBorders>
              <w:top w:val="single" w:sz="4" w:space="0" w:color="auto"/>
            </w:tcBorders>
            <w:vAlign w:val="center"/>
          </w:tcPr>
          <w:p w:rsidR="00410669" w:rsidRPr="0080756D" w:rsidRDefault="00410669" w:rsidP="0080756D">
            <w:pPr>
              <w:suppressAutoHyphens w:val="0"/>
              <w:snapToGrid w:val="0"/>
              <w:jc w:val="both"/>
              <w:rPr>
                <w:sz w:val="20"/>
                <w:szCs w:val="20"/>
              </w:rPr>
            </w:pPr>
            <w:r w:rsidRPr="0080756D">
              <w:rPr>
                <w:sz w:val="20"/>
                <w:szCs w:val="20"/>
              </w:rPr>
              <w:t>0.018*</w:t>
            </w:r>
          </w:p>
        </w:tc>
      </w:tr>
      <w:tr w:rsidR="00410669" w:rsidRPr="0080756D" w:rsidTr="0080756D">
        <w:trPr>
          <w:jc w:val="center"/>
        </w:trPr>
        <w:tc>
          <w:tcPr>
            <w:tcW w:w="850" w:type="pct"/>
            <w:vAlign w:val="center"/>
          </w:tcPr>
          <w:p w:rsidR="00410669" w:rsidRPr="0080756D" w:rsidRDefault="00410669" w:rsidP="0080756D">
            <w:pPr>
              <w:suppressAutoHyphens w:val="0"/>
              <w:snapToGrid w:val="0"/>
              <w:jc w:val="both"/>
              <w:rPr>
                <w:sz w:val="20"/>
                <w:szCs w:val="20"/>
              </w:rPr>
            </w:pPr>
            <w:r w:rsidRPr="0080756D">
              <w:rPr>
                <w:sz w:val="20"/>
                <w:szCs w:val="20"/>
              </w:rPr>
              <w:t>Pond</w:t>
            </w:r>
          </w:p>
        </w:tc>
        <w:tc>
          <w:tcPr>
            <w:tcW w:w="1038" w:type="pct"/>
            <w:vAlign w:val="center"/>
          </w:tcPr>
          <w:p w:rsidR="00410669" w:rsidRPr="0080756D" w:rsidRDefault="00410669" w:rsidP="0080756D">
            <w:pPr>
              <w:suppressAutoHyphens w:val="0"/>
              <w:snapToGrid w:val="0"/>
              <w:jc w:val="both"/>
              <w:rPr>
                <w:sz w:val="20"/>
                <w:szCs w:val="20"/>
              </w:rPr>
            </w:pPr>
            <w:r w:rsidRPr="0080756D">
              <w:rPr>
                <w:sz w:val="20"/>
                <w:szCs w:val="20"/>
              </w:rPr>
              <w:t>7.7 x 10</w:t>
            </w:r>
            <w:r w:rsidRPr="0080756D">
              <w:rPr>
                <w:sz w:val="20"/>
                <w:szCs w:val="20"/>
                <w:vertAlign w:val="superscript"/>
              </w:rPr>
              <w:t xml:space="preserve">5 </w:t>
            </w:r>
            <w:r w:rsidRPr="0080756D">
              <w:rPr>
                <w:sz w:val="20"/>
                <w:szCs w:val="20"/>
                <w:u w:val="single"/>
              </w:rPr>
              <w:t>+</w:t>
            </w:r>
            <w:r w:rsidRPr="0080756D">
              <w:rPr>
                <w:sz w:val="20"/>
                <w:szCs w:val="20"/>
              </w:rPr>
              <w:t xml:space="preserve"> 5.0 x 10</w:t>
            </w:r>
            <w:r w:rsidRPr="0080756D">
              <w:rPr>
                <w:sz w:val="20"/>
                <w:szCs w:val="20"/>
                <w:vertAlign w:val="superscript"/>
              </w:rPr>
              <w:t>4</w:t>
            </w:r>
          </w:p>
        </w:tc>
        <w:tc>
          <w:tcPr>
            <w:tcW w:w="1200" w:type="pct"/>
            <w:vAlign w:val="center"/>
          </w:tcPr>
          <w:p w:rsidR="00410669" w:rsidRPr="0080756D" w:rsidRDefault="00410669" w:rsidP="0080756D">
            <w:pPr>
              <w:suppressAutoHyphens w:val="0"/>
              <w:snapToGrid w:val="0"/>
              <w:jc w:val="both"/>
              <w:rPr>
                <w:sz w:val="20"/>
                <w:szCs w:val="20"/>
              </w:rPr>
            </w:pPr>
            <w:r w:rsidRPr="0080756D">
              <w:rPr>
                <w:sz w:val="20"/>
                <w:szCs w:val="20"/>
              </w:rPr>
              <w:t>1.1 x 10</w:t>
            </w:r>
            <w:r w:rsidRPr="0080756D">
              <w:rPr>
                <w:sz w:val="20"/>
                <w:szCs w:val="20"/>
                <w:vertAlign w:val="superscript"/>
              </w:rPr>
              <w:t>5</w:t>
            </w:r>
            <w:r w:rsidR="00DB3049">
              <w:rPr>
                <w:sz w:val="20"/>
                <w:szCs w:val="20"/>
                <w:vertAlign w:val="superscript"/>
              </w:rPr>
              <w:t xml:space="preserve"> </w:t>
            </w:r>
            <w:r w:rsidRPr="0080756D">
              <w:rPr>
                <w:sz w:val="20"/>
                <w:szCs w:val="20"/>
                <w:u w:val="single"/>
              </w:rPr>
              <w:t>+</w:t>
            </w:r>
            <w:r w:rsidRPr="0080756D">
              <w:rPr>
                <w:sz w:val="20"/>
                <w:szCs w:val="20"/>
              </w:rPr>
              <w:t xml:space="preserve"> 5.0 x 10</w:t>
            </w:r>
            <w:r w:rsidRPr="0080756D">
              <w:rPr>
                <w:sz w:val="20"/>
                <w:szCs w:val="20"/>
                <w:vertAlign w:val="superscript"/>
              </w:rPr>
              <w:t>4</w:t>
            </w:r>
          </w:p>
        </w:tc>
        <w:tc>
          <w:tcPr>
            <w:tcW w:w="908" w:type="pct"/>
            <w:vAlign w:val="center"/>
          </w:tcPr>
          <w:p w:rsidR="00410669" w:rsidRPr="0080756D" w:rsidRDefault="00410669" w:rsidP="0080756D">
            <w:pPr>
              <w:suppressAutoHyphens w:val="0"/>
              <w:snapToGrid w:val="0"/>
              <w:jc w:val="both"/>
              <w:rPr>
                <w:sz w:val="20"/>
                <w:szCs w:val="20"/>
                <w:vertAlign w:val="superscript"/>
              </w:rPr>
            </w:pPr>
            <w:r w:rsidRPr="0080756D">
              <w:rPr>
                <w:sz w:val="20"/>
                <w:szCs w:val="20"/>
              </w:rPr>
              <w:t>14142.136</w:t>
            </w:r>
          </w:p>
        </w:tc>
        <w:tc>
          <w:tcPr>
            <w:tcW w:w="1004" w:type="pct"/>
            <w:vAlign w:val="center"/>
          </w:tcPr>
          <w:p w:rsidR="00410669" w:rsidRPr="0080756D" w:rsidRDefault="00410669" w:rsidP="0080756D">
            <w:pPr>
              <w:suppressAutoHyphens w:val="0"/>
              <w:snapToGrid w:val="0"/>
              <w:jc w:val="both"/>
              <w:rPr>
                <w:sz w:val="20"/>
                <w:szCs w:val="20"/>
              </w:rPr>
            </w:pPr>
            <w:r w:rsidRPr="0080756D">
              <w:rPr>
                <w:sz w:val="20"/>
                <w:szCs w:val="20"/>
              </w:rPr>
              <w:t>&lt;0.001**</w:t>
            </w:r>
          </w:p>
        </w:tc>
      </w:tr>
      <w:tr w:rsidR="00410669" w:rsidRPr="0080756D" w:rsidTr="0080756D">
        <w:trPr>
          <w:jc w:val="center"/>
        </w:trPr>
        <w:tc>
          <w:tcPr>
            <w:tcW w:w="850" w:type="pct"/>
            <w:vAlign w:val="center"/>
          </w:tcPr>
          <w:p w:rsidR="00410669" w:rsidRPr="0080756D" w:rsidRDefault="00410669" w:rsidP="0080756D">
            <w:pPr>
              <w:suppressAutoHyphens w:val="0"/>
              <w:snapToGrid w:val="0"/>
              <w:jc w:val="both"/>
              <w:rPr>
                <w:sz w:val="20"/>
                <w:szCs w:val="20"/>
              </w:rPr>
            </w:pPr>
            <w:r w:rsidRPr="0080756D">
              <w:rPr>
                <w:sz w:val="20"/>
                <w:szCs w:val="20"/>
              </w:rPr>
              <w:t>Borehole</w:t>
            </w:r>
          </w:p>
        </w:tc>
        <w:tc>
          <w:tcPr>
            <w:tcW w:w="1038" w:type="pct"/>
            <w:vAlign w:val="center"/>
          </w:tcPr>
          <w:p w:rsidR="00410669" w:rsidRPr="0080756D" w:rsidRDefault="00410669" w:rsidP="0080756D">
            <w:pPr>
              <w:suppressAutoHyphens w:val="0"/>
              <w:snapToGrid w:val="0"/>
              <w:jc w:val="both"/>
              <w:rPr>
                <w:sz w:val="20"/>
                <w:szCs w:val="20"/>
              </w:rPr>
            </w:pPr>
            <w:r w:rsidRPr="0080756D">
              <w:rPr>
                <w:sz w:val="20"/>
                <w:szCs w:val="20"/>
              </w:rPr>
              <w:t>1.9 x 10</w:t>
            </w:r>
            <w:r w:rsidRPr="0080756D">
              <w:rPr>
                <w:sz w:val="20"/>
                <w:szCs w:val="20"/>
                <w:vertAlign w:val="superscript"/>
              </w:rPr>
              <w:t xml:space="preserve">5 </w:t>
            </w:r>
            <w:r w:rsidRPr="0080756D">
              <w:rPr>
                <w:sz w:val="20"/>
                <w:szCs w:val="20"/>
                <w:u w:val="single"/>
              </w:rPr>
              <w:t>+</w:t>
            </w:r>
            <w:r w:rsidRPr="0080756D">
              <w:rPr>
                <w:sz w:val="20"/>
                <w:szCs w:val="20"/>
              </w:rPr>
              <w:t xml:space="preserve"> 5.0 x 10</w:t>
            </w:r>
            <w:r w:rsidRPr="0080756D">
              <w:rPr>
                <w:sz w:val="20"/>
                <w:szCs w:val="20"/>
                <w:vertAlign w:val="superscript"/>
              </w:rPr>
              <w:t>4</w:t>
            </w:r>
          </w:p>
        </w:tc>
        <w:tc>
          <w:tcPr>
            <w:tcW w:w="1200" w:type="pct"/>
            <w:vAlign w:val="center"/>
          </w:tcPr>
          <w:p w:rsidR="00410669" w:rsidRPr="0080756D" w:rsidRDefault="00410669" w:rsidP="0080756D">
            <w:pPr>
              <w:suppressAutoHyphens w:val="0"/>
              <w:snapToGrid w:val="0"/>
              <w:jc w:val="both"/>
              <w:rPr>
                <w:sz w:val="20"/>
                <w:szCs w:val="20"/>
              </w:rPr>
            </w:pPr>
            <w:r w:rsidRPr="0080756D">
              <w:rPr>
                <w:sz w:val="20"/>
                <w:szCs w:val="20"/>
              </w:rPr>
              <w:t>1.1 x 10</w:t>
            </w:r>
            <w:r w:rsidRPr="0080756D">
              <w:rPr>
                <w:sz w:val="20"/>
                <w:szCs w:val="20"/>
                <w:vertAlign w:val="superscript"/>
              </w:rPr>
              <w:t xml:space="preserve">5 </w:t>
            </w:r>
            <w:r w:rsidRPr="0080756D">
              <w:rPr>
                <w:sz w:val="20"/>
                <w:szCs w:val="20"/>
                <w:u w:val="single"/>
              </w:rPr>
              <w:t>+</w:t>
            </w:r>
            <w:r w:rsidRPr="0080756D">
              <w:rPr>
                <w:sz w:val="20"/>
                <w:szCs w:val="20"/>
              </w:rPr>
              <w:t xml:space="preserve"> 5.0 x10</w:t>
            </w:r>
            <w:r w:rsidRPr="0080756D">
              <w:rPr>
                <w:sz w:val="20"/>
                <w:szCs w:val="20"/>
                <w:vertAlign w:val="superscript"/>
              </w:rPr>
              <w:t>4</w:t>
            </w:r>
          </w:p>
        </w:tc>
        <w:tc>
          <w:tcPr>
            <w:tcW w:w="908" w:type="pct"/>
            <w:vAlign w:val="center"/>
          </w:tcPr>
          <w:p w:rsidR="00410669" w:rsidRPr="0080756D" w:rsidRDefault="00410669" w:rsidP="0080756D">
            <w:pPr>
              <w:suppressAutoHyphens w:val="0"/>
              <w:snapToGrid w:val="0"/>
              <w:jc w:val="both"/>
              <w:rPr>
                <w:sz w:val="20"/>
                <w:szCs w:val="20"/>
              </w:rPr>
            </w:pPr>
            <w:r w:rsidRPr="0080756D">
              <w:rPr>
                <w:sz w:val="20"/>
                <w:szCs w:val="20"/>
              </w:rPr>
              <w:t>113137.085</w:t>
            </w:r>
          </w:p>
        </w:tc>
        <w:tc>
          <w:tcPr>
            <w:tcW w:w="1004" w:type="pct"/>
            <w:vAlign w:val="center"/>
          </w:tcPr>
          <w:p w:rsidR="00410669" w:rsidRPr="0080756D" w:rsidRDefault="00410669" w:rsidP="0080756D">
            <w:pPr>
              <w:suppressAutoHyphens w:val="0"/>
              <w:snapToGrid w:val="0"/>
              <w:jc w:val="both"/>
              <w:rPr>
                <w:sz w:val="20"/>
                <w:szCs w:val="20"/>
              </w:rPr>
            </w:pPr>
            <w:r w:rsidRPr="0080756D">
              <w:rPr>
                <w:sz w:val="20"/>
                <w:szCs w:val="20"/>
              </w:rPr>
              <w:t>&lt;0.0001**</w:t>
            </w:r>
          </w:p>
        </w:tc>
      </w:tr>
    </w:tbl>
    <w:p w:rsidR="00410669" w:rsidRPr="0080756D" w:rsidRDefault="00410669" w:rsidP="0080756D">
      <w:pPr>
        <w:suppressAutoHyphens w:val="0"/>
        <w:snapToGrid w:val="0"/>
        <w:jc w:val="both"/>
        <w:rPr>
          <w:sz w:val="20"/>
          <w:szCs w:val="20"/>
        </w:rPr>
      </w:pPr>
      <w:r w:rsidRPr="0080756D">
        <w:rPr>
          <w:sz w:val="20"/>
          <w:szCs w:val="20"/>
        </w:rPr>
        <w:t>* = significant difference exists at p ≤ 0.05; ** = significant difference exists at p ≤ 0.01</w:t>
      </w:r>
    </w:p>
    <w:p w:rsidR="00410669" w:rsidRPr="0080756D" w:rsidRDefault="00410669" w:rsidP="0080756D">
      <w:pPr>
        <w:suppressAutoHyphens w:val="0"/>
        <w:snapToGrid w:val="0"/>
        <w:jc w:val="center"/>
        <w:rPr>
          <w:sz w:val="20"/>
          <w:szCs w:val="20"/>
        </w:rPr>
      </w:pPr>
    </w:p>
    <w:p w:rsidR="00410669" w:rsidRPr="0080756D" w:rsidRDefault="00410669" w:rsidP="0080756D">
      <w:pPr>
        <w:suppressAutoHyphens w:val="0"/>
        <w:snapToGrid w:val="0"/>
        <w:jc w:val="center"/>
        <w:rPr>
          <w:sz w:val="20"/>
          <w:szCs w:val="20"/>
        </w:rPr>
      </w:pPr>
      <w:r w:rsidRPr="0080756D">
        <w:rPr>
          <w:sz w:val="20"/>
          <w:szCs w:val="20"/>
        </w:rPr>
        <w:t xml:space="preserve">Table 4: Comparison of the total </w:t>
      </w:r>
      <w:proofErr w:type="spellStart"/>
      <w:r w:rsidRPr="0080756D">
        <w:rPr>
          <w:sz w:val="20"/>
          <w:szCs w:val="20"/>
        </w:rPr>
        <w:t>coliform</w:t>
      </w:r>
      <w:proofErr w:type="spellEnd"/>
      <w:r w:rsidRPr="0080756D">
        <w:rPr>
          <w:sz w:val="20"/>
          <w:szCs w:val="20"/>
        </w:rPr>
        <w:t xml:space="preserve"> counts of water sources in </w:t>
      </w: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villages</w:t>
      </w:r>
    </w:p>
    <w:tbl>
      <w:tblPr>
        <w:tblW w:w="5000" w:type="pct"/>
        <w:jc w:val="center"/>
        <w:tblBorders>
          <w:top w:val="single" w:sz="4" w:space="0" w:color="auto"/>
          <w:bottom w:val="single" w:sz="4" w:space="0" w:color="auto"/>
        </w:tblBorders>
        <w:tblLook w:val="04A0"/>
      </w:tblPr>
      <w:tblGrid>
        <w:gridCol w:w="1627"/>
        <w:gridCol w:w="2332"/>
        <w:gridCol w:w="2302"/>
        <w:gridCol w:w="1773"/>
        <w:gridCol w:w="1542"/>
      </w:tblGrid>
      <w:tr w:rsidR="00410669" w:rsidRPr="0080756D" w:rsidTr="0080756D">
        <w:trPr>
          <w:jc w:val="center"/>
        </w:trPr>
        <w:tc>
          <w:tcPr>
            <w:tcW w:w="849" w:type="pct"/>
            <w:vMerge w:val="restart"/>
            <w:tcBorders>
              <w:top w:val="single" w:sz="4" w:space="0" w:color="auto"/>
              <w:bottom w:val="nil"/>
            </w:tcBorders>
            <w:shd w:val="clear" w:color="auto" w:fill="auto"/>
            <w:vAlign w:val="center"/>
          </w:tcPr>
          <w:p w:rsidR="00410669" w:rsidRPr="0080756D" w:rsidRDefault="00410669" w:rsidP="0080756D">
            <w:pPr>
              <w:suppressAutoHyphens w:val="0"/>
              <w:snapToGrid w:val="0"/>
              <w:jc w:val="both"/>
              <w:rPr>
                <w:b/>
                <w:sz w:val="20"/>
                <w:szCs w:val="20"/>
              </w:rPr>
            </w:pPr>
            <w:r w:rsidRPr="0080756D">
              <w:rPr>
                <w:b/>
                <w:sz w:val="20"/>
                <w:szCs w:val="20"/>
              </w:rPr>
              <w:t>Water source</w:t>
            </w:r>
          </w:p>
        </w:tc>
        <w:tc>
          <w:tcPr>
            <w:tcW w:w="2419" w:type="pct"/>
            <w:gridSpan w:val="2"/>
            <w:tcBorders>
              <w:top w:val="single" w:sz="4" w:space="0" w:color="auto"/>
              <w:bottom w:val="single" w:sz="4" w:space="0" w:color="auto"/>
            </w:tcBorders>
            <w:shd w:val="clear" w:color="auto" w:fill="auto"/>
            <w:vAlign w:val="center"/>
          </w:tcPr>
          <w:p w:rsidR="00410669" w:rsidRPr="0080756D" w:rsidRDefault="00410669" w:rsidP="0080756D">
            <w:pPr>
              <w:suppressAutoHyphens w:val="0"/>
              <w:snapToGrid w:val="0"/>
              <w:jc w:val="both"/>
              <w:rPr>
                <w:b/>
                <w:sz w:val="20"/>
                <w:szCs w:val="20"/>
              </w:rPr>
            </w:pPr>
            <w:r w:rsidRPr="0080756D">
              <w:rPr>
                <w:b/>
                <w:sz w:val="20"/>
                <w:szCs w:val="20"/>
              </w:rPr>
              <w:t xml:space="preserve">Mean </w:t>
            </w:r>
            <w:r w:rsidRPr="0080756D">
              <w:rPr>
                <w:b/>
                <w:sz w:val="20"/>
                <w:szCs w:val="20"/>
                <w:u w:val="single"/>
              </w:rPr>
              <w:t>+</w:t>
            </w:r>
            <w:r w:rsidRPr="0080756D">
              <w:rPr>
                <w:b/>
                <w:sz w:val="20"/>
                <w:szCs w:val="20"/>
              </w:rPr>
              <w:t xml:space="preserve"> SEM</w:t>
            </w:r>
          </w:p>
        </w:tc>
        <w:tc>
          <w:tcPr>
            <w:tcW w:w="926" w:type="pct"/>
            <w:vMerge w:val="restart"/>
            <w:tcBorders>
              <w:top w:val="single" w:sz="4" w:space="0" w:color="auto"/>
              <w:bottom w:val="nil"/>
            </w:tcBorders>
            <w:shd w:val="clear" w:color="auto" w:fill="auto"/>
            <w:vAlign w:val="center"/>
          </w:tcPr>
          <w:p w:rsidR="00410669" w:rsidRPr="0080756D" w:rsidRDefault="00410669" w:rsidP="0080756D">
            <w:pPr>
              <w:suppressAutoHyphens w:val="0"/>
              <w:snapToGrid w:val="0"/>
              <w:jc w:val="both"/>
              <w:rPr>
                <w:b/>
                <w:sz w:val="20"/>
                <w:szCs w:val="20"/>
              </w:rPr>
            </w:pPr>
            <w:r w:rsidRPr="0080756D">
              <w:rPr>
                <w:b/>
                <w:sz w:val="20"/>
                <w:szCs w:val="20"/>
              </w:rPr>
              <w:t>t-test</w:t>
            </w:r>
          </w:p>
        </w:tc>
        <w:tc>
          <w:tcPr>
            <w:tcW w:w="805" w:type="pct"/>
            <w:vMerge w:val="restart"/>
            <w:tcBorders>
              <w:top w:val="single" w:sz="4" w:space="0" w:color="auto"/>
              <w:bottom w:val="nil"/>
            </w:tcBorders>
            <w:shd w:val="clear" w:color="auto" w:fill="auto"/>
            <w:vAlign w:val="center"/>
          </w:tcPr>
          <w:p w:rsidR="00410669" w:rsidRPr="0080756D" w:rsidRDefault="00410669" w:rsidP="0080756D">
            <w:pPr>
              <w:suppressAutoHyphens w:val="0"/>
              <w:snapToGrid w:val="0"/>
              <w:jc w:val="both"/>
              <w:rPr>
                <w:b/>
                <w:sz w:val="20"/>
                <w:szCs w:val="20"/>
              </w:rPr>
            </w:pPr>
            <w:r w:rsidRPr="0080756D">
              <w:rPr>
                <w:b/>
                <w:sz w:val="20"/>
                <w:szCs w:val="20"/>
              </w:rPr>
              <w:t>P-value</w:t>
            </w:r>
          </w:p>
        </w:tc>
      </w:tr>
      <w:tr w:rsidR="00410669" w:rsidRPr="0080756D" w:rsidTr="0080756D">
        <w:trPr>
          <w:jc w:val="center"/>
        </w:trPr>
        <w:tc>
          <w:tcPr>
            <w:tcW w:w="849" w:type="pct"/>
            <w:vMerge/>
            <w:tcBorders>
              <w:top w:val="nil"/>
              <w:bottom w:val="single" w:sz="4" w:space="0" w:color="auto"/>
            </w:tcBorders>
            <w:shd w:val="clear" w:color="auto" w:fill="auto"/>
            <w:vAlign w:val="center"/>
          </w:tcPr>
          <w:p w:rsidR="00410669" w:rsidRPr="0080756D" w:rsidRDefault="00410669" w:rsidP="0080756D">
            <w:pPr>
              <w:suppressAutoHyphens w:val="0"/>
              <w:snapToGrid w:val="0"/>
              <w:jc w:val="both"/>
              <w:rPr>
                <w:b/>
                <w:sz w:val="20"/>
                <w:szCs w:val="20"/>
              </w:rPr>
            </w:pPr>
          </w:p>
        </w:tc>
        <w:tc>
          <w:tcPr>
            <w:tcW w:w="1217" w:type="pct"/>
            <w:tcBorders>
              <w:top w:val="single" w:sz="4" w:space="0" w:color="auto"/>
              <w:bottom w:val="single" w:sz="4" w:space="0" w:color="auto"/>
            </w:tcBorders>
            <w:shd w:val="clear" w:color="auto" w:fill="auto"/>
            <w:vAlign w:val="center"/>
          </w:tcPr>
          <w:p w:rsidR="00410669" w:rsidRPr="0080756D" w:rsidRDefault="00410669" w:rsidP="0080756D">
            <w:pPr>
              <w:suppressAutoHyphens w:val="0"/>
              <w:snapToGrid w:val="0"/>
              <w:jc w:val="both"/>
              <w:rPr>
                <w:b/>
                <w:sz w:val="20"/>
                <w:szCs w:val="20"/>
              </w:rPr>
            </w:pPr>
            <w:proofErr w:type="spellStart"/>
            <w:r w:rsidRPr="0080756D">
              <w:rPr>
                <w:b/>
                <w:sz w:val="20"/>
                <w:szCs w:val="20"/>
              </w:rPr>
              <w:t>Magama</w:t>
            </w:r>
            <w:proofErr w:type="spellEnd"/>
          </w:p>
        </w:tc>
        <w:tc>
          <w:tcPr>
            <w:tcW w:w="1202" w:type="pct"/>
            <w:tcBorders>
              <w:top w:val="single" w:sz="4" w:space="0" w:color="auto"/>
              <w:bottom w:val="single" w:sz="4" w:space="0" w:color="auto"/>
            </w:tcBorders>
            <w:shd w:val="clear" w:color="auto" w:fill="auto"/>
            <w:vAlign w:val="center"/>
          </w:tcPr>
          <w:p w:rsidR="00410669" w:rsidRPr="0080756D" w:rsidRDefault="00410669" w:rsidP="0080756D">
            <w:pPr>
              <w:suppressAutoHyphens w:val="0"/>
              <w:snapToGrid w:val="0"/>
              <w:jc w:val="both"/>
              <w:rPr>
                <w:b/>
                <w:sz w:val="20"/>
                <w:szCs w:val="20"/>
              </w:rPr>
            </w:pPr>
            <w:proofErr w:type="spellStart"/>
            <w:r w:rsidRPr="0080756D">
              <w:rPr>
                <w:b/>
                <w:sz w:val="20"/>
                <w:szCs w:val="20"/>
              </w:rPr>
              <w:t>Bolgang</w:t>
            </w:r>
            <w:proofErr w:type="spellEnd"/>
          </w:p>
        </w:tc>
        <w:tc>
          <w:tcPr>
            <w:tcW w:w="926" w:type="pct"/>
            <w:vMerge/>
            <w:tcBorders>
              <w:top w:val="nil"/>
              <w:bottom w:val="single" w:sz="4" w:space="0" w:color="auto"/>
            </w:tcBorders>
            <w:shd w:val="clear" w:color="auto" w:fill="auto"/>
            <w:vAlign w:val="center"/>
          </w:tcPr>
          <w:p w:rsidR="00410669" w:rsidRPr="0080756D" w:rsidRDefault="00410669" w:rsidP="0080756D">
            <w:pPr>
              <w:suppressAutoHyphens w:val="0"/>
              <w:snapToGrid w:val="0"/>
              <w:jc w:val="both"/>
              <w:rPr>
                <w:b/>
                <w:sz w:val="20"/>
                <w:szCs w:val="20"/>
              </w:rPr>
            </w:pPr>
          </w:p>
        </w:tc>
        <w:tc>
          <w:tcPr>
            <w:tcW w:w="805" w:type="pct"/>
            <w:vMerge/>
            <w:tcBorders>
              <w:top w:val="nil"/>
              <w:bottom w:val="single" w:sz="4" w:space="0" w:color="auto"/>
            </w:tcBorders>
            <w:shd w:val="clear" w:color="auto" w:fill="auto"/>
            <w:vAlign w:val="center"/>
          </w:tcPr>
          <w:p w:rsidR="00410669" w:rsidRPr="0080756D" w:rsidRDefault="00410669" w:rsidP="0080756D">
            <w:pPr>
              <w:suppressAutoHyphens w:val="0"/>
              <w:snapToGrid w:val="0"/>
              <w:jc w:val="both"/>
              <w:rPr>
                <w:b/>
                <w:sz w:val="20"/>
                <w:szCs w:val="20"/>
              </w:rPr>
            </w:pPr>
          </w:p>
        </w:tc>
      </w:tr>
      <w:tr w:rsidR="00410669" w:rsidRPr="0080756D" w:rsidTr="0080756D">
        <w:trPr>
          <w:jc w:val="center"/>
        </w:trPr>
        <w:tc>
          <w:tcPr>
            <w:tcW w:w="849" w:type="pct"/>
            <w:tcBorders>
              <w:top w:val="single" w:sz="4" w:space="0" w:color="auto"/>
            </w:tcBorders>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Well</w:t>
            </w:r>
          </w:p>
        </w:tc>
        <w:tc>
          <w:tcPr>
            <w:tcW w:w="1217" w:type="pct"/>
            <w:tcBorders>
              <w:top w:val="single" w:sz="4" w:space="0" w:color="auto"/>
            </w:tcBorders>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5.2 x 10</w:t>
            </w:r>
            <w:r w:rsidRPr="0080756D">
              <w:rPr>
                <w:sz w:val="20"/>
                <w:szCs w:val="20"/>
                <w:vertAlign w:val="superscript"/>
              </w:rPr>
              <w:t>5</w:t>
            </w:r>
            <w:r w:rsidRPr="0080756D">
              <w:rPr>
                <w:sz w:val="20"/>
                <w:szCs w:val="20"/>
                <w:u w:val="single"/>
              </w:rPr>
              <w:t>+</w:t>
            </w:r>
            <w:r w:rsidRPr="0080756D">
              <w:rPr>
                <w:sz w:val="20"/>
                <w:szCs w:val="20"/>
              </w:rPr>
              <w:t xml:space="preserve"> 0.3 x 10</w:t>
            </w:r>
            <w:r w:rsidRPr="0080756D">
              <w:rPr>
                <w:sz w:val="20"/>
                <w:szCs w:val="20"/>
                <w:vertAlign w:val="superscript"/>
              </w:rPr>
              <w:t>5</w:t>
            </w:r>
          </w:p>
        </w:tc>
        <w:tc>
          <w:tcPr>
            <w:tcW w:w="1202" w:type="pct"/>
            <w:tcBorders>
              <w:top w:val="single" w:sz="4" w:space="0" w:color="auto"/>
            </w:tcBorders>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4.9 x 10</w:t>
            </w:r>
            <w:r w:rsidRPr="0080756D">
              <w:rPr>
                <w:sz w:val="20"/>
                <w:szCs w:val="20"/>
                <w:vertAlign w:val="superscript"/>
              </w:rPr>
              <w:t>5</w:t>
            </w:r>
            <w:r w:rsidRPr="0080756D">
              <w:rPr>
                <w:sz w:val="20"/>
                <w:szCs w:val="20"/>
                <w:u w:val="single"/>
              </w:rPr>
              <w:t>+</w:t>
            </w:r>
            <w:r w:rsidRPr="0080756D">
              <w:rPr>
                <w:sz w:val="20"/>
                <w:szCs w:val="20"/>
              </w:rPr>
              <w:t xml:space="preserve"> 0.3 x 10</w:t>
            </w:r>
            <w:r w:rsidRPr="0080756D">
              <w:rPr>
                <w:sz w:val="20"/>
                <w:szCs w:val="20"/>
                <w:vertAlign w:val="superscript"/>
              </w:rPr>
              <w:t>5</w:t>
            </w:r>
          </w:p>
        </w:tc>
        <w:tc>
          <w:tcPr>
            <w:tcW w:w="926" w:type="pct"/>
            <w:tcBorders>
              <w:top w:val="single" w:sz="4" w:space="0" w:color="auto"/>
            </w:tcBorders>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1.020</w:t>
            </w:r>
          </w:p>
        </w:tc>
        <w:tc>
          <w:tcPr>
            <w:tcW w:w="805" w:type="pct"/>
            <w:tcBorders>
              <w:top w:val="single" w:sz="4" w:space="0" w:color="auto"/>
            </w:tcBorders>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0.328</w:t>
            </w:r>
          </w:p>
        </w:tc>
      </w:tr>
      <w:tr w:rsidR="00410669" w:rsidRPr="0080756D" w:rsidTr="0080756D">
        <w:trPr>
          <w:jc w:val="center"/>
        </w:trPr>
        <w:tc>
          <w:tcPr>
            <w:tcW w:w="849"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Pond</w:t>
            </w:r>
          </w:p>
        </w:tc>
        <w:tc>
          <w:tcPr>
            <w:tcW w:w="1217"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5.1 x 10</w:t>
            </w:r>
            <w:r w:rsidRPr="0080756D">
              <w:rPr>
                <w:sz w:val="20"/>
                <w:szCs w:val="20"/>
                <w:vertAlign w:val="superscript"/>
              </w:rPr>
              <w:t>5</w:t>
            </w:r>
            <w:r w:rsidRPr="0080756D">
              <w:rPr>
                <w:sz w:val="20"/>
                <w:szCs w:val="20"/>
                <w:u w:val="single"/>
              </w:rPr>
              <w:t>+</w:t>
            </w:r>
            <w:r w:rsidRPr="0080756D">
              <w:rPr>
                <w:sz w:val="20"/>
                <w:szCs w:val="20"/>
              </w:rPr>
              <w:t xml:space="preserve"> 5.0 x 10</w:t>
            </w:r>
            <w:r w:rsidRPr="0080756D">
              <w:rPr>
                <w:sz w:val="20"/>
                <w:szCs w:val="20"/>
                <w:vertAlign w:val="superscript"/>
              </w:rPr>
              <w:t>4</w:t>
            </w:r>
          </w:p>
        </w:tc>
        <w:tc>
          <w:tcPr>
            <w:tcW w:w="1202"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8.4 x 10</w:t>
            </w:r>
            <w:r w:rsidRPr="0080756D">
              <w:rPr>
                <w:sz w:val="20"/>
                <w:szCs w:val="20"/>
                <w:vertAlign w:val="superscript"/>
              </w:rPr>
              <w:t>5</w:t>
            </w:r>
            <w:r w:rsidR="00DB3049">
              <w:rPr>
                <w:sz w:val="20"/>
                <w:szCs w:val="20"/>
                <w:vertAlign w:val="superscript"/>
              </w:rPr>
              <w:t xml:space="preserve"> </w:t>
            </w:r>
            <w:r w:rsidRPr="0080756D">
              <w:rPr>
                <w:sz w:val="20"/>
                <w:szCs w:val="20"/>
                <w:u w:val="single"/>
              </w:rPr>
              <w:t>+</w:t>
            </w:r>
            <w:r w:rsidRPr="0080756D">
              <w:rPr>
                <w:sz w:val="20"/>
                <w:szCs w:val="20"/>
              </w:rPr>
              <w:t xml:space="preserve"> 5.0 x 10</w:t>
            </w:r>
            <w:r w:rsidRPr="0080756D">
              <w:rPr>
                <w:sz w:val="20"/>
                <w:szCs w:val="20"/>
                <w:vertAlign w:val="superscript"/>
              </w:rPr>
              <w:t>4</w:t>
            </w:r>
          </w:p>
        </w:tc>
        <w:tc>
          <w:tcPr>
            <w:tcW w:w="926" w:type="pct"/>
            <w:shd w:val="clear" w:color="auto" w:fill="auto"/>
            <w:vAlign w:val="center"/>
          </w:tcPr>
          <w:p w:rsidR="00410669" w:rsidRPr="0080756D" w:rsidRDefault="00410669" w:rsidP="0080756D">
            <w:pPr>
              <w:suppressAutoHyphens w:val="0"/>
              <w:snapToGrid w:val="0"/>
              <w:jc w:val="both"/>
              <w:rPr>
                <w:sz w:val="20"/>
                <w:szCs w:val="20"/>
                <w:vertAlign w:val="superscript"/>
              </w:rPr>
            </w:pPr>
            <w:r w:rsidRPr="0080756D">
              <w:rPr>
                <w:sz w:val="20"/>
                <w:szCs w:val="20"/>
              </w:rPr>
              <w:t>- 466690.476</w:t>
            </w:r>
          </w:p>
        </w:tc>
        <w:tc>
          <w:tcPr>
            <w:tcW w:w="805"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&lt;0.001**</w:t>
            </w:r>
          </w:p>
        </w:tc>
      </w:tr>
      <w:tr w:rsidR="00410669" w:rsidRPr="0080756D" w:rsidTr="0080756D">
        <w:trPr>
          <w:jc w:val="center"/>
        </w:trPr>
        <w:tc>
          <w:tcPr>
            <w:tcW w:w="849"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Borehole</w:t>
            </w:r>
          </w:p>
        </w:tc>
        <w:tc>
          <w:tcPr>
            <w:tcW w:w="1217"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TSTC</w:t>
            </w:r>
          </w:p>
        </w:tc>
        <w:tc>
          <w:tcPr>
            <w:tcW w:w="1202"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TSTC</w:t>
            </w:r>
          </w:p>
        </w:tc>
        <w:tc>
          <w:tcPr>
            <w:tcW w:w="926"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0.000</w:t>
            </w:r>
          </w:p>
        </w:tc>
        <w:tc>
          <w:tcPr>
            <w:tcW w:w="805" w:type="pct"/>
            <w:shd w:val="clear" w:color="auto" w:fill="auto"/>
            <w:vAlign w:val="center"/>
          </w:tcPr>
          <w:p w:rsidR="00410669" w:rsidRPr="0080756D" w:rsidRDefault="00410669" w:rsidP="0080756D">
            <w:pPr>
              <w:suppressAutoHyphens w:val="0"/>
              <w:snapToGrid w:val="0"/>
              <w:jc w:val="both"/>
              <w:rPr>
                <w:sz w:val="20"/>
                <w:szCs w:val="20"/>
              </w:rPr>
            </w:pPr>
            <w:r w:rsidRPr="0080756D">
              <w:rPr>
                <w:sz w:val="20"/>
                <w:szCs w:val="20"/>
              </w:rPr>
              <w:t>1.000</w:t>
            </w:r>
          </w:p>
        </w:tc>
      </w:tr>
    </w:tbl>
    <w:p w:rsidR="00410669" w:rsidRPr="0080756D" w:rsidRDefault="00410669" w:rsidP="0080756D">
      <w:pPr>
        <w:suppressAutoHyphens w:val="0"/>
        <w:snapToGrid w:val="0"/>
        <w:jc w:val="both"/>
        <w:rPr>
          <w:sz w:val="20"/>
          <w:szCs w:val="20"/>
        </w:rPr>
      </w:pPr>
      <w:r w:rsidRPr="0080756D">
        <w:rPr>
          <w:sz w:val="20"/>
          <w:szCs w:val="20"/>
        </w:rPr>
        <w:t>* = significant difference exists at p ≤ 0.05; ** = significant difference exists at p ≤ 0.01</w:t>
      </w:r>
    </w:p>
    <w:p w:rsidR="00FD1F77" w:rsidRPr="0080756D" w:rsidRDefault="00FD1F77" w:rsidP="0080756D">
      <w:pPr>
        <w:suppressAutoHyphens w:val="0"/>
        <w:snapToGrid w:val="0"/>
        <w:jc w:val="center"/>
        <w:rPr>
          <w:sz w:val="20"/>
          <w:szCs w:val="20"/>
        </w:rPr>
      </w:pPr>
    </w:p>
    <w:p w:rsidR="00410669" w:rsidRPr="0080756D" w:rsidRDefault="00410669" w:rsidP="0080756D">
      <w:pPr>
        <w:suppressAutoHyphens w:val="0"/>
        <w:snapToGrid w:val="0"/>
        <w:jc w:val="center"/>
        <w:rPr>
          <w:sz w:val="20"/>
          <w:szCs w:val="20"/>
        </w:rPr>
      </w:pPr>
      <w:r w:rsidRPr="0080756D">
        <w:rPr>
          <w:sz w:val="20"/>
          <w:szCs w:val="20"/>
        </w:rPr>
        <w:t>Table 5: Biochemical profile of the bacterial isolates from water</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tblPr>
      <w:tblGrid>
        <w:gridCol w:w="1608"/>
        <w:gridCol w:w="1018"/>
        <w:gridCol w:w="905"/>
        <w:gridCol w:w="1210"/>
        <w:gridCol w:w="898"/>
        <w:gridCol w:w="1132"/>
        <w:gridCol w:w="761"/>
        <w:gridCol w:w="1094"/>
        <w:gridCol w:w="950"/>
      </w:tblGrid>
      <w:tr w:rsidR="00410669" w:rsidRPr="0080756D" w:rsidTr="0080756D">
        <w:trPr>
          <w:jc w:val="center"/>
        </w:trPr>
        <w:tc>
          <w:tcPr>
            <w:tcW w:w="840" w:type="pct"/>
            <w:vMerge w:val="restart"/>
            <w:vAlign w:val="center"/>
          </w:tcPr>
          <w:p w:rsidR="00410669" w:rsidRPr="0080756D" w:rsidRDefault="00410669" w:rsidP="0080756D">
            <w:pPr>
              <w:suppressAutoHyphens w:val="0"/>
              <w:snapToGrid w:val="0"/>
              <w:jc w:val="both"/>
              <w:rPr>
                <w:rFonts w:ascii="Times New Roman" w:hAnsi="Times New Roman" w:cs="Times New Roman"/>
                <w:b/>
                <w:sz w:val="20"/>
                <w:szCs w:val="20"/>
              </w:rPr>
            </w:pPr>
            <w:r w:rsidRPr="0080756D">
              <w:rPr>
                <w:rFonts w:ascii="Times New Roman" w:hAnsi="Times New Roman" w:cs="Times New Roman"/>
                <w:b/>
                <w:sz w:val="20"/>
                <w:szCs w:val="20"/>
              </w:rPr>
              <w:t>Bacterial isolates</w:t>
            </w:r>
          </w:p>
        </w:tc>
        <w:tc>
          <w:tcPr>
            <w:tcW w:w="4160" w:type="pct"/>
            <w:gridSpan w:val="8"/>
            <w:tcBorders>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r w:rsidRPr="0080756D">
              <w:rPr>
                <w:rFonts w:ascii="Times New Roman" w:hAnsi="Times New Roman" w:cs="Times New Roman"/>
                <w:b/>
                <w:sz w:val="20"/>
                <w:szCs w:val="20"/>
              </w:rPr>
              <w:t>Biochemical tests</w:t>
            </w:r>
          </w:p>
        </w:tc>
      </w:tr>
      <w:tr w:rsidR="00410669" w:rsidRPr="0080756D" w:rsidTr="0080756D">
        <w:trPr>
          <w:jc w:val="center"/>
        </w:trPr>
        <w:tc>
          <w:tcPr>
            <w:tcW w:w="840" w:type="pct"/>
            <w:vMerge/>
            <w:tcBorders>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p>
        </w:tc>
        <w:tc>
          <w:tcPr>
            <w:tcW w:w="532"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r w:rsidRPr="0080756D">
              <w:rPr>
                <w:rFonts w:ascii="Times New Roman" w:hAnsi="Times New Roman" w:cs="Times New Roman"/>
                <w:b/>
                <w:sz w:val="20"/>
                <w:szCs w:val="20"/>
              </w:rPr>
              <w:t>Gram reaction</w:t>
            </w:r>
          </w:p>
        </w:tc>
        <w:tc>
          <w:tcPr>
            <w:tcW w:w="473"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r w:rsidRPr="0080756D">
              <w:rPr>
                <w:rFonts w:ascii="Times New Roman" w:hAnsi="Times New Roman" w:cs="Times New Roman"/>
                <w:b/>
                <w:sz w:val="20"/>
                <w:szCs w:val="20"/>
              </w:rPr>
              <w:t>Motility</w:t>
            </w:r>
          </w:p>
        </w:tc>
        <w:tc>
          <w:tcPr>
            <w:tcW w:w="632"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proofErr w:type="spellStart"/>
            <w:r w:rsidRPr="0080756D">
              <w:rPr>
                <w:rFonts w:ascii="Times New Roman" w:hAnsi="Times New Roman" w:cs="Times New Roman"/>
                <w:b/>
                <w:sz w:val="20"/>
                <w:szCs w:val="20"/>
              </w:rPr>
              <w:t>Voges-Proskauer</w:t>
            </w:r>
            <w:proofErr w:type="spellEnd"/>
          </w:p>
        </w:tc>
        <w:tc>
          <w:tcPr>
            <w:tcW w:w="469"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r w:rsidRPr="0080756D">
              <w:rPr>
                <w:rFonts w:ascii="Times New Roman" w:hAnsi="Times New Roman" w:cs="Times New Roman"/>
                <w:b/>
                <w:sz w:val="20"/>
                <w:szCs w:val="20"/>
              </w:rPr>
              <w:t>Methyl Red</w:t>
            </w:r>
          </w:p>
        </w:tc>
        <w:tc>
          <w:tcPr>
            <w:tcW w:w="591"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r w:rsidRPr="0080756D">
              <w:rPr>
                <w:rFonts w:ascii="Times New Roman" w:hAnsi="Times New Roman" w:cs="Times New Roman"/>
                <w:b/>
                <w:sz w:val="20"/>
                <w:szCs w:val="20"/>
              </w:rPr>
              <w:t xml:space="preserve">Citrate </w:t>
            </w:r>
            <w:proofErr w:type="spellStart"/>
            <w:r w:rsidRPr="0080756D">
              <w:rPr>
                <w:rFonts w:ascii="Times New Roman" w:hAnsi="Times New Roman" w:cs="Times New Roman"/>
                <w:b/>
                <w:sz w:val="20"/>
                <w:szCs w:val="20"/>
              </w:rPr>
              <w:t>utilisation</w:t>
            </w:r>
            <w:proofErr w:type="spellEnd"/>
          </w:p>
        </w:tc>
        <w:tc>
          <w:tcPr>
            <w:tcW w:w="397"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proofErr w:type="spellStart"/>
            <w:r w:rsidRPr="0080756D">
              <w:rPr>
                <w:rFonts w:ascii="Times New Roman" w:hAnsi="Times New Roman" w:cs="Times New Roman"/>
                <w:b/>
                <w:sz w:val="20"/>
                <w:szCs w:val="20"/>
              </w:rPr>
              <w:t>Indole</w:t>
            </w:r>
            <w:proofErr w:type="spellEnd"/>
          </w:p>
        </w:tc>
        <w:tc>
          <w:tcPr>
            <w:tcW w:w="571"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proofErr w:type="spellStart"/>
            <w:r w:rsidRPr="0080756D">
              <w:rPr>
                <w:rFonts w:ascii="Times New Roman" w:hAnsi="Times New Roman" w:cs="Times New Roman"/>
                <w:b/>
                <w:sz w:val="20"/>
                <w:szCs w:val="20"/>
              </w:rPr>
              <w:t>Coagulase</w:t>
            </w:r>
            <w:proofErr w:type="spellEnd"/>
          </w:p>
        </w:tc>
        <w:tc>
          <w:tcPr>
            <w:tcW w:w="496" w:type="pct"/>
            <w:tcBorders>
              <w:top w:val="single" w:sz="4" w:space="0" w:color="auto"/>
              <w:bottom w:val="single" w:sz="4" w:space="0" w:color="auto"/>
            </w:tcBorders>
            <w:vAlign w:val="center"/>
          </w:tcPr>
          <w:p w:rsidR="00410669" w:rsidRPr="0080756D" w:rsidRDefault="00410669" w:rsidP="0080756D">
            <w:pPr>
              <w:suppressAutoHyphens w:val="0"/>
              <w:snapToGrid w:val="0"/>
              <w:jc w:val="both"/>
              <w:rPr>
                <w:rFonts w:ascii="Times New Roman" w:hAnsi="Times New Roman" w:cs="Times New Roman"/>
                <w:b/>
                <w:sz w:val="20"/>
                <w:szCs w:val="20"/>
              </w:rPr>
            </w:pPr>
            <w:proofErr w:type="spellStart"/>
            <w:r w:rsidRPr="0080756D">
              <w:rPr>
                <w:rFonts w:ascii="Times New Roman" w:hAnsi="Times New Roman" w:cs="Times New Roman"/>
                <w:b/>
                <w:sz w:val="20"/>
                <w:szCs w:val="20"/>
              </w:rPr>
              <w:t>Catalase</w:t>
            </w:r>
            <w:proofErr w:type="spellEnd"/>
          </w:p>
        </w:tc>
      </w:tr>
      <w:tr w:rsidR="00410669" w:rsidRPr="0080756D" w:rsidTr="0080756D">
        <w:trPr>
          <w:jc w:val="center"/>
        </w:trPr>
        <w:tc>
          <w:tcPr>
            <w:tcW w:w="840" w:type="pct"/>
            <w:tcBorders>
              <w:top w:val="single" w:sz="4" w:space="0" w:color="auto"/>
              <w:bottom w:val="nil"/>
            </w:tcBorders>
            <w:vAlign w:val="center"/>
          </w:tcPr>
          <w:p w:rsidR="00410669" w:rsidRPr="0080756D" w:rsidRDefault="00410669" w:rsidP="0080756D">
            <w:pPr>
              <w:suppressAutoHyphens w:val="0"/>
              <w:snapToGrid w:val="0"/>
              <w:jc w:val="both"/>
              <w:rPr>
                <w:rFonts w:ascii="Times New Roman" w:hAnsi="Times New Roman" w:cs="Times New Roman"/>
                <w:i/>
                <w:sz w:val="20"/>
                <w:szCs w:val="20"/>
              </w:rPr>
            </w:pPr>
            <w:r w:rsidRPr="0080756D">
              <w:rPr>
                <w:rFonts w:ascii="Times New Roman" w:hAnsi="Times New Roman" w:cs="Times New Roman"/>
                <w:i/>
                <w:sz w:val="20"/>
                <w:szCs w:val="20"/>
              </w:rPr>
              <w:t>Escherichia coli</w:t>
            </w:r>
          </w:p>
        </w:tc>
        <w:tc>
          <w:tcPr>
            <w:tcW w:w="532" w:type="pct"/>
            <w:tcBorders>
              <w:top w:val="single" w:sz="4" w:space="0" w:color="auto"/>
              <w:bottom w:val="nil"/>
            </w:tcBorders>
            <w:vAlign w:val="center"/>
          </w:tcPr>
          <w:p w:rsidR="00410669" w:rsidRPr="0080756D" w:rsidRDefault="00410669" w:rsidP="0080756D">
            <w:pPr>
              <w:pStyle w:val="ListParagraph"/>
              <w:snapToGrid w:val="0"/>
              <w:spacing w:after="0" w:line="240" w:lineRule="auto"/>
              <w:ind w:left="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73" w:type="pct"/>
            <w:tcBorders>
              <w:top w:val="single" w:sz="4" w:space="0" w:color="auto"/>
              <w:bottom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632" w:type="pct"/>
            <w:tcBorders>
              <w:top w:val="single" w:sz="4" w:space="0" w:color="auto"/>
              <w:bottom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69" w:type="pct"/>
            <w:tcBorders>
              <w:top w:val="single" w:sz="4" w:space="0" w:color="auto"/>
              <w:bottom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91" w:type="pct"/>
            <w:tcBorders>
              <w:top w:val="single" w:sz="4" w:space="0" w:color="auto"/>
              <w:bottom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397" w:type="pct"/>
            <w:tcBorders>
              <w:top w:val="single" w:sz="4" w:space="0" w:color="auto"/>
              <w:bottom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71" w:type="pct"/>
            <w:tcBorders>
              <w:top w:val="single" w:sz="4" w:space="0" w:color="auto"/>
              <w:bottom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96" w:type="pct"/>
            <w:tcBorders>
              <w:top w:val="single" w:sz="4" w:space="0" w:color="auto"/>
              <w:bottom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r>
      <w:tr w:rsidR="00410669" w:rsidRPr="0080756D" w:rsidTr="0080756D">
        <w:trPr>
          <w:jc w:val="center"/>
        </w:trPr>
        <w:tc>
          <w:tcPr>
            <w:tcW w:w="840"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i/>
                <w:sz w:val="20"/>
                <w:szCs w:val="20"/>
              </w:rPr>
            </w:pPr>
            <w:r w:rsidRPr="0080756D">
              <w:rPr>
                <w:rFonts w:ascii="Times New Roman" w:hAnsi="Times New Roman" w:cs="Times New Roman"/>
                <w:i/>
                <w:sz w:val="20"/>
                <w:szCs w:val="20"/>
              </w:rPr>
              <w:t xml:space="preserve">Staphylococcus </w:t>
            </w:r>
            <w:proofErr w:type="spellStart"/>
            <w:r w:rsidRPr="0080756D">
              <w:rPr>
                <w:rFonts w:ascii="Times New Roman" w:hAnsi="Times New Roman" w:cs="Times New Roman"/>
                <w:i/>
                <w:sz w:val="20"/>
                <w:szCs w:val="20"/>
              </w:rPr>
              <w:t>aureus</w:t>
            </w:r>
            <w:proofErr w:type="spellEnd"/>
          </w:p>
        </w:tc>
        <w:tc>
          <w:tcPr>
            <w:tcW w:w="532"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73"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632"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69"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91"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397"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71"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96" w:type="pct"/>
            <w:tcBorders>
              <w:top w:val="nil"/>
            </w:tcBorders>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r>
      <w:tr w:rsidR="00410669" w:rsidRPr="0080756D" w:rsidTr="0080756D">
        <w:trPr>
          <w:jc w:val="center"/>
        </w:trPr>
        <w:tc>
          <w:tcPr>
            <w:tcW w:w="840" w:type="pct"/>
            <w:vAlign w:val="center"/>
          </w:tcPr>
          <w:p w:rsidR="00410669" w:rsidRPr="0080756D" w:rsidRDefault="00410669" w:rsidP="0080756D">
            <w:pPr>
              <w:suppressAutoHyphens w:val="0"/>
              <w:snapToGrid w:val="0"/>
              <w:jc w:val="both"/>
              <w:rPr>
                <w:rFonts w:ascii="Times New Roman" w:hAnsi="Times New Roman" w:cs="Times New Roman"/>
                <w:i/>
                <w:sz w:val="20"/>
                <w:szCs w:val="20"/>
              </w:rPr>
            </w:pPr>
            <w:r w:rsidRPr="0080756D">
              <w:rPr>
                <w:rFonts w:ascii="Times New Roman" w:hAnsi="Times New Roman" w:cs="Times New Roman"/>
                <w:i/>
                <w:sz w:val="20"/>
                <w:szCs w:val="20"/>
              </w:rPr>
              <w:t xml:space="preserve">Pseudomonas </w:t>
            </w:r>
            <w:proofErr w:type="spellStart"/>
            <w:r w:rsidRPr="0080756D">
              <w:rPr>
                <w:rFonts w:ascii="Times New Roman" w:hAnsi="Times New Roman" w:cs="Times New Roman"/>
                <w:i/>
                <w:sz w:val="20"/>
                <w:szCs w:val="20"/>
              </w:rPr>
              <w:t>aeruginosa</w:t>
            </w:r>
            <w:proofErr w:type="spellEnd"/>
          </w:p>
        </w:tc>
        <w:tc>
          <w:tcPr>
            <w:tcW w:w="5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73"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6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69"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9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397"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7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96"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r>
      <w:tr w:rsidR="00410669" w:rsidRPr="0080756D" w:rsidTr="0080756D">
        <w:trPr>
          <w:jc w:val="center"/>
        </w:trPr>
        <w:tc>
          <w:tcPr>
            <w:tcW w:w="840" w:type="pct"/>
            <w:vAlign w:val="center"/>
          </w:tcPr>
          <w:p w:rsidR="00410669" w:rsidRPr="0080756D" w:rsidRDefault="00410669" w:rsidP="0080756D">
            <w:pPr>
              <w:suppressAutoHyphens w:val="0"/>
              <w:snapToGrid w:val="0"/>
              <w:jc w:val="both"/>
              <w:rPr>
                <w:rFonts w:ascii="Times New Roman" w:hAnsi="Times New Roman" w:cs="Times New Roman"/>
                <w:i/>
                <w:sz w:val="20"/>
                <w:szCs w:val="20"/>
              </w:rPr>
            </w:pPr>
            <w:proofErr w:type="spellStart"/>
            <w:r w:rsidRPr="0080756D">
              <w:rPr>
                <w:rFonts w:ascii="Times New Roman" w:hAnsi="Times New Roman" w:cs="Times New Roman"/>
                <w:i/>
                <w:sz w:val="20"/>
                <w:szCs w:val="20"/>
              </w:rPr>
              <w:t>Klebsiella</w:t>
            </w:r>
            <w:proofErr w:type="spellEnd"/>
            <w:r w:rsidRPr="0080756D">
              <w:rPr>
                <w:rFonts w:ascii="Times New Roman" w:hAnsi="Times New Roman" w:cs="Times New Roman"/>
                <w:i/>
                <w:sz w:val="20"/>
                <w:szCs w:val="20"/>
              </w:rPr>
              <w:t xml:space="preserve"> </w:t>
            </w:r>
            <w:proofErr w:type="spellStart"/>
            <w:r w:rsidRPr="0080756D">
              <w:rPr>
                <w:rFonts w:ascii="Times New Roman" w:hAnsi="Times New Roman" w:cs="Times New Roman"/>
                <w:i/>
                <w:sz w:val="20"/>
                <w:szCs w:val="20"/>
              </w:rPr>
              <w:t>pneumoniae</w:t>
            </w:r>
            <w:proofErr w:type="spellEnd"/>
          </w:p>
        </w:tc>
        <w:tc>
          <w:tcPr>
            <w:tcW w:w="5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73"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6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69"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9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397"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7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96"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r>
      <w:tr w:rsidR="00410669" w:rsidRPr="0080756D" w:rsidTr="0080756D">
        <w:trPr>
          <w:jc w:val="center"/>
        </w:trPr>
        <w:tc>
          <w:tcPr>
            <w:tcW w:w="840" w:type="pct"/>
            <w:vAlign w:val="center"/>
          </w:tcPr>
          <w:p w:rsidR="00410669" w:rsidRPr="0080756D" w:rsidRDefault="00410669" w:rsidP="0080756D">
            <w:pPr>
              <w:suppressAutoHyphens w:val="0"/>
              <w:snapToGrid w:val="0"/>
              <w:jc w:val="both"/>
              <w:rPr>
                <w:rFonts w:ascii="Times New Roman" w:hAnsi="Times New Roman" w:cs="Times New Roman"/>
                <w:i/>
                <w:sz w:val="20"/>
                <w:szCs w:val="20"/>
              </w:rPr>
            </w:pPr>
            <w:proofErr w:type="spellStart"/>
            <w:r w:rsidRPr="0080756D">
              <w:rPr>
                <w:rFonts w:ascii="Times New Roman" w:hAnsi="Times New Roman" w:cs="Times New Roman"/>
                <w:i/>
                <w:sz w:val="20"/>
                <w:szCs w:val="20"/>
              </w:rPr>
              <w:t>Enterococcus</w:t>
            </w:r>
            <w:proofErr w:type="spellEnd"/>
            <w:r w:rsidRPr="0080756D">
              <w:rPr>
                <w:rFonts w:ascii="Times New Roman" w:hAnsi="Times New Roman" w:cs="Times New Roman"/>
                <w:i/>
                <w:sz w:val="20"/>
                <w:szCs w:val="20"/>
              </w:rPr>
              <w:t xml:space="preserve"> </w:t>
            </w:r>
            <w:proofErr w:type="spellStart"/>
            <w:r w:rsidRPr="0080756D">
              <w:rPr>
                <w:rFonts w:ascii="Times New Roman" w:hAnsi="Times New Roman" w:cs="Times New Roman"/>
                <w:i/>
                <w:sz w:val="20"/>
                <w:szCs w:val="20"/>
              </w:rPr>
              <w:t>faecalis</w:t>
            </w:r>
            <w:proofErr w:type="spellEnd"/>
          </w:p>
        </w:tc>
        <w:tc>
          <w:tcPr>
            <w:tcW w:w="5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73"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6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69"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9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397"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7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96"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r>
      <w:tr w:rsidR="00410669" w:rsidRPr="0080756D" w:rsidTr="0080756D">
        <w:trPr>
          <w:jc w:val="center"/>
        </w:trPr>
        <w:tc>
          <w:tcPr>
            <w:tcW w:w="840"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i/>
                <w:sz w:val="20"/>
                <w:szCs w:val="20"/>
              </w:rPr>
              <w:t xml:space="preserve">Salmonella </w:t>
            </w:r>
            <w:proofErr w:type="spellStart"/>
            <w:r w:rsidRPr="0080756D">
              <w:rPr>
                <w:rFonts w:ascii="Times New Roman" w:hAnsi="Times New Roman" w:cs="Times New Roman"/>
                <w:sz w:val="20"/>
                <w:szCs w:val="20"/>
              </w:rPr>
              <w:t>Typhi</w:t>
            </w:r>
            <w:proofErr w:type="spellEnd"/>
          </w:p>
        </w:tc>
        <w:tc>
          <w:tcPr>
            <w:tcW w:w="5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73"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6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69"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9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397"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7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96"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r>
      <w:tr w:rsidR="00410669" w:rsidRPr="0080756D" w:rsidTr="0080756D">
        <w:trPr>
          <w:jc w:val="center"/>
        </w:trPr>
        <w:tc>
          <w:tcPr>
            <w:tcW w:w="840" w:type="pct"/>
            <w:vAlign w:val="center"/>
          </w:tcPr>
          <w:p w:rsidR="00410669" w:rsidRPr="0080756D" w:rsidRDefault="00410669" w:rsidP="0080756D">
            <w:pPr>
              <w:suppressAutoHyphens w:val="0"/>
              <w:snapToGrid w:val="0"/>
              <w:jc w:val="both"/>
              <w:rPr>
                <w:rFonts w:ascii="Times New Roman" w:hAnsi="Times New Roman" w:cs="Times New Roman"/>
                <w:i/>
                <w:sz w:val="20"/>
                <w:szCs w:val="20"/>
              </w:rPr>
            </w:pPr>
            <w:r w:rsidRPr="0080756D">
              <w:rPr>
                <w:rFonts w:ascii="Times New Roman" w:hAnsi="Times New Roman" w:cs="Times New Roman"/>
                <w:i/>
                <w:sz w:val="20"/>
                <w:szCs w:val="20"/>
              </w:rPr>
              <w:t>Proteus mirabilis</w:t>
            </w:r>
          </w:p>
        </w:tc>
        <w:tc>
          <w:tcPr>
            <w:tcW w:w="5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73"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632"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69"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9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397"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571"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c>
          <w:tcPr>
            <w:tcW w:w="496" w:type="pct"/>
            <w:vAlign w:val="center"/>
          </w:tcPr>
          <w:p w:rsidR="00410669" w:rsidRPr="0080756D" w:rsidRDefault="00410669" w:rsidP="0080756D">
            <w:pPr>
              <w:suppressAutoHyphens w:val="0"/>
              <w:snapToGrid w:val="0"/>
              <w:jc w:val="both"/>
              <w:rPr>
                <w:rFonts w:ascii="Times New Roman" w:hAnsi="Times New Roman" w:cs="Times New Roman"/>
                <w:sz w:val="20"/>
                <w:szCs w:val="20"/>
              </w:rPr>
            </w:pPr>
            <w:r w:rsidRPr="0080756D">
              <w:rPr>
                <w:rFonts w:ascii="Times New Roman" w:hAnsi="Times New Roman" w:cs="Times New Roman"/>
                <w:sz w:val="20"/>
                <w:szCs w:val="20"/>
              </w:rPr>
              <w:t>+</w:t>
            </w:r>
          </w:p>
        </w:tc>
      </w:tr>
    </w:tbl>
    <w:p w:rsidR="00410669" w:rsidRPr="0080756D" w:rsidRDefault="00410669" w:rsidP="0080756D">
      <w:pPr>
        <w:suppressAutoHyphens w:val="0"/>
        <w:snapToGrid w:val="0"/>
        <w:jc w:val="both"/>
        <w:rPr>
          <w:sz w:val="20"/>
          <w:szCs w:val="20"/>
        </w:rPr>
      </w:pPr>
      <w:r w:rsidRPr="0080756D">
        <w:rPr>
          <w:sz w:val="20"/>
          <w:szCs w:val="20"/>
        </w:rPr>
        <w:t>+ = Positive</w:t>
      </w:r>
    </w:p>
    <w:p w:rsidR="00410669" w:rsidRPr="0080756D" w:rsidRDefault="00410669" w:rsidP="0080756D">
      <w:pPr>
        <w:suppressAutoHyphens w:val="0"/>
        <w:snapToGrid w:val="0"/>
        <w:jc w:val="both"/>
        <w:rPr>
          <w:sz w:val="20"/>
          <w:szCs w:val="20"/>
        </w:rPr>
      </w:pPr>
      <w:r w:rsidRPr="0080756D">
        <w:rPr>
          <w:sz w:val="20"/>
          <w:szCs w:val="20"/>
        </w:rPr>
        <w:t>− = Negative</w:t>
      </w:r>
    </w:p>
    <w:p w:rsidR="00BE3CA6" w:rsidRPr="0080756D" w:rsidRDefault="00BE3CA6" w:rsidP="0080756D">
      <w:pPr>
        <w:suppressAutoHyphens w:val="0"/>
        <w:snapToGrid w:val="0"/>
        <w:ind w:firstLine="425"/>
        <w:jc w:val="both"/>
        <w:rPr>
          <w:sz w:val="20"/>
          <w:szCs w:val="20"/>
        </w:rPr>
      </w:pPr>
    </w:p>
    <w:p w:rsidR="00BE3CA6" w:rsidRPr="0080756D" w:rsidRDefault="00BE3CA6" w:rsidP="0080756D">
      <w:pPr>
        <w:suppressAutoHyphens w:val="0"/>
        <w:snapToGrid w:val="0"/>
        <w:ind w:firstLine="425"/>
        <w:jc w:val="both"/>
        <w:rPr>
          <w:sz w:val="20"/>
          <w:szCs w:val="20"/>
        </w:rPr>
        <w:sectPr w:rsidR="00BE3CA6" w:rsidRPr="0080756D" w:rsidSect="00BE3CA6">
          <w:headerReference w:type="default" r:id="rId16"/>
          <w:footerReference w:type="even" r:id="rId17"/>
          <w:footerReference w:type="default" r:id="rId18"/>
          <w:footnotePr>
            <w:pos w:val="beneathText"/>
          </w:footnotePr>
          <w:type w:val="continuous"/>
          <w:pgSz w:w="12240" w:h="15840" w:code="1"/>
          <w:pgMar w:top="1440" w:right="1440" w:bottom="1440" w:left="1440" w:header="720" w:footer="720" w:gutter="0"/>
          <w:cols w:space="576"/>
          <w:docGrid w:linePitch="360"/>
        </w:sectPr>
      </w:pPr>
    </w:p>
    <w:p w:rsidR="00EB4776" w:rsidRPr="0080756D" w:rsidRDefault="00EB4776" w:rsidP="0080756D">
      <w:pPr>
        <w:suppressAutoHyphens w:val="0"/>
        <w:snapToGrid w:val="0"/>
        <w:ind w:firstLine="425"/>
        <w:jc w:val="both"/>
        <w:rPr>
          <w:sz w:val="20"/>
          <w:szCs w:val="20"/>
        </w:rPr>
      </w:pPr>
      <w:r w:rsidRPr="0080756D">
        <w:rPr>
          <w:sz w:val="20"/>
          <w:szCs w:val="20"/>
        </w:rPr>
        <w:lastRenderedPageBreak/>
        <w:t xml:space="preserve">Figure 1 shows comparison of mean pH values of water from the various water sources in each of the two villages. There was no significant difference in pH between water from the three water sources in </w:t>
      </w:r>
      <w:proofErr w:type="spellStart"/>
      <w:r w:rsidRPr="0080756D">
        <w:rPr>
          <w:sz w:val="20"/>
          <w:szCs w:val="20"/>
        </w:rPr>
        <w:t>Magama</w:t>
      </w:r>
      <w:proofErr w:type="spellEnd"/>
      <w:r w:rsidRPr="0080756D">
        <w:rPr>
          <w:sz w:val="20"/>
          <w:szCs w:val="20"/>
        </w:rPr>
        <w:t xml:space="preserve"> (F = 1.704; p = 0.236) and the four water sources in </w:t>
      </w:r>
      <w:proofErr w:type="spellStart"/>
      <w:r w:rsidRPr="0080756D">
        <w:rPr>
          <w:sz w:val="20"/>
          <w:szCs w:val="20"/>
        </w:rPr>
        <w:t>Bolgang</w:t>
      </w:r>
      <w:proofErr w:type="spellEnd"/>
      <w:r w:rsidRPr="0080756D">
        <w:rPr>
          <w:sz w:val="20"/>
          <w:szCs w:val="20"/>
        </w:rPr>
        <w:t xml:space="preserve"> (F = 0.733; p = 0.561). In Figure 2, the alkalinity of water from all the water sources from </w:t>
      </w:r>
      <w:proofErr w:type="spellStart"/>
      <w:r w:rsidRPr="0080756D">
        <w:rPr>
          <w:sz w:val="20"/>
          <w:szCs w:val="20"/>
        </w:rPr>
        <w:t>Magama</w:t>
      </w:r>
      <w:proofErr w:type="spellEnd"/>
      <w:r w:rsidRPr="0080756D">
        <w:rPr>
          <w:sz w:val="20"/>
          <w:szCs w:val="20"/>
        </w:rPr>
        <w:t xml:space="preserve"> revealed no significant difference (F = 0.249; p = 1.262). The same was true for water from all the sources in </w:t>
      </w:r>
      <w:proofErr w:type="spellStart"/>
      <w:r w:rsidRPr="0080756D">
        <w:rPr>
          <w:sz w:val="20"/>
          <w:szCs w:val="20"/>
        </w:rPr>
        <w:t>Bolgang</w:t>
      </w:r>
      <w:proofErr w:type="spellEnd"/>
      <w:r w:rsidRPr="0080756D">
        <w:rPr>
          <w:sz w:val="20"/>
          <w:szCs w:val="20"/>
        </w:rPr>
        <w:t xml:space="preserve"> (F = 0.733; p = 0.351). The result of total hardness of the water from sources in </w:t>
      </w:r>
      <w:proofErr w:type="spellStart"/>
      <w:r w:rsidRPr="0080756D">
        <w:rPr>
          <w:sz w:val="20"/>
          <w:szCs w:val="20"/>
        </w:rPr>
        <w:t>Bolgang</w:t>
      </w:r>
      <w:proofErr w:type="spellEnd"/>
      <w:r w:rsidRPr="0080756D">
        <w:rPr>
          <w:sz w:val="20"/>
          <w:szCs w:val="20"/>
        </w:rPr>
        <w:t xml:space="preserve"> had significant difference (F = 4.745; p = 0.035). Well water had the highest total hardness of 171.33 mg/L while bore-hole water had the least total hardness of 73 mg/L. Water from the different sources in </w:t>
      </w:r>
      <w:proofErr w:type="spellStart"/>
      <w:r w:rsidRPr="0080756D">
        <w:rPr>
          <w:sz w:val="20"/>
          <w:szCs w:val="20"/>
        </w:rPr>
        <w:t>Magama</w:t>
      </w:r>
      <w:proofErr w:type="spellEnd"/>
      <w:r w:rsidRPr="0080756D">
        <w:rPr>
          <w:sz w:val="20"/>
          <w:szCs w:val="20"/>
        </w:rPr>
        <w:t xml:space="preserve"> on the other hand had no significant difference (F = 2.362; p = 0.150) in total hardness (Figure 3).</w:t>
      </w:r>
    </w:p>
    <w:p w:rsidR="00EB4776" w:rsidRPr="0080756D" w:rsidRDefault="00EB4776" w:rsidP="0080756D">
      <w:pPr>
        <w:suppressAutoHyphens w:val="0"/>
        <w:snapToGrid w:val="0"/>
        <w:ind w:firstLine="425"/>
        <w:jc w:val="both"/>
        <w:rPr>
          <w:sz w:val="20"/>
          <w:szCs w:val="20"/>
        </w:rPr>
      </w:pPr>
      <w:r w:rsidRPr="0080756D">
        <w:rPr>
          <w:sz w:val="20"/>
          <w:szCs w:val="20"/>
        </w:rPr>
        <w:lastRenderedPageBreak/>
        <w:t xml:space="preserve">Table 6 presents the test of statistical analyses of possible relationships between total heterotrophic count, total </w:t>
      </w:r>
      <w:proofErr w:type="spellStart"/>
      <w:r w:rsidRPr="0080756D">
        <w:rPr>
          <w:sz w:val="20"/>
          <w:szCs w:val="20"/>
        </w:rPr>
        <w:t>coliform</w:t>
      </w:r>
      <w:proofErr w:type="spellEnd"/>
      <w:r w:rsidRPr="0080756D">
        <w:rPr>
          <w:sz w:val="20"/>
          <w:szCs w:val="20"/>
        </w:rPr>
        <w:t xml:space="preserve"> count and the physicochemical parameters using Pearson correlation. There was no significant correlation (p &gt; 0.05) between total heterotrophic count (pH: r = 0.195; Alkalinity: r = -0.054; Total hardness: r = 0.046), total </w:t>
      </w:r>
      <w:proofErr w:type="spellStart"/>
      <w:r w:rsidRPr="0080756D">
        <w:rPr>
          <w:sz w:val="20"/>
          <w:szCs w:val="20"/>
        </w:rPr>
        <w:t>coliform</w:t>
      </w:r>
      <w:proofErr w:type="spellEnd"/>
      <w:r w:rsidRPr="0080756D">
        <w:rPr>
          <w:sz w:val="20"/>
          <w:szCs w:val="20"/>
        </w:rPr>
        <w:t xml:space="preserve"> count (pH: r = -0.090; Alkalinity: r = 0.181; Total hardness: r = -0.226) and the physicochemical parameters well water. In the same vein, samples obtained from the ponds showed that total heterotrophic count was positively correlated to total </w:t>
      </w:r>
      <w:proofErr w:type="spellStart"/>
      <w:r w:rsidRPr="0080756D">
        <w:rPr>
          <w:sz w:val="20"/>
          <w:szCs w:val="20"/>
        </w:rPr>
        <w:t>coliform</w:t>
      </w:r>
      <w:proofErr w:type="spellEnd"/>
      <w:r w:rsidRPr="0080756D">
        <w:rPr>
          <w:sz w:val="20"/>
          <w:szCs w:val="20"/>
        </w:rPr>
        <w:t xml:space="preserve"> count, pH, alkalinity and total hardness (p &lt; 0.001). Similarly, total </w:t>
      </w:r>
      <w:proofErr w:type="spellStart"/>
      <w:r w:rsidRPr="0080756D">
        <w:rPr>
          <w:sz w:val="20"/>
          <w:szCs w:val="20"/>
        </w:rPr>
        <w:t>coliform</w:t>
      </w:r>
      <w:proofErr w:type="spellEnd"/>
      <w:r w:rsidRPr="0080756D">
        <w:rPr>
          <w:sz w:val="20"/>
          <w:szCs w:val="20"/>
        </w:rPr>
        <w:t xml:space="preserve"> count was positively correlated to pH, alkalinity and total hardness (r = 1.000; p &lt; 0.001) (Table 7). Samples obtained from bore-hole on the other hand showed positive correlation (r = 1.000; p &lt; 0.001) between total heterotrophic count and total </w:t>
      </w:r>
      <w:proofErr w:type="spellStart"/>
      <w:r w:rsidRPr="0080756D">
        <w:rPr>
          <w:sz w:val="20"/>
          <w:szCs w:val="20"/>
        </w:rPr>
        <w:t>coliform</w:t>
      </w:r>
      <w:proofErr w:type="spellEnd"/>
      <w:r w:rsidRPr="0080756D">
        <w:rPr>
          <w:sz w:val="20"/>
          <w:szCs w:val="20"/>
        </w:rPr>
        <w:t xml:space="preserve"> count and alkalinity while it exhibited </w:t>
      </w:r>
      <w:r w:rsidRPr="0080756D">
        <w:rPr>
          <w:sz w:val="20"/>
          <w:szCs w:val="20"/>
        </w:rPr>
        <w:lastRenderedPageBreak/>
        <w:t xml:space="preserve">negative correlation (r = -1.000; p &lt; 0.001) between total heterotrophic count and pH and total hardness. A replica trend was observed in the correlation between </w:t>
      </w:r>
      <w:r w:rsidRPr="0080756D">
        <w:rPr>
          <w:sz w:val="20"/>
          <w:szCs w:val="20"/>
        </w:rPr>
        <w:lastRenderedPageBreak/>
        <w:t xml:space="preserve">total </w:t>
      </w:r>
      <w:proofErr w:type="spellStart"/>
      <w:r w:rsidRPr="0080756D">
        <w:rPr>
          <w:sz w:val="20"/>
          <w:szCs w:val="20"/>
        </w:rPr>
        <w:t>coliform</w:t>
      </w:r>
      <w:proofErr w:type="spellEnd"/>
      <w:r w:rsidRPr="0080756D">
        <w:rPr>
          <w:sz w:val="20"/>
          <w:szCs w:val="20"/>
        </w:rPr>
        <w:t>, pH and total hardness (negative correlation) (Table 8).</w:t>
      </w:r>
    </w:p>
    <w:p w:rsidR="00BE3CA6" w:rsidRPr="0080756D" w:rsidRDefault="00BE3CA6" w:rsidP="0080756D">
      <w:pPr>
        <w:suppressAutoHyphens w:val="0"/>
        <w:snapToGrid w:val="0"/>
        <w:ind w:firstLine="425"/>
        <w:jc w:val="both"/>
        <w:rPr>
          <w:sz w:val="20"/>
          <w:szCs w:val="20"/>
        </w:rPr>
        <w:sectPr w:rsidR="00BE3CA6" w:rsidRPr="0080756D" w:rsidSect="0080756D">
          <w:headerReference w:type="default" r:id="rId19"/>
          <w:footerReference w:type="even" r:id="rId20"/>
          <w:footerReference w:type="default" r:id="rId21"/>
          <w:type w:val="continuous"/>
          <w:pgSz w:w="12240" w:h="15840" w:code="1"/>
          <w:pgMar w:top="1440" w:right="1440" w:bottom="1440" w:left="1440" w:header="720" w:footer="720" w:gutter="0"/>
          <w:cols w:num="2" w:space="600"/>
          <w:docGrid w:linePitch="360"/>
        </w:sectPr>
      </w:pPr>
    </w:p>
    <w:p w:rsidR="00EB4776" w:rsidRPr="0080756D" w:rsidRDefault="00EB4776" w:rsidP="0080756D">
      <w:pPr>
        <w:suppressAutoHyphens w:val="0"/>
        <w:snapToGrid w:val="0"/>
        <w:jc w:val="center"/>
        <w:rPr>
          <w:sz w:val="20"/>
          <w:szCs w:val="20"/>
        </w:rPr>
      </w:pPr>
      <w:r w:rsidRPr="0080756D">
        <w:rPr>
          <w:noProof/>
          <w:sz w:val="20"/>
          <w:szCs w:val="20"/>
          <w:lang w:eastAsia="zh-CN"/>
        </w:rPr>
        <w:lastRenderedPageBreak/>
        <w:drawing>
          <wp:inline distT="0" distB="0" distL="0" distR="0">
            <wp:extent cx="4407128" cy="223424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B4776" w:rsidRPr="0080756D" w:rsidRDefault="00EB4776" w:rsidP="0080756D">
      <w:pPr>
        <w:suppressAutoHyphens w:val="0"/>
        <w:snapToGrid w:val="0"/>
        <w:jc w:val="center"/>
        <w:rPr>
          <w:sz w:val="20"/>
          <w:szCs w:val="20"/>
        </w:rPr>
      </w:pPr>
      <w:r w:rsidRPr="0080756D">
        <w:rPr>
          <w:sz w:val="20"/>
          <w:szCs w:val="20"/>
        </w:rPr>
        <w:t xml:space="preserve">Figure 1: pH of water from </w:t>
      </w: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villages.</w:t>
      </w:r>
    </w:p>
    <w:p w:rsidR="00EB4776" w:rsidRPr="0080756D" w:rsidRDefault="00EB4776" w:rsidP="0080756D">
      <w:pPr>
        <w:suppressAutoHyphens w:val="0"/>
        <w:snapToGrid w:val="0"/>
        <w:jc w:val="center"/>
        <w:rPr>
          <w:sz w:val="20"/>
          <w:szCs w:val="20"/>
        </w:rPr>
      </w:pPr>
      <w:r w:rsidRPr="0080756D">
        <w:rPr>
          <w:sz w:val="20"/>
          <w:szCs w:val="20"/>
        </w:rPr>
        <w:t>† F = 1.704; p-value = 0.236; ‡ F = 0.733; p-value = 0.561</w:t>
      </w:r>
    </w:p>
    <w:p w:rsidR="00EB4776" w:rsidRPr="0080756D" w:rsidRDefault="00EB4776" w:rsidP="0080756D">
      <w:pPr>
        <w:suppressAutoHyphens w:val="0"/>
        <w:snapToGrid w:val="0"/>
        <w:ind w:firstLine="425"/>
        <w:jc w:val="both"/>
        <w:rPr>
          <w:sz w:val="20"/>
          <w:szCs w:val="20"/>
        </w:rPr>
      </w:pPr>
    </w:p>
    <w:p w:rsidR="00EB4776" w:rsidRPr="0080756D" w:rsidRDefault="00EB4776" w:rsidP="0080756D">
      <w:pPr>
        <w:suppressAutoHyphens w:val="0"/>
        <w:snapToGrid w:val="0"/>
        <w:ind w:firstLine="425"/>
        <w:jc w:val="both"/>
        <w:rPr>
          <w:sz w:val="20"/>
          <w:szCs w:val="20"/>
        </w:rPr>
      </w:pPr>
    </w:p>
    <w:p w:rsidR="00EB4776" w:rsidRPr="0080756D" w:rsidRDefault="00EB4776" w:rsidP="0080756D">
      <w:pPr>
        <w:suppressAutoHyphens w:val="0"/>
        <w:snapToGrid w:val="0"/>
        <w:jc w:val="center"/>
        <w:rPr>
          <w:sz w:val="20"/>
          <w:szCs w:val="20"/>
        </w:rPr>
      </w:pPr>
      <w:r w:rsidRPr="0080756D">
        <w:rPr>
          <w:noProof/>
          <w:sz w:val="20"/>
          <w:szCs w:val="20"/>
          <w:lang w:eastAsia="zh-CN"/>
        </w:rPr>
        <w:drawing>
          <wp:inline distT="0" distB="0" distL="0" distR="0">
            <wp:extent cx="4088909" cy="200132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B4776" w:rsidRPr="0080756D" w:rsidRDefault="00EB4776" w:rsidP="0080756D">
      <w:pPr>
        <w:suppressAutoHyphens w:val="0"/>
        <w:snapToGrid w:val="0"/>
        <w:ind w:firstLine="425"/>
        <w:jc w:val="both"/>
        <w:rPr>
          <w:sz w:val="20"/>
          <w:szCs w:val="20"/>
        </w:rPr>
      </w:pPr>
    </w:p>
    <w:p w:rsidR="00EB4776" w:rsidRPr="0080756D" w:rsidRDefault="00EB4776" w:rsidP="0080756D">
      <w:pPr>
        <w:suppressAutoHyphens w:val="0"/>
        <w:snapToGrid w:val="0"/>
        <w:jc w:val="center"/>
        <w:rPr>
          <w:sz w:val="20"/>
          <w:szCs w:val="20"/>
        </w:rPr>
      </w:pPr>
      <w:r w:rsidRPr="0080756D">
        <w:rPr>
          <w:sz w:val="20"/>
          <w:szCs w:val="20"/>
        </w:rPr>
        <w:t xml:space="preserve">Figure 2: Alkalinity of water from </w:t>
      </w: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villages.</w:t>
      </w:r>
    </w:p>
    <w:p w:rsidR="00EB4776" w:rsidRPr="0080756D" w:rsidRDefault="00EB4776" w:rsidP="0080756D">
      <w:pPr>
        <w:suppressAutoHyphens w:val="0"/>
        <w:snapToGrid w:val="0"/>
        <w:jc w:val="center"/>
        <w:rPr>
          <w:sz w:val="20"/>
          <w:szCs w:val="20"/>
        </w:rPr>
      </w:pPr>
      <w:r w:rsidRPr="0080756D">
        <w:rPr>
          <w:sz w:val="20"/>
          <w:szCs w:val="20"/>
        </w:rPr>
        <w:t>† F = 0.249; p-value = 1.262; ‡ F = 0.733; p-value = 0.351</w:t>
      </w:r>
    </w:p>
    <w:p w:rsidR="00EB4776" w:rsidRPr="0080756D" w:rsidRDefault="00EB4776" w:rsidP="0080756D">
      <w:pPr>
        <w:suppressAutoHyphens w:val="0"/>
        <w:snapToGrid w:val="0"/>
        <w:ind w:firstLine="425"/>
        <w:jc w:val="both"/>
        <w:rPr>
          <w:sz w:val="20"/>
          <w:szCs w:val="20"/>
        </w:rPr>
      </w:pPr>
    </w:p>
    <w:p w:rsidR="00EB4776" w:rsidRPr="0080756D" w:rsidRDefault="00EB4776" w:rsidP="0080756D">
      <w:pPr>
        <w:suppressAutoHyphens w:val="0"/>
        <w:snapToGrid w:val="0"/>
        <w:jc w:val="center"/>
        <w:rPr>
          <w:sz w:val="20"/>
          <w:szCs w:val="20"/>
        </w:rPr>
      </w:pPr>
      <w:r w:rsidRPr="0080756D">
        <w:rPr>
          <w:noProof/>
          <w:sz w:val="20"/>
          <w:szCs w:val="20"/>
          <w:lang w:eastAsia="zh-CN"/>
        </w:rPr>
        <w:drawing>
          <wp:inline distT="0" distB="0" distL="0" distR="0">
            <wp:extent cx="4088765" cy="196677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B4776" w:rsidRPr="0080756D" w:rsidRDefault="00EB4776" w:rsidP="0080756D">
      <w:pPr>
        <w:suppressAutoHyphens w:val="0"/>
        <w:snapToGrid w:val="0"/>
        <w:jc w:val="center"/>
        <w:rPr>
          <w:sz w:val="20"/>
          <w:szCs w:val="20"/>
        </w:rPr>
      </w:pPr>
      <w:r w:rsidRPr="0080756D">
        <w:rPr>
          <w:sz w:val="20"/>
          <w:szCs w:val="20"/>
        </w:rPr>
        <w:t xml:space="preserve">Figure 3: Total hardness of water from </w:t>
      </w:r>
      <w:proofErr w:type="spellStart"/>
      <w:r w:rsidRPr="0080756D">
        <w:rPr>
          <w:sz w:val="20"/>
          <w:szCs w:val="20"/>
        </w:rPr>
        <w:t>Magama</w:t>
      </w:r>
      <w:proofErr w:type="spellEnd"/>
      <w:r w:rsidRPr="0080756D">
        <w:rPr>
          <w:sz w:val="20"/>
          <w:szCs w:val="20"/>
        </w:rPr>
        <w:t xml:space="preserve"> and </w:t>
      </w:r>
      <w:proofErr w:type="spellStart"/>
      <w:r w:rsidRPr="0080756D">
        <w:rPr>
          <w:sz w:val="20"/>
          <w:szCs w:val="20"/>
        </w:rPr>
        <w:t>Bolgang</w:t>
      </w:r>
      <w:proofErr w:type="spellEnd"/>
      <w:r w:rsidRPr="0080756D">
        <w:rPr>
          <w:sz w:val="20"/>
          <w:szCs w:val="20"/>
        </w:rPr>
        <w:t xml:space="preserve"> villages.</w:t>
      </w:r>
    </w:p>
    <w:p w:rsidR="0080756D" w:rsidRDefault="00EB4776" w:rsidP="0080756D">
      <w:pPr>
        <w:suppressAutoHyphens w:val="0"/>
        <w:snapToGrid w:val="0"/>
        <w:jc w:val="center"/>
        <w:rPr>
          <w:rFonts w:hint="eastAsia"/>
          <w:sz w:val="20"/>
          <w:szCs w:val="20"/>
          <w:lang w:eastAsia="zh-CN"/>
        </w:rPr>
      </w:pPr>
      <w:r w:rsidRPr="0080756D">
        <w:rPr>
          <w:sz w:val="20"/>
          <w:szCs w:val="20"/>
        </w:rPr>
        <w:t>† F = 2.362; p-value = 0.150; ‡ F = 4.745; p-value = 0.035*</w:t>
      </w:r>
    </w:p>
    <w:p w:rsidR="00EB4776" w:rsidRPr="0080756D" w:rsidRDefault="00EB4776" w:rsidP="0080756D">
      <w:pPr>
        <w:suppressAutoHyphens w:val="0"/>
        <w:snapToGrid w:val="0"/>
        <w:jc w:val="both"/>
        <w:rPr>
          <w:sz w:val="19"/>
          <w:szCs w:val="19"/>
        </w:rPr>
      </w:pPr>
      <w:r w:rsidRPr="0080756D">
        <w:rPr>
          <w:sz w:val="19"/>
          <w:szCs w:val="19"/>
        </w:rPr>
        <w:lastRenderedPageBreak/>
        <w:t xml:space="preserve">Table 6: Correlation of total heterotrophic count and total </w:t>
      </w:r>
      <w:proofErr w:type="spellStart"/>
      <w:r w:rsidRPr="0080756D">
        <w:rPr>
          <w:sz w:val="19"/>
          <w:szCs w:val="19"/>
        </w:rPr>
        <w:t>coliform</w:t>
      </w:r>
      <w:proofErr w:type="spellEnd"/>
      <w:r w:rsidRPr="0080756D">
        <w:rPr>
          <w:sz w:val="19"/>
          <w:szCs w:val="19"/>
        </w:rPr>
        <w:t xml:space="preserve"> count with physicochemical parameters of well water</w:t>
      </w:r>
    </w:p>
    <w:tbl>
      <w:tblPr>
        <w:tblW w:w="5000" w:type="pct"/>
        <w:jc w:val="center"/>
        <w:tblBorders>
          <w:top w:val="single" w:sz="4" w:space="0" w:color="auto"/>
          <w:bottom w:val="single" w:sz="4" w:space="0" w:color="auto"/>
        </w:tblBorders>
        <w:tblLook w:val="04A0"/>
      </w:tblPr>
      <w:tblGrid>
        <w:gridCol w:w="1930"/>
        <w:gridCol w:w="1340"/>
        <w:gridCol w:w="1480"/>
        <w:gridCol w:w="1366"/>
        <w:gridCol w:w="758"/>
        <w:gridCol w:w="1170"/>
        <w:gridCol w:w="1532"/>
      </w:tblGrid>
      <w:tr w:rsidR="0080756D" w:rsidRPr="0080756D" w:rsidTr="0080756D">
        <w:trPr>
          <w:jc w:val="center"/>
        </w:trPr>
        <w:tc>
          <w:tcPr>
            <w:tcW w:w="1007" w:type="pct"/>
            <w:tcBorders>
              <w:top w:val="single" w:sz="4" w:space="0" w:color="auto"/>
              <w:bottom w:val="nil"/>
            </w:tcBorders>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p>
        </w:tc>
        <w:tc>
          <w:tcPr>
            <w:tcW w:w="699" w:type="pct"/>
            <w:tcBorders>
              <w:top w:val="single" w:sz="4" w:space="0" w:color="auto"/>
              <w:bottom w:val="nil"/>
            </w:tcBorders>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773" w:type="pct"/>
            <w:tcBorders>
              <w:top w:val="single" w:sz="4" w:space="0" w:color="auto"/>
              <w:bottom w:val="nil"/>
            </w:tcBorders>
            <w:shd w:val="clear" w:color="auto" w:fill="auto"/>
            <w:noWrap/>
            <w:vAlign w:val="center"/>
            <w:hideMark/>
          </w:tcPr>
          <w:p w:rsidR="0080756D" w:rsidRPr="0080756D" w:rsidRDefault="0080756D" w:rsidP="009308C8">
            <w:pPr>
              <w:suppressAutoHyphens w:val="0"/>
              <w:snapToGrid w:val="0"/>
              <w:jc w:val="both"/>
              <w:rPr>
                <w:rFonts w:eastAsia="Times New Roman"/>
                <w:b/>
                <w:color w:val="000000"/>
                <w:sz w:val="19"/>
                <w:szCs w:val="19"/>
              </w:rPr>
            </w:pPr>
            <w:r w:rsidRPr="0080756D">
              <w:rPr>
                <w:rFonts w:eastAsia="Times New Roman"/>
                <w:b/>
                <w:color w:val="000000"/>
                <w:sz w:val="19"/>
                <w:szCs w:val="19"/>
              </w:rPr>
              <w:t>THC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713" w:type="pct"/>
            <w:tcBorders>
              <w:top w:val="single" w:sz="4" w:space="0" w:color="auto"/>
              <w:bottom w:val="nil"/>
            </w:tcBorders>
            <w:shd w:val="clear" w:color="auto" w:fill="auto"/>
            <w:noWrap/>
            <w:vAlign w:val="center"/>
            <w:hideMark/>
          </w:tcPr>
          <w:p w:rsidR="0080756D" w:rsidRPr="0080756D" w:rsidRDefault="0080756D" w:rsidP="009308C8">
            <w:pPr>
              <w:suppressAutoHyphens w:val="0"/>
              <w:snapToGrid w:val="0"/>
              <w:jc w:val="both"/>
              <w:rPr>
                <w:rFonts w:eastAsia="Times New Roman"/>
                <w:b/>
                <w:color w:val="000000"/>
                <w:sz w:val="19"/>
                <w:szCs w:val="19"/>
              </w:rPr>
            </w:pPr>
            <w:r w:rsidRPr="0080756D">
              <w:rPr>
                <w:rFonts w:eastAsia="Times New Roman"/>
                <w:b/>
                <w:color w:val="000000"/>
                <w:sz w:val="19"/>
                <w:szCs w:val="19"/>
              </w:rPr>
              <w:t>TCC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396" w:type="pct"/>
            <w:tcBorders>
              <w:top w:val="single" w:sz="4" w:space="0" w:color="auto"/>
              <w:bottom w:val="nil"/>
            </w:tcBorders>
            <w:shd w:val="clear" w:color="auto" w:fill="auto"/>
            <w:noWrap/>
            <w:vAlign w:val="center"/>
            <w:hideMark/>
          </w:tcPr>
          <w:p w:rsidR="0080756D" w:rsidRPr="0080756D" w:rsidRDefault="0080756D" w:rsidP="009308C8">
            <w:pPr>
              <w:suppressAutoHyphens w:val="0"/>
              <w:snapToGrid w:val="0"/>
              <w:jc w:val="both"/>
              <w:rPr>
                <w:rFonts w:eastAsia="Times New Roman"/>
                <w:b/>
                <w:color w:val="000000"/>
                <w:sz w:val="19"/>
                <w:szCs w:val="19"/>
              </w:rPr>
            </w:pPr>
            <w:r w:rsidRPr="0080756D">
              <w:rPr>
                <w:rFonts w:eastAsia="Times New Roman"/>
                <w:b/>
                <w:color w:val="000000"/>
                <w:sz w:val="19"/>
                <w:szCs w:val="19"/>
              </w:rPr>
              <w:t>pH</w:t>
            </w:r>
          </w:p>
        </w:tc>
        <w:tc>
          <w:tcPr>
            <w:tcW w:w="611" w:type="pct"/>
            <w:tcBorders>
              <w:top w:val="single" w:sz="4" w:space="0" w:color="auto"/>
              <w:bottom w:val="nil"/>
            </w:tcBorders>
            <w:shd w:val="clear" w:color="auto" w:fill="auto"/>
            <w:noWrap/>
            <w:vAlign w:val="center"/>
            <w:hideMark/>
          </w:tcPr>
          <w:p w:rsidR="0080756D" w:rsidRPr="0080756D" w:rsidRDefault="0080756D" w:rsidP="009308C8">
            <w:pPr>
              <w:suppressAutoHyphens w:val="0"/>
              <w:snapToGrid w:val="0"/>
              <w:jc w:val="both"/>
              <w:rPr>
                <w:rFonts w:eastAsia="Times New Roman"/>
                <w:b/>
                <w:color w:val="000000"/>
                <w:sz w:val="19"/>
                <w:szCs w:val="19"/>
              </w:rPr>
            </w:pPr>
            <w:r w:rsidRPr="0080756D">
              <w:rPr>
                <w:rFonts w:eastAsia="Times New Roman"/>
                <w:b/>
                <w:color w:val="000000"/>
                <w:sz w:val="19"/>
                <w:szCs w:val="19"/>
              </w:rPr>
              <w:t>Alkalinity</w:t>
            </w:r>
          </w:p>
        </w:tc>
        <w:tc>
          <w:tcPr>
            <w:tcW w:w="800" w:type="pct"/>
            <w:tcBorders>
              <w:top w:val="single" w:sz="4" w:space="0" w:color="auto"/>
              <w:bottom w:val="nil"/>
            </w:tcBorders>
            <w:shd w:val="clear" w:color="auto" w:fill="auto"/>
            <w:noWrap/>
            <w:vAlign w:val="center"/>
            <w:hideMark/>
          </w:tcPr>
          <w:p w:rsidR="0080756D" w:rsidRPr="0080756D" w:rsidRDefault="0080756D" w:rsidP="009308C8">
            <w:pPr>
              <w:suppressAutoHyphens w:val="0"/>
              <w:snapToGrid w:val="0"/>
              <w:jc w:val="both"/>
              <w:rPr>
                <w:rFonts w:eastAsia="Times New Roman"/>
                <w:b/>
                <w:color w:val="000000"/>
                <w:sz w:val="19"/>
                <w:szCs w:val="19"/>
              </w:rPr>
            </w:pPr>
            <w:r w:rsidRPr="0080756D">
              <w:rPr>
                <w:rFonts w:eastAsia="Times New Roman"/>
                <w:b/>
                <w:color w:val="000000"/>
                <w:sz w:val="19"/>
                <w:szCs w:val="19"/>
              </w:rPr>
              <w:t>Total Hardness</w:t>
            </w:r>
          </w:p>
        </w:tc>
      </w:tr>
      <w:tr w:rsidR="0080756D" w:rsidRPr="0080756D" w:rsidTr="0080756D">
        <w:trPr>
          <w:jc w:val="center"/>
        </w:trPr>
        <w:tc>
          <w:tcPr>
            <w:tcW w:w="1007" w:type="pct"/>
            <w:tcBorders>
              <w:top w:val="single" w:sz="4" w:space="0" w:color="auto"/>
              <w:bottom w:val="nil"/>
            </w:tcBorders>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THC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699" w:type="pct"/>
            <w:tcBorders>
              <w:top w:val="single" w:sz="4" w:space="0" w:color="auto"/>
              <w:bottom w:val="nil"/>
            </w:tcBorders>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773" w:type="pct"/>
            <w:tcBorders>
              <w:top w:val="single" w:sz="4" w:space="0" w:color="auto"/>
              <w:bottom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713" w:type="pct"/>
            <w:tcBorders>
              <w:top w:val="single" w:sz="4" w:space="0" w:color="auto"/>
              <w:bottom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396" w:type="pct"/>
            <w:tcBorders>
              <w:top w:val="single" w:sz="4" w:space="0" w:color="auto"/>
              <w:bottom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611" w:type="pct"/>
            <w:tcBorders>
              <w:top w:val="single" w:sz="4" w:space="0" w:color="auto"/>
              <w:bottom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800" w:type="pct"/>
            <w:tcBorders>
              <w:top w:val="single" w:sz="4" w:space="0" w:color="auto"/>
              <w:bottom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r>
      <w:tr w:rsidR="0080756D" w:rsidRPr="0080756D" w:rsidTr="0080756D">
        <w:trPr>
          <w:jc w:val="center"/>
        </w:trPr>
        <w:tc>
          <w:tcPr>
            <w:tcW w:w="1007" w:type="pct"/>
            <w:tcBorders>
              <w:top w:val="nil"/>
            </w:tcBorders>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p>
        </w:tc>
        <w:tc>
          <w:tcPr>
            <w:tcW w:w="699" w:type="pct"/>
            <w:tcBorders>
              <w:top w:val="nil"/>
            </w:tcBorders>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773" w:type="pct"/>
            <w:tcBorders>
              <w:top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713" w:type="pct"/>
            <w:tcBorders>
              <w:top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396" w:type="pct"/>
            <w:tcBorders>
              <w:top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611" w:type="pct"/>
            <w:tcBorders>
              <w:top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800" w:type="pct"/>
            <w:tcBorders>
              <w:top w:val="nil"/>
            </w:tcBorders>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r>
      <w:tr w:rsidR="0080756D" w:rsidRPr="0080756D" w:rsidTr="0080756D">
        <w:trPr>
          <w:jc w:val="center"/>
        </w:trPr>
        <w:tc>
          <w:tcPr>
            <w:tcW w:w="1007" w:type="pct"/>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TCC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699"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77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0.034</w:t>
            </w:r>
          </w:p>
        </w:tc>
        <w:tc>
          <w:tcPr>
            <w:tcW w:w="71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396"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611"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800"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r>
      <w:tr w:rsidR="0080756D" w:rsidRPr="0080756D" w:rsidTr="0080756D">
        <w:trPr>
          <w:jc w:val="center"/>
        </w:trPr>
        <w:tc>
          <w:tcPr>
            <w:tcW w:w="1007" w:type="pct"/>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p>
        </w:tc>
        <w:tc>
          <w:tcPr>
            <w:tcW w:w="699"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77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0.908</w:t>
            </w:r>
          </w:p>
        </w:tc>
        <w:tc>
          <w:tcPr>
            <w:tcW w:w="71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396"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611"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800"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r>
      <w:tr w:rsidR="0080756D" w:rsidRPr="0080756D" w:rsidTr="0080756D">
        <w:trPr>
          <w:jc w:val="center"/>
        </w:trPr>
        <w:tc>
          <w:tcPr>
            <w:tcW w:w="1007" w:type="pct"/>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pH</w:t>
            </w:r>
          </w:p>
        </w:tc>
        <w:tc>
          <w:tcPr>
            <w:tcW w:w="699"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77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0.195</w:t>
            </w:r>
          </w:p>
        </w:tc>
        <w:tc>
          <w:tcPr>
            <w:tcW w:w="71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-0.090</w:t>
            </w:r>
          </w:p>
        </w:tc>
        <w:tc>
          <w:tcPr>
            <w:tcW w:w="396"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611"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800"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r>
      <w:tr w:rsidR="0080756D" w:rsidRPr="0080756D" w:rsidTr="0080756D">
        <w:trPr>
          <w:jc w:val="center"/>
        </w:trPr>
        <w:tc>
          <w:tcPr>
            <w:tcW w:w="1007" w:type="pct"/>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p>
        </w:tc>
        <w:tc>
          <w:tcPr>
            <w:tcW w:w="699"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77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0.505</w:t>
            </w:r>
          </w:p>
        </w:tc>
        <w:tc>
          <w:tcPr>
            <w:tcW w:w="71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0.759</w:t>
            </w:r>
          </w:p>
        </w:tc>
        <w:tc>
          <w:tcPr>
            <w:tcW w:w="396"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611"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800"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r>
      <w:tr w:rsidR="0080756D" w:rsidRPr="0080756D" w:rsidTr="0080756D">
        <w:trPr>
          <w:jc w:val="center"/>
        </w:trPr>
        <w:tc>
          <w:tcPr>
            <w:tcW w:w="1007" w:type="pct"/>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Alkalinity</w:t>
            </w:r>
          </w:p>
        </w:tc>
        <w:tc>
          <w:tcPr>
            <w:tcW w:w="699"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77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-0.054</w:t>
            </w:r>
          </w:p>
        </w:tc>
        <w:tc>
          <w:tcPr>
            <w:tcW w:w="71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0.181</w:t>
            </w:r>
          </w:p>
        </w:tc>
        <w:tc>
          <w:tcPr>
            <w:tcW w:w="396"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-0.367</w:t>
            </w:r>
          </w:p>
        </w:tc>
        <w:tc>
          <w:tcPr>
            <w:tcW w:w="611"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800"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r>
      <w:tr w:rsidR="0080756D" w:rsidRPr="0080756D" w:rsidTr="0080756D">
        <w:trPr>
          <w:jc w:val="center"/>
        </w:trPr>
        <w:tc>
          <w:tcPr>
            <w:tcW w:w="1007" w:type="pct"/>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p>
        </w:tc>
        <w:tc>
          <w:tcPr>
            <w:tcW w:w="699"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77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0.855</w:t>
            </w:r>
          </w:p>
        </w:tc>
        <w:tc>
          <w:tcPr>
            <w:tcW w:w="71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0.537</w:t>
            </w:r>
          </w:p>
        </w:tc>
        <w:tc>
          <w:tcPr>
            <w:tcW w:w="396"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0.197</w:t>
            </w:r>
          </w:p>
        </w:tc>
        <w:tc>
          <w:tcPr>
            <w:tcW w:w="611"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800"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p>
        </w:tc>
      </w:tr>
      <w:tr w:rsidR="0080756D" w:rsidRPr="0080756D" w:rsidTr="0080756D">
        <w:trPr>
          <w:jc w:val="center"/>
        </w:trPr>
        <w:tc>
          <w:tcPr>
            <w:tcW w:w="1007" w:type="pct"/>
            <w:shd w:val="clear" w:color="auto" w:fill="auto"/>
            <w:vAlign w:val="center"/>
            <w:hideMark/>
          </w:tcPr>
          <w:p w:rsidR="0080756D" w:rsidRPr="0080756D" w:rsidRDefault="0080756D"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Total Hardness</w:t>
            </w:r>
          </w:p>
        </w:tc>
        <w:tc>
          <w:tcPr>
            <w:tcW w:w="699"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77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0.046</w:t>
            </w:r>
          </w:p>
        </w:tc>
        <w:tc>
          <w:tcPr>
            <w:tcW w:w="71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-0.226</w:t>
            </w:r>
          </w:p>
        </w:tc>
        <w:tc>
          <w:tcPr>
            <w:tcW w:w="396"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0.324</w:t>
            </w:r>
          </w:p>
        </w:tc>
        <w:tc>
          <w:tcPr>
            <w:tcW w:w="611"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-0.394</w:t>
            </w:r>
          </w:p>
        </w:tc>
        <w:tc>
          <w:tcPr>
            <w:tcW w:w="800"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r>
      <w:tr w:rsidR="0080756D" w:rsidRPr="0080756D" w:rsidTr="0080756D">
        <w:trPr>
          <w:jc w:val="center"/>
        </w:trPr>
        <w:tc>
          <w:tcPr>
            <w:tcW w:w="1007"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p>
        </w:tc>
        <w:tc>
          <w:tcPr>
            <w:tcW w:w="699" w:type="pct"/>
            <w:shd w:val="clear" w:color="auto" w:fill="auto"/>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77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0.876</w:t>
            </w:r>
          </w:p>
        </w:tc>
        <w:tc>
          <w:tcPr>
            <w:tcW w:w="713"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0.437</w:t>
            </w:r>
          </w:p>
        </w:tc>
        <w:tc>
          <w:tcPr>
            <w:tcW w:w="396"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0.259</w:t>
            </w:r>
          </w:p>
        </w:tc>
        <w:tc>
          <w:tcPr>
            <w:tcW w:w="611"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0.163</w:t>
            </w:r>
          </w:p>
        </w:tc>
        <w:tc>
          <w:tcPr>
            <w:tcW w:w="800" w:type="pct"/>
            <w:shd w:val="clear" w:color="auto" w:fill="auto"/>
            <w:noWrap/>
            <w:vAlign w:val="center"/>
            <w:hideMark/>
          </w:tcPr>
          <w:p w:rsidR="0080756D" w:rsidRPr="0080756D" w:rsidRDefault="0080756D"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r>
    </w:tbl>
    <w:p w:rsidR="00EB4776" w:rsidRPr="0080756D" w:rsidRDefault="00EB4776" w:rsidP="0080756D">
      <w:pPr>
        <w:suppressAutoHyphens w:val="0"/>
        <w:snapToGrid w:val="0"/>
        <w:jc w:val="both"/>
        <w:rPr>
          <w:sz w:val="19"/>
          <w:szCs w:val="19"/>
        </w:rPr>
      </w:pPr>
      <w:r w:rsidRPr="0080756D">
        <w:rPr>
          <w:sz w:val="19"/>
          <w:szCs w:val="19"/>
        </w:rPr>
        <w:t xml:space="preserve">THC = Total heterotrophic bacterial count; TCC = Total </w:t>
      </w:r>
      <w:proofErr w:type="spellStart"/>
      <w:r w:rsidRPr="0080756D">
        <w:rPr>
          <w:sz w:val="19"/>
          <w:szCs w:val="19"/>
        </w:rPr>
        <w:t>coliform</w:t>
      </w:r>
      <w:proofErr w:type="spellEnd"/>
      <w:r w:rsidRPr="0080756D">
        <w:rPr>
          <w:sz w:val="19"/>
          <w:szCs w:val="19"/>
        </w:rPr>
        <w:t xml:space="preserve"> count</w:t>
      </w:r>
    </w:p>
    <w:p w:rsidR="00EB4776" w:rsidRPr="0080756D" w:rsidRDefault="00EB4776" w:rsidP="0080756D">
      <w:pPr>
        <w:suppressAutoHyphens w:val="0"/>
        <w:snapToGrid w:val="0"/>
        <w:ind w:firstLine="425"/>
        <w:jc w:val="both"/>
        <w:rPr>
          <w:sz w:val="19"/>
          <w:szCs w:val="19"/>
        </w:rPr>
      </w:pPr>
    </w:p>
    <w:p w:rsidR="00EB4776" w:rsidRPr="0080756D" w:rsidRDefault="00EB4776" w:rsidP="0080756D">
      <w:pPr>
        <w:tabs>
          <w:tab w:val="left" w:pos="810"/>
        </w:tabs>
        <w:suppressAutoHyphens w:val="0"/>
        <w:snapToGrid w:val="0"/>
        <w:jc w:val="both"/>
        <w:rPr>
          <w:sz w:val="19"/>
          <w:szCs w:val="19"/>
        </w:rPr>
      </w:pPr>
      <w:r w:rsidRPr="0080756D">
        <w:rPr>
          <w:sz w:val="19"/>
          <w:szCs w:val="19"/>
        </w:rPr>
        <w:t xml:space="preserve">Table 7: Correlation of total heterotrophic count and total </w:t>
      </w:r>
      <w:proofErr w:type="spellStart"/>
      <w:r w:rsidRPr="0080756D">
        <w:rPr>
          <w:sz w:val="19"/>
          <w:szCs w:val="19"/>
        </w:rPr>
        <w:t>coliform</w:t>
      </w:r>
      <w:proofErr w:type="spellEnd"/>
      <w:r w:rsidRPr="0080756D">
        <w:rPr>
          <w:sz w:val="19"/>
          <w:szCs w:val="19"/>
        </w:rPr>
        <w:t xml:space="preserve"> count with physicochemical parameters of pond water</w:t>
      </w:r>
    </w:p>
    <w:tbl>
      <w:tblPr>
        <w:tblW w:w="0" w:type="auto"/>
        <w:jc w:val="center"/>
        <w:tblBorders>
          <w:top w:val="single" w:sz="4" w:space="0" w:color="auto"/>
          <w:bottom w:val="single" w:sz="4" w:space="0" w:color="auto"/>
        </w:tblBorders>
        <w:tblLook w:val="04A0"/>
      </w:tblPr>
      <w:tblGrid>
        <w:gridCol w:w="1467"/>
        <w:gridCol w:w="1731"/>
        <w:gridCol w:w="1319"/>
        <w:gridCol w:w="1309"/>
        <w:gridCol w:w="871"/>
        <w:gridCol w:w="1029"/>
        <w:gridCol w:w="1467"/>
      </w:tblGrid>
      <w:tr w:rsidR="00EB4776" w:rsidRPr="0080756D" w:rsidTr="0080756D">
        <w:trPr>
          <w:jc w:val="center"/>
        </w:trPr>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THC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TCC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pH</w:t>
            </w:r>
          </w:p>
        </w:tc>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Alkalinity</w:t>
            </w:r>
          </w:p>
        </w:tc>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Total Hardness</w:t>
            </w:r>
          </w:p>
        </w:tc>
      </w:tr>
      <w:tr w:rsidR="00EB4776" w:rsidRPr="0080756D" w:rsidTr="0080756D">
        <w:trPr>
          <w:jc w:val="center"/>
        </w:trPr>
        <w:tc>
          <w:tcPr>
            <w:tcW w:w="0" w:type="auto"/>
            <w:tcBorders>
              <w:top w:val="single" w:sz="4" w:space="0" w:color="auto"/>
              <w:bottom w:val="nil"/>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THC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0" w:type="auto"/>
            <w:tcBorders>
              <w:top w:val="single" w:sz="4" w:space="0" w:color="auto"/>
              <w:bottom w:val="nil"/>
            </w:tcBorders>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0" w:type="auto"/>
            <w:tcBorders>
              <w:top w:val="single" w:sz="4" w:space="0" w:color="auto"/>
              <w:bottom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0" w:type="auto"/>
            <w:tcBorders>
              <w:top w:val="single" w:sz="4" w:space="0" w:color="auto"/>
              <w:bottom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tcBorders>
              <w:top w:val="single" w:sz="4" w:space="0" w:color="auto"/>
              <w:bottom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tcBorders>
              <w:top w:val="single" w:sz="4" w:space="0" w:color="auto"/>
              <w:bottom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tcBorders>
              <w:top w:val="single" w:sz="4" w:space="0" w:color="auto"/>
              <w:bottom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rPr>
          <w:jc w:val="center"/>
        </w:trPr>
        <w:tc>
          <w:tcPr>
            <w:tcW w:w="0" w:type="auto"/>
            <w:tcBorders>
              <w:top w:val="nil"/>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0" w:type="auto"/>
            <w:tcBorders>
              <w:top w:val="nil"/>
            </w:tcBorders>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0" w:type="auto"/>
            <w:tcBorders>
              <w:top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tcBorders>
              <w:top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tcBorders>
              <w:top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tcBorders>
              <w:top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tcBorders>
              <w:top w:val="nil"/>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rPr>
          <w:jc w:val="center"/>
        </w:trPr>
        <w:tc>
          <w:tcPr>
            <w:tcW w:w="0" w:type="auto"/>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TCC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0" w:type="auto"/>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rPr>
          <w:jc w:val="center"/>
        </w:trPr>
        <w:tc>
          <w:tcPr>
            <w:tcW w:w="0" w:type="auto"/>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0" w:type="auto"/>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rPr>
          <w:jc w:val="center"/>
        </w:trPr>
        <w:tc>
          <w:tcPr>
            <w:tcW w:w="0" w:type="auto"/>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pH</w:t>
            </w:r>
          </w:p>
        </w:tc>
        <w:tc>
          <w:tcPr>
            <w:tcW w:w="0" w:type="auto"/>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rPr>
          <w:jc w:val="center"/>
        </w:trPr>
        <w:tc>
          <w:tcPr>
            <w:tcW w:w="0" w:type="auto"/>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0" w:type="auto"/>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rPr>
          <w:jc w:val="center"/>
        </w:trPr>
        <w:tc>
          <w:tcPr>
            <w:tcW w:w="0" w:type="auto"/>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Alkalinity</w:t>
            </w:r>
          </w:p>
        </w:tc>
        <w:tc>
          <w:tcPr>
            <w:tcW w:w="0" w:type="auto"/>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rPr>
          <w:jc w:val="center"/>
        </w:trPr>
        <w:tc>
          <w:tcPr>
            <w:tcW w:w="0" w:type="auto"/>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0" w:type="auto"/>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rPr>
          <w:jc w:val="center"/>
        </w:trPr>
        <w:tc>
          <w:tcPr>
            <w:tcW w:w="0" w:type="auto"/>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Total Hardness</w:t>
            </w:r>
          </w:p>
        </w:tc>
        <w:tc>
          <w:tcPr>
            <w:tcW w:w="0" w:type="auto"/>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0" w:type="auto"/>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r>
      <w:tr w:rsidR="00EB4776" w:rsidRPr="0080756D" w:rsidTr="0080756D">
        <w:trPr>
          <w:jc w:val="center"/>
        </w:trPr>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0" w:type="auto"/>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0" w:type="auto"/>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0" w:type="auto"/>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r>
      <w:tr w:rsidR="00EB4776" w:rsidRPr="0080756D" w:rsidTr="0080756D">
        <w:trPr>
          <w:jc w:val="center"/>
        </w:trPr>
        <w:tc>
          <w:tcPr>
            <w:tcW w:w="0" w:type="auto"/>
            <w:gridSpan w:val="7"/>
            <w:tcBorders>
              <w:top w:val="single" w:sz="4" w:space="0" w:color="auto"/>
              <w:bottom w:val="nil"/>
            </w:tcBorders>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 xml:space="preserve">** = Correlation is significant at the p ≤ 0.01 level (2-tailed). </w:t>
            </w:r>
            <w:r w:rsidRPr="0080756D">
              <w:rPr>
                <w:sz w:val="19"/>
                <w:szCs w:val="19"/>
              </w:rPr>
              <w:t>THC = Total heterotrophic bacterial count</w:t>
            </w:r>
          </w:p>
          <w:p w:rsidR="00EB4776" w:rsidRPr="0080756D" w:rsidRDefault="00EB4776" w:rsidP="0080756D">
            <w:pPr>
              <w:suppressAutoHyphens w:val="0"/>
              <w:snapToGrid w:val="0"/>
              <w:jc w:val="both"/>
              <w:rPr>
                <w:sz w:val="19"/>
                <w:szCs w:val="19"/>
              </w:rPr>
            </w:pPr>
            <w:r w:rsidRPr="0080756D">
              <w:rPr>
                <w:sz w:val="19"/>
                <w:szCs w:val="19"/>
              </w:rPr>
              <w:t xml:space="preserve">TCC = Total </w:t>
            </w:r>
            <w:proofErr w:type="spellStart"/>
            <w:r w:rsidRPr="0080756D">
              <w:rPr>
                <w:sz w:val="19"/>
                <w:szCs w:val="19"/>
              </w:rPr>
              <w:t>coliform</w:t>
            </w:r>
            <w:proofErr w:type="spellEnd"/>
            <w:r w:rsidRPr="0080756D">
              <w:rPr>
                <w:sz w:val="19"/>
                <w:szCs w:val="19"/>
              </w:rPr>
              <w:t xml:space="preserve"> count</w:t>
            </w:r>
          </w:p>
        </w:tc>
      </w:tr>
    </w:tbl>
    <w:p w:rsidR="00001440" w:rsidRPr="0080756D" w:rsidRDefault="00001440" w:rsidP="0080756D">
      <w:pPr>
        <w:suppressAutoHyphens w:val="0"/>
        <w:snapToGrid w:val="0"/>
        <w:ind w:firstLine="425"/>
        <w:jc w:val="both"/>
        <w:rPr>
          <w:sz w:val="19"/>
          <w:szCs w:val="19"/>
        </w:rPr>
      </w:pPr>
    </w:p>
    <w:p w:rsidR="00EB4776" w:rsidRPr="0080756D" w:rsidRDefault="00EB4776" w:rsidP="0080756D">
      <w:pPr>
        <w:suppressAutoHyphens w:val="0"/>
        <w:snapToGrid w:val="0"/>
        <w:jc w:val="both"/>
        <w:rPr>
          <w:sz w:val="19"/>
          <w:szCs w:val="19"/>
        </w:rPr>
      </w:pPr>
      <w:r w:rsidRPr="0080756D">
        <w:rPr>
          <w:sz w:val="19"/>
          <w:szCs w:val="19"/>
        </w:rPr>
        <w:t xml:space="preserve">Table 8: Correlation of total heterotrophic count and total </w:t>
      </w:r>
      <w:proofErr w:type="spellStart"/>
      <w:r w:rsidRPr="0080756D">
        <w:rPr>
          <w:sz w:val="19"/>
          <w:szCs w:val="19"/>
        </w:rPr>
        <w:t>coliform</w:t>
      </w:r>
      <w:proofErr w:type="spellEnd"/>
      <w:r w:rsidRPr="0080756D">
        <w:rPr>
          <w:sz w:val="19"/>
          <w:szCs w:val="19"/>
        </w:rPr>
        <w:t xml:space="preserve"> count with physicochemical parameters of bore-hole water</w:t>
      </w:r>
    </w:p>
    <w:tbl>
      <w:tblPr>
        <w:tblW w:w="5000" w:type="pct"/>
        <w:jc w:val="center"/>
        <w:tblBorders>
          <w:top w:val="single" w:sz="4" w:space="0" w:color="auto"/>
          <w:bottom w:val="single" w:sz="4" w:space="0" w:color="auto"/>
        </w:tblBorders>
        <w:tblLook w:val="04A0"/>
      </w:tblPr>
      <w:tblGrid>
        <w:gridCol w:w="1817"/>
        <w:gridCol w:w="115"/>
        <w:gridCol w:w="1371"/>
        <w:gridCol w:w="117"/>
        <w:gridCol w:w="1057"/>
        <w:gridCol w:w="96"/>
        <w:gridCol w:w="1140"/>
        <w:gridCol w:w="73"/>
        <w:gridCol w:w="1019"/>
        <w:gridCol w:w="50"/>
        <w:gridCol w:w="1367"/>
        <w:gridCol w:w="23"/>
        <w:gridCol w:w="1331"/>
      </w:tblGrid>
      <w:tr w:rsidR="00EB4776" w:rsidRPr="0080756D" w:rsidTr="0080756D">
        <w:trPr>
          <w:jc w:val="center"/>
        </w:trPr>
        <w:tc>
          <w:tcPr>
            <w:tcW w:w="1009" w:type="pct"/>
            <w:gridSpan w:val="2"/>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777" w:type="pct"/>
            <w:gridSpan w:val="2"/>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602" w:type="pct"/>
            <w:gridSpan w:val="2"/>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THC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633" w:type="pct"/>
            <w:gridSpan w:val="2"/>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TCC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558" w:type="pct"/>
            <w:gridSpan w:val="2"/>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pH</w:t>
            </w:r>
          </w:p>
        </w:tc>
        <w:tc>
          <w:tcPr>
            <w:tcW w:w="726" w:type="pct"/>
            <w:gridSpan w:val="2"/>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Alkalinity</w:t>
            </w:r>
          </w:p>
        </w:tc>
        <w:tc>
          <w:tcPr>
            <w:tcW w:w="695" w:type="pct"/>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Total Hardness</w:t>
            </w:r>
          </w:p>
        </w:tc>
      </w:tr>
      <w:tr w:rsidR="00EB4776" w:rsidRPr="0080756D" w:rsidTr="0080756D">
        <w:tblPrEx>
          <w:tblBorders>
            <w:top w:val="none" w:sz="0" w:space="0" w:color="auto"/>
            <w:bottom w:val="none" w:sz="0" w:space="0" w:color="auto"/>
          </w:tblBorders>
        </w:tblPrEx>
        <w:trPr>
          <w:jc w:val="center"/>
        </w:trPr>
        <w:tc>
          <w:tcPr>
            <w:tcW w:w="949" w:type="pct"/>
            <w:tcBorders>
              <w:top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THC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776" w:type="pct"/>
            <w:gridSpan w:val="2"/>
            <w:tcBorders>
              <w:top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613" w:type="pct"/>
            <w:gridSpan w:val="2"/>
            <w:tcBorders>
              <w:top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645" w:type="pct"/>
            <w:gridSpan w:val="2"/>
            <w:tcBorders>
              <w:top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570" w:type="pct"/>
            <w:gridSpan w:val="2"/>
            <w:tcBorders>
              <w:top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40" w:type="pct"/>
            <w:gridSpan w:val="2"/>
            <w:tcBorders>
              <w:top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07" w:type="pct"/>
            <w:gridSpan w:val="2"/>
            <w:tcBorders>
              <w:top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blPrEx>
          <w:tblBorders>
            <w:top w:val="none" w:sz="0" w:space="0" w:color="auto"/>
            <w:bottom w:val="none" w:sz="0" w:space="0" w:color="auto"/>
          </w:tblBorders>
        </w:tblPrEx>
        <w:trPr>
          <w:jc w:val="center"/>
        </w:trPr>
        <w:tc>
          <w:tcPr>
            <w:tcW w:w="949" w:type="pct"/>
            <w:shd w:val="clear" w:color="auto" w:fill="auto"/>
            <w:vAlign w:val="center"/>
          </w:tcPr>
          <w:p w:rsidR="00EB4776" w:rsidRPr="0080756D" w:rsidRDefault="00EB4776" w:rsidP="0080756D">
            <w:pPr>
              <w:suppressAutoHyphens w:val="0"/>
              <w:snapToGrid w:val="0"/>
              <w:jc w:val="both"/>
              <w:rPr>
                <w:rFonts w:eastAsia="Times New Roman"/>
                <w:b/>
                <w:color w:val="000000"/>
                <w:sz w:val="19"/>
                <w:szCs w:val="19"/>
              </w:rPr>
            </w:pPr>
          </w:p>
        </w:tc>
        <w:tc>
          <w:tcPr>
            <w:tcW w:w="776" w:type="pct"/>
            <w:gridSpan w:val="2"/>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613"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645"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57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4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07"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blPrEx>
          <w:tblBorders>
            <w:top w:val="none" w:sz="0" w:space="0" w:color="auto"/>
            <w:bottom w:val="none" w:sz="0" w:space="0" w:color="auto"/>
          </w:tblBorders>
        </w:tblPrEx>
        <w:trPr>
          <w:jc w:val="center"/>
        </w:trPr>
        <w:tc>
          <w:tcPr>
            <w:tcW w:w="949" w:type="pct"/>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TCC (</w:t>
            </w:r>
            <w:proofErr w:type="spellStart"/>
            <w:r w:rsidRPr="0080756D">
              <w:rPr>
                <w:rFonts w:eastAsia="Times New Roman"/>
                <w:b/>
                <w:color w:val="000000"/>
                <w:sz w:val="19"/>
                <w:szCs w:val="19"/>
              </w:rPr>
              <w:t>cfu</w:t>
            </w:r>
            <w:proofErr w:type="spellEnd"/>
            <w:r w:rsidRPr="0080756D">
              <w:rPr>
                <w:rFonts w:eastAsia="Times New Roman"/>
                <w:b/>
                <w:color w:val="000000"/>
                <w:sz w:val="19"/>
                <w:szCs w:val="19"/>
              </w:rPr>
              <w:t>/ml)</w:t>
            </w:r>
          </w:p>
        </w:tc>
        <w:tc>
          <w:tcPr>
            <w:tcW w:w="776" w:type="pct"/>
            <w:gridSpan w:val="2"/>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613"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645"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57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4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07"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blPrEx>
          <w:tblBorders>
            <w:top w:val="none" w:sz="0" w:space="0" w:color="auto"/>
            <w:bottom w:val="none" w:sz="0" w:space="0" w:color="auto"/>
          </w:tblBorders>
        </w:tblPrEx>
        <w:trPr>
          <w:jc w:val="center"/>
        </w:trPr>
        <w:tc>
          <w:tcPr>
            <w:tcW w:w="949" w:type="pct"/>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776" w:type="pct"/>
            <w:gridSpan w:val="2"/>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613"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645"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57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4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07"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blPrEx>
          <w:tblBorders>
            <w:top w:val="none" w:sz="0" w:space="0" w:color="auto"/>
            <w:bottom w:val="none" w:sz="0" w:space="0" w:color="auto"/>
          </w:tblBorders>
        </w:tblPrEx>
        <w:trPr>
          <w:jc w:val="center"/>
        </w:trPr>
        <w:tc>
          <w:tcPr>
            <w:tcW w:w="949" w:type="pct"/>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pH</w:t>
            </w:r>
          </w:p>
        </w:tc>
        <w:tc>
          <w:tcPr>
            <w:tcW w:w="776" w:type="pct"/>
            <w:gridSpan w:val="2"/>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613"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645"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57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74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07"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blPrEx>
          <w:tblBorders>
            <w:top w:val="none" w:sz="0" w:space="0" w:color="auto"/>
            <w:bottom w:val="none" w:sz="0" w:space="0" w:color="auto"/>
          </w:tblBorders>
        </w:tblPrEx>
        <w:trPr>
          <w:jc w:val="center"/>
        </w:trPr>
        <w:tc>
          <w:tcPr>
            <w:tcW w:w="949" w:type="pct"/>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776" w:type="pct"/>
            <w:gridSpan w:val="2"/>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613"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645"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57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74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07"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blPrEx>
          <w:tblBorders>
            <w:top w:val="none" w:sz="0" w:space="0" w:color="auto"/>
            <w:bottom w:val="none" w:sz="0" w:space="0" w:color="auto"/>
          </w:tblBorders>
        </w:tblPrEx>
        <w:trPr>
          <w:jc w:val="center"/>
        </w:trPr>
        <w:tc>
          <w:tcPr>
            <w:tcW w:w="949" w:type="pct"/>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Alkalinity</w:t>
            </w:r>
          </w:p>
        </w:tc>
        <w:tc>
          <w:tcPr>
            <w:tcW w:w="776" w:type="pct"/>
            <w:gridSpan w:val="2"/>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613"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645"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57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74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c>
          <w:tcPr>
            <w:tcW w:w="707"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blPrEx>
          <w:tblBorders>
            <w:top w:val="none" w:sz="0" w:space="0" w:color="auto"/>
            <w:bottom w:val="none" w:sz="0" w:space="0" w:color="auto"/>
          </w:tblBorders>
        </w:tblPrEx>
        <w:trPr>
          <w:jc w:val="center"/>
        </w:trPr>
        <w:tc>
          <w:tcPr>
            <w:tcW w:w="949" w:type="pct"/>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p>
        </w:tc>
        <w:tc>
          <w:tcPr>
            <w:tcW w:w="776" w:type="pct"/>
            <w:gridSpan w:val="2"/>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613"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645"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57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74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707"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p>
        </w:tc>
      </w:tr>
      <w:tr w:rsidR="00EB4776" w:rsidRPr="0080756D" w:rsidTr="0080756D">
        <w:tblPrEx>
          <w:tblBorders>
            <w:top w:val="none" w:sz="0" w:space="0" w:color="auto"/>
            <w:bottom w:val="none" w:sz="0" w:space="0" w:color="auto"/>
          </w:tblBorders>
        </w:tblPrEx>
        <w:trPr>
          <w:jc w:val="center"/>
        </w:trPr>
        <w:tc>
          <w:tcPr>
            <w:tcW w:w="949" w:type="pct"/>
            <w:shd w:val="clear" w:color="auto" w:fill="auto"/>
            <w:vAlign w:val="center"/>
            <w:hideMark/>
          </w:tcPr>
          <w:p w:rsidR="00EB4776" w:rsidRPr="0080756D" w:rsidRDefault="00EB4776" w:rsidP="0080756D">
            <w:pPr>
              <w:suppressAutoHyphens w:val="0"/>
              <w:snapToGrid w:val="0"/>
              <w:jc w:val="both"/>
              <w:rPr>
                <w:rFonts w:eastAsia="Times New Roman"/>
                <w:b/>
                <w:color w:val="000000"/>
                <w:sz w:val="19"/>
                <w:szCs w:val="19"/>
              </w:rPr>
            </w:pPr>
            <w:r w:rsidRPr="0080756D">
              <w:rPr>
                <w:rFonts w:eastAsia="Times New Roman"/>
                <w:b/>
                <w:color w:val="000000"/>
                <w:sz w:val="19"/>
                <w:szCs w:val="19"/>
              </w:rPr>
              <w:t>Total Hardness</w:t>
            </w:r>
          </w:p>
        </w:tc>
        <w:tc>
          <w:tcPr>
            <w:tcW w:w="776" w:type="pct"/>
            <w:gridSpan w:val="2"/>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Pearson Correlation</w:t>
            </w:r>
          </w:p>
        </w:tc>
        <w:tc>
          <w:tcPr>
            <w:tcW w:w="613"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645"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57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740"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c>
          <w:tcPr>
            <w:tcW w:w="707" w:type="pct"/>
            <w:gridSpan w:val="2"/>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w:t>
            </w:r>
          </w:p>
        </w:tc>
      </w:tr>
      <w:tr w:rsidR="00EB4776" w:rsidRPr="0080756D" w:rsidTr="0080756D">
        <w:tblPrEx>
          <w:tblBorders>
            <w:top w:val="none" w:sz="0" w:space="0" w:color="auto"/>
            <w:bottom w:val="none" w:sz="0" w:space="0" w:color="auto"/>
          </w:tblBorders>
        </w:tblPrEx>
        <w:trPr>
          <w:jc w:val="center"/>
        </w:trPr>
        <w:tc>
          <w:tcPr>
            <w:tcW w:w="949" w:type="pct"/>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p>
        </w:tc>
        <w:tc>
          <w:tcPr>
            <w:tcW w:w="776" w:type="pct"/>
            <w:gridSpan w:val="2"/>
            <w:tcBorders>
              <w:bottom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Sig. (2-tailed)</w:t>
            </w:r>
          </w:p>
        </w:tc>
        <w:tc>
          <w:tcPr>
            <w:tcW w:w="613" w:type="pct"/>
            <w:gridSpan w:val="2"/>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645" w:type="pct"/>
            <w:gridSpan w:val="2"/>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570" w:type="pct"/>
            <w:gridSpan w:val="2"/>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740" w:type="pct"/>
            <w:gridSpan w:val="2"/>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&lt;0.001</w:t>
            </w:r>
            <w:r w:rsidRPr="0080756D">
              <w:rPr>
                <w:rFonts w:eastAsia="Times New Roman"/>
                <w:color w:val="000000"/>
                <w:sz w:val="19"/>
                <w:szCs w:val="19"/>
                <w:vertAlign w:val="superscript"/>
              </w:rPr>
              <w:t>**</w:t>
            </w:r>
          </w:p>
        </w:tc>
        <w:tc>
          <w:tcPr>
            <w:tcW w:w="707" w:type="pct"/>
            <w:gridSpan w:val="2"/>
            <w:tcBorders>
              <w:bottom w:val="single" w:sz="4" w:space="0" w:color="auto"/>
            </w:tcBorders>
            <w:shd w:val="clear" w:color="auto" w:fill="auto"/>
            <w:noWrap/>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1.000</w:t>
            </w:r>
          </w:p>
        </w:tc>
      </w:tr>
      <w:tr w:rsidR="00EB4776" w:rsidRPr="0080756D" w:rsidTr="0080756D">
        <w:tblPrEx>
          <w:tblBorders>
            <w:top w:val="none" w:sz="0" w:space="0" w:color="auto"/>
            <w:bottom w:val="none" w:sz="0" w:space="0" w:color="auto"/>
          </w:tblBorders>
        </w:tblPrEx>
        <w:trPr>
          <w:jc w:val="center"/>
        </w:trPr>
        <w:tc>
          <w:tcPr>
            <w:tcW w:w="5000" w:type="pct"/>
            <w:gridSpan w:val="13"/>
            <w:tcBorders>
              <w:top w:val="single" w:sz="4" w:space="0" w:color="auto"/>
            </w:tcBorders>
            <w:shd w:val="clear" w:color="auto" w:fill="auto"/>
            <w:vAlign w:val="center"/>
            <w:hideMark/>
          </w:tcPr>
          <w:p w:rsidR="00EB4776" w:rsidRPr="0080756D" w:rsidRDefault="00EB4776" w:rsidP="0080756D">
            <w:pPr>
              <w:suppressAutoHyphens w:val="0"/>
              <w:snapToGrid w:val="0"/>
              <w:jc w:val="both"/>
              <w:rPr>
                <w:rFonts w:eastAsia="Times New Roman"/>
                <w:color w:val="000000"/>
                <w:sz w:val="19"/>
                <w:szCs w:val="19"/>
              </w:rPr>
            </w:pPr>
            <w:r w:rsidRPr="0080756D">
              <w:rPr>
                <w:rFonts w:eastAsia="Times New Roman"/>
                <w:color w:val="000000"/>
                <w:sz w:val="19"/>
                <w:szCs w:val="19"/>
              </w:rPr>
              <w:t xml:space="preserve">** = Correlation is significant at the p ≤ 0.01 level (2-tailed). </w:t>
            </w:r>
            <w:r w:rsidRPr="0080756D">
              <w:rPr>
                <w:sz w:val="19"/>
                <w:szCs w:val="19"/>
              </w:rPr>
              <w:t>THC = Total heterotrophic bacterial count</w:t>
            </w:r>
          </w:p>
          <w:p w:rsidR="00EB4776" w:rsidRPr="0080756D" w:rsidRDefault="00EB4776" w:rsidP="0080756D">
            <w:pPr>
              <w:suppressAutoHyphens w:val="0"/>
              <w:snapToGrid w:val="0"/>
              <w:jc w:val="both"/>
              <w:rPr>
                <w:sz w:val="19"/>
                <w:szCs w:val="19"/>
              </w:rPr>
            </w:pPr>
            <w:r w:rsidRPr="0080756D">
              <w:rPr>
                <w:sz w:val="19"/>
                <w:szCs w:val="19"/>
              </w:rPr>
              <w:t xml:space="preserve">TCC = Total </w:t>
            </w:r>
            <w:proofErr w:type="spellStart"/>
            <w:r w:rsidRPr="0080756D">
              <w:rPr>
                <w:sz w:val="19"/>
                <w:szCs w:val="19"/>
              </w:rPr>
              <w:t>coliform</w:t>
            </w:r>
            <w:proofErr w:type="spellEnd"/>
            <w:r w:rsidRPr="0080756D">
              <w:rPr>
                <w:sz w:val="19"/>
                <w:szCs w:val="19"/>
              </w:rPr>
              <w:t xml:space="preserve"> count</w:t>
            </w:r>
          </w:p>
        </w:tc>
      </w:tr>
    </w:tbl>
    <w:p w:rsidR="0080756D" w:rsidRDefault="0080756D">
      <w:pPr>
        <w:suppressAutoHyphens w:val="0"/>
        <w:rPr>
          <w:sz w:val="20"/>
          <w:szCs w:val="20"/>
        </w:rPr>
      </w:pPr>
    </w:p>
    <w:p w:rsidR="00BE3CA6" w:rsidRPr="0080756D" w:rsidRDefault="00BE3CA6" w:rsidP="0080756D">
      <w:pPr>
        <w:suppressAutoHyphens w:val="0"/>
        <w:snapToGrid w:val="0"/>
        <w:ind w:firstLine="425"/>
        <w:jc w:val="both"/>
        <w:rPr>
          <w:sz w:val="20"/>
          <w:szCs w:val="20"/>
        </w:rPr>
        <w:sectPr w:rsidR="00BE3CA6" w:rsidRPr="0080756D" w:rsidSect="00BE3CA6">
          <w:headerReference w:type="default" r:id="rId25"/>
          <w:footerReference w:type="even" r:id="rId26"/>
          <w:footerReference w:type="default" r:id="rId27"/>
          <w:type w:val="continuous"/>
          <w:pgSz w:w="12240" w:h="15840" w:code="1"/>
          <w:pgMar w:top="1440" w:right="1440" w:bottom="1440" w:left="1440" w:header="720" w:footer="720" w:gutter="0"/>
          <w:cols w:space="360"/>
          <w:docGrid w:linePitch="360"/>
        </w:sectPr>
      </w:pPr>
    </w:p>
    <w:p w:rsidR="00001440" w:rsidRPr="00E64A8F" w:rsidRDefault="00001440" w:rsidP="0080756D">
      <w:pPr>
        <w:suppressAutoHyphens w:val="0"/>
        <w:snapToGrid w:val="0"/>
        <w:ind w:firstLine="425"/>
        <w:jc w:val="both"/>
        <w:rPr>
          <w:sz w:val="20"/>
          <w:szCs w:val="20"/>
        </w:rPr>
      </w:pPr>
      <w:r w:rsidRPr="00E64A8F">
        <w:rPr>
          <w:sz w:val="20"/>
          <w:szCs w:val="20"/>
        </w:rPr>
        <w:lastRenderedPageBreak/>
        <w:t xml:space="preserve">The people of </w:t>
      </w:r>
      <w:proofErr w:type="spellStart"/>
      <w:r w:rsidRPr="00E64A8F">
        <w:rPr>
          <w:sz w:val="20"/>
          <w:szCs w:val="20"/>
        </w:rPr>
        <w:t>Magama</w:t>
      </w:r>
      <w:proofErr w:type="spellEnd"/>
      <w:r w:rsidRPr="00E64A8F">
        <w:rPr>
          <w:sz w:val="20"/>
          <w:szCs w:val="20"/>
        </w:rPr>
        <w:t xml:space="preserve"> and </w:t>
      </w:r>
      <w:proofErr w:type="spellStart"/>
      <w:r w:rsidRPr="00E64A8F">
        <w:rPr>
          <w:sz w:val="20"/>
          <w:szCs w:val="20"/>
        </w:rPr>
        <w:t>Bolgang</w:t>
      </w:r>
      <w:proofErr w:type="spellEnd"/>
      <w:r w:rsidRPr="00E64A8F">
        <w:rPr>
          <w:sz w:val="20"/>
          <w:szCs w:val="20"/>
        </w:rPr>
        <w:t xml:space="preserve"> village of </w:t>
      </w:r>
      <w:proofErr w:type="spellStart"/>
      <w:r w:rsidRPr="00E64A8F">
        <w:rPr>
          <w:sz w:val="20"/>
          <w:szCs w:val="20"/>
        </w:rPr>
        <w:t>Langtang</w:t>
      </w:r>
      <w:proofErr w:type="spellEnd"/>
      <w:r w:rsidRPr="00E64A8F">
        <w:rPr>
          <w:sz w:val="20"/>
          <w:szCs w:val="20"/>
        </w:rPr>
        <w:t xml:space="preserve"> South L.G.A. depend on wells, streams, </w:t>
      </w:r>
      <w:r w:rsidRPr="00E64A8F">
        <w:rPr>
          <w:sz w:val="20"/>
          <w:szCs w:val="20"/>
        </w:rPr>
        <w:lastRenderedPageBreak/>
        <w:t xml:space="preserve">ponds and bore-holes for domestic uses. The results of the bacteriological analysis of the water sources </w:t>
      </w:r>
      <w:r w:rsidRPr="00E64A8F">
        <w:rPr>
          <w:sz w:val="20"/>
          <w:szCs w:val="20"/>
        </w:rPr>
        <w:lastRenderedPageBreak/>
        <w:t xml:space="preserve">showed that all the water samples were contaminated and had high heterotrophic bacterial counts. These high counts constitute great concern because such high viable counts in food indicate unsatisfactory sanitation, contaminated raw materials and unsuitable temperature and time for spoilage (FAO, 1997). </w:t>
      </w:r>
      <w:r w:rsidRPr="00E64A8F">
        <w:rPr>
          <w:rFonts w:eastAsia="Times New Roman"/>
          <w:sz w:val="20"/>
          <w:szCs w:val="20"/>
        </w:rPr>
        <w:t xml:space="preserve">The presence of </w:t>
      </w:r>
      <w:proofErr w:type="spellStart"/>
      <w:r w:rsidRPr="00E64A8F">
        <w:rPr>
          <w:rFonts w:eastAsia="Times New Roman"/>
          <w:sz w:val="20"/>
          <w:szCs w:val="20"/>
        </w:rPr>
        <w:t>faecal</w:t>
      </w:r>
      <w:proofErr w:type="spellEnd"/>
      <w:r w:rsidRPr="00E64A8F">
        <w:rPr>
          <w:rFonts w:eastAsia="Times New Roman"/>
          <w:sz w:val="20"/>
          <w:szCs w:val="20"/>
        </w:rPr>
        <w:t xml:space="preserve"> </w:t>
      </w:r>
      <w:proofErr w:type="spellStart"/>
      <w:r w:rsidRPr="00E64A8F">
        <w:rPr>
          <w:rFonts w:eastAsia="Times New Roman"/>
          <w:sz w:val="20"/>
          <w:szCs w:val="20"/>
        </w:rPr>
        <w:t>coliform</w:t>
      </w:r>
      <w:proofErr w:type="spellEnd"/>
      <w:r w:rsidRPr="00E64A8F">
        <w:rPr>
          <w:rFonts w:eastAsia="Times New Roman"/>
          <w:sz w:val="20"/>
          <w:szCs w:val="20"/>
        </w:rPr>
        <w:t xml:space="preserve"> is an index of the bacteriological quality of water. The European community and WHO limits for surface waters used as raw water for drinking is 200 MPN/100 ml and less than 1000MPN/100 ml for irrigation of food crops consumed raw (</w:t>
      </w:r>
      <w:proofErr w:type="spellStart"/>
      <w:r w:rsidRPr="00E64A8F">
        <w:rPr>
          <w:rFonts w:eastAsia="Times New Roman"/>
          <w:sz w:val="20"/>
          <w:szCs w:val="20"/>
        </w:rPr>
        <w:t>Tebbut</w:t>
      </w:r>
      <w:proofErr w:type="spellEnd"/>
      <w:r w:rsidRPr="00E64A8F">
        <w:rPr>
          <w:rFonts w:eastAsia="Times New Roman"/>
          <w:sz w:val="20"/>
          <w:szCs w:val="20"/>
        </w:rPr>
        <w:t>, 1990; WHO, 1996).</w:t>
      </w:r>
      <w:r w:rsidR="00DB3049" w:rsidRPr="00E64A8F">
        <w:rPr>
          <w:rFonts w:eastAsia="Times New Roman"/>
          <w:sz w:val="20"/>
          <w:szCs w:val="20"/>
        </w:rPr>
        <w:t xml:space="preserve"> </w:t>
      </w:r>
      <w:r w:rsidRPr="00E64A8F">
        <w:rPr>
          <w:sz w:val="20"/>
          <w:szCs w:val="20"/>
        </w:rPr>
        <w:t xml:space="preserve">The result of </w:t>
      </w:r>
      <w:proofErr w:type="spellStart"/>
      <w:r w:rsidRPr="00E64A8F">
        <w:rPr>
          <w:sz w:val="20"/>
          <w:szCs w:val="20"/>
        </w:rPr>
        <w:t>coliform</w:t>
      </w:r>
      <w:proofErr w:type="spellEnd"/>
      <w:r w:rsidRPr="00E64A8F">
        <w:rPr>
          <w:sz w:val="20"/>
          <w:szCs w:val="20"/>
        </w:rPr>
        <w:t xml:space="preserve"> counts indicated that the presence of high </w:t>
      </w:r>
      <w:proofErr w:type="spellStart"/>
      <w:r w:rsidRPr="00E64A8F">
        <w:rPr>
          <w:sz w:val="20"/>
          <w:szCs w:val="20"/>
        </w:rPr>
        <w:t>coliform</w:t>
      </w:r>
      <w:proofErr w:type="spellEnd"/>
      <w:r w:rsidRPr="00E64A8F">
        <w:rPr>
          <w:sz w:val="20"/>
          <w:szCs w:val="20"/>
        </w:rPr>
        <w:t xml:space="preserve"> counts in all the water samples. This posed a health threat to the consumers of unprocessed water those water sources because </w:t>
      </w:r>
      <w:proofErr w:type="spellStart"/>
      <w:r w:rsidRPr="00E64A8F">
        <w:rPr>
          <w:sz w:val="20"/>
          <w:szCs w:val="20"/>
        </w:rPr>
        <w:t>coliforms</w:t>
      </w:r>
      <w:proofErr w:type="spellEnd"/>
      <w:r w:rsidRPr="00E64A8F">
        <w:rPr>
          <w:sz w:val="20"/>
          <w:szCs w:val="20"/>
        </w:rPr>
        <w:t xml:space="preserve"> are a group of indicators organisms that belong to the family </w:t>
      </w:r>
      <w:proofErr w:type="spellStart"/>
      <w:r w:rsidRPr="00E64A8F">
        <w:rPr>
          <w:sz w:val="20"/>
          <w:szCs w:val="20"/>
        </w:rPr>
        <w:t>Enterobacteriaciae</w:t>
      </w:r>
      <w:proofErr w:type="spellEnd"/>
      <w:r w:rsidRPr="00E64A8F">
        <w:rPr>
          <w:sz w:val="20"/>
          <w:szCs w:val="20"/>
        </w:rPr>
        <w:t xml:space="preserve"> with the natural habitat being the gastrointestinal tract of humans and animals, their presence suggests contamination that may be traced to </w:t>
      </w:r>
      <w:proofErr w:type="spellStart"/>
      <w:r w:rsidRPr="00E64A8F">
        <w:rPr>
          <w:sz w:val="20"/>
          <w:szCs w:val="20"/>
        </w:rPr>
        <w:t>faecal</w:t>
      </w:r>
      <w:proofErr w:type="spellEnd"/>
      <w:r w:rsidRPr="00E64A8F">
        <w:rPr>
          <w:sz w:val="20"/>
          <w:szCs w:val="20"/>
        </w:rPr>
        <w:t xml:space="preserve"> origin (</w:t>
      </w:r>
      <w:proofErr w:type="spellStart"/>
      <w:r w:rsidRPr="00E64A8F">
        <w:rPr>
          <w:sz w:val="20"/>
          <w:szCs w:val="20"/>
        </w:rPr>
        <w:t>Abubakar</w:t>
      </w:r>
      <w:proofErr w:type="spellEnd"/>
      <w:r w:rsidRPr="00E64A8F">
        <w:rPr>
          <w:sz w:val="20"/>
          <w:szCs w:val="20"/>
        </w:rPr>
        <w:t xml:space="preserve"> </w:t>
      </w:r>
      <w:r w:rsidRPr="00E64A8F">
        <w:rPr>
          <w:i/>
          <w:sz w:val="20"/>
          <w:szCs w:val="20"/>
        </w:rPr>
        <w:t>et al.,</w:t>
      </w:r>
      <w:r w:rsidRPr="00E64A8F">
        <w:rPr>
          <w:sz w:val="20"/>
          <w:szCs w:val="20"/>
        </w:rPr>
        <w:t xml:space="preserve"> 2016).</w:t>
      </w:r>
      <w:r w:rsidR="00DB3049" w:rsidRPr="00E64A8F">
        <w:rPr>
          <w:sz w:val="20"/>
          <w:szCs w:val="20"/>
        </w:rPr>
        <w:t xml:space="preserve"> </w:t>
      </w:r>
      <w:r w:rsidRPr="00E64A8F">
        <w:rPr>
          <w:sz w:val="20"/>
          <w:szCs w:val="20"/>
        </w:rPr>
        <w:t xml:space="preserve">The consumption of untreated water from water sources in both </w:t>
      </w:r>
      <w:proofErr w:type="spellStart"/>
      <w:r w:rsidRPr="00E64A8F">
        <w:rPr>
          <w:sz w:val="20"/>
          <w:szCs w:val="20"/>
        </w:rPr>
        <w:t>Magama</w:t>
      </w:r>
      <w:proofErr w:type="spellEnd"/>
      <w:r w:rsidRPr="00E64A8F">
        <w:rPr>
          <w:sz w:val="20"/>
          <w:szCs w:val="20"/>
        </w:rPr>
        <w:t xml:space="preserve"> and </w:t>
      </w:r>
      <w:proofErr w:type="spellStart"/>
      <w:r w:rsidRPr="00E64A8F">
        <w:rPr>
          <w:sz w:val="20"/>
          <w:szCs w:val="20"/>
        </w:rPr>
        <w:t>Bolgang</w:t>
      </w:r>
      <w:proofErr w:type="spellEnd"/>
      <w:r w:rsidRPr="00E64A8F">
        <w:rPr>
          <w:sz w:val="20"/>
          <w:szCs w:val="20"/>
        </w:rPr>
        <w:t xml:space="preserve"> villages could result in possible outbreak of such waterborne disease as cholera, dysentery, typhoid, etc. (</w:t>
      </w:r>
      <w:proofErr w:type="spellStart"/>
      <w:r w:rsidRPr="00E64A8F">
        <w:rPr>
          <w:sz w:val="20"/>
          <w:szCs w:val="20"/>
        </w:rPr>
        <w:t>Attahiru</w:t>
      </w:r>
      <w:proofErr w:type="spellEnd"/>
      <w:r w:rsidRPr="00E64A8F">
        <w:rPr>
          <w:sz w:val="20"/>
          <w:szCs w:val="20"/>
        </w:rPr>
        <w:t xml:space="preserve"> </w:t>
      </w:r>
      <w:r w:rsidRPr="00E64A8F">
        <w:rPr>
          <w:i/>
          <w:sz w:val="20"/>
          <w:szCs w:val="20"/>
        </w:rPr>
        <w:t xml:space="preserve">et al., </w:t>
      </w:r>
      <w:r w:rsidRPr="00E64A8F">
        <w:rPr>
          <w:sz w:val="20"/>
          <w:szCs w:val="20"/>
        </w:rPr>
        <w:t xml:space="preserve">2016). </w:t>
      </w:r>
      <w:proofErr w:type="spellStart"/>
      <w:r w:rsidRPr="00E64A8F">
        <w:rPr>
          <w:sz w:val="20"/>
          <w:szCs w:val="20"/>
        </w:rPr>
        <w:t>Xu</w:t>
      </w:r>
      <w:proofErr w:type="spellEnd"/>
      <w:r w:rsidRPr="00E64A8F">
        <w:rPr>
          <w:sz w:val="20"/>
          <w:szCs w:val="20"/>
        </w:rPr>
        <w:t xml:space="preserve"> </w:t>
      </w:r>
      <w:r w:rsidRPr="00E64A8F">
        <w:rPr>
          <w:i/>
          <w:sz w:val="20"/>
          <w:szCs w:val="20"/>
        </w:rPr>
        <w:t>et al</w:t>
      </w:r>
      <w:r w:rsidRPr="00E64A8F">
        <w:rPr>
          <w:sz w:val="20"/>
          <w:szCs w:val="20"/>
        </w:rPr>
        <w:t xml:space="preserve">. (2002) reported that water mostly used for drinking and other domestic works in most rural areas contain pathogens associated with acute and chronic gastrointestinal diseases. Although </w:t>
      </w:r>
      <w:proofErr w:type="spellStart"/>
      <w:r w:rsidRPr="00E64A8F">
        <w:rPr>
          <w:sz w:val="20"/>
          <w:szCs w:val="20"/>
        </w:rPr>
        <w:t>coliform</w:t>
      </w:r>
      <w:proofErr w:type="spellEnd"/>
      <w:r w:rsidRPr="00E64A8F">
        <w:rPr>
          <w:sz w:val="20"/>
          <w:szCs w:val="20"/>
        </w:rPr>
        <w:t xml:space="preserve"> bacteria are generally considered risk to health, infection due to </w:t>
      </w:r>
      <w:proofErr w:type="spellStart"/>
      <w:r w:rsidRPr="00E64A8F">
        <w:rPr>
          <w:sz w:val="20"/>
          <w:szCs w:val="20"/>
        </w:rPr>
        <w:t>coliform</w:t>
      </w:r>
      <w:proofErr w:type="spellEnd"/>
      <w:r w:rsidRPr="00E64A8F">
        <w:rPr>
          <w:sz w:val="20"/>
          <w:szCs w:val="20"/>
        </w:rPr>
        <w:t xml:space="preserve"> may be fatal for infants, the elderly and </w:t>
      </w:r>
      <w:proofErr w:type="spellStart"/>
      <w:r w:rsidRPr="00E64A8F">
        <w:rPr>
          <w:sz w:val="20"/>
          <w:szCs w:val="20"/>
        </w:rPr>
        <w:t>immunocompromised</w:t>
      </w:r>
      <w:proofErr w:type="spellEnd"/>
      <w:r w:rsidRPr="00E64A8F">
        <w:rPr>
          <w:sz w:val="20"/>
          <w:szCs w:val="20"/>
        </w:rPr>
        <w:t xml:space="preserve"> people (</w:t>
      </w:r>
      <w:proofErr w:type="spellStart"/>
      <w:r w:rsidRPr="00E64A8F">
        <w:rPr>
          <w:sz w:val="20"/>
          <w:szCs w:val="20"/>
        </w:rPr>
        <w:t>Falade</w:t>
      </w:r>
      <w:proofErr w:type="spellEnd"/>
      <w:r w:rsidRPr="00E64A8F">
        <w:rPr>
          <w:sz w:val="20"/>
          <w:szCs w:val="20"/>
        </w:rPr>
        <w:t xml:space="preserve"> and </w:t>
      </w:r>
      <w:proofErr w:type="spellStart"/>
      <w:r w:rsidRPr="00E64A8F">
        <w:rPr>
          <w:sz w:val="20"/>
          <w:szCs w:val="20"/>
        </w:rPr>
        <w:t>Lawoyin</w:t>
      </w:r>
      <w:proofErr w:type="spellEnd"/>
      <w:r w:rsidRPr="00E64A8F">
        <w:rPr>
          <w:sz w:val="20"/>
          <w:szCs w:val="20"/>
        </w:rPr>
        <w:t xml:space="preserve">, 1996). They also reported that the presence of </w:t>
      </w:r>
      <w:proofErr w:type="spellStart"/>
      <w:r w:rsidRPr="00E64A8F">
        <w:rPr>
          <w:sz w:val="20"/>
          <w:szCs w:val="20"/>
        </w:rPr>
        <w:t>coliforms</w:t>
      </w:r>
      <w:proofErr w:type="spellEnd"/>
      <w:r w:rsidRPr="00E64A8F">
        <w:rPr>
          <w:sz w:val="20"/>
          <w:szCs w:val="20"/>
        </w:rPr>
        <w:t xml:space="preserve"> indicates that the water is contaminated by potentially dangerous </w:t>
      </w:r>
      <w:proofErr w:type="spellStart"/>
      <w:r w:rsidRPr="00E64A8F">
        <w:rPr>
          <w:sz w:val="20"/>
          <w:szCs w:val="20"/>
        </w:rPr>
        <w:t>faecal</w:t>
      </w:r>
      <w:proofErr w:type="spellEnd"/>
      <w:r w:rsidRPr="00E64A8F">
        <w:rPr>
          <w:sz w:val="20"/>
          <w:szCs w:val="20"/>
        </w:rPr>
        <w:t xml:space="preserve"> matter.</w:t>
      </w:r>
    </w:p>
    <w:p w:rsidR="00001440" w:rsidRPr="00E64A8F" w:rsidRDefault="00001440" w:rsidP="0080756D">
      <w:pPr>
        <w:suppressAutoHyphens w:val="0"/>
        <w:snapToGrid w:val="0"/>
        <w:ind w:firstLine="425"/>
        <w:jc w:val="both"/>
        <w:rPr>
          <w:sz w:val="20"/>
          <w:szCs w:val="20"/>
        </w:rPr>
      </w:pPr>
      <w:r w:rsidRPr="00E64A8F">
        <w:rPr>
          <w:rFonts w:eastAsia="Times New Roman"/>
          <w:sz w:val="20"/>
          <w:szCs w:val="20"/>
        </w:rPr>
        <w:t xml:space="preserve">Unexpectedly, in this study, both heterotrophic and </w:t>
      </w:r>
      <w:proofErr w:type="spellStart"/>
      <w:r w:rsidRPr="00E64A8F">
        <w:rPr>
          <w:rFonts w:eastAsia="Times New Roman"/>
          <w:sz w:val="20"/>
          <w:szCs w:val="20"/>
        </w:rPr>
        <w:t>coliform</w:t>
      </w:r>
      <w:proofErr w:type="spellEnd"/>
      <w:r w:rsidRPr="00E64A8F">
        <w:rPr>
          <w:rFonts w:eastAsia="Times New Roman"/>
          <w:sz w:val="20"/>
          <w:szCs w:val="20"/>
        </w:rPr>
        <w:t xml:space="preserve"> bacterial counts were detected and found to be high in borehole water. This can be attributed to cracks in the pipeline of the borehole occasioned by prolong usage as reported by </w:t>
      </w:r>
      <w:proofErr w:type="spellStart"/>
      <w:r w:rsidRPr="00E64A8F">
        <w:rPr>
          <w:rFonts w:eastAsia="Times New Roman"/>
          <w:sz w:val="20"/>
          <w:szCs w:val="20"/>
        </w:rPr>
        <w:t>Onemano</w:t>
      </w:r>
      <w:proofErr w:type="spellEnd"/>
      <w:r w:rsidRPr="00E64A8F">
        <w:rPr>
          <w:rFonts w:eastAsia="Times New Roman"/>
          <w:sz w:val="20"/>
          <w:szCs w:val="20"/>
        </w:rPr>
        <w:t xml:space="preserve"> and </w:t>
      </w:r>
      <w:proofErr w:type="spellStart"/>
      <w:r w:rsidRPr="00E64A8F">
        <w:rPr>
          <w:rFonts w:eastAsia="Times New Roman"/>
          <w:sz w:val="20"/>
          <w:szCs w:val="20"/>
        </w:rPr>
        <w:t>Otun</w:t>
      </w:r>
      <w:proofErr w:type="spellEnd"/>
      <w:r w:rsidRPr="00E64A8F">
        <w:rPr>
          <w:rFonts w:eastAsia="Times New Roman"/>
          <w:sz w:val="20"/>
          <w:szCs w:val="20"/>
        </w:rPr>
        <w:t xml:space="preserve"> (2008), who said long term usage of boreholes may lead to deterioration of the water quality, because the pipeline may become corroded with random cracks and in most cases clogged with sediment. This will allow the passage of inorganic metals and bacteria from the surrounding environment into the pipe. The implication of this finding is the possibility of the presence of pathogens that may cause acute intestinal illness, which are generally considered hazardous to health and could be fatal for some susceptible groups such as infants, elderly and those who are sick (</w:t>
      </w:r>
      <w:proofErr w:type="spellStart"/>
      <w:r w:rsidRPr="00E64A8F">
        <w:rPr>
          <w:rFonts w:eastAsia="Times New Roman"/>
          <w:sz w:val="20"/>
          <w:szCs w:val="20"/>
        </w:rPr>
        <w:t>Addo</w:t>
      </w:r>
      <w:proofErr w:type="spellEnd"/>
      <w:r w:rsidRPr="00E64A8F">
        <w:rPr>
          <w:rFonts w:eastAsia="Times New Roman"/>
          <w:sz w:val="20"/>
          <w:szCs w:val="20"/>
        </w:rPr>
        <w:t xml:space="preserve"> </w:t>
      </w:r>
      <w:r w:rsidRPr="00E64A8F">
        <w:rPr>
          <w:rFonts w:eastAsia="Times New Roman"/>
          <w:i/>
          <w:sz w:val="20"/>
          <w:szCs w:val="20"/>
        </w:rPr>
        <w:t>et al</w:t>
      </w:r>
      <w:r w:rsidRPr="00E64A8F">
        <w:rPr>
          <w:rFonts w:eastAsia="Times New Roman"/>
          <w:sz w:val="20"/>
          <w:szCs w:val="20"/>
        </w:rPr>
        <w:t xml:space="preserve">., 2009; </w:t>
      </w:r>
      <w:proofErr w:type="spellStart"/>
      <w:r w:rsidRPr="00E64A8F">
        <w:rPr>
          <w:rFonts w:eastAsia="Times New Roman"/>
          <w:sz w:val="20"/>
          <w:szCs w:val="20"/>
        </w:rPr>
        <w:t>Olowe</w:t>
      </w:r>
      <w:proofErr w:type="spellEnd"/>
      <w:r w:rsidRPr="00E64A8F">
        <w:rPr>
          <w:rFonts w:eastAsia="Times New Roman"/>
          <w:sz w:val="20"/>
          <w:szCs w:val="20"/>
        </w:rPr>
        <w:t xml:space="preserve"> </w:t>
      </w:r>
      <w:r w:rsidRPr="00E64A8F">
        <w:rPr>
          <w:rFonts w:eastAsia="Times New Roman"/>
          <w:i/>
          <w:sz w:val="20"/>
          <w:szCs w:val="20"/>
        </w:rPr>
        <w:t>et al</w:t>
      </w:r>
      <w:r w:rsidRPr="00E64A8F">
        <w:rPr>
          <w:rFonts w:eastAsia="Times New Roman"/>
          <w:sz w:val="20"/>
          <w:szCs w:val="20"/>
        </w:rPr>
        <w:t xml:space="preserve">., 2005; NSDWQ, 2007). In addition to human and animal waste contamination, parasitic organism such as </w:t>
      </w:r>
      <w:proofErr w:type="spellStart"/>
      <w:r w:rsidRPr="00E64A8F">
        <w:rPr>
          <w:rFonts w:eastAsia="Times New Roman"/>
          <w:sz w:val="20"/>
          <w:szCs w:val="20"/>
        </w:rPr>
        <w:t>Giardia</w:t>
      </w:r>
      <w:proofErr w:type="spellEnd"/>
      <w:r w:rsidRPr="00E64A8F">
        <w:rPr>
          <w:rFonts w:eastAsia="Times New Roman"/>
          <w:sz w:val="20"/>
          <w:szCs w:val="20"/>
        </w:rPr>
        <w:t xml:space="preserve"> and Cryptosporidium may be present (EPA, 2003; </w:t>
      </w:r>
      <w:proofErr w:type="spellStart"/>
      <w:r w:rsidRPr="00E64A8F">
        <w:rPr>
          <w:rFonts w:eastAsia="Times New Roman"/>
          <w:sz w:val="20"/>
          <w:szCs w:val="20"/>
        </w:rPr>
        <w:t>Shittu</w:t>
      </w:r>
      <w:proofErr w:type="spellEnd"/>
      <w:r w:rsidRPr="00E64A8F">
        <w:rPr>
          <w:rFonts w:eastAsia="Times New Roman"/>
          <w:sz w:val="20"/>
          <w:szCs w:val="20"/>
        </w:rPr>
        <w:t xml:space="preserve"> </w:t>
      </w:r>
      <w:r w:rsidRPr="00E64A8F">
        <w:rPr>
          <w:rFonts w:eastAsia="Times New Roman"/>
          <w:i/>
          <w:sz w:val="20"/>
          <w:szCs w:val="20"/>
        </w:rPr>
        <w:t>et al</w:t>
      </w:r>
      <w:r w:rsidRPr="00E64A8F">
        <w:rPr>
          <w:rFonts w:eastAsia="Times New Roman"/>
          <w:sz w:val="20"/>
          <w:szCs w:val="20"/>
        </w:rPr>
        <w:t xml:space="preserve">., 2008). Generally, underground water is often </w:t>
      </w:r>
      <w:r w:rsidRPr="00E64A8F">
        <w:rPr>
          <w:rFonts w:eastAsia="Times New Roman"/>
          <w:sz w:val="20"/>
          <w:szCs w:val="20"/>
        </w:rPr>
        <w:lastRenderedPageBreak/>
        <w:t>considered as the purest form of water (</w:t>
      </w:r>
      <w:proofErr w:type="spellStart"/>
      <w:r w:rsidRPr="00E64A8F">
        <w:rPr>
          <w:rFonts w:eastAsia="Times New Roman"/>
          <w:sz w:val="20"/>
          <w:szCs w:val="20"/>
        </w:rPr>
        <w:t>Shittu</w:t>
      </w:r>
      <w:proofErr w:type="spellEnd"/>
      <w:r w:rsidRPr="00E64A8F">
        <w:rPr>
          <w:rFonts w:eastAsia="Times New Roman"/>
          <w:sz w:val="20"/>
          <w:szCs w:val="20"/>
        </w:rPr>
        <w:t xml:space="preserve"> </w:t>
      </w:r>
      <w:r w:rsidRPr="00E64A8F">
        <w:rPr>
          <w:rFonts w:eastAsia="Times New Roman"/>
          <w:i/>
          <w:sz w:val="20"/>
          <w:szCs w:val="20"/>
        </w:rPr>
        <w:t>et al</w:t>
      </w:r>
      <w:r w:rsidRPr="00E64A8F">
        <w:rPr>
          <w:rFonts w:eastAsia="Times New Roman"/>
          <w:sz w:val="20"/>
          <w:szCs w:val="20"/>
        </w:rPr>
        <w:t>., 2008), although its vulnerability to contamination could be due to improper construction, animal waste, proximity to toilet facilities, sewage, refuse dump site and various human activities surrounding it (</w:t>
      </w:r>
      <w:proofErr w:type="spellStart"/>
      <w:r w:rsidRPr="00E64A8F">
        <w:rPr>
          <w:rFonts w:eastAsia="Times New Roman"/>
          <w:sz w:val="20"/>
          <w:szCs w:val="20"/>
        </w:rPr>
        <w:t>Bilton</w:t>
      </w:r>
      <w:proofErr w:type="spellEnd"/>
      <w:r w:rsidRPr="00E64A8F">
        <w:rPr>
          <w:rFonts w:eastAsia="Times New Roman"/>
          <w:sz w:val="20"/>
          <w:szCs w:val="20"/>
        </w:rPr>
        <w:t xml:space="preserve">, 1994; </w:t>
      </w:r>
      <w:proofErr w:type="spellStart"/>
      <w:r w:rsidRPr="00E64A8F">
        <w:rPr>
          <w:rFonts w:eastAsia="Times New Roman"/>
          <w:sz w:val="20"/>
          <w:szCs w:val="20"/>
        </w:rPr>
        <w:t>Shittu</w:t>
      </w:r>
      <w:proofErr w:type="spellEnd"/>
      <w:r w:rsidRPr="00E64A8F">
        <w:rPr>
          <w:rFonts w:eastAsia="Times New Roman"/>
          <w:sz w:val="20"/>
          <w:szCs w:val="20"/>
        </w:rPr>
        <w:t xml:space="preserve"> </w:t>
      </w:r>
      <w:r w:rsidRPr="00E64A8F">
        <w:rPr>
          <w:rFonts w:eastAsia="Times New Roman"/>
          <w:i/>
          <w:sz w:val="20"/>
          <w:szCs w:val="20"/>
        </w:rPr>
        <w:t>et al</w:t>
      </w:r>
      <w:r w:rsidRPr="00E64A8F">
        <w:rPr>
          <w:rFonts w:eastAsia="Times New Roman"/>
          <w:sz w:val="20"/>
          <w:szCs w:val="20"/>
        </w:rPr>
        <w:t>., 2008).</w:t>
      </w:r>
    </w:p>
    <w:p w:rsidR="00001440" w:rsidRPr="00E64A8F" w:rsidRDefault="00001440" w:rsidP="0080756D">
      <w:pPr>
        <w:suppressAutoHyphens w:val="0"/>
        <w:snapToGrid w:val="0"/>
        <w:ind w:firstLine="425"/>
        <w:jc w:val="both"/>
        <w:rPr>
          <w:sz w:val="20"/>
          <w:szCs w:val="20"/>
        </w:rPr>
      </w:pPr>
      <w:r w:rsidRPr="00E64A8F">
        <w:rPr>
          <w:sz w:val="20"/>
          <w:szCs w:val="20"/>
        </w:rPr>
        <w:t xml:space="preserve">The bacterial counts were higher than the standard 10 CFU/ml specified by the World Health </w:t>
      </w:r>
      <w:proofErr w:type="spellStart"/>
      <w:r w:rsidRPr="00E64A8F">
        <w:rPr>
          <w:sz w:val="20"/>
          <w:szCs w:val="20"/>
        </w:rPr>
        <w:t>Organisation</w:t>
      </w:r>
      <w:proofErr w:type="spellEnd"/>
      <w:r w:rsidRPr="00E64A8F">
        <w:rPr>
          <w:sz w:val="20"/>
          <w:szCs w:val="20"/>
        </w:rPr>
        <w:t xml:space="preserve"> (WHO) for drinking water. The possible sources of contamination could be domestic animals moving around the streams and ponds, run-offs and defecation into streams, open wells and </w:t>
      </w:r>
      <w:proofErr w:type="spellStart"/>
      <w:r w:rsidRPr="00E64A8F">
        <w:rPr>
          <w:sz w:val="20"/>
          <w:szCs w:val="20"/>
        </w:rPr>
        <w:t>siting</w:t>
      </w:r>
      <w:proofErr w:type="spellEnd"/>
      <w:r w:rsidRPr="00E64A8F">
        <w:rPr>
          <w:sz w:val="20"/>
          <w:szCs w:val="20"/>
        </w:rPr>
        <w:t xml:space="preserve"> of toilets less than 25m from water sources. The wells were not cast with concrete hence there could be possible seepage of sewage from nearby toilets into wells. This result is in line with a similar study conducted by </w:t>
      </w:r>
      <w:proofErr w:type="spellStart"/>
      <w:r w:rsidRPr="00E64A8F">
        <w:rPr>
          <w:sz w:val="20"/>
          <w:szCs w:val="20"/>
        </w:rPr>
        <w:t>Njin</w:t>
      </w:r>
      <w:proofErr w:type="spellEnd"/>
      <w:r w:rsidRPr="00E64A8F">
        <w:rPr>
          <w:sz w:val="20"/>
          <w:szCs w:val="20"/>
        </w:rPr>
        <w:t xml:space="preserve"> (2006) for bacteriological quality of potable water sources in </w:t>
      </w:r>
      <w:proofErr w:type="spellStart"/>
      <w:r w:rsidRPr="00E64A8F">
        <w:rPr>
          <w:sz w:val="20"/>
          <w:szCs w:val="20"/>
        </w:rPr>
        <w:t>Garkawa</w:t>
      </w:r>
      <w:proofErr w:type="spellEnd"/>
      <w:r w:rsidRPr="00E64A8F">
        <w:rPr>
          <w:sz w:val="20"/>
          <w:szCs w:val="20"/>
        </w:rPr>
        <w:t xml:space="preserve">, </w:t>
      </w:r>
      <w:proofErr w:type="spellStart"/>
      <w:r w:rsidRPr="00E64A8F">
        <w:rPr>
          <w:sz w:val="20"/>
          <w:szCs w:val="20"/>
        </w:rPr>
        <w:t>Mikang</w:t>
      </w:r>
      <w:proofErr w:type="spellEnd"/>
      <w:r w:rsidRPr="00E64A8F">
        <w:rPr>
          <w:sz w:val="20"/>
          <w:szCs w:val="20"/>
        </w:rPr>
        <w:t xml:space="preserve"> L.G.A of Plateau State and </w:t>
      </w:r>
      <w:proofErr w:type="spellStart"/>
      <w:r w:rsidRPr="00E64A8F">
        <w:rPr>
          <w:sz w:val="20"/>
          <w:szCs w:val="20"/>
        </w:rPr>
        <w:t>Egbere</w:t>
      </w:r>
      <w:proofErr w:type="spellEnd"/>
      <w:r w:rsidRPr="00E64A8F">
        <w:rPr>
          <w:sz w:val="20"/>
          <w:szCs w:val="20"/>
        </w:rPr>
        <w:t xml:space="preserve"> </w:t>
      </w:r>
      <w:r w:rsidRPr="00E64A8F">
        <w:rPr>
          <w:i/>
          <w:sz w:val="20"/>
          <w:szCs w:val="20"/>
        </w:rPr>
        <w:t>et al.</w:t>
      </w:r>
      <w:r w:rsidRPr="00E64A8F">
        <w:rPr>
          <w:sz w:val="20"/>
          <w:szCs w:val="20"/>
        </w:rPr>
        <w:t xml:space="preserve"> (2006) on the bacteriological and chemical quality of well water drawn from domestic wells in two locations in </w:t>
      </w:r>
      <w:proofErr w:type="spellStart"/>
      <w:r w:rsidRPr="00E64A8F">
        <w:rPr>
          <w:sz w:val="20"/>
          <w:szCs w:val="20"/>
        </w:rPr>
        <w:t>Jos</w:t>
      </w:r>
      <w:proofErr w:type="spellEnd"/>
      <w:r w:rsidRPr="00E64A8F">
        <w:rPr>
          <w:sz w:val="20"/>
          <w:szCs w:val="20"/>
        </w:rPr>
        <w:t xml:space="preserve"> North Local Government Area, Plateau State. Both researchers attributed the high </w:t>
      </w:r>
      <w:proofErr w:type="spellStart"/>
      <w:r w:rsidRPr="00E64A8F">
        <w:rPr>
          <w:sz w:val="20"/>
          <w:szCs w:val="20"/>
        </w:rPr>
        <w:t>mesophilic</w:t>
      </w:r>
      <w:proofErr w:type="spellEnd"/>
      <w:r w:rsidRPr="00E64A8F">
        <w:rPr>
          <w:sz w:val="20"/>
          <w:szCs w:val="20"/>
        </w:rPr>
        <w:t xml:space="preserve"> and </w:t>
      </w:r>
      <w:proofErr w:type="spellStart"/>
      <w:r w:rsidRPr="00E64A8F">
        <w:rPr>
          <w:sz w:val="20"/>
          <w:szCs w:val="20"/>
        </w:rPr>
        <w:t>coliform</w:t>
      </w:r>
      <w:proofErr w:type="spellEnd"/>
      <w:r w:rsidRPr="00E64A8F">
        <w:rPr>
          <w:sz w:val="20"/>
          <w:szCs w:val="20"/>
        </w:rPr>
        <w:t xml:space="preserve"> counts in the water to domestic animals moving around the streams, children and adults defecating in streams, open wells and location of toilets less than 25m from the water source as possible sources of contamination. Enteric bacteria isolated from the various water samples in </w:t>
      </w:r>
      <w:proofErr w:type="spellStart"/>
      <w:r w:rsidRPr="00E64A8F">
        <w:rPr>
          <w:sz w:val="20"/>
          <w:szCs w:val="20"/>
        </w:rPr>
        <w:t>Magama</w:t>
      </w:r>
      <w:proofErr w:type="spellEnd"/>
      <w:r w:rsidRPr="00E64A8F">
        <w:rPr>
          <w:sz w:val="20"/>
          <w:szCs w:val="20"/>
        </w:rPr>
        <w:t xml:space="preserve"> and </w:t>
      </w:r>
      <w:proofErr w:type="spellStart"/>
      <w:r w:rsidRPr="00E64A8F">
        <w:rPr>
          <w:sz w:val="20"/>
          <w:szCs w:val="20"/>
        </w:rPr>
        <w:t>Bolgang</w:t>
      </w:r>
      <w:proofErr w:type="spellEnd"/>
      <w:r w:rsidRPr="00E64A8F">
        <w:rPr>
          <w:sz w:val="20"/>
          <w:szCs w:val="20"/>
        </w:rPr>
        <w:t xml:space="preserve"> villages were </w:t>
      </w:r>
      <w:r w:rsidRPr="00E64A8F">
        <w:rPr>
          <w:i/>
          <w:sz w:val="20"/>
          <w:szCs w:val="20"/>
        </w:rPr>
        <w:t xml:space="preserve">Escherichia coli, </w:t>
      </w:r>
      <w:proofErr w:type="spellStart"/>
      <w:r w:rsidRPr="00E64A8F">
        <w:rPr>
          <w:i/>
          <w:sz w:val="20"/>
          <w:szCs w:val="20"/>
        </w:rPr>
        <w:t>Klebsiella</w:t>
      </w:r>
      <w:proofErr w:type="spellEnd"/>
      <w:r w:rsidRPr="00E64A8F">
        <w:rPr>
          <w:sz w:val="20"/>
          <w:szCs w:val="20"/>
        </w:rPr>
        <w:t xml:space="preserve"> </w:t>
      </w:r>
      <w:proofErr w:type="spellStart"/>
      <w:r w:rsidRPr="00E64A8F">
        <w:rPr>
          <w:i/>
          <w:sz w:val="20"/>
          <w:szCs w:val="20"/>
        </w:rPr>
        <w:t>pneumoniae</w:t>
      </w:r>
      <w:proofErr w:type="spellEnd"/>
      <w:r w:rsidRPr="00E64A8F">
        <w:rPr>
          <w:sz w:val="20"/>
          <w:szCs w:val="20"/>
        </w:rPr>
        <w:t xml:space="preserve">, </w:t>
      </w:r>
      <w:r w:rsidRPr="00E64A8F">
        <w:rPr>
          <w:i/>
          <w:sz w:val="20"/>
          <w:szCs w:val="20"/>
        </w:rPr>
        <w:t>Proteus mirabilis</w:t>
      </w:r>
      <w:r w:rsidRPr="00E64A8F">
        <w:rPr>
          <w:sz w:val="20"/>
          <w:szCs w:val="20"/>
        </w:rPr>
        <w:t xml:space="preserve">, </w:t>
      </w:r>
      <w:proofErr w:type="spellStart"/>
      <w:r w:rsidRPr="00E64A8F">
        <w:rPr>
          <w:i/>
          <w:sz w:val="20"/>
          <w:szCs w:val="20"/>
        </w:rPr>
        <w:t>Enterococcus</w:t>
      </w:r>
      <w:proofErr w:type="spellEnd"/>
      <w:r w:rsidRPr="00E64A8F">
        <w:rPr>
          <w:i/>
          <w:sz w:val="20"/>
          <w:szCs w:val="20"/>
        </w:rPr>
        <w:t xml:space="preserve"> </w:t>
      </w:r>
      <w:proofErr w:type="spellStart"/>
      <w:r w:rsidRPr="00E64A8F">
        <w:rPr>
          <w:i/>
          <w:sz w:val="20"/>
          <w:szCs w:val="20"/>
        </w:rPr>
        <w:t>faecalis</w:t>
      </w:r>
      <w:proofErr w:type="spellEnd"/>
      <w:r w:rsidRPr="00E64A8F">
        <w:rPr>
          <w:sz w:val="20"/>
          <w:szCs w:val="20"/>
        </w:rPr>
        <w:t xml:space="preserve">, </w:t>
      </w:r>
      <w:r w:rsidRPr="00E64A8F">
        <w:rPr>
          <w:i/>
          <w:sz w:val="20"/>
          <w:szCs w:val="20"/>
        </w:rPr>
        <w:t xml:space="preserve">Pseudomonas </w:t>
      </w:r>
      <w:proofErr w:type="spellStart"/>
      <w:r w:rsidRPr="00E64A8F">
        <w:rPr>
          <w:i/>
          <w:sz w:val="20"/>
          <w:szCs w:val="20"/>
        </w:rPr>
        <w:t>aeruginosa</w:t>
      </w:r>
      <w:proofErr w:type="spellEnd"/>
      <w:r w:rsidRPr="00E64A8F">
        <w:rPr>
          <w:i/>
          <w:sz w:val="20"/>
          <w:szCs w:val="20"/>
        </w:rPr>
        <w:t xml:space="preserve">, Salmonella </w:t>
      </w:r>
      <w:proofErr w:type="spellStart"/>
      <w:r w:rsidRPr="00E64A8F">
        <w:rPr>
          <w:sz w:val="20"/>
          <w:szCs w:val="20"/>
        </w:rPr>
        <w:t>Typhi</w:t>
      </w:r>
      <w:proofErr w:type="spellEnd"/>
      <w:r w:rsidRPr="00E64A8F">
        <w:rPr>
          <w:sz w:val="20"/>
          <w:szCs w:val="20"/>
        </w:rPr>
        <w:t xml:space="preserve"> and </w:t>
      </w:r>
      <w:r w:rsidRPr="00E64A8F">
        <w:rPr>
          <w:i/>
          <w:sz w:val="20"/>
          <w:szCs w:val="20"/>
        </w:rPr>
        <w:t xml:space="preserve">Staphylococcus </w:t>
      </w:r>
      <w:proofErr w:type="spellStart"/>
      <w:r w:rsidRPr="00E64A8F">
        <w:rPr>
          <w:i/>
          <w:sz w:val="20"/>
          <w:szCs w:val="20"/>
        </w:rPr>
        <w:t>aureus</w:t>
      </w:r>
      <w:proofErr w:type="spellEnd"/>
      <w:r w:rsidRPr="00E64A8F">
        <w:rPr>
          <w:sz w:val="20"/>
          <w:szCs w:val="20"/>
        </w:rPr>
        <w:t>.</w:t>
      </w:r>
      <w:r w:rsidR="00DB3049" w:rsidRPr="00E64A8F">
        <w:rPr>
          <w:sz w:val="20"/>
          <w:szCs w:val="20"/>
        </w:rPr>
        <w:t xml:space="preserve"> </w:t>
      </w:r>
      <w:r w:rsidRPr="00E64A8F">
        <w:rPr>
          <w:sz w:val="20"/>
          <w:szCs w:val="20"/>
        </w:rPr>
        <w:t xml:space="preserve">This result concurred with a study conducted by </w:t>
      </w:r>
      <w:proofErr w:type="spellStart"/>
      <w:r w:rsidRPr="00E64A8F">
        <w:rPr>
          <w:sz w:val="20"/>
          <w:szCs w:val="20"/>
        </w:rPr>
        <w:t>Egbere</w:t>
      </w:r>
      <w:proofErr w:type="spellEnd"/>
      <w:r w:rsidRPr="00E64A8F">
        <w:rPr>
          <w:sz w:val="20"/>
          <w:szCs w:val="20"/>
        </w:rPr>
        <w:t xml:space="preserve"> </w:t>
      </w:r>
      <w:r w:rsidRPr="00E64A8F">
        <w:rPr>
          <w:i/>
          <w:sz w:val="20"/>
          <w:szCs w:val="20"/>
        </w:rPr>
        <w:t>et al.</w:t>
      </w:r>
      <w:r w:rsidRPr="00E64A8F">
        <w:rPr>
          <w:sz w:val="20"/>
          <w:szCs w:val="20"/>
        </w:rPr>
        <w:t xml:space="preserve"> (2006) on bacteriological and chemical quality of well water from </w:t>
      </w:r>
      <w:proofErr w:type="spellStart"/>
      <w:r w:rsidRPr="00E64A8F">
        <w:rPr>
          <w:sz w:val="20"/>
          <w:szCs w:val="20"/>
        </w:rPr>
        <w:t>Jos</w:t>
      </w:r>
      <w:proofErr w:type="spellEnd"/>
      <w:r w:rsidRPr="00E64A8F">
        <w:rPr>
          <w:sz w:val="20"/>
          <w:szCs w:val="20"/>
        </w:rPr>
        <w:t xml:space="preserve"> metropolis of Plateau State in which </w:t>
      </w:r>
      <w:r w:rsidRPr="00E64A8F">
        <w:rPr>
          <w:i/>
          <w:sz w:val="20"/>
          <w:szCs w:val="20"/>
        </w:rPr>
        <w:t>Escherichia coli, Proteus</w:t>
      </w:r>
      <w:r w:rsidRPr="00E64A8F">
        <w:rPr>
          <w:sz w:val="20"/>
          <w:szCs w:val="20"/>
        </w:rPr>
        <w:t xml:space="preserve"> species, </w:t>
      </w:r>
      <w:proofErr w:type="spellStart"/>
      <w:r w:rsidRPr="00E64A8F">
        <w:rPr>
          <w:i/>
          <w:sz w:val="20"/>
          <w:szCs w:val="20"/>
        </w:rPr>
        <w:t>Enterobacter</w:t>
      </w:r>
      <w:proofErr w:type="spellEnd"/>
      <w:r w:rsidRPr="00E64A8F">
        <w:rPr>
          <w:sz w:val="20"/>
          <w:szCs w:val="20"/>
        </w:rPr>
        <w:t xml:space="preserve"> species, </w:t>
      </w:r>
      <w:proofErr w:type="spellStart"/>
      <w:r w:rsidRPr="00E64A8F">
        <w:rPr>
          <w:i/>
          <w:sz w:val="20"/>
          <w:szCs w:val="20"/>
        </w:rPr>
        <w:t>Citrobacter</w:t>
      </w:r>
      <w:proofErr w:type="spellEnd"/>
      <w:r w:rsidRPr="00E64A8F">
        <w:rPr>
          <w:sz w:val="20"/>
          <w:szCs w:val="20"/>
        </w:rPr>
        <w:t xml:space="preserve"> species, </w:t>
      </w:r>
      <w:proofErr w:type="spellStart"/>
      <w:r w:rsidRPr="00E64A8F">
        <w:rPr>
          <w:i/>
          <w:sz w:val="20"/>
          <w:szCs w:val="20"/>
        </w:rPr>
        <w:t>Klebseilla</w:t>
      </w:r>
      <w:proofErr w:type="spellEnd"/>
      <w:r w:rsidRPr="00E64A8F">
        <w:rPr>
          <w:sz w:val="20"/>
          <w:szCs w:val="20"/>
        </w:rPr>
        <w:t xml:space="preserve"> species and </w:t>
      </w:r>
      <w:r w:rsidRPr="00E64A8F">
        <w:rPr>
          <w:i/>
          <w:sz w:val="20"/>
          <w:szCs w:val="20"/>
        </w:rPr>
        <w:t>Salmonella</w:t>
      </w:r>
      <w:r w:rsidRPr="00E64A8F">
        <w:rPr>
          <w:sz w:val="20"/>
          <w:szCs w:val="20"/>
        </w:rPr>
        <w:t xml:space="preserve"> species were isolated from well water sources. In a similar study conducted by </w:t>
      </w:r>
      <w:proofErr w:type="spellStart"/>
      <w:r w:rsidRPr="00E64A8F">
        <w:rPr>
          <w:sz w:val="20"/>
          <w:szCs w:val="20"/>
        </w:rPr>
        <w:t>Manshak</w:t>
      </w:r>
      <w:proofErr w:type="spellEnd"/>
      <w:r w:rsidRPr="00E64A8F">
        <w:rPr>
          <w:sz w:val="20"/>
          <w:szCs w:val="20"/>
        </w:rPr>
        <w:t xml:space="preserve"> (2014) on bacteriological analysis and physicochemical parameters of well, streams and borehole water in </w:t>
      </w:r>
      <w:proofErr w:type="spellStart"/>
      <w:r w:rsidRPr="00E64A8F">
        <w:rPr>
          <w:sz w:val="20"/>
          <w:szCs w:val="20"/>
        </w:rPr>
        <w:t>Wuseli</w:t>
      </w:r>
      <w:proofErr w:type="spellEnd"/>
      <w:r w:rsidRPr="00E64A8F">
        <w:rPr>
          <w:sz w:val="20"/>
          <w:szCs w:val="20"/>
        </w:rPr>
        <w:t xml:space="preserve"> and </w:t>
      </w:r>
      <w:proofErr w:type="spellStart"/>
      <w:r w:rsidRPr="00E64A8F">
        <w:rPr>
          <w:sz w:val="20"/>
          <w:szCs w:val="20"/>
        </w:rPr>
        <w:t>Wuchenbe</w:t>
      </w:r>
      <w:proofErr w:type="spellEnd"/>
      <w:r w:rsidRPr="00E64A8F">
        <w:rPr>
          <w:sz w:val="20"/>
          <w:szCs w:val="20"/>
        </w:rPr>
        <w:t xml:space="preserve"> wards of </w:t>
      </w:r>
      <w:proofErr w:type="spellStart"/>
      <w:r w:rsidRPr="00E64A8F">
        <w:rPr>
          <w:sz w:val="20"/>
          <w:szCs w:val="20"/>
        </w:rPr>
        <w:t>Pankshin</w:t>
      </w:r>
      <w:proofErr w:type="spellEnd"/>
      <w:r w:rsidRPr="00E64A8F">
        <w:rPr>
          <w:sz w:val="20"/>
          <w:szCs w:val="20"/>
        </w:rPr>
        <w:t xml:space="preserve"> L.G.A. Plateau State, Nigeria.</w:t>
      </w:r>
    </w:p>
    <w:p w:rsidR="00001440" w:rsidRPr="00E64A8F" w:rsidRDefault="00001440" w:rsidP="0080756D">
      <w:pPr>
        <w:suppressAutoHyphens w:val="0"/>
        <w:snapToGrid w:val="0"/>
        <w:ind w:firstLine="425"/>
        <w:jc w:val="both"/>
        <w:rPr>
          <w:sz w:val="20"/>
          <w:szCs w:val="20"/>
        </w:rPr>
      </w:pPr>
      <w:r w:rsidRPr="00E64A8F">
        <w:rPr>
          <w:sz w:val="20"/>
          <w:szCs w:val="20"/>
        </w:rPr>
        <w:t xml:space="preserve">The present study is also in agreement with a study conducted by </w:t>
      </w:r>
      <w:proofErr w:type="spellStart"/>
      <w:r w:rsidRPr="00E64A8F">
        <w:rPr>
          <w:sz w:val="20"/>
          <w:szCs w:val="20"/>
        </w:rPr>
        <w:t>Onuh</w:t>
      </w:r>
      <w:proofErr w:type="spellEnd"/>
      <w:r w:rsidRPr="00E64A8F">
        <w:rPr>
          <w:sz w:val="20"/>
          <w:szCs w:val="20"/>
        </w:rPr>
        <w:t xml:space="preserve"> (1998) who isolated five different enteric bacteria from some rural communities of Plateau State including</w:t>
      </w:r>
      <w:r w:rsidRPr="00E64A8F">
        <w:rPr>
          <w:i/>
          <w:sz w:val="20"/>
          <w:szCs w:val="20"/>
        </w:rPr>
        <w:t xml:space="preserve"> Escherichia coli, </w:t>
      </w:r>
      <w:proofErr w:type="spellStart"/>
      <w:r w:rsidRPr="00E64A8F">
        <w:rPr>
          <w:i/>
          <w:sz w:val="20"/>
          <w:szCs w:val="20"/>
        </w:rPr>
        <w:t>Citrobacter</w:t>
      </w:r>
      <w:proofErr w:type="spellEnd"/>
      <w:r w:rsidRPr="00E64A8F">
        <w:rPr>
          <w:i/>
          <w:sz w:val="20"/>
          <w:szCs w:val="20"/>
        </w:rPr>
        <w:t xml:space="preserve"> </w:t>
      </w:r>
      <w:proofErr w:type="spellStart"/>
      <w:r w:rsidRPr="00E64A8F">
        <w:rPr>
          <w:i/>
          <w:sz w:val="20"/>
          <w:szCs w:val="20"/>
        </w:rPr>
        <w:t>fruendii</w:t>
      </w:r>
      <w:proofErr w:type="spellEnd"/>
      <w:r w:rsidRPr="00E64A8F">
        <w:rPr>
          <w:i/>
          <w:sz w:val="20"/>
          <w:szCs w:val="20"/>
        </w:rPr>
        <w:t xml:space="preserve">, </w:t>
      </w:r>
      <w:proofErr w:type="spellStart"/>
      <w:r w:rsidRPr="00E64A8F">
        <w:rPr>
          <w:i/>
          <w:sz w:val="20"/>
          <w:szCs w:val="20"/>
        </w:rPr>
        <w:t>Enterobacter</w:t>
      </w:r>
      <w:proofErr w:type="spellEnd"/>
      <w:r w:rsidRPr="00E64A8F">
        <w:rPr>
          <w:i/>
          <w:sz w:val="20"/>
          <w:szCs w:val="20"/>
        </w:rPr>
        <w:t xml:space="preserve"> cloacae, </w:t>
      </w:r>
      <w:proofErr w:type="spellStart"/>
      <w:r w:rsidRPr="00E64A8F">
        <w:rPr>
          <w:i/>
          <w:sz w:val="20"/>
          <w:szCs w:val="20"/>
        </w:rPr>
        <w:t>Enterobacter</w:t>
      </w:r>
      <w:proofErr w:type="spellEnd"/>
      <w:r w:rsidRPr="00E64A8F">
        <w:rPr>
          <w:i/>
          <w:sz w:val="20"/>
          <w:szCs w:val="20"/>
        </w:rPr>
        <w:t xml:space="preserve"> </w:t>
      </w:r>
      <w:proofErr w:type="spellStart"/>
      <w:r w:rsidRPr="00E64A8F">
        <w:rPr>
          <w:i/>
          <w:sz w:val="20"/>
          <w:szCs w:val="20"/>
        </w:rPr>
        <w:t>aerogens</w:t>
      </w:r>
      <w:proofErr w:type="spellEnd"/>
      <w:r w:rsidRPr="00E64A8F">
        <w:rPr>
          <w:i/>
          <w:sz w:val="20"/>
          <w:szCs w:val="20"/>
        </w:rPr>
        <w:t xml:space="preserve"> </w:t>
      </w:r>
      <w:r w:rsidRPr="00E64A8F">
        <w:rPr>
          <w:sz w:val="20"/>
          <w:szCs w:val="20"/>
        </w:rPr>
        <w:t>and</w:t>
      </w:r>
      <w:r w:rsidRPr="00E64A8F">
        <w:rPr>
          <w:i/>
          <w:sz w:val="20"/>
          <w:szCs w:val="20"/>
        </w:rPr>
        <w:t xml:space="preserve"> </w:t>
      </w:r>
      <w:proofErr w:type="spellStart"/>
      <w:r w:rsidRPr="00E64A8F">
        <w:rPr>
          <w:i/>
          <w:sz w:val="20"/>
          <w:szCs w:val="20"/>
        </w:rPr>
        <w:t>Klebsiella</w:t>
      </w:r>
      <w:proofErr w:type="spellEnd"/>
      <w:r w:rsidRPr="00E64A8F">
        <w:rPr>
          <w:i/>
          <w:sz w:val="20"/>
          <w:szCs w:val="20"/>
        </w:rPr>
        <w:t xml:space="preserve"> </w:t>
      </w:r>
      <w:r w:rsidRPr="00E64A8F">
        <w:rPr>
          <w:sz w:val="20"/>
          <w:szCs w:val="20"/>
        </w:rPr>
        <w:t xml:space="preserve">species and also a study conducted by Khan </w:t>
      </w:r>
      <w:r w:rsidRPr="00E64A8F">
        <w:rPr>
          <w:i/>
          <w:sz w:val="20"/>
          <w:szCs w:val="20"/>
        </w:rPr>
        <w:t>et al</w:t>
      </w:r>
      <w:r w:rsidRPr="00E64A8F">
        <w:rPr>
          <w:sz w:val="20"/>
          <w:szCs w:val="20"/>
        </w:rPr>
        <w:t xml:space="preserve"> (2012) in which </w:t>
      </w:r>
      <w:r w:rsidRPr="00E64A8F">
        <w:rPr>
          <w:i/>
          <w:sz w:val="20"/>
          <w:szCs w:val="20"/>
        </w:rPr>
        <w:t>Escherichia coli</w:t>
      </w:r>
      <w:r w:rsidRPr="00E64A8F">
        <w:rPr>
          <w:sz w:val="20"/>
          <w:szCs w:val="20"/>
        </w:rPr>
        <w:t xml:space="preserve"> was isolated from drinking water sources in </w:t>
      </w:r>
      <w:proofErr w:type="spellStart"/>
      <w:r w:rsidRPr="00E64A8F">
        <w:rPr>
          <w:sz w:val="20"/>
          <w:szCs w:val="20"/>
        </w:rPr>
        <w:t>Kohat</w:t>
      </w:r>
      <w:proofErr w:type="spellEnd"/>
      <w:r w:rsidRPr="00E64A8F">
        <w:rPr>
          <w:sz w:val="20"/>
          <w:szCs w:val="20"/>
        </w:rPr>
        <w:t xml:space="preserve">, Pakistan. Most of these organisms have been implicated in human gastrointestinal infections with symptoms of </w:t>
      </w:r>
      <w:proofErr w:type="spellStart"/>
      <w:r w:rsidRPr="00E64A8F">
        <w:rPr>
          <w:sz w:val="20"/>
          <w:szCs w:val="20"/>
        </w:rPr>
        <w:t>diarrhoea</w:t>
      </w:r>
      <w:proofErr w:type="spellEnd"/>
      <w:r w:rsidRPr="00E64A8F">
        <w:rPr>
          <w:sz w:val="20"/>
          <w:szCs w:val="20"/>
        </w:rPr>
        <w:t xml:space="preserve"> and cholera and cholera-like illnesses in both children and adults. </w:t>
      </w:r>
      <w:r w:rsidRPr="00E64A8F">
        <w:rPr>
          <w:sz w:val="20"/>
          <w:szCs w:val="20"/>
        </w:rPr>
        <w:lastRenderedPageBreak/>
        <w:t xml:space="preserve">Some enteric organisms such as </w:t>
      </w:r>
      <w:r w:rsidRPr="00E64A8F">
        <w:rPr>
          <w:i/>
          <w:sz w:val="20"/>
          <w:szCs w:val="20"/>
        </w:rPr>
        <w:t>Escherichia coli</w:t>
      </w:r>
      <w:r w:rsidRPr="00E64A8F">
        <w:rPr>
          <w:sz w:val="20"/>
          <w:szCs w:val="20"/>
        </w:rPr>
        <w:t xml:space="preserve"> are parts of the normal flora and incidentally cause disease, while others like the salmonellae and </w:t>
      </w:r>
      <w:proofErr w:type="spellStart"/>
      <w:r w:rsidRPr="00E64A8F">
        <w:rPr>
          <w:sz w:val="20"/>
          <w:szCs w:val="20"/>
        </w:rPr>
        <w:t>shigellae</w:t>
      </w:r>
      <w:proofErr w:type="spellEnd"/>
      <w:r w:rsidRPr="00E64A8F">
        <w:rPr>
          <w:sz w:val="20"/>
          <w:szCs w:val="20"/>
        </w:rPr>
        <w:t xml:space="preserve"> are r</w:t>
      </w:r>
      <w:bookmarkStart w:id="0" w:name="_GoBack"/>
      <w:bookmarkEnd w:id="0"/>
      <w:r w:rsidRPr="00E64A8F">
        <w:rPr>
          <w:sz w:val="20"/>
          <w:szCs w:val="20"/>
        </w:rPr>
        <w:t xml:space="preserve">egularly pathogenic for humans (Geo </w:t>
      </w:r>
      <w:r w:rsidRPr="00E64A8F">
        <w:rPr>
          <w:i/>
          <w:sz w:val="20"/>
          <w:szCs w:val="20"/>
        </w:rPr>
        <w:t xml:space="preserve">et al., </w:t>
      </w:r>
      <w:r w:rsidRPr="00E64A8F">
        <w:rPr>
          <w:sz w:val="20"/>
          <w:szCs w:val="20"/>
        </w:rPr>
        <w:t>2007).</w:t>
      </w:r>
    </w:p>
    <w:p w:rsidR="00001440" w:rsidRPr="00E64A8F" w:rsidRDefault="00001440" w:rsidP="0080756D">
      <w:pPr>
        <w:suppressAutoHyphens w:val="0"/>
        <w:snapToGrid w:val="0"/>
        <w:ind w:firstLine="425"/>
        <w:jc w:val="both"/>
        <w:rPr>
          <w:sz w:val="20"/>
          <w:szCs w:val="20"/>
        </w:rPr>
      </w:pPr>
      <w:r w:rsidRPr="00E64A8F">
        <w:rPr>
          <w:sz w:val="20"/>
          <w:szCs w:val="20"/>
        </w:rPr>
        <w:t xml:space="preserve">The pH of water samples from both villages of </w:t>
      </w:r>
      <w:proofErr w:type="spellStart"/>
      <w:r w:rsidRPr="00E64A8F">
        <w:rPr>
          <w:sz w:val="20"/>
          <w:szCs w:val="20"/>
        </w:rPr>
        <w:t>Magama</w:t>
      </w:r>
      <w:proofErr w:type="spellEnd"/>
      <w:r w:rsidRPr="00E64A8F">
        <w:rPr>
          <w:sz w:val="20"/>
          <w:szCs w:val="20"/>
        </w:rPr>
        <w:t xml:space="preserve"> and </w:t>
      </w:r>
      <w:proofErr w:type="spellStart"/>
      <w:r w:rsidRPr="00E64A8F">
        <w:rPr>
          <w:sz w:val="20"/>
          <w:szCs w:val="20"/>
        </w:rPr>
        <w:t>Bolgang</w:t>
      </w:r>
      <w:proofErr w:type="spellEnd"/>
      <w:r w:rsidRPr="00E64A8F">
        <w:rPr>
          <w:sz w:val="20"/>
          <w:szCs w:val="20"/>
        </w:rPr>
        <w:t xml:space="preserve"> were higher than the lower limits of the pH (6.5) recommended by the World Health </w:t>
      </w:r>
      <w:proofErr w:type="spellStart"/>
      <w:r w:rsidRPr="00E64A8F">
        <w:rPr>
          <w:sz w:val="20"/>
          <w:szCs w:val="20"/>
        </w:rPr>
        <w:t>Organisation</w:t>
      </w:r>
      <w:proofErr w:type="spellEnd"/>
      <w:r w:rsidRPr="00E64A8F">
        <w:rPr>
          <w:sz w:val="20"/>
          <w:szCs w:val="20"/>
        </w:rPr>
        <w:t xml:space="preserve"> (WHO) and National Agency for Food, Drug Administration and Control (NAFDAC) except for water sample from ponds in </w:t>
      </w:r>
      <w:proofErr w:type="spellStart"/>
      <w:r w:rsidRPr="00E64A8F">
        <w:rPr>
          <w:sz w:val="20"/>
          <w:szCs w:val="20"/>
        </w:rPr>
        <w:t>Bolgang</w:t>
      </w:r>
      <w:proofErr w:type="spellEnd"/>
      <w:r w:rsidRPr="00E64A8F">
        <w:rPr>
          <w:sz w:val="20"/>
          <w:szCs w:val="20"/>
        </w:rPr>
        <w:t xml:space="preserve"> (pH = 6.4). Even though pH has no direct effect on human health, its indirect action on physiological process cannot be over emphasized (</w:t>
      </w:r>
      <w:proofErr w:type="spellStart"/>
      <w:r w:rsidRPr="00E64A8F">
        <w:rPr>
          <w:sz w:val="20"/>
          <w:szCs w:val="20"/>
        </w:rPr>
        <w:t>Adekunle</w:t>
      </w:r>
      <w:proofErr w:type="spellEnd"/>
      <w:r w:rsidRPr="00E64A8F">
        <w:rPr>
          <w:sz w:val="20"/>
          <w:szCs w:val="20"/>
        </w:rPr>
        <w:t xml:space="preserve"> </w:t>
      </w:r>
      <w:r w:rsidRPr="00E64A8F">
        <w:rPr>
          <w:i/>
          <w:sz w:val="20"/>
          <w:szCs w:val="20"/>
        </w:rPr>
        <w:t>et al.,</w:t>
      </w:r>
      <w:r w:rsidRPr="00E64A8F">
        <w:rPr>
          <w:sz w:val="20"/>
          <w:szCs w:val="20"/>
        </w:rPr>
        <w:t xml:space="preserve"> 2004; NSDWQ, 2007; Isa </w:t>
      </w:r>
      <w:r w:rsidRPr="00E64A8F">
        <w:rPr>
          <w:i/>
          <w:sz w:val="20"/>
          <w:szCs w:val="20"/>
        </w:rPr>
        <w:t>t al.,</w:t>
      </w:r>
      <w:r w:rsidRPr="00E64A8F">
        <w:rPr>
          <w:sz w:val="20"/>
          <w:szCs w:val="20"/>
        </w:rPr>
        <w:t xml:space="preserve"> 2013). The total alkalinity of all water samples conform to both WHO (80 – 120 mg/L) and NAFDAC (100 mg/L) standards.</w:t>
      </w:r>
    </w:p>
    <w:p w:rsidR="00001440" w:rsidRPr="00E64A8F" w:rsidRDefault="00001440" w:rsidP="0080756D">
      <w:pPr>
        <w:suppressAutoHyphens w:val="0"/>
        <w:snapToGrid w:val="0"/>
        <w:ind w:firstLine="425"/>
        <w:jc w:val="both"/>
        <w:rPr>
          <w:sz w:val="20"/>
          <w:szCs w:val="20"/>
          <w:lang w:eastAsia="zh-CN"/>
        </w:rPr>
      </w:pPr>
      <w:r w:rsidRPr="00E64A8F">
        <w:rPr>
          <w:sz w:val="20"/>
          <w:szCs w:val="20"/>
        </w:rPr>
        <w:t xml:space="preserve">The strong negative correlation between total heterotrophic counts, pH and total hardness implies that increase in either pH or total hardness of the borehole water would lead to decrease in the total heterotrophic count. In the same vein, the total </w:t>
      </w:r>
      <w:proofErr w:type="spellStart"/>
      <w:r w:rsidRPr="00E64A8F">
        <w:rPr>
          <w:sz w:val="20"/>
          <w:szCs w:val="20"/>
        </w:rPr>
        <w:t>coliform</w:t>
      </w:r>
      <w:proofErr w:type="spellEnd"/>
      <w:r w:rsidRPr="00E64A8F">
        <w:rPr>
          <w:sz w:val="20"/>
          <w:szCs w:val="20"/>
        </w:rPr>
        <w:t xml:space="preserve"> count was strongly negatively correlated with both pH and total hardness implying that as total hardness and/or pH increase the total </w:t>
      </w:r>
      <w:proofErr w:type="spellStart"/>
      <w:r w:rsidRPr="00E64A8F">
        <w:rPr>
          <w:sz w:val="20"/>
          <w:szCs w:val="20"/>
        </w:rPr>
        <w:t>coliform</w:t>
      </w:r>
      <w:proofErr w:type="spellEnd"/>
      <w:r w:rsidRPr="00E64A8F">
        <w:rPr>
          <w:sz w:val="20"/>
          <w:szCs w:val="20"/>
        </w:rPr>
        <w:t xml:space="preserve"> count decreases. Both total heterotrophic and </w:t>
      </w:r>
      <w:proofErr w:type="spellStart"/>
      <w:r w:rsidRPr="00E64A8F">
        <w:rPr>
          <w:sz w:val="20"/>
          <w:szCs w:val="20"/>
        </w:rPr>
        <w:t>coliform</w:t>
      </w:r>
      <w:proofErr w:type="spellEnd"/>
      <w:r w:rsidRPr="00E64A8F">
        <w:rPr>
          <w:sz w:val="20"/>
          <w:szCs w:val="20"/>
        </w:rPr>
        <w:t xml:space="preserve"> counts were strongly positively correlated with alkalinity with the implication that if alkalinity increases both total </w:t>
      </w:r>
      <w:proofErr w:type="spellStart"/>
      <w:r w:rsidRPr="00E64A8F">
        <w:rPr>
          <w:sz w:val="20"/>
          <w:szCs w:val="20"/>
        </w:rPr>
        <w:t>coliform</w:t>
      </w:r>
      <w:proofErr w:type="spellEnd"/>
      <w:r w:rsidRPr="00E64A8F">
        <w:rPr>
          <w:sz w:val="20"/>
          <w:szCs w:val="20"/>
        </w:rPr>
        <w:t xml:space="preserve"> and total heterotrophic counts will increase. Correlation of pH, alkalinity and total hardness with both </w:t>
      </w:r>
      <w:proofErr w:type="spellStart"/>
      <w:r w:rsidRPr="00E64A8F">
        <w:rPr>
          <w:sz w:val="20"/>
          <w:szCs w:val="20"/>
        </w:rPr>
        <w:t>coliform</w:t>
      </w:r>
      <w:proofErr w:type="spellEnd"/>
      <w:r w:rsidRPr="00E64A8F">
        <w:rPr>
          <w:sz w:val="20"/>
          <w:szCs w:val="20"/>
        </w:rPr>
        <w:t xml:space="preserve"> and total heterotrophic counts of pond water revealed positive perfect correlation (r = 1.000). This means that every increase in the physicochemical parameters under study will result in increase in both total heterotrophic and </w:t>
      </w:r>
      <w:proofErr w:type="spellStart"/>
      <w:r w:rsidRPr="00E64A8F">
        <w:rPr>
          <w:sz w:val="20"/>
          <w:szCs w:val="20"/>
        </w:rPr>
        <w:t>coliform</w:t>
      </w:r>
      <w:proofErr w:type="spellEnd"/>
      <w:r w:rsidRPr="00E64A8F">
        <w:rPr>
          <w:sz w:val="20"/>
          <w:szCs w:val="20"/>
        </w:rPr>
        <w:t xml:space="preserve"> counts. The findings of the present study is in tandem with the report of </w:t>
      </w:r>
      <w:proofErr w:type="spellStart"/>
      <w:r w:rsidRPr="00E64A8F">
        <w:rPr>
          <w:sz w:val="20"/>
          <w:szCs w:val="20"/>
        </w:rPr>
        <w:t>Maheepal</w:t>
      </w:r>
      <w:proofErr w:type="spellEnd"/>
      <w:r w:rsidRPr="00E64A8F">
        <w:rPr>
          <w:sz w:val="20"/>
          <w:szCs w:val="20"/>
        </w:rPr>
        <w:t xml:space="preserve"> </w:t>
      </w:r>
      <w:r w:rsidRPr="00E64A8F">
        <w:rPr>
          <w:i/>
          <w:sz w:val="20"/>
          <w:szCs w:val="20"/>
        </w:rPr>
        <w:t>et al.</w:t>
      </w:r>
      <w:r w:rsidRPr="00E64A8F">
        <w:rPr>
          <w:sz w:val="20"/>
          <w:szCs w:val="20"/>
        </w:rPr>
        <w:t xml:space="preserve"> (2014).</w:t>
      </w:r>
    </w:p>
    <w:p w:rsidR="0080756D" w:rsidRPr="00E64A8F" w:rsidRDefault="0080756D" w:rsidP="0080756D">
      <w:pPr>
        <w:suppressAutoHyphens w:val="0"/>
        <w:snapToGrid w:val="0"/>
        <w:ind w:firstLine="425"/>
        <w:jc w:val="both"/>
        <w:rPr>
          <w:sz w:val="20"/>
          <w:szCs w:val="20"/>
          <w:lang w:eastAsia="zh-CN"/>
        </w:rPr>
      </w:pPr>
    </w:p>
    <w:p w:rsidR="00471E57" w:rsidRPr="00E64A8F" w:rsidRDefault="00471E57" w:rsidP="0080756D">
      <w:pPr>
        <w:suppressAutoHyphens w:val="0"/>
        <w:snapToGrid w:val="0"/>
        <w:jc w:val="both"/>
        <w:rPr>
          <w:b/>
          <w:sz w:val="20"/>
          <w:szCs w:val="20"/>
        </w:rPr>
      </w:pPr>
      <w:r w:rsidRPr="00E64A8F">
        <w:rPr>
          <w:b/>
          <w:sz w:val="20"/>
          <w:szCs w:val="20"/>
        </w:rPr>
        <w:t>4. Discussions</w:t>
      </w:r>
    </w:p>
    <w:p w:rsidR="00051141" w:rsidRPr="00E64A8F" w:rsidRDefault="00051141" w:rsidP="0080756D">
      <w:pPr>
        <w:suppressAutoHyphens w:val="0"/>
        <w:snapToGrid w:val="0"/>
        <w:ind w:firstLine="425"/>
        <w:jc w:val="both"/>
        <w:rPr>
          <w:sz w:val="20"/>
          <w:szCs w:val="20"/>
        </w:rPr>
      </w:pPr>
      <w:r w:rsidRPr="00E64A8F">
        <w:rPr>
          <w:rFonts w:eastAsia="Times New Roman"/>
          <w:sz w:val="20"/>
          <w:szCs w:val="20"/>
        </w:rPr>
        <w:t xml:space="preserve">Bacterial counts of the water from wells, ponds, boreholes and streams in both </w:t>
      </w:r>
      <w:proofErr w:type="spellStart"/>
      <w:r w:rsidRPr="00E64A8F">
        <w:rPr>
          <w:rFonts w:eastAsia="Times New Roman"/>
          <w:sz w:val="20"/>
          <w:szCs w:val="20"/>
        </w:rPr>
        <w:t>Magama</w:t>
      </w:r>
      <w:proofErr w:type="spellEnd"/>
      <w:r w:rsidRPr="00E64A8F">
        <w:rPr>
          <w:rFonts w:eastAsia="Times New Roman"/>
          <w:sz w:val="20"/>
          <w:szCs w:val="20"/>
        </w:rPr>
        <w:t xml:space="preserve"> and </w:t>
      </w:r>
      <w:proofErr w:type="spellStart"/>
      <w:r w:rsidRPr="00E64A8F">
        <w:rPr>
          <w:rFonts w:eastAsia="Times New Roman"/>
          <w:sz w:val="20"/>
          <w:szCs w:val="20"/>
        </w:rPr>
        <w:t>Bolgang</w:t>
      </w:r>
      <w:proofErr w:type="spellEnd"/>
      <w:r w:rsidRPr="00E64A8F">
        <w:rPr>
          <w:rFonts w:eastAsia="Times New Roman"/>
          <w:sz w:val="20"/>
          <w:szCs w:val="20"/>
        </w:rPr>
        <w:t xml:space="preserve"> villages were contaminated and found to be way above the prescribed limits by WHO and NAFDAC. Biochemical tests showed that the bacterial isolates were </w:t>
      </w:r>
      <w:r w:rsidRPr="00E64A8F">
        <w:rPr>
          <w:rFonts w:eastAsia="Times New Roman"/>
          <w:i/>
          <w:sz w:val="20"/>
          <w:szCs w:val="20"/>
        </w:rPr>
        <w:t>Escherichia coli</w:t>
      </w:r>
      <w:r w:rsidRPr="00E64A8F">
        <w:rPr>
          <w:rFonts w:eastAsia="Times New Roman"/>
          <w:sz w:val="20"/>
          <w:szCs w:val="20"/>
        </w:rPr>
        <w:t xml:space="preserve">, </w:t>
      </w:r>
      <w:r w:rsidRPr="00E64A8F">
        <w:rPr>
          <w:rFonts w:eastAsia="Times New Roman"/>
          <w:i/>
          <w:sz w:val="20"/>
          <w:szCs w:val="20"/>
        </w:rPr>
        <w:t xml:space="preserve">Pseudomonas </w:t>
      </w:r>
      <w:proofErr w:type="spellStart"/>
      <w:r w:rsidRPr="00E64A8F">
        <w:rPr>
          <w:rFonts w:eastAsia="Times New Roman"/>
          <w:i/>
          <w:sz w:val="20"/>
          <w:szCs w:val="20"/>
        </w:rPr>
        <w:t>aeruginosa</w:t>
      </w:r>
      <w:proofErr w:type="spellEnd"/>
      <w:r w:rsidRPr="00E64A8F">
        <w:rPr>
          <w:rFonts w:eastAsia="Times New Roman"/>
          <w:sz w:val="20"/>
          <w:szCs w:val="20"/>
        </w:rPr>
        <w:t xml:space="preserve">, </w:t>
      </w:r>
      <w:r w:rsidRPr="00E64A8F">
        <w:rPr>
          <w:rFonts w:eastAsia="Times New Roman"/>
          <w:i/>
          <w:sz w:val="20"/>
          <w:szCs w:val="20"/>
        </w:rPr>
        <w:t xml:space="preserve">Staphylococcus </w:t>
      </w:r>
      <w:proofErr w:type="spellStart"/>
      <w:r w:rsidRPr="00E64A8F">
        <w:rPr>
          <w:rFonts w:eastAsia="Times New Roman"/>
          <w:i/>
          <w:sz w:val="20"/>
          <w:szCs w:val="20"/>
        </w:rPr>
        <w:t>aureus</w:t>
      </w:r>
      <w:proofErr w:type="spellEnd"/>
      <w:r w:rsidRPr="00E64A8F">
        <w:rPr>
          <w:rFonts w:eastAsia="Times New Roman"/>
          <w:sz w:val="20"/>
          <w:szCs w:val="20"/>
        </w:rPr>
        <w:t xml:space="preserve">, </w:t>
      </w:r>
      <w:proofErr w:type="spellStart"/>
      <w:r w:rsidRPr="00E64A8F">
        <w:rPr>
          <w:rFonts w:eastAsia="Times New Roman"/>
          <w:i/>
          <w:sz w:val="20"/>
          <w:szCs w:val="20"/>
        </w:rPr>
        <w:t>Klebsiella</w:t>
      </w:r>
      <w:proofErr w:type="spellEnd"/>
      <w:r w:rsidRPr="00E64A8F">
        <w:rPr>
          <w:rFonts w:eastAsia="Times New Roman"/>
          <w:i/>
          <w:sz w:val="20"/>
          <w:szCs w:val="20"/>
        </w:rPr>
        <w:t xml:space="preserve"> </w:t>
      </w:r>
      <w:proofErr w:type="spellStart"/>
      <w:r w:rsidRPr="00E64A8F">
        <w:rPr>
          <w:rFonts w:eastAsia="Times New Roman"/>
          <w:i/>
          <w:sz w:val="20"/>
          <w:szCs w:val="20"/>
        </w:rPr>
        <w:t>pneumoniae</w:t>
      </w:r>
      <w:proofErr w:type="spellEnd"/>
      <w:r w:rsidRPr="00E64A8F">
        <w:rPr>
          <w:rFonts w:eastAsia="Times New Roman"/>
          <w:sz w:val="20"/>
          <w:szCs w:val="20"/>
        </w:rPr>
        <w:t xml:space="preserve">, </w:t>
      </w:r>
      <w:proofErr w:type="spellStart"/>
      <w:r w:rsidRPr="00E64A8F">
        <w:rPr>
          <w:rFonts w:eastAsia="Times New Roman"/>
          <w:i/>
          <w:sz w:val="20"/>
          <w:szCs w:val="20"/>
        </w:rPr>
        <w:t>Enterococcus</w:t>
      </w:r>
      <w:proofErr w:type="spellEnd"/>
      <w:r w:rsidRPr="00E64A8F">
        <w:rPr>
          <w:rFonts w:eastAsia="Times New Roman"/>
          <w:i/>
          <w:sz w:val="20"/>
          <w:szCs w:val="20"/>
        </w:rPr>
        <w:t xml:space="preserve"> </w:t>
      </w:r>
      <w:proofErr w:type="spellStart"/>
      <w:r w:rsidRPr="00E64A8F">
        <w:rPr>
          <w:rFonts w:eastAsia="Times New Roman"/>
          <w:i/>
          <w:sz w:val="20"/>
          <w:szCs w:val="20"/>
        </w:rPr>
        <w:t>faecalis</w:t>
      </w:r>
      <w:proofErr w:type="spellEnd"/>
      <w:r w:rsidRPr="00E64A8F">
        <w:rPr>
          <w:rFonts w:eastAsia="Times New Roman"/>
          <w:sz w:val="20"/>
          <w:szCs w:val="20"/>
        </w:rPr>
        <w:t xml:space="preserve">, </w:t>
      </w:r>
      <w:r w:rsidRPr="00E64A8F">
        <w:rPr>
          <w:rFonts w:eastAsia="Times New Roman"/>
          <w:i/>
          <w:sz w:val="20"/>
          <w:szCs w:val="20"/>
        </w:rPr>
        <w:t>Salmonella</w:t>
      </w:r>
      <w:r w:rsidRPr="00E64A8F">
        <w:rPr>
          <w:rFonts w:eastAsia="Times New Roman"/>
          <w:sz w:val="20"/>
          <w:szCs w:val="20"/>
        </w:rPr>
        <w:t xml:space="preserve"> </w:t>
      </w:r>
      <w:proofErr w:type="spellStart"/>
      <w:r w:rsidRPr="00E64A8F">
        <w:rPr>
          <w:rFonts w:eastAsia="Times New Roman"/>
          <w:sz w:val="20"/>
          <w:szCs w:val="20"/>
        </w:rPr>
        <w:t>Typhi</w:t>
      </w:r>
      <w:proofErr w:type="spellEnd"/>
      <w:r w:rsidRPr="00E64A8F">
        <w:rPr>
          <w:rFonts w:eastAsia="Times New Roman"/>
          <w:i/>
          <w:sz w:val="20"/>
          <w:szCs w:val="20"/>
        </w:rPr>
        <w:t xml:space="preserve"> </w:t>
      </w:r>
      <w:r w:rsidRPr="00E64A8F">
        <w:rPr>
          <w:rFonts w:eastAsia="Times New Roman"/>
          <w:sz w:val="20"/>
          <w:szCs w:val="20"/>
        </w:rPr>
        <w:t xml:space="preserve">and </w:t>
      </w:r>
      <w:r w:rsidRPr="00E64A8F">
        <w:rPr>
          <w:rFonts w:eastAsia="Times New Roman"/>
          <w:i/>
          <w:sz w:val="20"/>
          <w:szCs w:val="20"/>
        </w:rPr>
        <w:t>Proteus mirabilis</w:t>
      </w:r>
      <w:r w:rsidRPr="00E64A8F">
        <w:rPr>
          <w:rFonts w:eastAsia="Times New Roman"/>
          <w:sz w:val="20"/>
          <w:szCs w:val="20"/>
        </w:rPr>
        <w:t>. The water from the aforementioned sources in the two villages were found to be unsuitable for consumption and recreational purposes without treatment.</w:t>
      </w:r>
      <w:r w:rsidR="00DB3049" w:rsidRPr="00E64A8F">
        <w:rPr>
          <w:rFonts w:eastAsia="Times New Roman"/>
          <w:sz w:val="20"/>
          <w:szCs w:val="20"/>
        </w:rPr>
        <w:t xml:space="preserve"> </w:t>
      </w:r>
      <w:r w:rsidRPr="00E64A8F">
        <w:rPr>
          <w:rFonts w:eastAsia="Times New Roman"/>
          <w:sz w:val="20"/>
          <w:szCs w:val="20"/>
        </w:rPr>
        <w:t xml:space="preserve">Generally, correlation studies revealed that pH, alkalinity and total hardness have a strong positive association with total heterotrophic and </w:t>
      </w:r>
      <w:proofErr w:type="spellStart"/>
      <w:r w:rsidRPr="00E64A8F">
        <w:rPr>
          <w:rFonts w:eastAsia="Times New Roman"/>
          <w:sz w:val="20"/>
          <w:szCs w:val="20"/>
        </w:rPr>
        <w:t>coliform</w:t>
      </w:r>
      <w:proofErr w:type="spellEnd"/>
      <w:r w:rsidRPr="00E64A8F">
        <w:rPr>
          <w:rFonts w:eastAsia="Times New Roman"/>
          <w:sz w:val="20"/>
          <w:szCs w:val="20"/>
        </w:rPr>
        <w:t xml:space="preserve"> counts. Therefore, as compared to standards, the waters studied could be regarded as </w:t>
      </w:r>
      <w:proofErr w:type="spellStart"/>
      <w:r w:rsidRPr="00E64A8F">
        <w:rPr>
          <w:rFonts w:eastAsia="Times New Roman"/>
          <w:sz w:val="20"/>
          <w:szCs w:val="20"/>
        </w:rPr>
        <w:t>physicochemically</w:t>
      </w:r>
      <w:proofErr w:type="spellEnd"/>
      <w:r w:rsidRPr="00E64A8F">
        <w:rPr>
          <w:rFonts w:eastAsia="Times New Roman"/>
          <w:sz w:val="20"/>
          <w:szCs w:val="20"/>
        </w:rPr>
        <w:t xml:space="preserve"> acceptable but </w:t>
      </w:r>
      <w:proofErr w:type="spellStart"/>
      <w:r w:rsidRPr="00E64A8F">
        <w:rPr>
          <w:rFonts w:eastAsia="Times New Roman"/>
          <w:sz w:val="20"/>
          <w:szCs w:val="20"/>
        </w:rPr>
        <w:t>bacteriologically</w:t>
      </w:r>
      <w:proofErr w:type="spellEnd"/>
      <w:r w:rsidRPr="00E64A8F">
        <w:rPr>
          <w:rFonts w:eastAsia="Times New Roman"/>
          <w:sz w:val="20"/>
          <w:szCs w:val="20"/>
        </w:rPr>
        <w:t xml:space="preserve"> </w:t>
      </w:r>
      <w:r w:rsidRPr="00E64A8F">
        <w:rPr>
          <w:rFonts w:eastAsia="Times New Roman"/>
          <w:sz w:val="20"/>
          <w:szCs w:val="20"/>
        </w:rPr>
        <w:lastRenderedPageBreak/>
        <w:t xml:space="preserve">unsafe for use as raw water for drinking, animal herding, recreational activities and the irrigation of food crops to be consumed raw. There is need to control the </w:t>
      </w:r>
      <w:proofErr w:type="spellStart"/>
      <w:r w:rsidRPr="00E64A8F">
        <w:rPr>
          <w:rFonts w:eastAsia="Times New Roman"/>
          <w:sz w:val="20"/>
          <w:szCs w:val="20"/>
        </w:rPr>
        <w:t>faecal</w:t>
      </w:r>
      <w:proofErr w:type="spellEnd"/>
      <w:r w:rsidRPr="00E64A8F">
        <w:rPr>
          <w:rFonts w:eastAsia="Times New Roman"/>
          <w:sz w:val="20"/>
          <w:szCs w:val="20"/>
        </w:rPr>
        <w:t xml:space="preserve"> bacteria, the indicator for the </w:t>
      </w:r>
      <w:proofErr w:type="spellStart"/>
      <w:r w:rsidRPr="00E64A8F">
        <w:rPr>
          <w:rFonts w:eastAsia="Times New Roman"/>
          <w:sz w:val="20"/>
          <w:szCs w:val="20"/>
        </w:rPr>
        <w:t>faecal</w:t>
      </w:r>
      <w:proofErr w:type="spellEnd"/>
      <w:r w:rsidRPr="00E64A8F">
        <w:rPr>
          <w:rFonts w:eastAsia="Times New Roman"/>
          <w:sz w:val="20"/>
          <w:szCs w:val="20"/>
        </w:rPr>
        <w:t xml:space="preserve"> pollution of the water bodies. Improvement in water quality and availability will aid hygienic practices and interrupt the transmission of enteric pathogens through contaminated water in the study area. Public health education aimed at improving personal, household and community hygiene is imperative.</w:t>
      </w:r>
    </w:p>
    <w:p w:rsidR="00E52EA0" w:rsidRPr="00E64A8F" w:rsidRDefault="00E52EA0" w:rsidP="0080756D">
      <w:pPr>
        <w:suppressAutoHyphens w:val="0"/>
        <w:snapToGrid w:val="0"/>
        <w:ind w:firstLine="425"/>
        <w:jc w:val="both"/>
        <w:rPr>
          <w:sz w:val="20"/>
          <w:szCs w:val="20"/>
        </w:rPr>
      </w:pPr>
    </w:p>
    <w:p w:rsidR="00471E57" w:rsidRPr="00E64A8F" w:rsidRDefault="00C44596" w:rsidP="0080756D">
      <w:pPr>
        <w:suppressAutoHyphens w:val="0"/>
        <w:snapToGrid w:val="0"/>
        <w:jc w:val="both"/>
        <w:rPr>
          <w:b/>
          <w:sz w:val="20"/>
          <w:szCs w:val="20"/>
        </w:rPr>
      </w:pPr>
      <w:r w:rsidRPr="00E64A8F">
        <w:rPr>
          <w:b/>
          <w:sz w:val="20"/>
          <w:szCs w:val="20"/>
        </w:rPr>
        <w:t>Acknowledgements:</w:t>
      </w:r>
    </w:p>
    <w:p w:rsidR="00471E57" w:rsidRPr="00E64A8F" w:rsidRDefault="007F763B" w:rsidP="0080756D">
      <w:pPr>
        <w:suppressAutoHyphens w:val="0"/>
        <w:snapToGrid w:val="0"/>
        <w:ind w:firstLine="425"/>
        <w:jc w:val="both"/>
        <w:rPr>
          <w:sz w:val="20"/>
          <w:szCs w:val="20"/>
        </w:rPr>
      </w:pPr>
      <w:r w:rsidRPr="00E64A8F">
        <w:rPr>
          <w:sz w:val="20"/>
          <w:szCs w:val="20"/>
        </w:rPr>
        <w:t xml:space="preserve">Authors are grateful to the Department of </w:t>
      </w:r>
      <w:r w:rsidR="00111695" w:rsidRPr="00E64A8F">
        <w:rPr>
          <w:sz w:val="20"/>
          <w:szCs w:val="20"/>
        </w:rPr>
        <w:t>Microbi</w:t>
      </w:r>
      <w:r w:rsidRPr="00E64A8F">
        <w:rPr>
          <w:sz w:val="20"/>
          <w:szCs w:val="20"/>
        </w:rPr>
        <w:t xml:space="preserve">ology, </w:t>
      </w:r>
      <w:r w:rsidR="00111695" w:rsidRPr="00E64A8F">
        <w:rPr>
          <w:sz w:val="20"/>
          <w:szCs w:val="20"/>
        </w:rPr>
        <w:t xml:space="preserve">University of </w:t>
      </w:r>
      <w:proofErr w:type="spellStart"/>
      <w:r w:rsidR="00111695" w:rsidRPr="00E64A8F">
        <w:rPr>
          <w:sz w:val="20"/>
          <w:szCs w:val="20"/>
        </w:rPr>
        <w:t>Jos</w:t>
      </w:r>
      <w:proofErr w:type="spellEnd"/>
      <w:r w:rsidR="00111695" w:rsidRPr="00E64A8F">
        <w:rPr>
          <w:sz w:val="20"/>
          <w:szCs w:val="20"/>
        </w:rPr>
        <w:t xml:space="preserve"> </w:t>
      </w:r>
      <w:r w:rsidRPr="00E64A8F">
        <w:rPr>
          <w:sz w:val="20"/>
          <w:szCs w:val="20"/>
        </w:rPr>
        <w:t xml:space="preserve">for </w:t>
      </w:r>
      <w:r w:rsidR="007A0D02" w:rsidRPr="00E64A8F">
        <w:rPr>
          <w:sz w:val="20"/>
          <w:szCs w:val="20"/>
        </w:rPr>
        <w:t>provision of bench space</w:t>
      </w:r>
      <w:r w:rsidRPr="00E64A8F">
        <w:rPr>
          <w:sz w:val="20"/>
          <w:szCs w:val="20"/>
        </w:rPr>
        <w:t xml:space="preserve"> to carry out this work.</w:t>
      </w:r>
    </w:p>
    <w:p w:rsidR="00FB5B6A" w:rsidRPr="00E64A8F" w:rsidRDefault="00FB5B6A" w:rsidP="0080756D">
      <w:pPr>
        <w:suppressAutoHyphens w:val="0"/>
        <w:snapToGrid w:val="0"/>
        <w:ind w:firstLine="425"/>
        <w:jc w:val="both"/>
        <w:rPr>
          <w:sz w:val="20"/>
          <w:szCs w:val="20"/>
        </w:rPr>
      </w:pPr>
    </w:p>
    <w:p w:rsidR="00471E57" w:rsidRPr="00E64A8F" w:rsidRDefault="00471E57" w:rsidP="0080756D">
      <w:pPr>
        <w:suppressAutoHyphens w:val="0"/>
        <w:snapToGrid w:val="0"/>
        <w:jc w:val="both"/>
        <w:rPr>
          <w:b/>
          <w:sz w:val="20"/>
          <w:szCs w:val="20"/>
        </w:rPr>
      </w:pPr>
      <w:r w:rsidRPr="00E64A8F">
        <w:rPr>
          <w:b/>
          <w:sz w:val="20"/>
          <w:szCs w:val="20"/>
        </w:rPr>
        <w:t>Corresponding Author:</w:t>
      </w:r>
    </w:p>
    <w:p w:rsidR="0049143E" w:rsidRPr="00E64A8F" w:rsidRDefault="00471E57" w:rsidP="0080756D">
      <w:pPr>
        <w:suppressAutoHyphens w:val="0"/>
        <w:snapToGrid w:val="0"/>
        <w:jc w:val="both"/>
        <w:rPr>
          <w:sz w:val="20"/>
          <w:szCs w:val="20"/>
        </w:rPr>
      </w:pPr>
      <w:r w:rsidRPr="00E64A8F">
        <w:rPr>
          <w:sz w:val="20"/>
          <w:szCs w:val="20"/>
        </w:rPr>
        <w:t>D</w:t>
      </w:r>
      <w:r w:rsidR="0049143E" w:rsidRPr="00E64A8F">
        <w:rPr>
          <w:sz w:val="20"/>
          <w:szCs w:val="20"/>
        </w:rPr>
        <w:t xml:space="preserve">r. </w:t>
      </w:r>
      <w:proofErr w:type="spellStart"/>
      <w:r w:rsidR="003B0EDB" w:rsidRPr="00E64A8F">
        <w:rPr>
          <w:sz w:val="20"/>
          <w:szCs w:val="20"/>
        </w:rPr>
        <w:t>Ocheme</w:t>
      </w:r>
      <w:proofErr w:type="spellEnd"/>
      <w:r w:rsidR="003B0EDB" w:rsidRPr="00E64A8F">
        <w:rPr>
          <w:sz w:val="20"/>
          <w:szCs w:val="20"/>
        </w:rPr>
        <w:t xml:space="preserve"> Julius </w:t>
      </w:r>
      <w:proofErr w:type="spellStart"/>
      <w:r w:rsidR="003B0EDB" w:rsidRPr="00E64A8F">
        <w:rPr>
          <w:sz w:val="20"/>
          <w:szCs w:val="20"/>
        </w:rPr>
        <w:t>Okojokwu</w:t>
      </w:r>
      <w:proofErr w:type="spellEnd"/>
    </w:p>
    <w:p w:rsidR="0049143E" w:rsidRPr="00E64A8F" w:rsidRDefault="0049143E" w:rsidP="0080756D">
      <w:pPr>
        <w:suppressAutoHyphens w:val="0"/>
        <w:snapToGrid w:val="0"/>
        <w:jc w:val="both"/>
        <w:rPr>
          <w:sz w:val="20"/>
          <w:szCs w:val="20"/>
        </w:rPr>
      </w:pPr>
      <w:r w:rsidRPr="00E64A8F">
        <w:rPr>
          <w:sz w:val="20"/>
          <w:szCs w:val="20"/>
        </w:rPr>
        <w:t xml:space="preserve">Department of </w:t>
      </w:r>
      <w:r w:rsidR="003B0EDB" w:rsidRPr="00E64A8F">
        <w:rPr>
          <w:sz w:val="20"/>
          <w:szCs w:val="20"/>
        </w:rPr>
        <w:t>Microbiology</w:t>
      </w:r>
    </w:p>
    <w:p w:rsidR="003B0EDB" w:rsidRPr="00E64A8F" w:rsidRDefault="003B0EDB" w:rsidP="0080756D">
      <w:pPr>
        <w:suppressAutoHyphens w:val="0"/>
        <w:snapToGrid w:val="0"/>
        <w:jc w:val="both"/>
        <w:rPr>
          <w:sz w:val="20"/>
          <w:szCs w:val="20"/>
        </w:rPr>
      </w:pPr>
      <w:r w:rsidRPr="00E64A8F">
        <w:rPr>
          <w:sz w:val="20"/>
          <w:szCs w:val="20"/>
        </w:rPr>
        <w:t>Faculty of Natural Sciences,</w:t>
      </w:r>
    </w:p>
    <w:p w:rsidR="0049143E" w:rsidRPr="00E64A8F" w:rsidRDefault="00471E57" w:rsidP="0080756D">
      <w:pPr>
        <w:suppressAutoHyphens w:val="0"/>
        <w:snapToGrid w:val="0"/>
        <w:jc w:val="both"/>
        <w:rPr>
          <w:sz w:val="20"/>
          <w:szCs w:val="20"/>
        </w:rPr>
      </w:pPr>
      <w:r w:rsidRPr="00E64A8F">
        <w:rPr>
          <w:sz w:val="20"/>
          <w:szCs w:val="20"/>
        </w:rPr>
        <w:t xml:space="preserve">University </w:t>
      </w:r>
      <w:r w:rsidR="003B0EDB" w:rsidRPr="00E64A8F">
        <w:rPr>
          <w:sz w:val="20"/>
          <w:szCs w:val="20"/>
        </w:rPr>
        <w:t xml:space="preserve">of </w:t>
      </w:r>
      <w:proofErr w:type="spellStart"/>
      <w:r w:rsidR="003B0EDB" w:rsidRPr="00E64A8F">
        <w:rPr>
          <w:sz w:val="20"/>
          <w:szCs w:val="20"/>
        </w:rPr>
        <w:t>Jos</w:t>
      </w:r>
      <w:proofErr w:type="spellEnd"/>
      <w:r w:rsidR="003B0EDB" w:rsidRPr="00E64A8F">
        <w:rPr>
          <w:sz w:val="20"/>
          <w:szCs w:val="20"/>
        </w:rPr>
        <w:t>,</w:t>
      </w:r>
    </w:p>
    <w:p w:rsidR="0049143E" w:rsidRPr="00E64A8F" w:rsidRDefault="003B0EDB" w:rsidP="0080756D">
      <w:pPr>
        <w:suppressAutoHyphens w:val="0"/>
        <w:snapToGrid w:val="0"/>
        <w:jc w:val="both"/>
        <w:rPr>
          <w:sz w:val="20"/>
          <w:szCs w:val="20"/>
          <w:lang w:eastAsia="zh-CN"/>
        </w:rPr>
      </w:pPr>
      <w:proofErr w:type="spellStart"/>
      <w:r w:rsidRPr="00E64A8F">
        <w:rPr>
          <w:sz w:val="20"/>
          <w:szCs w:val="20"/>
        </w:rPr>
        <w:t>Jos</w:t>
      </w:r>
      <w:proofErr w:type="spellEnd"/>
      <w:r w:rsidRPr="00E64A8F">
        <w:rPr>
          <w:sz w:val="20"/>
          <w:szCs w:val="20"/>
        </w:rPr>
        <w:t>, Plateau State, 930222</w:t>
      </w:r>
      <w:r w:rsidR="00471E57" w:rsidRPr="00E64A8F">
        <w:rPr>
          <w:sz w:val="20"/>
          <w:szCs w:val="20"/>
        </w:rPr>
        <w:t xml:space="preserve">, </w:t>
      </w:r>
      <w:r w:rsidRPr="00E64A8F">
        <w:rPr>
          <w:sz w:val="20"/>
          <w:szCs w:val="20"/>
        </w:rPr>
        <w:t>Niger</w:t>
      </w:r>
      <w:r w:rsidR="00471E57" w:rsidRPr="00E64A8F">
        <w:rPr>
          <w:sz w:val="20"/>
          <w:szCs w:val="20"/>
        </w:rPr>
        <w:t>ia</w:t>
      </w:r>
    </w:p>
    <w:p w:rsidR="00997A8E" w:rsidRPr="00E64A8F" w:rsidRDefault="003B0EDB" w:rsidP="0080756D">
      <w:pPr>
        <w:suppressAutoHyphens w:val="0"/>
        <w:snapToGrid w:val="0"/>
        <w:jc w:val="both"/>
        <w:rPr>
          <w:sz w:val="20"/>
          <w:szCs w:val="20"/>
          <w:lang w:eastAsia="zh-CN"/>
        </w:rPr>
      </w:pPr>
      <w:r w:rsidRPr="00E64A8F">
        <w:rPr>
          <w:sz w:val="20"/>
          <w:szCs w:val="20"/>
          <w:lang w:eastAsia="zh-CN"/>
        </w:rPr>
        <w:t>Telephone: +234 806 587 4666</w:t>
      </w:r>
    </w:p>
    <w:p w:rsidR="00471E57" w:rsidRPr="00E64A8F" w:rsidRDefault="00471E57" w:rsidP="0080756D">
      <w:pPr>
        <w:suppressAutoHyphens w:val="0"/>
        <w:snapToGrid w:val="0"/>
        <w:jc w:val="both"/>
        <w:rPr>
          <w:sz w:val="20"/>
          <w:szCs w:val="20"/>
        </w:rPr>
      </w:pPr>
      <w:r w:rsidRPr="00E64A8F">
        <w:rPr>
          <w:sz w:val="20"/>
          <w:szCs w:val="20"/>
        </w:rPr>
        <w:t xml:space="preserve">E-mail: </w:t>
      </w:r>
      <w:hyperlink r:id="rId28" w:history="1">
        <w:r w:rsidR="00E60FB6" w:rsidRPr="00E64A8F">
          <w:rPr>
            <w:rStyle w:val="Hyperlink"/>
            <w:sz w:val="20"/>
            <w:szCs w:val="20"/>
          </w:rPr>
          <w:t>okojokwuoj@gmail.com</w:t>
        </w:r>
      </w:hyperlink>
    </w:p>
    <w:p w:rsidR="0080756D" w:rsidRPr="00E64A8F" w:rsidRDefault="0080756D" w:rsidP="0080756D">
      <w:pPr>
        <w:suppressAutoHyphens w:val="0"/>
        <w:snapToGrid w:val="0"/>
        <w:jc w:val="both"/>
        <w:rPr>
          <w:b/>
          <w:sz w:val="20"/>
          <w:szCs w:val="20"/>
          <w:lang w:eastAsia="zh-CN"/>
        </w:rPr>
      </w:pPr>
    </w:p>
    <w:p w:rsidR="00BE3CA6" w:rsidRPr="00E64A8F" w:rsidRDefault="00471E57" w:rsidP="0080756D">
      <w:pPr>
        <w:suppressAutoHyphens w:val="0"/>
        <w:snapToGrid w:val="0"/>
        <w:jc w:val="both"/>
        <w:rPr>
          <w:b/>
          <w:sz w:val="20"/>
          <w:szCs w:val="20"/>
        </w:rPr>
      </w:pPr>
      <w:r w:rsidRPr="00E64A8F">
        <w:rPr>
          <w:b/>
          <w:sz w:val="20"/>
          <w:szCs w:val="20"/>
        </w:rPr>
        <w:t>References</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Abubakar</w:t>
      </w:r>
      <w:proofErr w:type="spellEnd"/>
      <w:r w:rsidRPr="00E64A8F">
        <w:rPr>
          <w:rFonts w:ascii="Times New Roman" w:hAnsi="Times New Roman" w:cs="Times New Roman"/>
          <w:sz w:val="20"/>
          <w:szCs w:val="20"/>
        </w:rPr>
        <w:t xml:space="preserve">, A., </w:t>
      </w:r>
      <w:proofErr w:type="spellStart"/>
      <w:r w:rsidRPr="00E64A8F">
        <w:rPr>
          <w:rFonts w:ascii="Times New Roman" w:hAnsi="Times New Roman" w:cs="Times New Roman"/>
          <w:sz w:val="20"/>
          <w:szCs w:val="20"/>
        </w:rPr>
        <w:t>Babangana</w:t>
      </w:r>
      <w:proofErr w:type="spellEnd"/>
      <w:r w:rsidRPr="00E64A8F">
        <w:rPr>
          <w:rFonts w:ascii="Times New Roman" w:hAnsi="Times New Roman" w:cs="Times New Roman"/>
          <w:sz w:val="20"/>
          <w:szCs w:val="20"/>
        </w:rPr>
        <w:t xml:space="preserve">, M. and </w:t>
      </w:r>
      <w:proofErr w:type="spellStart"/>
      <w:r w:rsidRPr="00E64A8F">
        <w:rPr>
          <w:rFonts w:ascii="Times New Roman" w:hAnsi="Times New Roman" w:cs="Times New Roman"/>
          <w:sz w:val="20"/>
          <w:szCs w:val="20"/>
        </w:rPr>
        <w:t>Gashua</w:t>
      </w:r>
      <w:proofErr w:type="spellEnd"/>
      <w:r w:rsidRPr="00E64A8F">
        <w:rPr>
          <w:rFonts w:ascii="Times New Roman" w:hAnsi="Times New Roman" w:cs="Times New Roman"/>
          <w:sz w:val="20"/>
          <w:szCs w:val="20"/>
        </w:rPr>
        <w:t xml:space="preserve">, M. (2016). Assessment of water quality of some table water companies in Kano metropolis, Nigeria. </w:t>
      </w:r>
      <w:r w:rsidRPr="00E64A8F">
        <w:rPr>
          <w:rFonts w:ascii="Times New Roman" w:hAnsi="Times New Roman" w:cs="Times New Roman"/>
          <w:i/>
          <w:sz w:val="20"/>
          <w:szCs w:val="20"/>
        </w:rPr>
        <w:t>Scholars Academic Journal of Biosciences</w:t>
      </w:r>
      <w:r w:rsidRPr="00E64A8F">
        <w:rPr>
          <w:rFonts w:ascii="Times New Roman" w:hAnsi="Times New Roman" w:cs="Times New Roman"/>
          <w:sz w:val="20"/>
          <w:szCs w:val="20"/>
        </w:rPr>
        <w:t>, 4(3): 233 – 236.</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Addo</w:t>
      </w:r>
      <w:proofErr w:type="spellEnd"/>
      <w:r w:rsidRPr="00E64A8F">
        <w:rPr>
          <w:rFonts w:ascii="Times New Roman" w:hAnsi="Times New Roman" w:cs="Times New Roman"/>
          <w:sz w:val="20"/>
          <w:szCs w:val="20"/>
        </w:rPr>
        <w:t xml:space="preserve">, K.K., </w:t>
      </w:r>
      <w:proofErr w:type="spellStart"/>
      <w:r w:rsidRPr="00E64A8F">
        <w:rPr>
          <w:rFonts w:ascii="Times New Roman" w:hAnsi="Times New Roman" w:cs="Times New Roman"/>
          <w:sz w:val="20"/>
          <w:szCs w:val="20"/>
        </w:rPr>
        <w:t>Mensah</w:t>
      </w:r>
      <w:proofErr w:type="spellEnd"/>
      <w:r w:rsidRPr="00E64A8F">
        <w:rPr>
          <w:rFonts w:ascii="Times New Roman" w:hAnsi="Times New Roman" w:cs="Times New Roman"/>
          <w:sz w:val="20"/>
          <w:szCs w:val="20"/>
        </w:rPr>
        <w:t xml:space="preserve">, G.I., </w:t>
      </w:r>
      <w:proofErr w:type="spellStart"/>
      <w:r w:rsidRPr="00E64A8F">
        <w:rPr>
          <w:rFonts w:ascii="Times New Roman" w:hAnsi="Times New Roman" w:cs="Times New Roman"/>
          <w:sz w:val="20"/>
          <w:szCs w:val="20"/>
        </w:rPr>
        <w:t>Bekoe</w:t>
      </w:r>
      <w:proofErr w:type="spellEnd"/>
      <w:r w:rsidRPr="00E64A8F">
        <w:rPr>
          <w:rFonts w:ascii="Times New Roman" w:hAnsi="Times New Roman" w:cs="Times New Roman"/>
          <w:sz w:val="20"/>
          <w:szCs w:val="20"/>
        </w:rPr>
        <w:t xml:space="preserve">, M., </w:t>
      </w:r>
      <w:proofErr w:type="spellStart"/>
      <w:r w:rsidRPr="00E64A8F">
        <w:rPr>
          <w:rFonts w:ascii="Times New Roman" w:hAnsi="Times New Roman" w:cs="Times New Roman"/>
          <w:sz w:val="20"/>
          <w:szCs w:val="20"/>
        </w:rPr>
        <w:t>Bonsu</w:t>
      </w:r>
      <w:proofErr w:type="spellEnd"/>
      <w:r w:rsidRPr="00E64A8F">
        <w:rPr>
          <w:rFonts w:ascii="Times New Roman" w:hAnsi="Times New Roman" w:cs="Times New Roman"/>
          <w:sz w:val="20"/>
          <w:szCs w:val="20"/>
        </w:rPr>
        <w:t xml:space="preserve">, C. and </w:t>
      </w:r>
      <w:proofErr w:type="spellStart"/>
      <w:r w:rsidRPr="00E64A8F">
        <w:rPr>
          <w:rFonts w:ascii="Times New Roman" w:hAnsi="Times New Roman" w:cs="Times New Roman"/>
          <w:sz w:val="20"/>
          <w:szCs w:val="20"/>
        </w:rPr>
        <w:t>Akyen</w:t>
      </w:r>
      <w:proofErr w:type="spellEnd"/>
      <w:r w:rsidRPr="00E64A8F">
        <w:rPr>
          <w:rFonts w:ascii="Times New Roman" w:hAnsi="Times New Roman" w:cs="Times New Roman"/>
          <w:sz w:val="20"/>
          <w:szCs w:val="20"/>
        </w:rPr>
        <w:t xml:space="preserve">, M.L. (2009). Bacteriological quality of sachet water produced and sold in </w:t>
      </w:r>
      <w:proofErr w:type="spellStart"/>
      <w:r w:rsidRPr="00E64A8F">
        <w:rPr>
          <w:rFonts w:ascii="Times New Roman" w:hAnsi="Times New Roman" w:cs="Times New Roman"/>
          <w:sz w:val="20"/>
          <w:szCs w:val="20"/>
        </w:rPr>
        <w:t>Teshie-Nungua</w:t>
      </w:r>
      <w:proofErr w:type="spellEnd"/>
      <w:r w:rsidRPr="00E64A8F">
        <w:rPr>
          <w:rFonts w:ascii="Times New Roman" w:hAnsi="Times New Roman" w:cs="Times New Roman"/>
          <w:sz w:val="20"/>
          <w:szCs w:val="20"/>
        </w:rPr>
        <w:t xml:space="preserve">, </w:t>
      </w:r>
      <w:proofErr w:type="spellStart"/>
      <w:r w:rsidRPr="00E64A8F">
        <w:rPr>
          <w:rFonts w:ascii="Times New Roman" w:hAnsi="Times New Roman" w:cs="Times New Roman"/>
          <w:sz w:val="20"/>
          <w:szCs w:val="20"/>
        </w:rPr>
        <w:t>Surburbs</w:t>
      </w:r>
      <w:proofErr w:type="spellEnd"/>
      <w:r w:rsidRPr="00E64A8F">
        <w:rPr>
          <w:rFonts w:ascii="Times New Roman" w:hAnsi="Times New Roman" w:cs="Times New Roman"/>
          <w:sz w:val="20"/>
          <w:szCs w:val="20"/>
        </w:rPr>
        <w:t xml:space="preserve"> of Accra, Ghana. </w:t>
      </w:r>
      <w:r w:rsidRPr="00E64A8F">
        <w:rPr>
          <w:rFonts w:ascii="Times New Roman" w:hAnsi="Times New Roman" w:cs="Times New Roman"/>
          <w:i/>
          <w:sz w:val="20"/>
          <w:szCs w:val="20"/>
        </w:rPr>
        <w:t>African Journal of Food, Agriculture and Nutritional Development</w:t>
      </w:r>
      <w:r w:rsidRPr="00E64A8F">
        <w:rPr>
          <w:rFonts w:ascii="Times New Roman" w:hAnsi="Times New Roman" w:cs="Times New Roman"/>
          <w:sz w:val="20"/>
          <w:szCs w:val="20"/>
        </w:rPr>
        <w:t>, 9(4):1019-1030.</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eastAsia="Times New Roman" w:hAnsi="Times New Roman" w:cs="Times New Roman"/>
          <w:sz w:val="20"/>
          <w:szCs w:val="20"/>
        </w:rPr>
        <w:t>Adekunle</w:t>
      </w:r>
      <w:proofErr w:type="spellEnd"/>
      <w:r w:rsidRPr="00E64A8F">
        <w:rPr>
          <w:rFonts w:ascii="Times New Roman" w:eastAsia="Times New Roman" w:hAnsi="Times New Roman" w:cs="Times New Roman"/>
          <w:sz w:val="20"/>
          <w:szCs w:val="20"/>
        </w:rPr>
        <w:t xml:space="preserve">, L.V., M.K.C. Sridhar, A.A. </w:t>
      </w:r>
      <w:proofErr w:type="spellStart"/>
      <w:r w:rsidRPr="00E64A8F">
        <w:rPr>
          <w:rFonts w:ascii="Times New Roman" w:eastAsia="Times New Roman" w:hAnsi="Times New Roman" w:cs="Times New Roman"/>
          <w:sz w:val="20"/>
          <w:szCs w:val="20"/>
        </w:rPr>
        <w:t>Ajayi</w:t>
      </w:r>
      <w:proofErr w:type="spellEnd"/>
      <w:r w:rsidRPr="00E64A8F">
        <w:rPr>
          <w:rFonts w:ascii="Times New Roman" w:eastAsia="Times New Roman" w:hAnsi="Times New Roman" w:cs="Times New Roman"/>
          <w:sz w:val="20"/>
          <w:szCs w:val="20"/>
        </w:rPr>
        <w:t xml:space="preserve">, P.A. </w:t>
      </w:r>
      <w:proofErr w:type="spellStart"/>
      <w:r w:rsidRPr="00E64A8F">
        <w:rPr>
          <w:rFonts w:ascii="Times New Roman" w:eastAsia="Times New Roman" w:hAnsi="Times New Roman" w:cs="Times New Roman"/>
          <w:sz w:val="20"/>
          <w:szCs w:val="20"/>
        </w:rPr>
        <w:t>Oluwade</w:t>
      </w:r>
      <w:proofErr w:type="spellEnd"/>
      <w:r w:rsidRPr="00E64A8F">
        <w:rPr>
          <w:rFonts w:ascii="Times New Roman" w:eastAsia="Times New Roman" w:hAnsi="Times New Roman" w:cs="Times New Roman"/>
          <w:sz w:val="20"/>
          <w:szCs w:val="20"/>
        </w:rPr>
        <w:t xml:space="preserve"> and J.F. </w:t>
      </w:r>
      <w:proofErr w:type="spellStart"/>
      <w:r w:rsidRPr="00E64A8F">
        <w:rPr>
          <w:rFonts w:ascii="Times New Roman" w:eastAsia="Times New Roman" w:hAnsi="Times New Roman" w:cs="Times New Roman"/>
          <w:sz w:val="20"/>
          <w:szCs w:val="20"/>
        </w:rPr>
        <w:t>Olawuyi</w:t>
      </w:r>
      <w:proofErr w:type="spellEnd"/>
      <w:r w:rsidRPr="00E64A8F">
        <w:rPr>
          <w:rFonts w:ascii="Times New Roman" w:eastAsia="Times New Roman" w:hAnsi="Times New Roman" w:cs="Times New Roman"/>
          <w:sz w:val="20"/>
          <w:szCs w:val="20"/>
        </w:rPr>
        <w:t xml:space="preserve">, 2004. An assessment of the health and social economic implications of sachet water in Ibadan, Nigeria: A public health challenge. </w:t>
      </w:r>
      <w:r w:rsidRPr="00E64A8F">
        <w:rPr>
          <w:rFonts w:ascii="Times New Roman" w:eastAsia="Times New Roman" w:hAnsi="Times New Roman" w:cs="Times New Roman"/>
          <w:i/>
          <w:sz w:val="20"/>
          <w:szCs w:val="20"/>
        </w:rPr>
        <w:t xml:space="preserve">Afr. J. </w:t>
      </w:r>
      <w:proofErr w:type="spellStart"/>
      <w:r w:rsidRPr="00E64A8F">
        <w:rPr>
          <w:rFonts w:ascii="Times New Roman" w:eastAsia="Times New Roman" w:hAnsi="Times New Roman" w:cs="Times New Roman"/>
          <w:i/>
          <w:sz w:val="20"/>
          <w:szCs w:val="20"/>
        </w:rPr>
        <w:t>Biochem</w:t>
      </w:r>
      <w:proofErr w:type="spellEnd"/>
      <w:r w:rsidRPr="00E64A8F">
        <w:rPr>
          <w:rFonts w:ascii="Times New Roman" w:eastAsia="Times New Roman" w:hAnsi="Times New Roman" w:cs="Times New Roman"/>
          <w:i/>
          <w:sz w:val="20"/>
          <w:szCs w:val="20"/>
        </w:rPr>
        <w:t>. Res.</w:t>
      </w:r>
      <w:r w:rsidRPr="00E64A8F">
        <w:rPr>
          <w:rFonts w:ascii="Times New Roman" w:eastAsia="Times New Roman" w:hAnsi="Times New Roman" w:cs="Times New Roman"/>
          <w:sz w:val="20"/>
          <w:szCs w:val="20"/>
        </w:rPr>
        <w:t>, 7: 5-8.</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Adenkunle</w:t>
      </w:r>
      <w:proofErr w:type="spellEnd"/>
      <w:r w:rsidRPr="00E64A8F">
        <w:rPr>
          <w:rFonts w:ascii="Times New Roman" w:hAnsi="Times New Roman" w:cs="Times New Roman"/>
          <w:sz w:val="20"/>
          <w:szCs w:val="20"/>
        </w:rPr>
        <w:t xml:space="preserve">, L.V., Sridhar, M.K.C., </w:t>
      </w:r>
      <w:proofErr w:type="spellStart"/>
      <w:r w:rsidRPr="00E64A8F">
        <w:rPr>
          <w:rFonts w:ascii="Times New Roman" w:hAnsi="Times New Roman" w:cs="Times New Roman"/>
          <w:sz w:val="20"/>
          <w:szCs w:val="20"/>
        </w:rPr>
        <w:t>Ajayi</w:t>
      </w:r>
      <w:proofErr w:type="spellEnd"/>
      <w:r w:rsidRPr="00E64A8F">
        <w:rPr>
          <w:rFonts w:ascii="Times New Roman" w:hAnsi="Times New Roman" w:cs="Times New Roman"/>
          <w:sz w:val="20"/>
          <w:szCs w:val="20"/>
        </w:rPr>
        <w:t xml:space="preserve">, A.A., </w:t>
      </w:r>
      <w:proofErr w:type="spellStart"/>
      <w:r w:rsidRPr="00E64A8F">
        <w:rPr>
          <w:rFonts w:ascii="Times New Roman" w:hAnsi="Times New Roman" w:cs="Times New Roman"/>
          <w:sz w:val="20"/>
          <w:szCs w:val="20"/>
        </w:rPr>
        <w:t>Oluwade</w:t>
      </w:r>
      <w:proofErr w:type="spellEnd"/>
      <w:r w:rsidRPr="00E64A8F">
        <w:rPr>
          <w:rFonts w:ascii="Times New Roman" w:hAnsi="Times New Roman" w:cs="Times New Roman"/>
          <w:sz w:val="20"/>
          <w:szCs w:val="20"/>
        </w:rPr>
        <w:t xml:space="preserve">, P.A. and </w:t>
      </w:r>
      <w:proofErr w:type="spellStart"/>
      <w:r w:rsidRPr="00E64A8F">
        <w:rPr>
          <w:rFonts w:ascii="Times New Roman" w:hAnsi="Times New Roman" w:cs="Times New Roman"/>
          <w:sz w:val="20"/>
          <w:szCs w:val="20"/>
        </w:rPr>
        <w:t>Olawuyi</w:t>
      </w:r>
      <w:proofErr w:type="spellEnd"/>
      <w:r w:rsidRPr="00E64A8F">
        <w:rPr>
          <w:rFonts w:ascii="Times New Roman" w:hAnsi="Times New Roman" w:cs="Times New Roman"/>
          <w:sz w:val="20"/>
          <w:szCs w:val="20"/>
        </w:rPr>
        <w:t xml:space="preserve">, J.F. (2004). Assessment of the health and socio-economic implication of sachet water in Ibadan, Nigeria. </w:t>
      </w:r>
      <w:r w:rsidRPr="00E64A8F">
        <w:rPr>
          <w:rFonts w:ascii="Times New Roman" w:hAnsi="Times New Roman" w:cs="Times New Roman"/>
          <w:i/>
          <w:sz w:val="20"/>
          <w:szCs w:val="20"/>
        </w:rPr>
        <w:t>African Journal of Biomedical Research</w:t>
      </w:r>
      <w:r w:rsidRPr="00E64A8F">
        <w:rPr>
          <w:rFonts w:ascii="Times New Roman" w:hAnsi="Times New Roman" w:cs="Times New Roman"/>
          <w:sz w:val="20"/>
          <w:szCs w:val="20"/>
        </w:rPr>
        <w:t>, 7(1):5-8.</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eastAsia="Times New Roman" w:hAnsi="Times New Roman" w:cs="Times New Roman"/>
          <w:sz w:val="20"/>
          <w:szCs w:val="20"/>
        </w:rPr>
        <w:t xml:space="preserve">Ahmad R (2005). Studies on the chemistry control of some selected drinking and industrial waters. </w:t>
      </w:r>
      <w:r w:rsidRPr="00E64A8F">
        <w:rPr>
          <w:rFonts w:ascii="Times New Roman" w:eastAsia="Times New Roman" w:hAnsi="Times New Roman" w:cs="Times New Roman"/>
          <w:i/>
          <w:sz w:val="20"/>
          <w:szCs w:val="20"/>
        </w:rPr>
        <w:t xml:space="preserve">Pakistan J. Sci. Ind. Res., </w:t>
      </w:r>
      <w:r w:rsidRPr="00E64A8F">
        <w:rPr>
          <w:rFonts w:ascii="Times New Roman" w:eastAsia="Times New Roman" w:hAnsi="Times New Roman" w:cs="Times New Roman"/>
          <w:sz w:val="20"/>
          <w:szCs w:val="20"/>
        </w:rPr>
        <w:t>48(3): 174-179.</w:t>
      </w:r>
    </w:p>
    <w:p w:rsidR="00DB3049"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lang w:eastAsia="zh-CN"/>
        </w:rPr>
      </w:pPr>
      <w:proofErr w:type="spellStart"/>
      <w:r w:rsidRPr="00E64A8F">
        <w:rPr>
          <w:rFonts w:ascii="Times New Roman" w:hAnsi="Times New Roman" w:cs="Times New Roman"/>
          <w:sz w:val="20"/>
          <w:szCs w:val="20"/>
        </w:rPr>
        <w:t>Attahiru</w:t>
      </w:r>
      <w:proofErr w:type="spellEnd"/>
      <w:r w:rsidRPr="00E64A8F">
        <w:rPr>
          <w:rFonts w:ascii="Times New Roman" w:hAnsi="Times New Roman" w:cs="Times New Roman"/>
          <w:sz w:val="20"/>
          <w:szCs w:val="20"/>
        </w:rPr>
        <w:t xml:space="preserve">, M., </w:t>
      </w:r>
      <w:proofErr w:type="spellStart"/>
      <w:r w:rsidRPr="00E64A8F">
        <w:rPr>
          <w:rFonts w:ascii="Times New Roman" w:hAnsi="Times New Roman" w:cs="Times New Roman"/>
          <w:sz w:val="20"/>
          <w:szCs w:val="20"/>
        </w:rPr>
        <w:t>Yakubu</w:t>
      </w:r>
      <w:proofErr w:type="spellEnd"/>
      <w:r w:rsidRPr="00E64A8F">
        <w:rPr>
          <w:rFonts w:ascii="Times New Roman" w:hAnsi="Times New Roman" w:cs="Times New Roman"/>
          <w:sz w:val="20"/>
          <w:szCs w:val="20"/>
        </w:rPr>
        <w:t xml:space="preserve">, S.E. and </w:t>
      </w:r>
      <w:proofErr w:type="spellStart"/>
      <w:r w:rsidRPr="00E64A8F">
        <w:rPr>
          <w:rFonts w:ascii="Times New Roman" w:hAnsi="Times New Roman" w:cs="Times New Roman"/>
          <w:sz w:val="20"/>
          <w:szCs w:val="20"/>
        </w:rPr>
        <w:t>Abubakar</w:t>
      </w:r>
      <w:proofErr w:type="spellEnd"/>
      <w:r w:rsidRPr="00E64A8F">
        <w:rPr>
          <w:rFonts w:ascii="Times New Roman" w:hAnsi="Times New Roman" w:cs="Times New Roman"/>
          <w:sz w:val="20"/>
          <w:szCs w:val="20"/>
        </w:rPr>
        <w:t xml:space="preserve">, K. (2016). An assessment of the bacteriological quality of the drinking water sources and its </w:t>
      </w:r>
      <w:r w:rsidRPr="00E64A8F">
        <w:rPr>
          <w:rFonts w:ascii="Times New Roman" w:hAnsi="Times New Roman" w:cs="Times New Roman"/>
          <w:sz w:val="20"/>
          <w:szCs w:val="20"/>
        </w:rPr>
        <w:lastRenderedPageBreak/>
        <w:t xml:space="preserve">health implications on residence of </w:t>
      </w:r>
      <w:proofErr w:type="spellStart"/>
      <w:r w:rsidRPr="00E64A8F">
        <w:rPr>
          <w:rFonts w:ascii="Times New Roman" w:hAnsi="Times New Roman" w:cs="Times New Roman"/>
          <w:sz w:val="20"/>
          <w:szCs w:val="20"/>
        </w:rPr>
        <w:t>Sokoto</w:t>
      </w:r>
      <w:proofErr w:type="spellEnd"/>
      <w:r w:rsidRPr="00E64A8F">
        <w:rPr>
          <w:rFonts w:ascii="Times New Roman" w:hAnsi="Times New Roman" w:cs="Times New Roman"/>
          <w:sz w:val="20"/>
          <w:szCs w:val="20"/>
        </w:rPr>
        <w:t xml:space="preserve"> metropolis, </w:t>
      </w:r>
      <w:proofErr w:type="spellStart"/>
      <w:r w:rsidRPr="00E64A8F">
        <w:rPr>
          <w:rFonts w:ascii="Times New Roman" w:hAnsi="Times New Roman" w:cs="Times New Roman"/>
          <w:sz w:val="20"/>
          <w:szCs w:val="20"/>
        </w:rPr>
        <w:t>Sokoto</w:t>
      </w:r>
      <w:proofErr w:type="spellEnd"/>
      <w:r w:rsidRPr="00E64A8F">
        <w:rPr>
          <w:rFonts w:ascii="Times New Roman" w:hAnsi="Times New Roman" w:cs="Times New Roman"/>
          <w:sz w:val="20"/>
          <w:szCs w:val="20"/>
        </w:rPr>
        <w:t xml:space="preserve"> State, Nigeria. </w:t>
      </w:r>
      <w:r w:rsidRPr="00E64A8F">
        <w:rPr>
          <w:rFonts w:ascii="Times New Roman" w:hAnsi="Times New Roman" w:cs="Times New Roman"/>
          <w:i/>
          <w:sz w:val="20"/>
          <w:szCs w:val="20"/>
        </w:rPr>
        <w:t>Scholars Academic Journal of Biosciences,</w:t>
      </w:r>
      <w:r w:rsidRPr="00E64A8F">
        <w:rPr>
          <w:rFonts w:ascii="Times New Roman" w:hAnsi="Times New Roman" w:cs="Times New Roman"/>
          <w:sz w:val="20"/>
          <w:szCs w:val="20"/>
        </w:rPr>
        <w:t xml:space="preserve"> 4(2): 144 – 148.</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Bilton</w:t>
      </w:r>
      <w:proofErr w:type="spellEnd"/>
      <w:r w:rsidRPr="00E64A8F">
        <w:rPr>
          <w:rFonts w:ascii="Times New Roman" w:hAnsi="Times New Roman" w:cs="Times New Roman"/>
          <w:sz w:val="20"/>
          <w:szCs w:val="20"/>
        </w:rPr>
        <w:t xml:space="preserve">, G. (1994). </w:t>
      </w:r>
      <w:r w:rsidRPr="00E64A8F">
        <w:rPr>
          <w:rFonts w:ascii="Times New Roman" w:hAnsi="Times New Roman" w:cs="Times New Roman"/>
          <w:i/>
          <w:sz w:val="20"/>
          <w:szCs w:val="20"/>
        </w:rPr>
        <w:t>Waste Water Microbiology</w:t>
      </w:r>
      <w:r w:rsidRPr="00E64A8F">
        <w:rPr>
          <w:rFonts w:ascii="Times New Roman" w:hAnsi="Times New Roman" w:cs="Times New Roman"/>
          <w:sz w:val="20"/>
          <w:szCs w:val="20"/>
        </w:rPr>
        <w:t>. Gainesville, New-York. Wiley IBS. pp. 118.</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Cheesebrough</w:t>
      </w:r>
      <w:proofErr w:type="spellEnd"/>
      <w:r w:rsidRPr="00E64A8F">
        <w:rPr>
          <w:rFonts w:ascii="Times New Roman" w:hAnsi="Times New Roman" w:cs="Times New Roman"/>
          <w:sz w:val="20"/>
          <w:szCs w:val="20"/>
        </w:rPr>
        <w:t xml:space="preserve">, M. (2006): </w:t>
      </w:r>
      <w:r w:rsidRPr="00E64A8F">
        <w:rPr>
          <w:rFonts w:ascii="Times New Roman" w:hAnsi="Times New Roman" w:cs="Times New Roman"/>
          <w:i/>
          <w:sz w:val="20"/>
          <w:szCs w:val="20"/>
        </w:rPr>
        <w:t>District Laboratory Practice in Tropical Countries</w:t>
      </w:r>
      <w:r w:rsidRPr="00E64A8F">
        <w:rPr>
          <w:rFonts w:ascii="Times New Roman" w:hAnsi="Times New Roman" w:cs="Times New Roman"/>
          <w:sz w:val="20"/>
          <w:szCs w:val="20"/>
        </w:rPr>
        <w:t>. Part 1 and 2. Cambridge University Press, Unite Kingdom, 40, West, 20</w:t>
      </w:r>
      <w:r w:rsidRPr="00E64A8F">
        <w:rPr>
          <w:rFonts w:ascii="Times New Roman" w:hAnsi="Times New Roman" w:cs="Times New Roman"/>
          <w:sz w:val="20"/>
          <w:szCs w:val="20"/>
          <w:vertAlign w:val="superscript"/>
        </w:rPr>
        <w:t>th</w:t>
      </w:r>
      <w:r w:rsidRPr="00E64A8F">
        <w:rPr>
          <w:rFonts w:ascii="Times New Roman" w:hAnsi="Times New Roman" w:cs="Times New Roman"/>
          <w:sz w:val="20"/>
          <w:szCs w:val="20"/>
        </w:rPr>
        <w:t xml:space="preserve"> street, New York. pp 97-115.</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hAnsi="Times New Roman" w:cs="Times New Roman"/>
          <w:sz w:val="20"/>
          <w:szCs w:val="20"/>
        </w:rPr>
        <w:t xml:space="preserve">EPA (2003). </w:t>
      </w:r>
      <w:r w:rsidRPr="00E64A8F">
        <w:rPr>
          <w:rFonts w:ascii="Times New Roman" w:hAnsi="Times New Roman" w:cs="Times New Roman"/>
          <w:i/>
          <w:sz w:val="20"/>
          <w:szCs w:val="20"/>
        </w:rPr>
        <w:t>Environmental Protection Agency, Safe Drinking Water Act</w:t>
      </w:r>
      <w:r w:rsidRPr="00E64A8F">
        <w:rPr>
          <w:rFonts w:ascii="Times New Roman" w:hAnsi="Times New Roman" w:cs="Times New Roman"/>
          <w:sz w:val="20"/>
          <w:szCs w:val="20"/>
        </w:rPr>
        <w:t>. EPA 816-F-03 016. http://</w:t>
      </w:r>
      <w:hyperlink r:id="rId29" w:history="1">
        <w:r w:rsidRPr="00E64A8F">
          <w:rPr>
            <w:rStyle w:val="Hyperlink"/>
            <w:rFonts w:ascii="Times New Roman" w:hAnsi="Times New Roman" w:cs="Times New Roman"/>
            <w:sz w:val="20"/>
            <w:szCs w:val="20"/>
          </w:rPr>
          <w:t>www.epa.gov/safe</w:t>
        </w:r>
      </w:hyperlink>
      <w:r w:rsidRPr="00E64A8F">
        <w:rPr>
          <w:rFonts w:ascii="Times New Roman" w:hAnsi="Times New Roman" w:cs="Times New Roman"/>
          <w:sz w:val="20"/>
          <w:szCs w:val="20"/>
        </w:rPr>
        <w:t>water/mcl.htm</w:t>
      </w:r>
      <w:r w:rsidR="00151D07" w:rsidRPr="00E64A8F">
        <w:rPr>
          <w:rFonts w:ascii="Times New Roman" w:hAnsi="Times New Roman" w:cs="Times New Roman"/>
          <w:sz w:val="20"/>
          <w:szCs w:val="20"/>
        </w:rPr>
        <w:t xml:space="preserve"> </w:t>
      </w:r>
      <w:r w:rsidRPr="00E64A8F">
        <w:rPr>
          <w:rFonts w:ascii="Times New Roman" w:hAnsi="Times New Roman" w:cs="Times New Roman"/>
          <w:sz w:val="20"/>
          <w:szCs w:val="20"/>
        </w:rPr>
        <w:t>l. Accessed 13</w:t>
      </w:r>
      <w:r w:rsidRPr="00E64A8F">
        <w:rPr>
          <w:rFonts w:ascii="Times New Roman" w:hAnsi="Times New Roman" w:cs="Times New Roman"/>
          <w:sz w:val="20"/>
          <w:szCs w:val="20"/>
          <w:vertAlign w:val="superscript"/>
        </w:rPr>
        <w:t>th</w:t>
      </w:r>
      <w:r w:rsidRPr="00E64A8F">
        <w:rPr>
          <w:rFonts w:ascii="Times New Roman" w:hAnsi="Times New Roman" w:cs="Times New Roman"/>
          <w:sz w:val="20"/>
          <w:szCs w:val="20"/>
        </w:rPr>
        <w:t xml:space="preserve"> May, 2017.</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hAnsi="Times New Roman" w:cs="Times New Roman"/>
          <w:sz w:val="20"/>
          <w:szCs w:val="20"/>
        </w:rPr>
        <w:t>EPA (2003). US Environmental protection agency, safe drinking water Act. EPA 816 –F- 03 – 016.</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eastAsia="Times New Roman" w:hAnsi="Times New Roman" w:cs="Times New Roman"/>
          <w:sz w:val="20"/>
          <w:szCs w:val="20"/>
        </w:rPr>
        <w:t>Erah</w:t>
      </w:r>
      <w:proofErr w:type="spellEnd"/>
      <w:r w:rsidRPr="00E64A8F">
        <w:rPr>
          <w:rFonts w:ascii="Times New Roman" w:eastAsia="Times New Roman" w:hAnsi="Times New Roman" w:cs="Times New Roman"/>
          <w:sz w:val="20"/>
          <w:szCs w:val="20"/>
        </w:rPr>
        <w:t xml:space="preserve"> PO, </w:t>
      </w:r>
      <w:proofErr w:type="spellStart"/>
      <w:r w:rsidRPr="00E64A8F">
        <w:rPr>
          <w:rFonts w:ascii="Times New Roman" w:eastAsia="Times New Roman" w:hAnsi="Times New Roman" w:cs="Times New Roman"/>
          <w:sz w:val="20"/>
          <w:szCs w:val="20"/>
        </w:rPr>
        <w:t>Akujieze</w:t>
      </w:r>
      <w:proofErr w:type="spellEnd"/>
      <w:r w:rsidRPr="00E64A8F">
        <w:rPr>
          <w:rFonts w:ascii="Times New Roman" w:eastAsia="Times New Roman" w:hAnsi="Times New Roman" w:cs="Times New Roman"/>
          <w:sz w:val="20"/>
          <w:szCs w:val="20"/>
        </w:rPr>
        <w:t xml:space="preserve"> CN, </w:t>
      </w:r>
      <w:proofErr w:type="spellStart"/>
      <w:r w:rsidRPr="00E64A8F">
        <w:rPr>
          <w:rFonts w:ascii="Times New Roman" w:eastAsia="Times New Roman" w:hAnsi="Times New Roman" w:cs="Times New Roman"/>
          <w:sz w:val="20"/>
          <w:szCs w:val="20"/>
        </w:rPr>
        <w:t>Oteze</w:t>
      </w:r>
      <w:proofErr w:type="spellEnd"/>
      <w:r w:rsidRPr="00E64A8F">
        <w:rPr>
          <w:rFonts w:ascii="Times New Roman" w:eastAsia="Times New Roman" w:hAnsi="Times New Roman" w:cs="Times New Roman"/>
          <w:sz w:val="20"/>
          <w:szCs w:val="20"/>
        </w:rPr>
        <w:t xml:space="preserve"> GE (2002). A quality of ground water in Benin City: A baseline study on inorganic chemicals and microbial contaminants of health importance in boreholes and open wells. </w:t>
      </w:r>
      <w:proofErr w:type="spellStart"/>
      <w:r w:rsidRPr="00E64A8F">
        <w:rPr>
          <w:rFonts w:ascii="Times New Roman" w:eastAsia="Times New Roman" w:hAnsi="Times New Roman" w:cs="Times New Roman"/>
          <w:i/>
          <w:sz w:val="20"/>
          <w:szCs w:val="20"/>
        </w:rPr>
        <w:t>Trop</w:t>
      </w:r>
      <w:proofErr w:type="spellEnd"/>
      <w:r w:rsidRPr="00E64A8F">
        <w:rPr>
          <w:rFonts w:ascii="Times New Roman" w:eastAsia="Times New Roman" w:hAnsi="Times New Roman" w:cs="Times New Roman"/>
          <w:i/>
          <w:sz w:val="20"/>
          <w:szCs w:val="20"/>
        </w:rPr>
        <w:t xml:space="preserve"> J </w:t>
      </w:r>
      <w:proofErr w:type="spellStart"/>
      <w:r w:rsidRPr="00E64A8F">
        <w:rPr>
          <w:rFonts w:ascii="Times New Roman" w:eastAsia="Times New Roman" w:hAnsi="Times New Roman" w:cs="Times New Roman"/>
          <w:i/>
          <w:sz w:val="20"/>
          <w:szCs w:val="20"/>
        </w:rPr>
        <w:t>Pharm</w:t>
      </w:r>
      <w:proofErr w:type="spellEnd"/>
      <w:r w:rsidRPr="00E64A8F">
        <w:rPr>
          <w:rFonts w:ascii="Times New Roman" w:eastAsia="Times New Roman" w:hAnsi="Times New Roman" w:cs="Times New Roman"/>
          <w:i/>
          <w:sz w:val="20"/>
          <w:szCs w:val="20"/>
        </w:rPr>
        <w:t xml:space="preserve"> Res.</w:t>
      </w:r>
      <w:r w:rsidRPr="00E64A8F">
        <w:rPr>
          <w:rFonts w:ascii="Times New Roman" w:eastAsia="Times New Roman" w:hAnsi="Times New Roman" w:cs="Times New Roman"/>
          <w:sz w:val="20"/>
          <w:szCs w:val="20"/>
        </w:rPr>
        <w:t xml:space="preserve"> 1(2): 75-82.</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hAnsi="Times New Roman" w:cs="Times New Roman"/>
          <w:sz w:val="20"/>
          <w:szCs w:val="20"/>
        </w:rPr>
        <w:t xml:space="preserve">FAO (1997). </w:t>
      </w:r>
      <w:r w:rsidRPr="00E64A8F">
        <w:rPr>
          <w:rFonts w:ascii="Times New Roman" w:hAnsi="Times New Roman" w:cs="Times New Roman"/>
          <w:i/>
          <w:sz w:val="20"/>
          <w:szCs w:val="20"/>
        </w:rPr>
        <w:t>Chemical Analysis Manual for Food and Water</w:t>
      </w:r>
      <w:r w:rsidRPr="00E64A8F">
        <w:rPr>
          <w:rFonts w:ascii="Times New Roman" w:hAnsi="Times New Roman" w:cs="Times New Roman"/>
          <w:sz w:val="20"/>
          <w:szCs w:val="20"/>
        </w:rPr>
        <w:t>, 5th ed. FAO Rome I. P:20-26.</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Ibe</w:t>
      </w:r>
      <w:proofErr w:type="spellEnd"/>
      <w:r w:rsidRPr="00E64A8F">
        <w:rPr>
          <w:rFonts w:ascii="Times New Roman" w:hAnsi="Times New Roman" w:cs="Times New Roman"/>
          <w:sz w:val="20"/>
          <w:szCs w:val="20"/>
        </w:rPr>
        <w:t xml:space="preserve">, S.N. and </w:t>
      </w:r>
      <w:proofErr w:type="spellStart"/>
      <w:r w:rsidRPr="00E64A8F">
        <w:rPr>
          <w:rFonts w:ascii="Times New Roman" w:hAnsi="Times New Roman" w:cs="Times New Roman"/>
          <w:sz w:val="20"/>
          <w:szCs w:val="20"/>
        </w:rPr>
        <w:t>Okplenye</w:t>
      </w:r>
      <w:proofErr w:type="spellEnd"/>
      <w:r w:rsidRPr="00E64A8F">
        <w:rPr>
          <w:rFonts w:ascii="Times New Roman" w:hAnsi="Times New Roman" w:cs="Times New Roman"/>
          <w:sz w:val="20"/>
          <w:szCs w:val="20"/>
        </w:rPr>
        <w:t xml:space="preserve">, J.I. (2005). Bacteriological analysis of Borehole water in </w:t>
      </w:r>
      <w:proofErr w:type="spellStart"/>
      <w:r w:rsidRPr="00E64A8F">
        <w:rPr>
          <w:rFonts w:ascii="Times New Roman" w:hAnsi="Times New Roman" w:cs="Times New Roman"/>
          <w:sz w:val="20"/>
          <w:szCs w:val="20"/>
        </w:rPr>
        <w:t>Uli</w:t>
      </w:r>
      <w:proofErr w:type="spellEnd"/>
      <w:r w:rsidRPr="00E64A8F">
        <w:rPr>
          <w:rFonts w:ascii="Times New Roman" w:hAnsi="Times New Roman" w:cs="Times New Roman"/>
          <w:sz w:val="20"/>
          <w:szCs w:val="20"/>
        </w:rPr>
        <w:t xml:space="preserve">, Nigeria. </w:t>
      </w:r>
      <w:r w:rsidRPr="00E64A8F">
        <w:rPr>
          <w:rFonts w:ascii="Times New Roman" w:hAnsi="Times New Roman" w:cs="Times New Roman"/>
          <w:i/>
          <w:sz w:val="20"/>
          <w:szCs w:val="20"/>
        </w:rPr>
        <w:t>African Journal of Applied Zoology and Environmental Biology</w:t>
      </w:r>
      <w:r w:rsidRPr="00E64A8F">
        <w:rPr>
          <w:rFonts w:ascii="Times New Roman" w:hAnsi="Times New Roman" w:cs="Times New Roman"/>
          <w:sz w:val="20"/>
          <w:szCs w:val="20"/>
        </w:rPr>
        <w:t>, 7: 116 – 119.</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hAnsi="Times New Roman" w:cs="Times New Roman"/>
          <w:sz w:val="20"/>
          <w:szCs w:val="20"/>
        </w:rPr>
        <w:t xml:space="preserve">Isa, M.A., </w:t>
      </w:r>
      <w:proofErr w:type="spellStart"/>
      <w:r w:rsidRPr="00E64A8F">
        <w:rPr>
          <w:rFonts w:ascii="Times New Roman" w:hAnsi="Times New Roman" w:cs="Times New Roman"/>
          <w:sz w:val="20"/>
          <w:szCs w:val="20"/>
        </w:rPr>
        <w:t>Allaamin</w:t>
      </w:r>
      <w:proofErr w:type="spellEnd"/>
      <w:r w:rsidRPr="00E64A8F">
        <w:rPr>
          <w:rFonts w:ascii="Times New Roman" w:hAnsi="Times New Roman" w:cs="Times New Roman"/>
          <w:sz w:val="20"/>
          <w:szCs w:val="20"/>
        </w:rPr>
        <w:t xml:space="preserve">, I.A., Ismail, H.Y. and </w:t>
      </w:r>
      <w:proofErr w:type="spellStart"/>
      <w:r w:rsidRPr="00E64A8F">
        <w:rPr>
          <w:rFonts w:ascii="Times New Roman" w:hAnsi="Times New Roman" w:cs="Times New Roman"/>
          <w:sz w:val="20"/>
          <w:szCs w:val="20"/>
        </w:rPr>
        <w:t>Shettima</w:t>
      </w:r>
      <w:proofErr w:type="spellEnd"/>
      <w:r w:rsidRPr="00E64A8F">
        <w:rPr>
          <w:rFonts w:ascii="Times New Roman" w:hAnsi="Times New Roman" w:cs="Times New Roman"/>
          <w:sz w:val="20"/>
          <w:szCs w:val="20"/>
        </w:rPr>
        <w:t xml:space="preserve">, A. (2013). Physicochemical and bacteriological analyses of drinking water from wash boreholes in Maiduguri metropolis, </w:t>
      </w:r>
      <w:proofErr w:type="spellStart"/>
      <w:r w:rsidRPr="00E64A8F">
        <w:rPr>
          <w:rFonts w:ascii="Times New Roman" w:hAnsi="Times New Roman" w:cs="Times New Roman"/>
          <w:sz w:val="20"/>
          <w:szCs w:val="20"/>
        </w:rPr>
        <w:t>Borno</w:t>
      </w:r>
      <w:proofErr w:type="spellEnd"/>
      <w:r w:rsidRPr="00E64A8F">
        <w:rPr>
          <w:rFonts w:ascii="Times New Roman" w:hAnsi="Times New Roman" w:cs="Times New Roman"/>
          <w:sz w:val="20"/>
          <w:szCs w:val="20"/>
        </w:rPr>
        <w:t xml:space="preserve"> State, Nigeria. </w:t>
      </w:r>
      <w:r w:rsidRPr="00E64A8F">
        <w:rPr>
          <w:rFonts w:ascii="Times New Roman" w:hAnsi="Times New Roman" w:cs="Times New Roman"/>
          <w:i/>
          <w:sz w:val="20"/>
          <w:szCs w:val="20"/>
        </w:rPr>
        <w:t>African Journal of Food Science</w:t>
      </w:r>
      <w:r w:rsidRPr="00E64A8F">
        <w:rPr>
          <w:rFonts w:ascii="Times New Roman" w:hAnsi="Times New Roman" w:cs="Times New Roman"/>
          <w:sz w:val="20"/>
          <w:szCs w:val="20"/>
        </w:rPr>
        <w:t>, 7(1): 9 – 13.</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eastAsia="Times New Roman" w:hAnsi="Times New Roman" w:cs="Times New Roman"/>
          <w:sz w:val="20"/>
          <w:szCs w:val="20"/>
        </w:rPr>
        <w:t xml:space="preserve">Jain P, Sharma JD, </w:t>
      </w:r>
      <w:proofErr w:type="spellStart"/>
      <w:r w:rsidRPr="00E64A8F">
        <w:rPr>
          <w:rFonts w:ascii="Times New Roman" w:eastAsia="Times New Roman" w:hAnsi="Times New Roman" w:cs="Times New Roman"/>
          <w:sz w:val="20"/>
          <w:szCs w:val="20"/>
        </w:rPr>
        <w:t>Sohu</w:t>
      </w:r>
      <w:proofErr w:type="spellEnd"/>
      <w:r w:rsidRPr="00E64A8F">
        <w:rPr>
          <w:rFonts w:ascii="Times New Roman" w:eastAsia="Times New Roman" w:hAnsi="Times New Roman" w:cs="Times New Roman"/>
          <w:sz w:val="20"/>
          <w:szCs w:val="20"/>
        </w:rPr>
        <w:t xml:space="preserve"> D, Sharma P (2005). Chemical analysis of drinking water of villages of </w:t>
      </w:r>
      <w:proofErr w:type="spellStart"/>
      <w:r w:rsidRPr="00E64A8F">
        <w:rPr>
          <w:rFonts w:ascii="Times New Roman" w:eastAsia="Times New Roman" w:hAnsi="Times New Roman" w:cs="Times New Roman"/>
          <w:sz w:val="20"/>
          <w:szCs w:val="20"/>
        </w:rPr>
        <w:t>sanganer</w:t>
      </w:r>
      <w:proofErr w:type="spellEnd"/>
      <w:r w:rsidRPr="00E64A8F">
        <w:rPr>
          <w:rFonts w:ascii="Times New Roman" w:eastAsia="Times New Roman" w:hAnsi="Times New Roman" w:cs="Times New Roman"/>
          <w:sz w:val="20"/>
          <w:szCs w:val="20"/>
        </w:rPr>
        <w:t xml:space="preserve"> </w:t>
      </w:r>
      <w:proofErr w:type="spellStart"/>
      <w:r w:rsidRPr="00E64A8F">
        <w:rPr>
          <w:rFonts w:ascii="Times New Roman" w:eastAsia="Times New Roman" w:hAnsi="Times New Roman" w:cs="Times New Roman"/>
          <w:sz w:val="20"/>
          <w:szCs w:val="20"/>
        </w:rPr>
        <w:t>Tehsil</w:t>
      </w:r>
      <w:proofErr w:type="spellEnd"/>
      <w:r w:rsidRPr="00E64A8F">
        <w:rPr>
          <w:rFonts w:ascii="Times New Roman" w:eastAsia="Times New Roman" w:hAnsi="Times New Roman" w:cs="Times New Roman"/>
          <w:sz w:val="20"/>
          <w:szCs w:val="20"/>
        </w:rPr>
        <w:t xml:space="preserve">, </w:t>
      </w:r>
      <w:proofErr w:type="spellStart"/>
      <w:r w:rsidRPr="00E64A8F">
        <w:rPr>
          <w:rFonts w:ascii="Times New Roman" w:eastAsia="Times New Roman" w:hAnsi="Times New Roman" w:cs="Times New Roman"/>
          <w:sz w:val="20"/>
          <w:szCs w:val="20"/>
        </w:rPr>
        <w:t>Jaipur</w:t>
      </w:r>
      <w:proofErr w:type="spellEnd"/>
      <w:r w:rsidRPr="00E64A8F">
        <w:rPr>
          <w:rFonts w:ascii="Times New Roman" w:eastAsia="Times New Roman" w:hAnsi="Times New Roman" w:cs="Times New Roman"/>
          <w:sz w:val="20"/>
          <w:szCs w:val="20"/>
        </w:rPr>
        <w:t xml:space="preserve"> district.</w:t>
      </w:r>
      <w:r w:rsidRPr="00E64A8F">
        <w:rPr>
          <w:rFonts w:ascii="Times New Roman" w:eastAsia="Times New Roman" w:hAnsi="Times New Roman" w:cs="Times New Roman"/>
          <w:i/>
          <w:sz w:val="20"/>
          <w:szCs w:val="20"/>
        </w:rPr>
        <w:t xml:space="preserve"> Int</w:t>
      </w:r>
      <w:r w:rsidRPr="00E64A8F">
        <w:rPr>
          <w:rFonts w:ascii="Times New Roman" w:eastAsia="Times New Roman" w:hAnsi="Times New Roman" w:cs="Times New Roman"/>
          <w:sz w:val="20"/>
          <w:szCs w:val="20"/>
        </w:rPr>
        <w:t xml:space="preserve">. </w:t>
      </w:r>
      <w:r w:rsidRPr="00E64A8F">
        <w:rPr>
          <w:rFonts w:ascii="Times New Roman" w:eastAsia="Times New Roman" w:hAnsi="Times New Roman" w:cs="Times New Roman"/>
          <w:i/>
          <w:sz w:val="20"/>
          <w:szCs w:val="20"/>
        </w:rPr>
        <w:t xml:space="preserve">J. </w:t>
      </w:r>
      <w:proofErr w:type="spellStart"/>
      <w:r w:rsidRPr="00E64A8F">
        <w:rPr>
          <w:rFonts w:ascii="Times New Roman" w:eastAsia="Times New Roman" w:hAnsi="Times New Roman" w:cs="Times New Roman"/>
          <w:i/>
          <w:sz w:val="20"/>
          <w:szCs w:val="20"/>
        </w:rPr>
        <w:t>Env</w:t>
      </w:r>
      <w:proofErr w:type="spellEnd"/>
      <w:r w:rsidRPr="00E64A8F">
        <w:rPr>
          <w:rFonts w:ascii="Times New Roman" w:eastAsia="Times New Roman" w:hAnsi="Times New Roman" w:cs="Times New Roman"/>
          <w:i/>
          <w:sz w:val="20"/>
          <w:szCs w:val="20"/>
        </w:rPr>
        <w:t>. Sci. Technol</w:t>
      </w:r>
      <w:r w:rsidRPr="00E64A8F">
        <w:rPr>
          <w:rFonts w:ascii="Times New Roman" w:eastAsia="Times New Roman" w:hAnsi="Times New Roman" w:cs="Times New Roman"/>
          <w:sz w:val="20"/>
          <w:szCs w:val="20"/>
        </w:rPr>
        <w:t>., 2(4): 373-379.</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hAnsi="Times New Roman" w:cs="Times New Roman"/>
          <w:sz w:val="20"/>
          <w:szCs w:val="20"/>
        </w:rPr>
        <w:t>NAFDAC (2001). National Agency for Food and Drug Administration and Control, Ministry Safety bulletin, Volume 1. Recommendation, National agency for food, Drug, Administration and control. Lagos, Nigeria.</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hAnsi="Times New Roman" w:cs="Times New Roman"/>
          <w:sz w:val="20"/>
          <w:szCs w:val="20"/>
        </w:rPr>
        <w:t xml:space="preserve">National Population Commission (2006). Report on Nigeria’s National Population Commission on the 2006 Census. </w:t>
      </w:r>
      <w:r w:rsidRPr="00E64A8F">
        <w:rPr>
          <w:rFonts w:ascii="Times New Roman" w:hAnsi="Times New Roman" w:cs="Times New Roman"/>
          <w:i/>
          <w:sz w:val="20"/>
          <w:szCs w:val="20"/>
        </w:rPr>
        <w:t xml:space="preserve">Population and Development Review, </w:t>
      </w:r>
      <w:r w:rsidRPr="00E64A8F">
        <w:rPr>
          <w:rFonts w:ascii="Times New Roman" w:hAnsi="Times New Roman" w:cs="Times New Roman"/>
          <w:sz w:val="20"/>
          <w:szCs w:val="20"/>
        </w:rPr>
        <w:t>33(1): 206 – 210.</w:t>
      </w:r>
    </w:p>
    <w:p w:rsidR="00DB3049"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hAnsi="Times New Roman" w:cs="Times New Roman"/>
          <w:sz w:val="20"/>
          <w:szCs w:val="20"/>
        </w:rPr>
        <w:t xml:space="preserve">NSDWQ (2007). Nigeria Standard for Drinking Water Quality, Nigeria Industrial Standard, </w:t>
      </w:r>
      <w:r w:rsidRPr="00E64A8F">
        <w:rPr>
          <w:rFonts w:ascii="Times New Roman" w:hAnsi="Times New Roman" w:cs="Times New Roman"/>
          <w:sz w:val="20"/>
          <w:szCs w:val="20"/>
        </w:rPr>
        <w:lastRenderedPageBreak/>
        <w:t>Approve by Standard Organization of Nigeria Governing Council. ICS 13. 060. 20: 15-1</w:t>
      </w:r>
      <w:r w:rsidR="00DB3049" w:rsidRPr="00E64A8F">
        <w:rPr>
          <w:rFonts w:ascii="Times New Roman" w:hAnsi="Times New Roman" w:cs="Times New Roman"/>
          <w:sz w:val="20"/>
          <w:szCs w:val="20"/>
        </w:rPr>
        <w:t>9.</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r w:rsidRPr="00E64A8F">
        <w:rPr>
          <w:rFonts w:ascii="Times New Roman" w:eastAsia="Times New Roman" w:hAnsi="Times New Roman" w:cs="Times New Roman"/>
          <w:sz w:val="20"/>
          <w:szCs w:val="20"/>
        </w:rPr>
        <w:t xml:space="preserve">Obi CN, </w:t>
      </w:r>
      <w:proofErr w:type="spellStart"/>
      <w:r w:rsidRPr="00E64A8F">
        <w:rPr>
          <w:rFonts w:ascii="Times New Roman" w:eastAsia="Times New Roman" w:hAnsi="Times New Roman" w:cs="Times New Roman"/>
          <w:sz w:val="20"/>
          <w:szCs w:val="20"/>
        </w:rPr>
        <w:t>Okocha</w:t>
      </w:r>
      <w:proofErr w:type="spellEnd"/>
      <w:r w:rsidRPr="00E64A8F">
        <w:rPr>
          <w:rFonts w:ascii="Times New Roman" w:eastAsia="Times New Roman" w:hAnsi="Times New Roman" w:cs="Times New Roman"/>
          <w:sz w:val="20"/>
          <w:szCs w:val="20"/>
        </w:rPr>
        <w:t xml:space="preserve"> CO (2007) Microbiological and Physicochemical of Selected Bore-hole Waters in World bank Housing Estate, </w:t>
      </w:r>
      <w:proofErr w:type="spellStart"/>
      <w:r w:rsidRPr="00E64A8F">
        <w:rPr>
          <w:rFonts w:ascii="Times New Roman" w:eastAsia="Times New Roman" w:hAnsi="Times New Roman" w:cs="Times New Roman"/>
          <w:sz w:val="20"/>
          <w:szCs w:val="20"/>
        </w:rPr>
        <w:t>Umuahia</w:t>
      </w:r>
      <w:proofErr w:type="spellEnd"/>
      <w:r w:rsidRPr="00E64A8F">
        <w:rPr>
          <w:rFonts w:ascii="Times New Roman" w:eastAsia="Times New Roman" w:hAnsi="Times New Roman" w:cs="Times New Roman"/>
          <w:sz w:val="20"/>
          <w:szCs w:val="20"/>
        </w:rPr>
        <w:t xml:space="preserve">, </w:t>
      </w:r>
      <w:proofErr w:type="spellStart"/>
      <w:r w:rsidRPr="00E64A8F">
        <w:rPr>
          <w:rFonts w:ascii="Times New Roman" w:eastAsia="Times New Roman" w:hAnsi="Times New Roman" w:cs="Times New Roman"/>
          <w:sz w:val="20"/>
          <w:szCs w:val="20"/>
        </w:rPr>
        <w:t>Abia</w:t>
      </w:r>
      <w:proofErr w:type="spellEnd"/>
      <w:r w:rsidRPr="00E64A8F">
        <w:rPr>
          <w:rFonts w:ascii="Times New Roman" w:eastAsia="Times New Roman" w:hAnsi="Times New Roman" w:cs="Times New Roman"/>
          <w:sz w:val="20"/>
          <w:szCs w:val="20"/>
        </w:rPr>
        <w:t xml:space="preserve"> State, Nigeria. </w:t>
      </w:r>
      <w:r w:rsidRPr="00E64A8F">
        <w:rPr>
          <w:rFonts w:ascii="Times New Roman" w:eastAsia="Times New Roman" w:hAnsi="Times New Roman" w:cs="Times New Roman"/>
          <w:i/>
          <w:sz w:val="20"/>
          <w:szCs w:val="20"/>
        </w:rPr>
        <w:t>J. Eng. Applied Sci</w:t>
      </w:r>
      <w:r w:rsidRPr="00E64A8F">
        <w:rPr>
          <w:rFonts w:ascii="Times New Roman" w:eastAsia="Times New Roman" w:hAnsi="Times New Roman" w:cs="Times New Roman"/>
          <w:sz w:val="20"/>
          <w:szCs w:val="20"/>
        </w:rPr>
        <w:t>. 2(5):920-929.</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Okonko</w:t>
      </w:r>
      <w:proofErr w:type="spellEnd"/>
      <w:r w:rsidRPr="00E64A8F">
        <w:rPr>
          <w:rFonts w:ascii="Times New Roman" w:hAnsi="Times New Roman" w:cs="Times New Roman"/>
          <w:sz w:val="20"/>
          <w:szCs w:val="20"/>
        </w:rPr>
        <w:t xml:space="preserve">, I.O., </w:t>
      </w:r>
      <w:proofErr w:type="spellStart"/>
      <w:r w:rsidRPr="00E64A8F">
        <w:rPr>
          <w:rFonts w:ascii="Times New Roman" w:hAnsi="Times New Roman" w:cs="Times New Roman"/>
          <w:sz w:val="20"/>
          <w:szCs w:val="20"/>
        </w:rPr>
        <w:t>Ogunjobi</w:t>
      </w:r>
      <w:proofErr w:type="spellEnd"/>
      <w:r w:rsidRPr="00E64A8F">
        <w:rPr>
          <w:rFonts w:ascii="Times New Roman" w:hAnsi="Times New Roman" w:cs="Times New Roman"/>
          <w:sz w:val="20"/>
          <w:szCs w:val="20"/>
        </w:rPr>
        <w:t xml:space="preserve">, A.A., </w:t>
      </w:r>
      <w:proofErr w:type="spellStart"/>
      <w:r w:rsidRPr="00E64A8F">
        <w:rPr>
          <w:rFonts w:ascii="Times New Roman" w:hAnsi="Times New Roman" w:cs="Times New Roman"/>
          <w:sz w:val="20"/>
          <w:szCs w:val="20"/>
        </w:rPr>
        <w:t>Kolawole</w:t>
      </w:r>
      <w:proofErr w:type="spellEnd"/>
      <w:r w:rsidRPr="00E64A8F">
        <w:rPr>
          <w:rFonts w:ascii="Times New Roman" w:hAnsi="Times New Roman" w:cs="Times New Roman"/>
          <w:sz w:val="20"/>
          <w:szCs w:val="20"/>
        </w:rPr>
        <w:t xml:space="preserve">, O.O., </w:t>
      </w:r>
      <w:proofErr w:type="spellStart"/>
      <w:r w:rsidRPr="00E64A8F">
        <w:rPr>
          <w:rFonts w:ascii="Times New Roman" w:hAnsi="Times New Roman" w:cs="Times New Roman"/>
          <w:sz w:val="20"/>
          <w:szCs w:val="20"/>
        </w:rPr>
        <w:t>Babatunde</w:t>
      </w:r>
      <w:proofErr w:type="spellEnd"/>
      <w:r w:rsidRPr="00E64A8F">
        <w:rPr>
          <w:rFonts w:ascii="Times New Roman" w:hAnsi="Times New Roman" w:cs="Times New Roman"/>
          <w:sz w:val="20"/>
          <w:szCs w:val="20"/>
        </w:rPr>
        <w:t xml:space="preserve">, S.O., </w:t>
      </w:r>
      <w:proofErr w:type="spellStart"/>
      <w:r w:rsidRPr="00E64A8F">
        <w:rPr>
          <w:rFonts w:ascii="Times New Roman" w:hAnsi="Times New Roman" w:cs="Times New Roman"/>
          <w:sz w:val="20"/>
          <w:szCs w:val="20"/>
        </w:rPr>
        <w:t>Ogunnusi</w:t>
      </w:r>
      <w:proofErr w:type="spellEnd"/>
      <w:r w:rsidRPr="00E64A8F">
        <w:rPr>
          <w:rFonts w:ascii="Times New Roman" w:hAnsi="Times New Roman" w:cs="Times New Roman"/>
          <w:sz w:val="20"/>
          <w:szCs w:val="20"/>
        </w:rPr>
        <w:t xml:space="preserve">, T.A., </w:t>
      </w:r>
      <w:proofErr w:type="spellStart"/>
      <w:r w:rsidRPr="00E64A8F">
        <w:rPr>
          <w:rFonts w:ascii="Times New Roman" w:hAnsi="Times New Roman" w:cs="Times New Roman"/>
          <w:sz w:val="20"/>
          <w:szCs w:val="20"/>
        </w:rPr>
        <w:t>Adejoye</w:t>
      </w:r>
      <w:proofErr w:type="spellEnd"/>
      <w:r w:rsidRPr="00E64A8F">
        <w:rPr>
          <w:rFonts w:ascii="Times New Roman" w:hAnsi="Times New Roman" w:cs="Times New Roman"/>
          <w:sz w:val="20"/>
          <w:szCs w:val="20"/>
        </w:rPr>
        <w:t xml:space="preserve"> O.D. and </w:t>
      </w:r>
      <w:proofErr w:type="spellStart"/>
      <w:r w:rsidRPr="00E64A8F">
        <w:rPr>
          <w:rFonts w:ascii="Times New Roman" w:hAnsi="Times New Roman" w:cs="Times New Roman"/>
          <w:sz w:val="20"/>
          <w:szCs w:val="20"/>
        </w:rPr>
        <w:t>Fatobi</w:t>
      </w:r>
      <w:proofErr w:type="spellEnd"/>
      <w:r w:rsidRPr="00E64A8F">
        <w:rPr>
          <w:rFonts w:ascii="Times New Roman" w:hAnsi="Times New Roman" w:cs="Times New Roman"/>
          <w:sz w:val="20"/>
          <w:szCs w:val="20"/>
        </w:rPr>
        <w:t xml:space="preserve">, E.A. (2009). Comparative studies and microbial risk of different water for processing frozen Sea foods in </w:t>
      </w:r>
      <w:proofErr w:type="spellStart"/>
      <w:r w:rsidRPr="00E64A8F">
        <w:rPr>
          <w:rFonts w:ascii="Times New Roman" w:hAnsi="Times New Roman" w:cs="Times New Roman"/>
          <w:sz w:val="20"/>
          <w:szCs w:val="20"/>
        </w:rPr>
        <w:t>Ijora-Olopa</w:t>
      </w:r>
      <w:proofErr w:type="spellEnd"/>
      <w:r w:rsidRPr="00E64A8F">
        <w:rPr>
          <w:rFonts w:ascii="Times New Roman" w:hAnsi="Times New Roman" w:cs="Times New Roman"/>
          <w:sz w:val="20"/>
          <w:szCs w:val="20"/>
        </w:rPr>
        <w:t xml:space="preserve">, Lagos state, Nigeria. </w:t>
      </w:r>
      <w:r w:rsidRPr="00E64A8F">
        <w:rPr>
          <w:rFonts w:ascii="Times New Roman" w:hAnsi="Times New Roman" w:cs="Times New Roman"/>
          <w:i/>
          <w:sz w:val="20"/>
          <w:szCs w:val="20"/>
        </w:rPr>
        <w:t>Electronic Journal of</w:t>
      </w:r>
      <w:r w:rsidRPr="00E64A8F">
        <w:rPr>
          <w:rFonts w:ascii="Times New Roman" w:hAnsi="Times New Roman" w:cs="Times New Roman"/>
          <w:sz w:val="20"/>
          <w:szCs w:val="20"/>
        </w:rPr>
        <w:t xml:space="preserve"> </w:t>
      </w:r>
      <w:r w:rsidRPr="00E64A8F">
        <w:rPr>
          <w:rFonts w:ascii="Times New Roman" w:hAnsi="Times New Roman" w:cs="Times New Roman"/>
          <w:i/>
          <w:sz w:val="20"/>
          <w:szCs w:val="20"/>
        </w:rPr>
        <w:t>Environmental, Agricultural and</w:t>
      </w:r>
      <w:r w:rsidRPr="00E64A8F">
        <w:rPr>
          <w:rFonts w:ascii="Times New Roman" w:hAnsi="Times New Roman" w:cs="Times New Roman"/>
          <w:sz w:val="20"/>
          <w:szCs w:val="20"/>
        </w:rPr>
        <w:t xml:space="preserve"> </w:t>
      </w:r>
      <w:r w:rsidRPr="00E64A8F">
        <w:rPr>
          <w:rFonts w:ascii="Times New Roman" w:hAnsi="Times New Roman" w:cs="Times New Roman"/>
          <w:i/>
          <w:sz w:val="20"/>
          <w:szCs w:val="20"/>
        </w:rPr>
        <w:t>Food</w:t>
      </w:r>
      <w:r w:rsidRPr="00E64A8F">
        <w:rPr>
          <w:rFonts w:ascii="Times New Roman" w:hAnsi="Times New Roman" w:cs="Times New Roman"/>
          <w:sz w:val="20"/>
          <w:szCs w:val="20"/>
        </w:rPr>
        <w:t xml:space="preserve"> </w:t>
      </w:r>
      <w:r w:rsidRPr="00E64A8F">
        <w:rPr>
          <w:rFonts w:ascii="Times New Roman" w:hAnsi="Times New Roman" w:cs="Times New Roman"/>
          <w:i/>
          <w:sz w:val="20"/>
          <w:szCs w:val="20"/>
        </w:rPr>
        <w:t>Chemistry</w:t>
      </w:r>
      <w:r w:rsidRPr="00E64A8F">
        <w:rPr>
          <w:rFonts w:ascii="Times New Roman" w:hAnsi="Times New Roman" w:cs="Times New Roman"/>
          <w:sz w:val="20"/>
          <w:szCs w:val="20"/>
        </w:rPr>
        <w:t>, 8:408-415.</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Okonko</w:t>
      </w:r>
      <w:proofErr w:type="spellEnd"/>
      <w:r w:rsidRPr="00E64A8F">
        <w:rPr>
          <w:rFonts w:ascii="Times New Roman" w:hAnsi="Times New Roman" w:cs="Times New Roman"/>
          <w:sz w:val="20"/>
          <w:szCs w:val="20"/>
        </w:rPr>
        <w:t xml:space="preserve">, I.O., </w:t>
      </w:r>
      <w:proofErr w:type="spellStart"/>
      <w:r w:rsidRPr="00E64A8F">
        <w:rPr>
          <w:rFonts w:ascii="Times New Roman" w:hAnsi="Times New Roman" w:cs="Times New Roman"/>
          <w:sz w:val="20"/>
          <w:szCs w:val="20"/>
        </w:rPr>
        <w:t>Ogunjobi</w:t>
      </w:r>
      <w:proofErr w:type="spellEnd"/>
      <w:r w:rsidRPr="00E64A8F">
        <w:rPr>
          <w:rFonts w:ascii="Times New Roman" w:hAnsi="Times New Roman" w:cs="Times New Roman"/>
          <w:sz w:val="20"/>
          <w:szCs w:val="20"/>
        </w:rPr>
        <w:t xml:space="preserve">, A.A., </w:t>
      </w:r>
      <w:proofErr w:type="spellStart"/>
      <w:r w:rsidRPr="00E64A8F">
        <w:rPr>
          <w:rFonts w:ascii="Times New Roman" w:hAnsi="Times New Roman" w:cs="Times New Roman"/>
          <w:sz w:val="20"/>
          <w:szCs w:val="20"/>
        </w:rPr>
        <w:t>Kolawole</w:t>
      </w:r>
      <w:proofErr w:type="spellEnd"/>
      <w:r w:rsidRPr="00E64A8F">
        <w:rPr>
          <w:rFonts w:ascii="Times New Roman" w:hAnsi="Times New Roman" w:cs="Times New Roman"/>
          <w:sz w:val="20"/>
          <w:szCs w:val="20"/>
        </w:rPr>
        <w:t xml:space="preserve">, O.O., </w:t>
      </w:r>
      <w:proofErr w:type="spellStart"/>
      <w:r w:rsidRPr="00E64A8F">
        <w:rPr>
          <w:rFonts w:ascii="Times New Roman" w:hAnsi="Times New Roman" w:cs="Times New Roman"/>
          <w:sz w:val="20"/>
          <w:szCs w:val="20"/>
        </w:rPr>
        <w:t>Babatunde</w:t>
      </w:r>
      <w:proofErr w:type="spellEnd"/>
      <w:r w:rsidRPr="00E64A8F">
        <w:rPr>
          <w:rFonts w:ascii="Times New Roman" w:hAnsi="Times New Roman" w:cs="Times New Roman"/>
          <w:sz w:val="20"/>
          <w:szCs w:val="20"/>
        </w:rPr>
        <w:t xml:space="preserve">, S.O., </w:t>
      </w:r>
      <w:proofErr w:type="spellStart"/>
      <w:r w:rsidRPr="00E64A8F">
        <w:rPr>
          <w:rFonts w:ascii="Times New Roman" w:hAnsi="Times New Roman" w:cs="Times New Roman"/>
          <w:sz w:val="20"/>
          <w:szCs w:val="20"/>
        </w:rPr>
        <w:t>Ogunnusi</w:t>
      </w:r>
      <w:proofErr w:type="spellEnd"/>
      <w:r w:rsidRPr="00E64A8F">
        <w:rPr>
          <w:rFonts w:ascii="Times New Roman" w:hAnsi="Times New Roman" w:cs="Times New Roman"/>
          <w:sz w:val="20"/>
          <w:szCs w:val="20"/>
        </w:rPr>
        <w:t xml:space="preserve">, T.A., </w:t>
      </w:r>
      <w:proofErr w:type="spellStart"/>
      <w:r w:rsidRPr="00E64A8F">
        <w:rPr>
          <w:rFonts w:ascii="Times New Roman" w:hAnsi="Times New Roman" w:cs="Times New Roman"/>
          <w:sz w:val="20"/>
          <w:szCs w:val="20"/>
        </w:rPr>
        <w:t>Adejoye</w:t>
      </w:r>
      <w:proofErr w:type="spellEnd"/>
      <w:r w:rsidRPr="00E64A8F">
        <w:rPr>
          <w:rFonts w:ascii="Times New Roman" w:hAnsi="Times New Roman" w:cs="Times New Roman"/>
          <w:sz w:val="20"/>
          <w:szCs w:val="20"/>
        </w:rPr>
        <w:t xml:space="preserve"> O.D., and </w:t>
      </w:r>
      <w:proofErr w:type="spellStart"/>
      <w:r w:rsidRPr="00E64A8F">
        <w:rPr>
          <w:rFonts w:ascii="Times New Roman" w:hAnsi="Times New Roman" w:cs="Times New Roman"/>
          <w:sz w:val="20"/>
          <w:szCs w:val="20"/>
        </w:rPr>
        <w:t>Fatobi</w:t>
      </w:r>
      <w:proofErr w:type="spellEnd"/>
      <w:r w:rsidRPr="00E64A8F">
        <w:rPr>
          <w:rFonts w:ascii="Times New Roman" w:hAnsi="Times New Roman" w:cs="Times New Roman"/>
          <w:sz w:val="20"/>
          <w:szCs w:val="20"/>
        </w:rPr>
        <w:t xml:space="preserve">, E.A. (2009). Comparative studies and microbial risk of different water for processing frozen Sea foods in </w:t>
      </w:r>
      <w:proofErr w:type="spellStart"/>
      <w:r w:rsidRPr="00E64A8F">
        <w:rPr>
          <w:rFonts w:ascii="Times New Roman" w:hAnsi="Times New Roman" w:cs="Times New Roman"/>
          <w:sz w:val="20"/>
          <w:szCs w:val="20"/>
        </w:rPr>
        <w:t>Ijora-Olopa</w:t>
      </w:r>
      <w:proofErr w:type="spellEnd"/>
      <w:r w:rsidRPr="00E64A8F">
        <w:rPr>
          <w:rFonts w:ascii="Times New Roman" w:hAnsi="Times New Roman" w:cs="Times New Roman"/>
          <w:sz w:val="20"/>
          <w:szCs w:val="20"/>
        </w:rPr>
        <w:t xml:space="preserve">, Lagos state, Nigeria. </w:t>
      </w:r>
      <w:r w:rsidRPr="00E64A8F">
        <w:rPr>
          <w:rFonts w:ascii="Times New Roman" w:hAnsi="Times New Roman" w:cs="Times New Roman"/>
          <w:i/>
          <w:sz w:val="20"/>
          <w:szCs w:val="20"/>
        </w:rPr>
        <w:t>Electronic Journal of</w:t>
      </w:r>
      <w:r w:rsidRPr="00E64A8F">
        <w:rPr>
          <w:rFonts w:ascii="Times New Roman" w:hAnsi="Times New Roman" w:cs="Times New Roman"/>
          <w:sz w:val="20"/>
          <w:szCs w:val="20"/>
        </w:rPr>
        <w:t xml:space="preserve"> </w:t>
      </w:r>
      <w:r w:rsidRPr="00E64A8F">
        <w:rPr>
          <w:rFonts w:ascii="Times New Roman" w:hAnsi="Times New Roman" w:cs="Times New Roman"/>
          <w:i/>
          <w:sz w:val="20"/>
          <w:szCs w:val="20"/>
        </w:rPr>
        <w:t>Environmental, Agricultural and</w:t>
      </w:r>
      <w:r w:rsidRPr="00E64A8F">
        <w:rPr>
          <w:rFonts w:ascii="Times New Roman" w:hAnsi="Times New Roman" w:cs="Times New Roman"/>
          <w:sz w:val="20"/>
          <w:szCs w:val="20"/>
        </w:rPr>
        <w:t xml:space="preserve"> </w:t>
      </w:r>
      <w:r w:rsidRPr="00E64A8F">
        <w:rPr>
          <w:rFonts w:ascii="Times New Roman" w:hAnsi="Times New Roman" w:cs="Times New Roman"/>
          <w:i/>
          <w:sz w:val="20"/>
          <w:szCs w:val="20"/>
        </w:rPr>
        <w:t>Food</w:t>
      </w:r>
      <w:r w:rsidRPr="00E64A8F">
        <w:rPr>
          <w:rFonts w:ascii="Times New Roman" w:hAnsi="Times New Roman" w:cs="Times New Roman"/>
          <w:sz w:val="20"/>
          <w:szCs w:val="20"/>
        </w:rPr>
        <w:t xml:space="preserve"> </w:t>
      </w:r>
      <w:r w:rsidRPr="00E64A8F">
        <w:rPr>
          <w:rFonts w:ascii="Times New Roman" w:hAnsi="Times New Roman" w:cs="Times New Roman"/>
          <w:i/>
          <w:sz w:val="20"/>
          <w:szCs w:val="20"/>
        </w:rPr>
        <w:t>Chem</w:t>
      </w:r>
      <w:r w:rsidRPr="00E64A8F">
        <w:rPr>
          <w:rFonts w:ascii="Times New Roman" w:hAnsi="Times New Roman" w:cs="Times New Roman"/>
          <w:sz w:val="20"/>
          <w:szCs w:val="20"/>
        </w:rPr>
        <w:t>., 8:408-415.</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eastAsia="Times New Roman" w:hAnsi="Times New Roman" w:cs="Times New Roman"/>
          <w:sz w:val="20"/>
          <w:szCs w:val="20"/>
        </w:rPr>
        <w:t>Oladipo</w:t>
      </w:r>
      <w:proofErr w:type="spellEnd"/>
      <w:r w:rsidRPr="00E64A8F">
        <w:rPr>
          <w:rFonts w:ascii="Times New Roman" w:eastAsia="Times New Roman" w:hAnsi="Times New Roman" w:cs="Times New Roman"/>
          <w:sz w:val="20"/>
          <w:szCs w:val="20"/>
        </w:rPr>
        <w:t xml:space="preserve"> C, </w:t>
      </w:r>
      <w:proofErr w:type="spellStart"/>
      <w:r w:rsidRPr="00E64A8F">
        <w:rPr>
          <w:rFonts w:ascii="Times New Roman" w:eastAsia="Times New Roman" w:hAnsi="Times New Roman" w:cs="Times New Roman"/>
          <w:sz w:val="20"/>
          <w:szCs w:val="20"/>
        </w:rPr>
        <w:t>Onyenike</w:t>
      </w:r>
      <w:proofErr w:type="spellEnd"/>
      <w:r w:rsidRPr="00E64A8F">
        <w:rPr>
          <w:rFonts w:ascii="Times New Roman" w:eastAsia="Times New Roman" w:hAnsi="Times New Roman" w:cs="Times New Roman"/>
          <w:sz w:val="20"/>
          <w:szCs w:val="20"/>
        </w:rPr>
        <w:t xml:space="preserve"> IC, </w:t>
      </w:r>
      <w:proofErr w:type="spellStart"/>
      <w:r w:rsidRPr="00E64A8F">
        <w:rPr>
          <w:rFonts w:ascii="Times New Roman" w:eastAsia="Times New Roman" w:hAnsi="Times New Roman" w:cs="Times New Roman"/>
          <w:sz w:val="20"/>
          <w:szCs w:val="20"/>
        </w:rPr>
        <w:t>Adebiyi</w:t>
      </w:r>
      <w:proofErr w:type="spellEnd"/>
      <w:r w:rsidRPr="00E64A8F">
        <w:rPr>
          <w:rFonts w:ascii="Times New Roman" w:eastAsia="Times New Roman" w:hAnsi="Times New Roman" w:cs="Times New Roman"/>
          <w:sz w:val="20"/>
          <w:szCs w:val="20"/>
        </w:rPr>
        <w:t xml:space="preserve"> AO (2009) Microbiological analysis of some vended Sachet water in </w:t>
      </w:r>
      <w:proofErr w:type="spellStart"/>
      <w:r w:rsidRPr="00E64A8F">
        <w:rPr>
          <w:rFonts w:ascii="Times New Roman" w:eastAsia="Times New Roman" w:hAnsi="Times New Roman" w:cs="Times New Roman"/>
          <w:sz w:val="20"/>
          <w:szCs w:val="20"/>
        </w:rPr>
        <w:t>Ogbomoso</w:t>
      </w:r>
      <w:proofErr w:type="spellEnd"/>
      <w:r w:rsidRPr="00E64A8F">
        <w:rPr>
          <w:rFonts w:ascii="Times New Roman" w:eastAsia="Times New Roman" w:hAnsi="Times New Roman" w:cs="Times New Roman"/>
          <w:sz w:val="20"/>
          <w:szCs w:val="20"/>
        </w:rPr>
        <w:t xml:space="preserve">, Nigeria. </w:t>
      </w:r>
      <w:r w:rsidRPr="00E64A8F">
        <w:rPr>
          <w:rFonts w:ascii="Times New Roman" w:eastAsia="Times New Roman" w:hAnsi="Times New Roman" w:cs="Times New Roman"/>
          <w:i/>
          <w:sz w:val="20"/>
          <w:szCs w:val="20"/>
        </w:rPr>
        <w:t>Afr. J. Food Sci</w:t>
      </w:r>
      <w:r w:rsidRPr="00E64A8F">
        <w:rPr>
          <w:rFonts w:ascii="Times New Roman" w:eastAsia="Times New Roman" w:hAnsi="Times New Roman" w:cs="Times New Roman"/>
          <w:sz w:val="20"/>
          <w:szCs w:val="20"/>
        </w:rPr>
        <w:t>. 3(12):406-412.</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Onemano</w:t>
      </w:r>
      <w:proofErr w:type="spellEnd"/>
      <w:r w:rsidRPr="00E64A8F">
        <w:rPr>
          <w:rFonts w:ascii="Times New Roman" w:hAnsi="Times New Roman" w:cs="Times New Roman"/>
          <w:sz w:val="20"/>
          <w:szCs w:val="20"/>
        </w:rPr>
        <w:t xml:space="preserve">, J.I. and </w:t>
      </w:r>
      <w:proofErr w:type="spellStart"/>
      <w:r w:rsidRPr="00E64A8F">
        <w:rPr>
          <w:rFonts w:ascii="Times New Roman" w:hAnsi="Times New Roman" w:cs="Times New Roman"/>
          <w:sz w:val="20"/>
          <w:szCs w:val="20"/>
        </w:rPr>
        <w:t>Otun</w:t>
      </w:r>
      <w:proofErr w:type="spellEnd"/>
      <w:r w:rsidRPr="00E64A8F">
        <w:rPr>
          <w:rFonts w:ascii="Times New Roman" w:hAnsi="Times New Roman" w:cs="Times New Roman"/>
          <w:sz w:val="20"/>
          <w:szCs w:val="20"/>
        </w:rPr>
        <w:t xml:space="preserve">, J.A. (2003). </w:t>
      </w:r>
      <w:r w:rsidRPr="00E64A8F">
        <w:rPr>
          <w:rFonts w:ascii="Times New Roman" w:hAnsi="Times New Roman" w:cs="Times New Roman"/>
          <w:i/>
          <w:sz w:val="20"/>
          <w:szCs w:val="20"/>
        </w:rPr>
        <w:t>Problems of Water quality standard and monitoring in Nigeria</w:t>
      </w:r>
      <w:r w:rsidRPr="00E64A8F">
        <w:rPr>
          <w:rFonts w:ascii="Times New Roman" w:hAnsi="Times New Roman" w:cs="Times New Roman"/>
          <w:sz w:val="20"/>
          <w:szCs w:val="20"/>
        </w:rPr>
        <w:t>. Paper presented at the 29th WEDC International Conference at Abuja Sheraton Hotel and Tower, Nigeria on 22-26 September 2003.</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Shittu</w:t>
      </w:r>
      <w:proofErr w:type="spellEnd"/>
      <w:r w:rsidRPr="00E64A8F">
        <w:rPr>
          <w:rFonts w:ascii="Times New Roman" w:hAnsi="Times New Roman" w:cs="Times New Roman"/>
          <w:sz w:val="20"/>
          <w:szCs w:val="20"/>
        </w:rPr>
        <w:t xml:space="preserve">, O.B., </w:t>
      </w:r>
      <w:proofErr w:type="spellStart"/>
      <w:r w:rsidRPr="00E64A8F">
        <w:rPr>
          <w:rFonts w:ascii="Times New Roman" w:hAnsi="Times New Roman" w:cs="Times New Roman"/>
          <w:sz w:val="20"/>
          <w:szCs w:val="20"/>
        </w:rPr>
        <w:t>Olaitan</w:t>
      </w:r>
      <w:proofErr w:type="spellEnd"/>
      <w:r w:rsidRPr="00E64A8F">
        <w:rPr>
          <w:rFonts w:ascii="Times New Roman" w:hAnsi="Times New Roman" w:cs="Times New Roman"/>
          <w:sz w:val="20"/>
          <w:szCs w:val="20"/>
        </w:rPr>
        <w:t xml:space="preserve">, J.O. and </w:t>
      </w:r>
      <w:proofErr w:type="spellStart"/>
      <w:r w:rsidRPr="00E64A8F">
        <w:rPr>
          <w:rFonts w:ascii="Times New Roman" w:hAnsi="Times New Roman" w:cs="Times New Roman"/>
          <w:sz w:val="20"/>
          <w:szCs w:val="20"/>
        </w:rPr>
        <w:t>Amusa</w:t>
      </w:r>
      <w:proofErr w:type="spellEnd"/>
      <w:r w:rsidRPr="00E64A8F">
        <w:rPr>
          <w:rFonts w:ascii="Times New Roman" w:hAnsi="Times New Roman" w:cs="Times New Roman"/>
          <w:sz w:val="20"/>
          <w:szCs w:val="20"/>
        </w:rPr>
        <w:t xml:space="preserve">, T.S. (2008). Physicochemical and Bacteriological Analysis of Water Used for Drinking and Swimming Purposes in Abeokuta, Nigeria. </w:t>
      </w:r>
      <w:r w:rsidRPr="00E64A8F">
        <w:rPr>
          <w:rFonts w:ascii="Times New Roman" w:hAnsi="Times New Roman" w:cs="Times New Roman"/>
          <w:i/>
          <w:sz w:val="20"/>
          <w:szCs w:val="20"/>
        </w:rPr>
        <w:t>African Journal of Biomedical Research,</w:t>
      </w:r>
      <w:r w:rsidRPr="00E64A8F">
        <w:rPr>
          <w:rFonts w:ascii="Times New Roman" w:hAnsi="Times New Roman" w:cs="Times New Roman"/>
          <w:sz w:val="20"/>
          <w:szCs w:val="20"/>
        </w:rPr>
        <w:t xml:space="preserve"> 11:285-290.</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eastAsia="Times New Roman" w:hAnsi="Times New Roman" w:cs="Times New Roman"/>
          <w:sz w:val="20"/>
          <w:szCs w:val="20"/>
        </w:rPr>
        <w:t>Tortora</w:t>
      </w:r>
      <w:proofErr w:type="spellEnd"/>
      <w:r w:rsidRPr="00E64A8F">
        <w:rPr>
          <w:rFonts w:ascii="Times New Roman" w:eastAsia="Times New Roman" w:hAnsi="Times New Roman" w:cs="Times New Roman"/>
          <w:sz w:val="20"/>
          <w:szCs w:val="20"/>
        </w:rPr>
        <w:t xml:space="preserve">, JG, </w:t>
      </w:r>
      <w:proofErr w:type="spellStart"/>
      <w:r w:rsidRPr="00E64A8F">
        <w:rPr>
          <w:rFonts w:ascii="Times New Roman" w:eastAsia="Times New Roman" w:hAnsi="Times New Roman" w:cs="Times New Roman"/>
          <w:sz w:val="20"/>
          <w:szCs w:val="20"/>
        </w:rPr>
        <w:t>Funke</w:t>
      </w:r>
      <w:proofErr w:type="spellEnd"/>
      <w:r w:rsidRPr="00E64A8F">
        <w:rPr>
          <w:rFonts w:ascii="Times New Roman" w:eastAsia="Times New Roman" w:hAnsi="Times New Roman" w:cs="Times New Roman"/>
          <w:sz w:val="20"/>
          <w:szCs w:val="20"/>
        </w:rPr>
        <w:t xml:space="preserve"> RB Case LC (2002) Microbiology an introduction. Media update of seven edition. Including Bibliography and index Publisher. Daryl fox. pp.</w:t>
      </w:r>
      <w:r w:rsidR="009C0A3D" w:rsidRPr="00E64A8F">
        <w:rPr>
          <w:rFonts w:ascii="Times New Roman" w:eastAsia="Times New Roman" w:hAnsi="Times New Roman" w:cs="Times New Roman"/>
          <w:sz w:val="20"/>
          <w:szCs w:val="20"/>
        </w:rPr>
        <w:t xml:space="preserve"> </w:t>
      </w:r>
      <w:r w:rsidRPr="00E64A8F">
        <w:rPr>
          <w:rFonts w:ascii="Times New Roman" w:eastAsia="Times New Roman" w:hAnsi="Times New Roman" w:cs="Times New Roman"/>
          <w:sz w:val="20"/>
          <w:szCs w:val="20"/>
        </w:rPr>
        <w:t>258-260.</w:t>
      </w:r>
    </w:p>
    <w:p w:rsidR="006C42D2" w:rsidRPr="00E64A8F" w:rsidRDefault="006C42D2" w:rsidP="0080756D">
      <w:pPr>
        <w:pStyle w:val="ListParagraph"/>
        <w:numPr>
          <w:ilvl w:val="0"/>
          <w:numId w:val="7"/>
        </w:numPr>
        <w:snapToGrid w:val="0"/>
        <w:spacing w:after="0" w:line="240" w:lineRule="auto"/>
        <w:ind w:left="425" w:hanging="425"/>
        <w:jc w:val="both"/>
        <w:rPr>
          <w:rFonts w:ascii="Times New Roman" w:hAnsi="Times New Roman" w:cs="Times New Roman"/>
          <w:sz w:val="20"/>
          <w:szCs w:val="20"/>
        </w:rPr>
      </w:pPr>
      <w:proofErr w:type="spellStart"/>
      <w:r w:rsidRPr="00E64A8F">
        <w:rPr>
          <w:rFonts w:ascii="Times New Roman" w:hAnsi="Times New Roman" w:cs="Times New Roman"/>
          <w:sz w:val="20"/>
          <w:szCs w:val="20"/>
        </w:rPr>
        <w:t>Wilsey</w:t>
      </w:r>
      <w:proofErr w:type="spellEnd"/>
      <w:r w:rsidRPr="00E64A8F">
        <w:rPr>
          <w:rFonts w:ascii="Times New Roman" w:hAnsi="Times New Roman" w:cs="Times New Roman"/>
          <w:sz w:val="20"/>
          <w:szCs w:val="20"/>
        </w:rPr>
        <w:t xml:space="preserve"> B. (2001). Empirical relationships between species richness, evenness and proportional diversity. </w:t>
      </w:r>
      <w:r w:rsidRPr="00E64A8F">
        <w:rPr>
          <w:rFonts w:ascii="Times New Roman" w:hAnsi="Times New Roman" w:cs="Times New Roman"/>
          <w:i/>
          <w:sz w:val="20"/>
          <w:szCs w:val="20"/>
        </w:rPr>
        <w:t>Am Nat</w:t>
      </w:r>
      <w:r w:rsidRPr="00E64A8F">
        <w:rPr>
          <w:rFonts w:ascii="Times New Roman" w:hAnsi="Times New Roman" w:cs="Times New Roman"/>
          <w:sz w:val="20"/>
          <w:szCs w:val="20"/>
        </w:rPr>
        <w:t>., 158(3):286-299.</w:t>
      </w:r>
    </w:p>
    <w:p w:rsidR="00BE3CA6" w:rsidRPr="00E64A8F" w:rsidRDefault="006C42D2" w:rsidP="0080756D">
      <w:pPr>
        <w:pStyle w:val="ListParagraph"/>
        <w:numPr>
          <w:ilvl w:val="0"/>
          <w:numId w:val="7"/>
        </w:numPr>
        <w:snapToGrid w:val="0"/>
        <w:spacing w:after="0" w:line="240" w:lineRule="auto"/>
        <w:ind w:left="425" w:hanging="425"/>
        <w:jc w:val="both"/>
        <w:rPr>
          <w:sz w:val="20"/>
          <w:szCs w:val="20"/>
        </w:rPr>
      </w:pPr>
      <w:r w:rsidRPr="00E64A8F">
        <w:rPr>
          <w:rFonts w:ascii="Times New Roman" w:hAnsi="Times New Roman" w:cs="Times New Roman"/>
          <w:sz w:val="20"/>
          <w:szCs w:val="20"/>
        </w:rPr>
        <w:t xml:space="preserve">World Health Organization (WHO) (2010). </w:t>
      </w:r>
      <w:r w:rsidRPr="00E64A8F">
        <w:rPr>
          <w:rFonts w:ascii="Times New Roman" w:hAnsi="Times New Roman" w:cs="Times New Roman"/>
          <w:i/>
          <w:sz w:val="20"/>
          <w:szCs w:val="20"/>
        </w:rPr>
        <w:t>Guidelines for Drinking-water Quality. Recommendation</w:t>
      </w:r>
      <w:r w:rsidRPr="00E64A8F">
        <w:rPr>
          <w:rFonts w:ascii="Times New Roman" w:hAnsi="Times New Roman" w:cs="Times New Roman"/>
          <w:sz w:val="20"/>
          <w:szCs w:val="20"/>
        </w:rPr>
        <w:t xml:space="preserve">, Geneva, p: 1-6. Retrieved: 04/6/2017 from </w:t>
      </w:r>
      <w:hyperlink r:id="rId30" w:history="1">
        <w:r w:rsidR="009C0A3D" w:rsidRPr="00E64A8F">
          <w:rPr>
            <w:rStyle w:val="Hyperlink"/>
            <w:rFonts w:ascii="Times New Roman" w:hAnsi="Times New Roman" w:cs="Times New Roman"/>
            <w:sz w:val="20"/>
            <w:szCs w:val="20"/>
          </w:rPr>
          <w:t>http://www.who.int/water_ sanitati</w:t>
        </w:r>
      </w:hyperlink>
      <w:r w:rsidRPr="00E64A8F">
        <w:rPr>
          <w:rFonts w:ascii="Times New Roman" w:hAnsi="Times New Roman" w:cs="Times New Roman"/>
          <w:sz w:val="20"/>
          <w:szCs w:val="20"/>
        </w:rPr>
        <w:t>on_health/WHS_WWD2010_guidelines_2010_6_en.Stirilng G.</w:t>
      </w:r>
    </w:p>
    <w:p w:rsidR="00BE3CA6" w:rsidRPr="0080756D" w:rsidRDefault="00BE3CA6" w:rsidP="0080756D">
      <w:pPr>
        <w:suppressAutoHyphens w:val="0"/>
        <w:snapToGrid w:val="0"/>
        <w:ind w:left="425" w:hanging="425"/>
        <w:jc w:val="both"/>
        <w:rPr>
          <w:sz w:val="20"/>
          <w:szCs w:val="20"/>
        </w:rPr>
        <w:sectPr w:rsidR="00BE3CA6" w:rsidRPr="0080756D" w:rsidSect="0080756D">
          <w:headerReference w:type="default" r:id="rId31"/>
          <w:footerReference w:type="even" r:id="rId32"/>
          <w:footerReference w:type="default" r:id="rId33"/>
          <w:footnotePr>
            <w:pos w:val="beneathText"/>
          </w:footnotePr>
          <w:type w:val="continuous"/>
          <w:pgSz w:w="12240" w:h="15840" w:code="1"/>
          <w:pgMar w:top="1440" w:right="1440" w:bottom="1440" w:left="1440" w:header="720" w:footer="720" w:gutter="0"/>
          <w:cols w:num="2" w:space="600"/>
          <w:docGrid w:linePitch="360"/>
        </w:sectPr>
      </w:pPr>
    </w:p>
    <w:p w:rsidR="004D0467" w:rsidRPr="0080756D" w:rsidRDefault="004D0467" w:rsidP="0080756D">
      <w:pPr>
        <w:suppressAutoHyphens w:val="0"/>
        <w:snapToGrid w:val="0"/>
        <w:ind w:left="425" w:hanging="425"/>
        <w:jc w:val="both"/>
        <w:rPr>
          <w:sz w:val="20"/>
          <w:szCs w:val="20"/>
        </w:rPr>
      </w:pPr>
    </w:p>
    <w:p w:rsidR="004D0467" w:rsidRPr="0080756D" w:rsidRDefault="00BE3CA6" w:rsidP="0080756D">
      <w:pPr>
        <w:suppressAutoHyphens w:val="0"/>
        <w:snapToGrid w:val="0"/>
        <w:ind w:left="425" w:hanging="425"/>
        <w:jc w:val="both"/>
        <w:rPr>
          <w:sz w:val="20"/>
          <w:szCs w:val="20"/>
        </w:rPr>
      </w:pPr>
      <w:r w:rsidRPr="0080756D">
        <w:rPr>
          <w:sz w:val="20"/>
          <w:szCs w:val="20"/>
        </w:rPr>
        <w:t>6/4/2017</w:t>
      </w:r>
    </w:p>
    <w:sectPr w:rsidR="004D0467" w:rsidRPr="0080756D" w:rsidSect="00BE3CA6">
      <w:headerReference w:type="default" r:id="rId34"/>
      <w:footerReference w:type="even" r:id="rId35"/>
      <w:footerReference w:type="default" r:id="rId3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7277" w:rsidRDefault="00457277">
      <w:r>
        <w:separator/>
      </w:r>
    </w:p>
  </w:endnote>
  <w:endnote w:type="continuationSeparator" w:id="0">
    <w:p w:rsidR="00457277" w:rsidRDefault="004572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Default="0083631D" w:rsidP="00B3167C">
    <w:pPr>
      <w:pStyle w:val="Footer"/>
      <w:framePr w:wrap="around" w:vAnchor="text" w:hAnchor="margin" w:xAlign="center" w:y="1"/>
      <w:rPr>
        <w:rStyle w:val="PageNumber"/>
      </w:rPr>
    </w:pPr>
    <w:r>
      <w:rPr>
        <w:rStyle w:val="PageNumber"/>
      </w:rPr>
      <w:fldChar w:fldCharType="begin"/>
    </w:r>
    <w:r w:rsidR="00BE3CA6">
      <w:rPr>
        <w:rStyle w:val="PageNumber"/>
      </w:rPr>
      <w:instrText xml:space="preserve">PAGE  </w:instrText>
    </w:r>
    <w:r>
      <w:rPr>
        <w:rStyle w:val="PageNumber"/>
      </w:rPr>
      <w:fldChar w:fldCharType="end"/>
    </w:r>
  </w:p>
  <w:p w:rsidR="00BE3CA6" w:rsidRDefault="00BE3CA6"/>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Pr="0080756D" w:rsidRDefault="0083631D" w:rsidP="0080756D">
    <w:pPr>
      <w:jc w:val="center"/>
      <w:rPr>
        <w:sz w:val="20"/>
      </w:rPr>
    </w:pPr>
    <w:r w:rsidRPr="0080756D">
      <w:rPr>
        <w:sz w:val="20"/>
      </w:rPr>
      <w:fldChar w:fldCharType="begin"/>
    </w:r>
    <w:r w:rsidR="0080756D" w:rsidRPr="0080756D">
      <w:rPr>
        <w:sz w:val="20"/>
      </w:rPr>
      <w:instrText xml:space="preserve"> page </w:instrText>
    </w:r>
    <w:r w:rsidRPr="0080756D">
      <w:rPr>
        <w:sz w:val="20"/>
      </w:rPr>
      <w:fldChar w:fldCharType="separate"/>
    </w:r>
    <w:r w:rsidR="00E64A8F">
      <w:rPr>
        <w:noProof/>
        <w:sz w:val="20"/>
      </w:rPr>
      <w:t>7</w:t>
    </w:r>
    <w:r w:rsidRPr="0080756D">
      <w:rPr>
        <w:sz w:val="20"/>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Default="0083631D" w:rsidP="00B3167C">
    <w:pPr>
      <w:pStyle w:val="Footer"/>
      <w:framePr w:wrap="around" w:vAnchor="text" w:hAnchor="margin" w:xAlign="center" w:y="1"/>
      <w:rPr>
        <w:rStyle w:val="PageNumber"/>
      </w:rPr>
    </w:pPr>
    <w:r>
      <w:rPr>
        <w:rStyle w:val="PageNumber"/>
      </w:rPr>
      <w:fldChar w:fldCharType="begin"/>
    </w:r>
    <w:r w:rsidR="00BE3CA6">
      <w:rPr>
        <w:rStyle w:val="PageNumber"/>
      </w:rPr>
      <w:instrText xml:space="preserve">PAGE  </w:instrText>
    </w:r>
    <w:r>
      <w:rPr>
        <w:rStyle w:val="PageNumber"/>
      </w:rPr>
      <w:fldChar w:fldCharType="end"/>
    </w:r>
  </w:p>
  <w:p w:rsidR="00BE3CA6" w:rsidRDefault="00BE3CA6"/>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Pr="0080756D" w:rsidRDefault="0083631D" w:rsidP="0080756D">
    <w:pPr>
      <w:jc w:val="center"/>
      <w:rPr>
        <w:sz w:val="20"/>
      </w:rPr>
    </w:pPr>
    <w:r w:rsidRPr="0080756D">
      <w:rPr>
        <w:sz w:val="20"/>
      </w:rPr>
      <w:fldChar w:fldCharType="begin"/>
    </w:r>
    <w:r w:rsidR="0080756D" w:rsidRPr="0080756D">
      <w:rPr>
        <w:sz w:val="20"/>
      </w:rPr>
      <w:instrText xml:space="preserve"> page </w:instrText>
    </w:r>
    <w:r w:rsidRPr="0080756D">
      <w:rPr>
        <w:sz w:val="20"/>
      </w:rPr>
      <w:fldChar w:fldCharType="separate"/>
    </w:r>
    <w:r w:rsidR="00E64A8F">
      <w:rPr>
        <w:noProof/>
        <w:sz w:val="20"/>
      </w:rPr>
      <w:t>10</w:t>
    </w:r>
    <w:r w:rsidRPr="0080756D">
      <w:rPr>
        <w:sz w:val="20"/>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5B6A" w:rsidRDefault="0083631D"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67C" w:rsidRPr="00B3167C" w:rsidRDefault="0083631D" w:rsidP="00090A06">
    <w:pPr>
      <w:pStyle w:val="Footer"/>
      <w:framePr w:wrap="around" w:vAnchor="text" w:hAnchor="margin" w:xAlign="center" w:y="1"/>
      <w:rPr>
        <w:rStyle w:val="PageNumber"/>
        <w:sz w:val="20"/>
        <w:szCs w:val="20"/>
      </w:rPr>
    </w:pPr>
    <w:r w:rsidRPr="00B3167C">
      <w:rPr>
        <w:rStyle w:val="PageNumber"/>
        <w:sz w:val="20"/>
        <w:szCs w:val="20"/>
      </w:rPr>
      <w:fldChar w:fldCharType="begin"/>
    </w:r>
    <w:r w:rsidR="00B3167C" w:rsidRPr="00B3167C">
      <w:rPr>
        <w:rStyle w:val="PageNumber"/>
        <w:sz w:val="20"/>
        <w:szCs w:val="20"/>
      </w:rPr>
      <w:instrText xml:space="preserve">PAGE  </w:instrText>
    </w:r>
    <w:r w:rsidRPr="00B3167C">
      <w:rPr>
        <w:rStyle w:val="PageNumber"/>
        <w:sz w:val="20"/>
        <w:szCs w:val="20"/>
      </w:rPr>
      <w:fldChar w:fldCharType="separate"/>
    </w:r>
    <w:r w:rsidR="0080756D">
      <w:rPr>
        <w:rStyle w:val="PageNumber"/>
        <w:noProof/>
        <w:sz w:val="20"/>
        <w:szCs w:val="20"/>
      </w:rPr>
      <w:t>11</w:t>
    </w:r>
    <w:r w:rsidRPr="00B3167C">
      <w:rPr>
        <w:rStyle w:val="PageNumber"/>
        <w:sz w:val="20"/>
        <w:szCs w:val="20"/>
      </w:rPr>
      <w:fldChar w:fldCharType="end"/>
    </w:r>
  </w:p>
  <w:p w:rsidR="00471E57" w:rsidRDefault="0083631D" w:rsidP="006E6ACB">
    <w:pPr>
      <w:jc w:val="center"/>
    </w:pPr>
    <w:hyperlink r:id="rId1" w:history="1">
      <w:r w:rsidR="000B46C6">
        <w:rPr>
          <w:rStyle w:val="Hyperlink"/>
          <w:sz w:val="20"/>
          <w:szCs w:val="20"/>
        </w:rPr>
        <w:t>http://www.sciencepub.net/researcher</w:t>
      </w:r>
    </w:hyperlink>
    <w:r w:rsidR="000B46C6">
      <w:rPr>
        <w:bCs/>
        <w:sz w:val="20"/>
      </w:rPr>
      <w:t xml:space="preserve">                          </w:t>
    </w:r>
    <w:r w:rsidR="000B46C6">
      <w:rPr>
        <w:rFonts w:hint="eastAsia"/>
        <w:bCs/>
        <w:sz w:val="20"/>
        <w:lang w:eastAsia="zh-CN"/>
      </w:rPr>
      <w:t xml:space="preserve">                  </w:t>
    </w:r>
    <w:r w:rsidR="000B46C6">
      <w:rPr>
        <w:bCs/>
        <w:sz w:val="20"/>
      </w:rPr>
      <w:t xml:space="preserve">              </w:t>
    </w:r>
    <w:hyperlink r:id="rId2" w:history="1">
      <w:r w:rsidR="000B46C6">
        <w:rPr>
          <w:rStyle w:val="Hyperlink"/>
          <w:bCs/>
          <w:sz w:val="20"/>
        </w:rPr>
        <w:t>researcher135@gmail.com</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Pr="0080756D" w:rsidRDefault="0083631D" w:rsidP="0080756D">
    <w:pPr>
      <w:jc w:val="center"/>
      <w:rPr>
        <w:sz w:val="20"/>
      </w:rPr>
    </w:pPr>
    <w:r w:rsidRPr="0080756D">
      <w:rPr>
        <w:sz w:val="20"/>
      </w:rPr>
      <w:fldChar w:fldCharType="begin"/>
    </w:r>
    <w:r w:rsidR="0080756D" w:rsidRPr="0080756D">
      <w:rPr>
        <w:sz w:val="20"/>
      </w:rPr>
      <w:instrText xml:space="preserve"> page </w:instrText>
    </w:r>
    <w:r w:rsidRPr="0080756D">
      <w:rPr>
        <w:sz w:val="20"/>
      </w:rPr>
      <w:fldChar w:fldCharType="separate"/>
    </w:r>
    <w:r w:rsidR="00E64A8F">
      <w:rPr>
        <w:noProof/>
        <w:sz w:val="20"/>
      </w:rPr>
      <w:t>1</w:t>
    </w:r>
    <w:r w:rsidRPr="0080756D">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Default="0083631D" w:rsidP="00B3167C">
    <w:pPr>
      <w:pStyle w:val="Footer"/>
      <w:framePr w:wrap="around" w:vAnchor="text" w:hAnchor="margin" w:xAlign="center" w:y="1"/>
      <w:rPr>
        <w:rStyle w:val="PageNumber"/>
      </w:rPr>
    </w:pPr>
    <w:r>
      <w:rPr>
        <w:rStyle w:val="PageNumber"/>
      </w:rPr>
      <w:fldChar w:fldCharType="begin"/>
    </w:r>
    <w:r w:rsidR="00BE3CA6">
      <w:rPr>
        <w:rStyle w:val="PageNumber"/>
      </w:rPr>
      <w:instrText xml:space="preserve">PAGE  </w:instrText>
    </w:r>
    <w:r>
      <w:rPr>
        <w:rStyle w:val="PageNumber"/>
      </w:rPr>
      <w:fldChar w:fldCharType="end"/>
    </w:r>
  </w:p>
  <w:p w:rsidR="00BE3CA6" w:rsidRDefault="00BE3CA6"/>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Pr="0080756D" w:rsidRDefault="0083631D" w:rsidP="0080756D">
    <w:pPr>
      <w:jc w:val="center"/>
      <w:rPr>
        <w:sz w:val="20"/>
      </w:rPr>
    </w:pPr>
    <w:r w:rsidRPr="0080756D">
      <w:rPr>
        <w:sz w:val="20"/>
      </w:rPr>
      <w:fldChar w:fldCharType="begin"/>
    </w:r>
    <w:r w:rsidR="0080756D" w:rsidRPr="0080756D">
      <w:rPr>
        <w:sz w:val="20"/>
      </w:rPr>
      <w:instrText xml:space="preserve"> page </w:instrText>
    </w:r>
    <w:r w:rsidRPr="0080756D">
      <w:rPr>
        <w:sz w:val="20"/>
      </w:rPr>
      <w:fldChar w:fldCharType="separate"/>
    </w:r>
    <w:r w:rsidR="00E64A8F">
      <w:rPr>
        <w:noProof/>
        <w:sz w:val="20"/>
      </w:rPr>
      <w:t>4</w:t>
    </w:r>
    <w:r w:rsidRPr="0080756D">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Default="0083631D" w:rsidP="00B3167C">
    <w:pPr>
      <w:pStyle w:val="Footer"/>
      <w:framePr w:wrap="around" w:vAnchor="text" w:hAnchor="margin" w:xAlign="center" w:y="1"/>
      <w:rPr>
        <w:rStyle w:val="PageNumber"/>
      </w:rPr>
    </w:pPr>
    <w:r>
      <w:rPr>
        <w:rStyle w:val="PageNumber"/>
      </w:rPr>
      <w:fldChar w:fldCharType="begin"/>
    </w:r>
    <w:r w:rsidR="00BE3CA6">
      <w:rPr>
        <w:rStyle w:val="PageNumber"/>
      </w:rPr>
      <w:instrText xml:space="preserve">PAGE  </w:instrText>
    </w:r>
    <w:r>
      <w:rPr>
        <w:rStyle w:val="PageNumber"/>
      </w:rPr>
      <w:fldChar w:fldCharType="end"/>
    </w:r>
  </w:p>
  <w:p w:rsidR="00BE3CA6" w:rsidRDefault="00BE3CA6"/>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Pr="0080756D" w:rsidRDefault="0083631D" w:rsidP="0080756D">
    <w:pPr>
      <w:jc w:val="center"/>
      <w:rPr>
        <w:sz w:val="20"/>
      </w:rPr>
    </w:pPr>
    <w:r w:rsidRPr="0080756D">
      <w:rPr>
        <w:sz w:val="20"/>
      </w:rPr>
      <w:fldChar w:fldCharType="begin"/>
    </w:r>
    <w:r w:rsidR="0080756D" w:rsidRPr="0080756D">
      <w:rPr>
        <w:sz w:val="20"/>
      </w:rPr>
      <w:instrText xml:space="preserve"> page </w:instrText>
    </w:r>
    <w:r w:rsidRPr="0080756D">
      <w:rPr>
        <w:sz w:val="20"/>
      </w:rPr>
      <w:fldChar w:fldCharType="separate"/>
    </w:r>
    <w:r w:rsidR="00E64A8F">
      <w:rPr>
        <w:noProof/>
        <w:sz w:val="20"/>
      </w:rPr>
      <w:t>5</w:t>
    </w:r>
    <w:r w:rsidRPr="0080756D">
      <w:rPr>
        <w:sz w:val="2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Default="0083631D" w:rsidP="00B3167C">
    <w:pPr>
      <w:pStyle w:val="Footer"/>
      <w:framePr w:wrap="around" w:vAnchor="text" w:hAnchor="margin" w:xAlign="center" w:y="1"/>
      <w:rPr>
        <w:rStyle w:val="PageNumber"/>
      </w:rPr>
    </w:pPr>
    <w:r>
      <w:rPr>
        <w:rStyle w:val="PageNumber"/>
      </w:rPr>
      <w:fldChar w:fldCharType="begin"/>
    </w:r>
    <w:r w:rsidR="00BE3CA6">
      <w:rPr>
        <w:rStyle w:val="PageNumber"/>
      </w:rPr>
      <w:instrText xml:space="preserve">PAGE  </w:instrText>
    </w:r>
    <w:r>
      <w:rPr>
        <w:rStyle w:val="PageNumber"/>
      </w:rPr>
      <w:fldChar w:fldCharType="end"/>
    </w:r>
  </w:p>
  <w:p w:rsidR="00BE3CA6" w:rsidRDefault="00BE3CA6"/>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Pr="0080756D" w:rsidRDefault="0083631D" w:rsidP="0080756D">
    <w:pPr>
      <w:jc w:val="center"/>
      <w:rPr>
        <w:sz w:val="20"/>
      </w:rPr>
    </w:pPr>
    <w:r w:rsidRPr="0080756D">
      <w:rPr>
        <w:sz w:val="20"/>
      </w:rPr>
      <w:fldChar w:fldCharType="begin"/>
    </w:r>
    <w:r w:rsidR="0080756D" w:rsidRPr="0080756D">
      <w:rPr>
        <w:sz w:val="20"/>
      </w:rPr>
      <w:instrText xml:space="preserve"> page </w:instrText>
    </w:r>
    <w:r w:rsidRPr="0080756D">
      <w:rPr>
        <w:sz w:val="20"/>
      </w:rPr>
      <w:fldChar w:fldCharType="separate"/>
    </w:r>
    <w:r w:rsidR="00E64A8F">
      <w:rPr>
        <w:noProof/>
        <w:sz w:val="20"/>
      </w:rPr>
      <w:t>6</w:t>
    </w:r>
    <w:r w:rsidRPr="0080756D">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CA6" w:rsidRDefault="0083631D" w:rsidP="00B3167C">
    <w:pPr>
      <w:pStyle w:val="Footer"/>
      <w:framePr w:wrap="around" w:vAnchor="text" w:hAnchor="margin" w:xAlign="center" w:y="1"/>
      <w:rPr>
        <w:rStyle w:val="PageNumber"/>
      </w:rPr>
    </w:pPr>
    <w:r>
      <w:rPr>
        <w:rStyle w:val="PageNumber"/>
      </w:rPr>
      <w:fldChar w:fldCharType="begin"/>
    </w:r>
    <w:r w:rsidR="00BE3CA6">
      <w:rPr>
        <w:rStyle w:val="PageNumber"/>
      </w:rPr>
      <w:instrText xml:space="preserve">PAGE  </w:instrText>
    </w:r>
    <w:r>
      <w:rPr>
        <w:rStyle w:val="PageNumber"/>
      </w:rPr>
      <w:fldChar w:fldCharType="end"/>
    </w:r>
  </w:p>
  <w:p w:rsidR="00BE3CA6" w:rsidRDefault="00BE3CA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7277" w:rsidRDefault="00457277">
      <w:r>
        <w:separator/>
      </w:r>
    </w:p>
  </w:footnote>
  <w:footnote w:type="continuationSeparator" w:id="0">
    <w:p w:rsidR="00457277" w:rsidRDefault="00457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D" w:rsidRPr="0080756D" w:rsidRDefault="0080756D" w:rsidP="0080756D">
    <w:pPr>
      <w:pBdr>
        <w:bottom w:val="thinThickMediumGap" w:sz="12" w:space="1" w:color="auto"/>
      </w:pBdr>
      <w:tabs>
        <w:tab w:val="left" w:pos="851"/>
        <w:tab w:val="right" w:pos="8364"/>
      </w:tabs>
      <w:adjustRightInd w:val="0"/>
      <w:snapToGrid w:val="0"/>
      <w:jc w:val="both"/>
      <w:rPr>
        <w:iCs/>
        <w:sz w:val="20"/>
        <w:szCs w:val="20"/>
      </w:rPr>
    </w:pPr>
    <w:r w:rsidRPr="0080756D">
      <w:rPr>
        <w:rFonts w:hint="eastAsia"/>
        <w:iCs/>
        <w:color w:val="000000"/>
        <w:sz w:val="20"/>
        <w:szCs w:val="20"/>
      </w:rPr>
      <w:tab/>
    </w:r>
    <w:r w:rsidRPr="0080756D">
      <w:rPr>
        <w:iCs/>
        <w:color w:val="000000"/>
        <w:sz w:val="20"/>
        <w:szCs w:val="20"/>
      </w:rPr>
      <w:t xml:space="preserve">Researcher </w:t>
    </w:r>
    <w:r w:rsidRPr="0080756D">
      <w:rPr>
        <w:iCs/>
        <w:sz w:val="20"/>
        <w:szCs w:val="20"/>
      </w:rPr>
      <w:t>201</w:t>
    </w:r>
    <w:r w:rsidRPr="0080756D">
      <w:rPr>
        <w:rFonts w:hint="eastAsia"/>
        <w:iCs/>
        <w:sz w:val="20"/>
        <w:szCs w:val="20"/>
      </w:rPr>
      <w:t>7</w:t>
    </w:r>
    <w:r w:rsidRPr="0080756D">
      <w:rPr>
        <w:iCs/>
        <w:sz w:val="20"/>
        <w:szCs w:val="20"/>
      </w:rPr>
      <w:t>;</w:t>
    </w:r>
    <w:r w:rsidRPr="0080756D">
      <w:rPr>
        <w:rFonts w:hint="eastAsia"/>
        <w:iCs/>
        <w:sz w:val="20"/>
        <w:szCs w:val="20"/>
      </w:rPr>
      <w:t>9</w:t>
    </w:r>
    <w:r w:rsidRPr="0080756D">
      <w:rPr>
        <w:iCs/>
        <w:sz w:val="20"/>
        <w:szCs w:val="20"/>
      </w:rPr>
      <w:t>(</w:t>
    </w:r>
    <w:r w:rsidRPr="0080756D">
      <w:rPr>
        <w:rFonts w:hint="eastAsia"/>
        <w:iCs/>
        <w:sz w:val="20"/>
        <w:szCs w:val="20"/>
      </w:rPr>
      <w:t>7</w:t>
    </w:r>
    <w:r w:rsidRPr="0080756D">
      <w:rPr>
        <w:iCs/>
        <w:sz w:val="20"/>
        <w:szCs w:val="20"/>
      </w:rPr>
      <w:t xml:space="preserve">)  </w:t>
    </w:r>
    <w:r w:rsidRPr="0080756D">
      <w:rPr>
        <w:rFonts w:hint="eastAsia"/>
        <w:iCs/>
        <w:sz w:val="20"/>
        <w:szCs w:val="20"/>
      </w:rPr>
      <w:t xml:space="preserve"> </w:t>
    </w:r>
    <w:r w:rsidRPr="0080756D">
      <w:rPr>
        <w:iCs/>
        <w:sz w:val="20"/>
        <w:szCs w:val="20"/>
      </w:rPr>
      <w:t xml:space="preserve"> </w:t>
    </w:r>
    <w:r w:rsidRPr="0080756D">
      <w:rPr>
        <w:rFonts w:hint="eastAsia"/>
        <w:iCs/>
        <w:sz w:val="20"/>
        <w:szCs w:val="20"/>
      </w:rPr>
      <w:tab/>
    </w:r>
    <w:r w:rsidRPr="0080756D">
      <w:rPr>
        <w:iCs/>
        <w:sz w:val="20"/>
        <w:szCs w:val="20"/>
      </w:rPr>
      <w:t xml:space="preserve">    </w:t>
    </w:r>
    <w:r w:rsidRPr="0080756D">
      <w:rPr>
        <w:sz w:val="20"/>
        <w:szCs w:val="20"/>
      </w:rPr>
      <w:t xml:space="preserve"> </w:t>
    </w:r>
    <w:hyperlink r:id="rId1" w:history="1">
      <w:r w:rsidRPr="0080756D">
        <w:rPr>
          <w:rStyle w:val="Hyperlink"/>
          <w:sz w:val="20"/>
          <w:szCs w:val="20"/>
        </w:rPr>
        <w:t>http://www.sciencepub.net/researcher</w:t>
      </w:r>
    </w:hyperlink>
  </w:p>
  <w:p w:rsidR="0080756D" w:rsidRPr="0080756D" w:rsidRDefault="0080756D" w:rsidP="0080756D">
    <w:pPr>
      <w:tabs>
        <w:tab w:val="left" w:pos="851"/>
        <w:tab w:val="right" w:pos="8364"/>
      </w:tabs>
      <w:adjustRightInd w:val="0"/>
      <w:snapToGrid w:val="0"/>
      <w:jc w:val="both"/>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D" w:rsidRPr="0080756D" w:rsidRDefault="0080756D" w:rsidP="0080756D">
    <w:pPr>
      <w:pBdr>
        <w:bottom w:val="thinThickMediumGap" w:sz="12" w:space="1" w:color="auto"/>
      </w:pBdr>
      <w:tabs>
        <w:tab w:val="left" w:pos="851"/>
        <w:tab w:val="right" w:pos="8364"/>
      </w:tabs>
      <w:adjustRightInd w:val="0"/>
      <w:snapToGrid w:val="0"/>
      <w:jc w:val="both"/>
      <w:rPr>
        <w:iCs/>
        <w:sz w:val="20"/>
        <w:szCs w:val="20"/>
      </w:rPr>
    </w:pPr>
    <w:r w:rsidRPr="0080756D">
      <w:rPr>
        <w:rFonts w:hint="eastAsia"/>
        <w:iCs/>
        <w:color w:val="000000"/>
        <w:sz w:val="20"/>
        <w:szCs w:val="20"/>
      </w:rPr>
      <w:tab/>
    </w:r>
    <w:r w:rsidRPr="0080756D">
      <w:rPr>
        <w:iCs/>
        <w:color w:val="000000"/>
        <w:sz w:val="20"/>
        <w:szCs w:val="20"/>
      </w:rPr>
      <w:t xml:space="preserve">Researcher </w:t>
    </w:r>
    <w:r w:rsidRPr="0080756D">
      <w:rPr>
        <w:iCs/>
        <w:sz w:val="20"/>
        <w:szCs w:val="20"/>
      </w:rPr>
      <w:t>201</w:t>
    </w:r>
    <w:r w:rsidRPr="0080756D">
      <w:rPr>
        <w:rFonts w:hint="eastAsia"/>
        <w:iCs/>
        <w:sz w:val="20"/>
        <w:szCs w:val="20"/>
      </w:rPr>
      <w:t>7</w:t>
    </w:r>
    <w:r w:rsidRPr="0080756D">
      <w:rPr>
        <w:iCs/>
        <w:sz w:val="20"/>
        <w:szCs w:val="20"/>
      </w:rPr>
      <w:t>;</w:t>
    </w:r>
    <w:r w:rsidRPr="0080756D">
      <w:rPr>
        <w:rFonts w:hint="eastAsia"/>
        <w:iCs/>
        <w:sz w:val="20"/>
        <w:szCs w:val="20"/>
      </w:rPr>
      <w:t>9</w:t>
    </w:r>
    <w:r w:rsidRPr="0080756D">
      <w:rPr>
        <w:iCs/>
        <w:sz w:val="20"/>
        <w:szCs w:val="20"/>
      </w:rPr>
      <w:t>(</w:t>
    </w:r>
    <w:r w:rsidRPr="0080756D">
      <w:rPr>
        <w:rFonts w:hint="eastAsia"/>
        <w:iCs/>
        <w:sz w:val="20"/>
        <w:szCs w:val="20"/>
      </w:rPr>
      <w:t>7</w:t>
    </w:r>
    <w:r w:rsidRPr="0080756D">
      <w:rPr>
        <w:iCs/>
        <w:sz w:val="20"/>
        <w:szCs w:val="20"/>
      </w:rPr>
      <w:t xml:space="preserve">)  </w:t>
    </w:r>
    <w:r w:rsidRPr="0080756D">
      <w:rPr>
        <w:rFonts w:hint="eastAsia"/>
        <w:iCs/>
        <w:sz w:val="20"/>
        <w:szCs w:val="20"/>
      </w:rPr>
      <w:t xml:space="preserve"> </w:t>
    </w:r>
    <w:r w:rsidRPr="0080756D">
      <w:rPr>
        <w:iCs/>
        <w:sz w:val="20"/>
        <w:szCs w:val="20"/>
      </w:rPr>
      <w:t xml:space="preserve"> </w:t>
    </w:r>
    <w:r w:rsidRPr="0080756D">
      <w:rPr>
        <w:rFonts w:hint="eastAsia"/>
        <w:iCs/>
        <w:sz w:val="20"/>
        <w:szCs w:val="20"/>
      </w:rPr>
      <w:tab/>
    </w:r>
    <w:r w:rsidRPr="0080756D">
      <w:rPr>
        <w:iCs/>
        <w:sz w:val="20"/>
        <w:szCs w:val="20"/>
      </w:rPr>
      <w:t xml:space="preserve">    </w:t>
    </w:r>
    <w:r w:rsidRPr="0080756D">
      <w:rPr>
        <w:sz w:val="20"/>
        <w:szCs w:val="20"/>
      </w:rPr>
      <w:t xml:space="preserve"> </w:t>
    </w:r>
    <w:hyperlink r:id="rId1" w:history="1">
      <w:r w:rsidRPr="0080756D">
        <w:rPr>
          <w:rStyle w:val="Hyperlink"/>
          <w:sz w:val="20"/>
          <w:szCs w:val="20"/>
        </w:rPr>
        <w:t>http://www.sciencepub.net/researcher</w:t>
      </w:r>
    </w:hyperlink>
  </w:p>
  <w:p w:rsidR="0080756D" w:rsidRPr="0080756D" w:rsidRDefault="0080756D" w:rsidP="0080756D">
    <w:pPr>
      <w:tabs>
        <w:tab w:val="left" w:pos="851"/>
        <w:tab w:val="right" w:pos="8364"/>
      </w:tabs>
      <w:adjustRightInd w:val="0"/>
      <w:snapToGrid w:val="0"/>
      <w:jc w:val="both"/>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D" w:rsidRPr="0080756D" w:rsidRDefault="0080756D" w:rsidP="0080756D">
    <w:pPr>
      <w:pBdr>
        <w:bottom w:val="thinThickMediumGap" w:sz="12" w:space="1" w:color="auto"/>
      </w:pBdr>
      <w:tabs>
        <w:tab w:val="left" w:pos="851"/>
        <w:tab w:val="right" w:pos="8364"/>
      </w:tabs>
      <w:adjustRightInd w:val="0"/>
      <w:snapToGrid w:val="0"/>
      <w:jc w:val="both"/>
      <w:rPr>
        <w:iCs/>
        <w:sz w:val="20"/>
        <w:szCs w:val="20"/>
      </w:rPr>
    </w:pPr>
    <w:r w:rsidRPr="0080756D">
      <w:rPr>
        <w:rFonts w:hint="eastAsia"/>
        <w:iCs/>
        <w:color w:val="000000"/>
        <w:sz w:val="20"/>
        <w:szCs w:val="20"/>
      </w:rPr>
      <w:tab/>
    </w:r>
    <w:r w:rsidRPr="0080756D">
      <w:rPr>
        <w:iCs/>
        <w:color w:val="000000"/>
        <w:sz w:val="20"/>
        <w:szCs w:val="20"/>
      </w:rPr>
      <w:t xml:space="preserve">Researcher </w:t>
    </w:r>
    <w:r w:rsidRPr="0080756D">
      <w:rPr>
        <w:iCs/>
        <w:sz w:val="20"/>
        <w:szCs w:val="20"/>
      </w:rPr>
      <w:t>201</w:t>
    </w:r>
    <w:r w:rsidRPr="0080756D">
      <w:rPr>
        <w:rFonts w:hint="eastAsia"/>
        <w:iCs/>
        <w:sz w:val="20"/>
        <w:szCs w:val="20"/>
      </w:rPr>
      <w:t>7</w:t>
    </w:r>
    <w:r w:rsidRPr="0080756D">
      <w:rPr>
        <w:iCs/>
        <w:sz w:val="20"/>
        <w:szCs w:val="20"/>
      </w:rPr>
      <w:t>;</w:t>
    </w:r>
    <w:r w:rsidRPr="0080756D">
      <w:rPr>
        <w:rFonts w:hint="eastAsia"/>
        <w:iCs/>
        <w:sz w:val="20"/>
        <w:szCs w:val="20"/>
      </w:rPr>
      <w:t>9</w:t>
    </w:r>
    <w:r w:rsidRPr="0080756D">
      <w:rPr>
        <w:iCs/>
        <w:sz w:val="20"/>
        <w:szCs w:val="20"/>
      </w:rPr>
      <w:t>(</w:t>
    </w:r>
    <w:r w:rsidRPr="0080756D">
      <w:rPr>
        <w:rFonts w:hint="eastAsia"/>
        <w:iCs/>
        <w:sz w:val="20"/>
        <w:szCs w:val="20"/>
      </w:rPr>
      <w:t>7</w:t>
    </w:r>
    <w:r w:rsidRPr="0080756D">
      <w:rPr>
        <w:iCs/>
        <w:sz w:val="20"/>
        <w:szCs w:val="20"/>
      </w:rPr>
      <w:t xml:space="preserve">)  </w:t>
    </w:r>
    <w:r w:rsidRPr="0080756D">
      <w:rPr>
        <w:rFonts w:hint="eastAsia"/>
        <w:iCs/>
        <w:sz w:val="20"/>
        <w:szCs w:val="20"/>
      </w:rPr>
      <w:t xml:space="preserve"> </w:t>
    </w:r>
    <w:r w:rsidRPr="0080756D">
      <w:rPr>
        <w:iCs/>
        <w:sz w:val="20"/>
        <w:szCs w:val="20"/>
      </w:rPr>
      <w:t xml:space="preserve"> </w:t>
    </w:r>
    <w:r w:rsidRPr="0080756D">
      <w:rPr>
        <w:rFonts w:hint="eastAsia"/>
        <w:iCs/>
        <w:sz w:val="20"/>
        <w:szCs w:val="20"/>
      </w:rPr>
      <w:tab/>
    </w:r>
    <w:r w:rsidRPr="0080756D">
      <w:rPr>
        <w:iCs/>
        <w:sz w:val="20"/>
        <w:szCs w:val="20"/>
      </w:rPr>
      <w:t xml:space="preserve">    </w:t>
    </w:r>
    <w:r w:rsidRPr="0080756D">
      <w:rPr>
        <w:sz w:val="20"/>
        <w:szCs w:val="20"/>
      </w:rPr>
      <w:t xml:space="preserve"> </w:t>
    </w:r>
    <w:hyperlink r:id="rId1" w:history="1">
      <w:r w:rsidRPr="0080756D">
        <w:rPr>
          <w:rStyle w:val="Hyperlink"/>
          <w:sz w:val="20"/>
          <w:szCs w:val="20"/>
        </w:rPr>
        <w:t>http://www.sciencepub.net/researcher</w:t>
      </w:r>
    </w:hyperlink>
  </w:p>
  <w:p w:rsidR="0080756D" w:rsidRPr="0080756D" w:rsidRDefault="0080756D" w:rsidP="0080756D">
    <w:pPr>
      <w:tabs>
        <w:tab w:val="left" w:pos="851"/>
        <w:tab w:val="right" w:pos="8364"/>
      </w:tabs>
      <w:adjustRightInd w:val="0"/>
      <w:snapToGrid w:val="0"/>
      <w:jc w:val="both"/>
      <w:rPr>
        <w:sz w:val="20"/>
        <w:szCs w:val="20"/>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D" w:rsidRPr="0080756D" w:rsidRDefault="0080756D" w:rsidP="0080756D">
    <w:pPr>
      <w:pBdr>
        <w:bottom w:val="thinThickMediumGap" w:sz="12" w:space="1" w:color="auto"/>
      </w:pBdr>
      <w:tabs>
        <w:tab w:val="left" w:pos="851"/>
        <w:tab w:val="right" w:pos="8364"/>
      </w:tabs>
      <w:adjustRightInd w:val="0"/>
      <w:snapToGrid w:val="0"/>
      <w:jc w:val="both"/>
      <w:rPr>
        <w:iCs/>
        <w:sz w:val="20"/>
        <w:szCs w:val="20"/>
      </w:rPr>
    </w:pPr>
    <w:r w:rsidRPr="0080756D">
      <w:rPr>
        <w:rFonts w:hint="eastAsia"/>
        <w:iCs/>
        <w:color w:val="000000"/>
        <w:sz w:val="20"/>
        <w:szCs w:val="20"/>
      </w:rPr>
      <w:tab/>
    </w:r>
    <w:r w:rsidRPr="0080756D">
      <w:rPr>
        <w:iCs/>
        <w:color w:val="000000"/>
        <w:sz w:val="20"/>
        <w:szCs w:val="20"/>
      </w:rPr>
      <w:t xml:space="preserve">Researcher </w:t>
    </w:r>
    <w:r w:rsidRPr="0080756D">
      <w:rPr>
        <w:iCs/>
        <w:sz w:val="20"/>
        <w:szCs w:val="20"/>
      </w:rPr>
      <w:t>201</w:t>
    </w:r>
    <w:r w:rsidRPr="0080756D">
      <w:rPr>
        <w:rFonts w:hint="eastAsia"/>
        <w:iCs/>
        <w:sz w:val="20"/>
        <w:szCs w:val="20"/>
      </w:rPr>
      <w:t>7</w:t>
    </w:r>
    <w:r w:rsidRPr="0080756D">
      <w:rPr>
        <w:iCs/>
        <w:sz w:val="20"/>
        <w:szCs w:val="20"/>
      </w:rPr>
      <w:t>;</w:t>
    </w:r>
    <w:r w:rsidRPr="0080756D">
      <w:rPr>
        <w:rFonts w:hint="eastAsia"/>
        <w:iCs/>
        <w:sz w:val="20"/>
        <w:szCs w:val="20"/>
      </w:rPr>
      <w:t>9</w:t>
    </w:r>
    <w:r w:rsidRPr="0080756D">
      <w:rPr>
        <w:iCs/>
        <w:sz w:val="20"/>
        <w:szCs w:val="20"/>
      </w:rPr>
      <w:t>(</w:t>
    </w:r>
    <w:r w:rsidRPr="0080756D">
      <w:rPr>
        <w:rFonts w:hint="eastAsia"/>
        <w:iCs/>
        <w:sz w:val="20"/>
        <w:szCs w:val="20"/>
      </w:rPr>
      <w:t>7</w:t>
    </w:r>
    <w:r w:rsidRPr="0080756D">
      <w:rPr>
        <w:iCs/>
        <w:sz w:val="20"/>
        <w:szCs w:val="20"/>
      </w:rPr>
      <w:t xml:space="preserve">)  </w:t>
    </w:r>
    <w:r w:rsidRPr="0080756D">
      <w:rPr>
        <w:rFonts w:hint="eastAsia"/>
        <w:iCs/>
        <w:sz w:val="20"/>
        <w:szCs w:val="20"/>
      </w:rPr>
      <w:t xml:space="preserve"> </w:t>
    </w:r>
    <w:r w:rsidRPr="0080756D">
      <w:rPr>
        <w:iCs/>
        <w:sz w:val="20"/>
        <w:szCs w:val="20"/>
      </w:rPr>
      <w:t xml:space="preserve"> </w:t>
    </w:r>
    <w:r w:rsidRPr="0080756D">
      <w:rPr>
        <w:rFonts w:hint="eastAsia"/>
        <w:iCs/>
        <w:sz w:val="20"/>
        <w:szCs w:val="20"/>
      </w:rPr>
      <w:tab/>
    </w:r>
    <w:r w:rsidRPr="0080756D">
      <w:rPr>
        <w:iCs/>
        <w:sz w:val="20"/>
        <w:szCs w:val="20"/>
      </w:rPr>
      <w:t xml:space="preserve">    </w:t>
    </w:r>
    <w:r w:rsidRPr="0080756D">
      <w:rPr>
        <w:sz w:val="20"/>
        <w:szCs w:val="20"/>
      </w:rPr>
      <w:t xml:space="preserve"> </w:t>
    </w:r>
    <w:hyperlink r:id="rId1" w:history="1">
      <w:r w:rsidRPr="0080756D">
        <w:rPr>
          <w:rStyle w:val="Hyperlink"/>
          <w:sz w:val="20"/>
          <w:szCs w:val="20"/>
        </w:rPr>
        <w:t>http://www.sciencepub.net/researcher</w:t>
      </w:r>
    </w:hyperlink>
  </w:p>
  <w:p w:rsidR="0080756D" w:rsidRPr="0080756D" w:rsidRDefault="0080756D" w:rsidP="0080756D">
    <w:pPr>
      <w:tabs>
        <w:tab w:val="left" w:pos="851"/>
        <w:tab w:val="right" w:pos="8364"/>
      </w:tabs>
      <w:adjustRightInd w:val="0"/>
      <w:snapToGrid w:val="0"/>
      <w:jc w:val="both"/>
      <w:rPr>
        <w:sz w:val="20"/>
        <w:szCs w:val="20"/>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D" w:rsidRPr="0080756D" w:rsidRDefault="0080756D" w:rsidP="0080756D">
    <w:pPr>
      <w:pBdr>
        <w:bottom w:val="thinThickMediumGap" w:sz="12" w:space="1" w:color="auto"/>
      </w:pBdr>
      <w:tabs>
        <w:tab w:val="left" w:pos="851"/>
        <w:tab w:val="right" w:pos="8364"/>
      </w:tabs>
      <w:adjustRightInd w:val="0"/>
      <w:snapToGrid w:val="0"/>
      <w:jc w:val="both"/>
      <w:rPr>
        <w:iCs/>
        <w:sz w:val="20"/>
        <w:szCs w:val="20"/>
      </w:rPr>
    </w:pPr>
    <w:r w:rsidRPr="0080756D">
      <w:rPr>
        <w:rFonts w:hint="eastAsia"/>
        <w:iCs/>
        <w:color w:val="000000"/>
        <w:sz w:val="20"/>
        <w:szCs w:val="20"/>
      </w:rPr>
      <w:tab/>
    </w:r>
    <w:r w:rsidRPr="0080756D">
      <w:rPr>
        <w:iCs/>
        <w:color w:val="000000"/>
        <w:sz w:val="20"/>
        <w:szCs w:val="20"/>
      </w:rPr>
      <w:t xml:space="preserve">Researcher </w:t>
    </w:r>
    <w:r w:rsidRPr="0080756D">
      <w:rPr>
        <w:iCs/>
        <w:sz w:val="20"/>
        <w:szCs w:val="20"/>
      </w:rPr>
      <w:t>201</w:t>
    </w:r>
    <w:r w:rsidRPr="0080756D">
      <w:rPr>
        <w:rFonts w:hint="eastAsia"/>
        <w:iCs/>
        <w:sz w:val="20"/>
        <w:szCs w:val="20"/>
      </w:rPr>
      <w:t>7</w:t>
    </w:r>
    <w:r w:rsidRPr="0080756D">
      <w:rPr>
        <w:iCs/>
        <w:sz w:val="20"/>
        <w:szCs w:val="20"/>
      </w:rPr>
      <w:t>;</w:t>
    </w:r>
    <w:r w:rsidRPr="0080756D">
      <w:rPr>
        <w:rFonts w:hint="eastAsia"/>
        <w:iCs/>
        <w:sz w:val="20"/>
        <w:szCs w:val="20"/>
      </w:rPr>
      <w:t>9</w:t>
    </w:r>
    <w:r w:rsidRPr="0080756D">
      <w:rPr>
        <w:iCs/>
        <w:sz w:val="20"/>
        <w:szCs w:val="20"/>
      </w:rPr>
      <w:t>(</w:t>
    </w:r>
    <w:r w:rsidRPr="0080756D">
      <w:rPr>
        <w:rFonts w:hint="eastAsia"/>
        <w:iCs/>
        <w:sz w:val="20"/>
        <w:szCs w:val="20"/>
      </w:rPr>
      <w:t>7</w:t>
    </w:r>
    <w:r w:rsidRPr="0080756D">
      <w:rPr>
        <w:iCs/>
        <w:sz w:val="20"/>
        <w:szCs w:val="20"/>
      </w:rPr>
      <w:t xml:space="preserve">)  </w:t>
    </w:r>
    <w:r w:rsidRPr="0080756D">
      <w:rPr>
        <w:rFonts w:hint="eastAsia"/>
        <w:iCs/>
        <w:sz w:val="20"/>
        <w:szCs w:val="20"/>
      </w:rPr>
      <w:t xml:space="preserve"> </w:t>
    </w:r>
    <w:r w:rsidRPr="0080756D">
      <w:rPr>
        <w:iCs/>
        <w:sz w:val="20"/>
        <w:szCs w:val="20"/>
      </w:rPr>
      <w:t xml:space="preserve"> </w:t>
    </w:r>
    <w:r w:rsidRPr="0080756D">
      <w:rPr>
        <w:rFonts w:hint="eastAsia"/>
        <w:iCs/>
        <w:sz w:val="20"/>
        <w:szCs w:val="20"/>
      </w:rPr>
      <w:tab/>
    </w:r>
    <w:r w:rsidRPr="0080756D">
      <w:rPr>
        <w:iCs/>
        <w:sz w:val="20"/>
        <w:szCs w:val="20"/>
      </w:rPr>
      <w:t xml:space="preserve">    </w:t>
    </w:r>
    <w:r w:rsidRPr="0080756D">
      <w:rPr>
        <w:sz w:val="20"/>
        <w:szCs w:val="20"/>
      </w:rPr>
      <w:t xml:space="preserve"> </w:t>
    </w:r>
    <w:hyperlink r:id="rId1" w:history="1">
      <w:r w:rsidRPr="0080756D">
        <w:rPr>
          <w:rStyle w:val="Hyperlink"/>
          <w:sz w:val="20"/>
          <w:szCs w:val="20"/>
        </w:rPr>
        <w:t>http://www.sciencepub.net/researcher</w:t>
      </w:r>
    </w:hyperlink>
  </w:p>
  <w:p w:rsidR="0080756D" w:rsidRPr="0080756D" w:rsidRDefault="0080756D" w:rsidP="0080756D">
    <w:pPr>
      <w:tabs>
        <w:tab w:val="left" w:pos="851"/>
        <w:tab w:val="right" w:pos="8364"/>
      </w:tabs>
      <w:adjustRightInd w:val="0"/>
      <w:snapToGrid w:val="0"/>
      <w:jc w:val="both"/>
      <w:rPr>
        <w:sz w:val="20"/>
        <w:szCs w:val="20"/>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56D" w:rsidRPr="0080756D" w:rsidRDefault="0080756D" w:rsidP="0080756D">
    <w:pPr>
      <w:pBdr>
        <w:bottom w:val="thinThickMediumGap" w:sz="12" w:space="1" w:color="auto"/>
      </w:pBdr>
      <w:tabs>
        <w:tab w:val="left" w:pos="851"/>
        <w:tab w:val="right" w:pos="8364"/>
      </w:tabs>
      <w:adjustRightInd w:val="0"/>
      <w:snapToGrid w:val="0"/>
      <w:jc w:val="both"/>
      <w:rPr>
        <w:iCs/>
        <w:sz w:val="20"/>
        <w:szCs w:val="20"/>
      </w:rPr>
    </w:pPr>
    <w:r w:rsidRPr="0080756D">
      <w:rPr>
        <w:rFonts w:hint="eastAsia"/>
        <w:iCs/>
        <w:color w:val="000000"/>
        <w:sz w:val="20"/>
        <w:szCs w:val="20"/>
      </w:rPr>
      <w:tab/>
    </w:r>
    <w:r w:rsidRPr="0080756D">
      <w:rPr>
        <w:iCs/>
        <w:color w:val="000000"/>
        <w:sz w:val="20"/>
        <w:szCs w:val="20"/>
      </w:rPr>
      <w:t xml:space="preserve">Researcher </w:t>
    </w:r>
    <w:r w:rsidRPr="0080756D">
      <w:rPr>
        <w:iCs/>
        <w:sz w:val="20"/>
        <w:szCs w:val="20"/>
      </w:rPr>
      <w:t>201</w:t>
    </w:r>
    <w:r w:rsidRPr="0080756D">
      <w:rPr>
        <w:rFonts w:hint="eastAsia"/>
        <w:iCs/>
        <w:sz w:val="20"/>
        <w:szCs w:val="20"/>
      </w:rPr>
      <w:t>7</w:t>
    </w:r>
    <w:r w:rsidRPr="0080756D">
      <w:rPr>
        <w:iCs/>
        <w:sz w:val="20"/>
        <w:szCs w:val="20"/>
      </w:rPr>
      <w:t>;</w:t>
    </w:r>
    <w:r w:rsidRPr="0080756D">
      <w:rPr>
        <w:rFonts w:hint="eastAsia"/>
        <w:iCs/>
        <w:sz w:val="20"/>
        <w:szCs w:val="20"/>
      </w:rPr>
      <w:t>9</w:t>
    </w:r>
    <w:r w:rsidRPr="0080756D">
      <w:rPr>
        <w:iCs/>
        <w:sz w:val="20"/>
        <w:szCs w:val="20"/>
      </w:rPr>
      <w:t>(</w:t>
    </w:r>
    <w:r w:rsidRPr="0080756D">
      <w:rPr>
        <w:rFonts w:hint="eastAsia"/>
        <w:iCs/>
        <w:sz w:val="20"/>
        <w:szCs w:val="20"/>
      </w:rPr>
      <w:t>7</w:t>
    </w:r>
    <w:r w:rsidRPr="0080756D">
      <w:rPr>
        <w:iCs/>
        <w:sz w:val="20"/>
        <w:szCs w:val="20"/>
      </w:rPr>
      <w:t xml:space="preserve">)  </w:t>
    </w:r>
    <w:r w:rsidRPr="0080756D">
      <w:rPr>
        <w:rFonts w:hint="eastAsia"/>
        <w:iCs/>
        <w:sz w:val="20"/>
        <w:szCs w:val="20"/>
      </w:rPr>
      <w:t xml:space="preserve"> </w:t>
    </w:r>
    <w:r w:rsidRPr="0080756D">
      <w:rPr>
        <w:iCs/>
        <w:sz w:val="20"/>
        <w:szCs w:val="20"/>
      </w:rPr>
      <w:t xml:space="preserve"> </w:t>
    </w:r>
    <w:r w:rsidRPr="0080756D">
      <w:rPr>
        <w:rFonts w:hint="eastAsia"/>
        <w:iCs/>
        <w:sz w:val="20"/>
        <w:szCs w:val="20"/>
      </w:rPr>
      <w:tab/>
    </w:r>
    <w:r w:rsidRPr="0080756D">
      <w:rPr>
        <w:iCs/>
        <w:sz w:val="20"/>
        <w:szCs w:val="20"/>
      </w:rPr>
      <w:t xml:space="preserve">    </w:t>
    </w:r>
    <w:r w:rsidRPr="0080756D">
      <w:rPr>
        <w:sz w:val="20"/>
        <w:szCs w:val="20"/>
      </w:rPr>
      <w:t xml:space="preserve"> </w:t>
    </w:r>
    <w:hyperlink r:id="rId1" w:history="1">
      <w:r w:rsidRPr="0080756D">
        <w:rPr>
          <w:rStyle w:val="Hyperlink"/>
          <w:sz w:val="20"/>
          <w:szCs w:val="20"/>
        </w:rPr>
        <w:t>http://www.sciencepub.net/researcher</w:t>
      </w:r>
    </w:hyperlink>
  </w:p>
  <w:p w:rsidR="0080756D" w:rsidRPr="0080756D" w:rsidRDefault="0080756D" w:rsidP="0080756D">
    <w:pPr>
      <w:tabs>
        <w:tab w:val="left" w:pos="851"/>
        <w:tab w:val="right" w:pos="8364"/>
      </w:tabs>
      <w:adjustRightInd w:val="0"/>
      <w:snapToGrid w:val="0"/>
      <w:jc w:val="both"/>
      <w:rPr>
        <w:sz w:val="20"/>
        <w:szCs w:val="20"/>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6C6" w:rsidRPr="00945DBB" w:rsidRDefault="000B46C6" w:rsidP="000B46C6">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Pr>
        <w:iCs/>
        <w:color w:val="000000"/>
        <w:sz w:val="20"/>
        <w:szCs w:val="20"/>
      </w:rPr>
      <w:t>Researcher</w:t>
    </w:r>
    <w:r w:rsidRPr="00945DBB">
      <w:rPr>
        <w:iCs/>
        <w:color w:val="000000"/>
        <w:sz w:val="20"/>
        <w:szCs w:val="20"/>
      </w:rPr>
      <w:t xml:space="preserve"> </w:t>
    </w:r>
    <w:r w:rsidRPr="00945DBB">
      <w:rPr>
        <w:iCs/>
        <w:sz w:val="20"/>
        <w:szCs w:val="20"/>
      </w:rPr>
      <w:t>201</w:t>
    </w:r>
    <w:r w:rsidR="00101735">
      <w:rPr>
        <w:iCs/>
        <w:sz w:val="20"/>
        <w:szCs w:val="20"/>
      </w:rPr>
      <w:t>7</w:t>
    </w:r>
    <w:r w:rsidRPr="00945DBB">
      <w:rPr>
        <w:iCs/>
        <w:sz w:val="20"/>
        <w:szCs w:val="20"/>
      </w:rPr>
      <w:t>;</w:t>
    </w:r>
    <w:r w:rsidR="00101735">
      <w:rPr>
        <w:iCs/>
        <w:sz w:val="20"/>
        <w:szCs w:val="20"/>
      </w:rPr>
      <w:t>9</w:t>
    </w:r>
    <w:r w:rsidRPr="00945DBB">
      <w:rPr>
        <w:iCs/>
        <w:sz w:val="20"/>
        <w:szCs w:val="20"/>
      </w:rPr>
      <w:t>(</w:t>
    </w:r>
    <w:r>
      <w:rPr>
        <w:iCs/>
        <w:sz w:val="20"/>
        <w:szCs w:val="20"/>
      </w:rPr>
      <w:t>x</w:t>
    </w:r>
    <w:r w:rsidRPr="00945DBB">
      <w:rPr>
        <w:iCs/>
        <w:sz w:val="20"/>
        <w:szCs w:val="20"/>
      </w:rPr>
      <w:t xml:space="preserve">)                                     </w:t>
    </w:r>
    <w:r w:rsidRPr="00945DBB">
      <w:rPr>
        <w:sz w:val="20"/>
        <w:szCs w:val="20"/>
      </w:rPr>
      <w:t xml:space="preserve"> </w:t>
    </w:r>
    <w:hyperlink r:id="rId1" w:history="1">
      <w:r w:rsidRPr="00945DBB">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D778C9" w:rsidRPr="000B46C6" w:rsidRDefault="00D778C9" w:rsidP="000B46C6">
    <w:pPr>
      <w:pStyle w:val="Header"/>
      <w:rPr>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B936914"/>
    <w:multiLevelType w:val="hybridMultilevel"/>
    <w:tmpl w:val="CBC83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D0B3E63"/>
    <w:multiLevelType w:val="hybridMultilevel"/>
    <w:tmpl w:val="4030D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8702EB"/>
    <w:multiLevelType w:val="hybridMultilevel"/>
    <w:tmpl w:val="D0362FF2"/>
    <w:lvl w:ilvl="0" w:tplc="BEFA2C0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15361"/>
  </w:hdrShapeDefaults>
  <w:footnotePr>
    <w:pos w:val="beneathText"/>
    <w:footnote w:id="-1"/>
    <w:footnote w:id="0"/>
  </w:footnotePr>
  <w:endnotePr>
    <w:endnote w:id="-1"/>
    <w:endnote w:id="0"/>
  </w:endnotePr>
  <w:compat>
    <w:useFELayout/>
  </w:compat>
  <w:rsids>
    <w:rsidRoot w:val="009459B3"/>
    <w:rsid w:val="00000358"/>
    <w:rsid w:val="00001440"/>
    <w:rsid w:val="00005C8E"/>
    <w:rsid w:val="000075A2"/>
    <w:rsid w:val="00012408"/>
    <w:rsid w:val="000410CC"/>
    <w:rsid w:val="00051141"/>
    <w:rsid w:val="00056A16"/>
    <w:rsid w:val="0006091F"/>
    <w:rsid w:val="00066C52"/>
    <w:rsid w:val="00080CE9"/>
    <w:rsid w:val="000827B7"/>
    <w:rsid w:val="000844D7"/>
    <w:rsid w:val="00086790"/>
    <w:rsid w:val="00090A06"/>
    <w:rsid w:val="000A0250"/>
    <w:rsid w:val="000B46C6"/>
    <w:rsid w:val="00101735"/>
    <w:rsid w:val="00106105"/>
    <w:rsid w:val="00111695"/>
    <w:rsid w:val="00151D07"/>
    <w:rsid w:val="00156A9B"/>
    <w:rsid w:val="001817C7"/>
    <w:rsid w:val="00183764"/>
    <w:rsid w:val="00190258"/>
    <w:rsid w:val="001964D0"/>
    <w:rsid w:val="001B37C1"/>
    <w:rsid w:val="001B41B8"/>
    <w:rsid w:val="001B650D"/>
    <w:rsid w:val="001C3D42"/>
    <w:rsid w:val="00205E97"/>
    <w:rsid w:val="00245C21"/>
    <w:rsid w:val="002721F1"/>
    <w:rsid w:val="00282FA1"/>
    <w:rsid w:val="002B5613"/>
    <w:rsid w:val="002D3558"/>
    <w:rsid w:val="002D589A"/>
    <w:rsid w:val="002F20CD"/>
    <w:rsid w:val="002F49EF"/>
    <w:rsid w:val="00305B86"/>
    <w:rsid w:val="00314F95"/>
    <w:rsid w:val="003169A5"/>
    <w:rsid w:val="00322FAB"/>
    <w:rsid w:val="00343CDB"/>
    <w:rsid w:val="00345581"/>
    <w:rsid w:val="0034702D"/>
    <w:rsid w:val="003679A0"/>
    <w:rsid w:val="00380762"/>
    <w:rsid w:val="00394B65"/>
    <w:rsid w:val="003A785E"/>
    <w:rsid w:val="003B0EDB"/>
    <w:rsid w:val="003B55FF"/>
    <w:rsid w:val="003B651F"/>
    <w:rsid w:val="003C0116"/>
    <w:rsid w:val="003C4C28"/>
    <w:rsid w:val="003D169F"/>
    <w:rsid w:val="003E7FC6"/>
    <w:rsid w:val="00410669"/>
    <w:rsid w:val="0043645D"/>
    <w:rsid w:val="00454A59"/>
    <w:rsid w:val="00456753"/>
    <w:rsid w:val="00457277"/>
    <w:rsid w:val="00471E57"/>
    <w:rsid w:val="00480715"/>
    <w:rsid w:val="00490478"/>
    <w:rsid w:val="0049143E"/>
    <w:rsid w:val="004A1C62"/>
    <w:rsid w:val="004C7E2A"/>
    <w:rsid w:val="004D01D3"/>
    <w:rsid w:val="004D0467"/>
    <w:rsid w:val="004F4AFB"/>
    <w:rsid w:val="00520D1A"/>
    <w:rsid w:val="0052512B"/>
    <w:rsid w:val="00553F9B"/>
    <w:rsid w:val="005575C8"/>
    <w:rsid w:val="00593132"/>
    <w:rsid w:val="005A21B0"/>
    <w:rsid w:val="005A5E42"/>
    <w:rsid w:val="005C2F35"/>
    <w:rsid w:val="005D1DA6"/>
    <w:rsid w:val="005E3DE2"/>
    <w:rsid w:val="005F11C2"/>
    <w:rsid w:val="005F5E04"/>
    <w:rsid w:val="00606B72"/>
    <w:rsid w:val="00612BBC"/>
    <w:rsid w:val="0065209A"/>
    <w:rsid w:val="00657995"/>
    <w:rsid w:val="006B5399"/>
    <w:rsid w:val="006C42D2"/>
    <w:rsid w:val="006D5C2E"/>
    <w:rsid w:val="006E6ACB"/>
    <w:rsid w:val="006E7156"/>
    <w:rsid w:val="006F1706"/>
    <w:rsid w:val="0074387D"/>
    <w:rsid w:val="00744442"/>
    <w:rsid w:val="007725E7"/>
    <w:rsid w:val="0078507E"/>
    <w:rsid w:val="007A0D02"/>
    <w:rsid w:val="007B01CC"/>
    <w:rsid w:val="007D3D09"/>
    <w:rsid w:val="007D746F"/>
    <w:rsid w:val="007F763B"/>
    <w:rsid w:val="0080756D"/>
    <w:rsid w:val="008131CF"/>
    <w:rsid w:val="00814FA7"/>
    <w:rsid w:val="008233D0"/>
    <w:rsid w:val="0083631D"/>
    <w:rsid w:val="0085007D"/>
    <w:rsid w:val="00855714"/>
    <w:rsid w:val="00875C08"/>
    <w:rsid w:val="00890E1C"/>
    <w:rsid w:val="008A20AC"/>
    <w:rsid w:val="008A67B6"/>
    <w:rsid w:val="0091208A"/>
    <w:rsid w:val="00914558"/>
    <w:rsid w:val="0091470C"/>
    <w:rsid w:val="00935CF7"/>
    <w:rsid w:val="0094140D"/>
    <w:rsid w:val="009459B3"/>
    <w:rsid w:val="00952EB8"/>
    <w:rsid w:val="00985C66"/>
    <w:rsid w:val="00997A8E"/>
    <w:rsid w:val="009A3681"/>
    <w:rsid w:val="009C0A3D"/>
    <w:rsid w:val="00A1557F"/>
    <w:rsid w:val="00A3476D"/>
    <w:rsid w:val="00A67749"/>
    <w:rsid w:val="00A95489"/>
    <w:rsid w:val="00AB2067"/>
    <w:rsid w:val="00AE1974"/>
    <w:rsid w:val="00B04D00"/>
    <w:rsid w:val="00B3167C"/>
    <w:rsid w:val="00B36B45"/>
    <w:rsid w:val="00B60E8D"/>
    <w:rsid w:val="00B80C0E"/>
    <w:rsid w:val="00B918AE"/>
    <w:rsid w:val="00B94E19"/>
    <w:rsid w:val="00BA1AFB"/>
    <w:rsid w:val="00BA6E10"/>
    <w:rsid w:val="00BD2A8D"/>
    <w:rsid w:val="00BE3CA6"/>
    <w:rsid w:val="00BF6579"/>
    <w:rsid w:val="00C0761F"/>
    <w:rsid w:val="00C101C9"/>
    <w:rsid w:val="00C44596"/>
    <w:rsid w:val="00C60D61"/>
    <w:rsid w:val="00C92003"/>
    <w:rsid w:val="00CC4387"/>
    <w:rsid w:val="00CE7B2F"/>
    <w:rsid w:val="00CF18C5"/>
    <w:rsid w:val="00CF24FB"/>
    <w:rsid w:val="00CF6616"/>
    <w:rsid w:val="00D04C27"/>
    <w:rsid w:val="00D13147"/>
    <w:rsid w:val="00D26F2E"/>
    <w:rsid w:val="00D36A1E"/>
    <w:rsid w:val="00D3777A"/>
    <w:rsid w:val="00D43B34"/>
    <w:rsid w:val="00D56002"/>
    <w:rsid w:val="00D778C9"/>
    <w:rsid w:val="00DB3049"/>
    <w:rsid w:val="00DC3A86"/>
    <w:rsid w:val="00DD2966"/>
    <w:rsid w:val="00DF6507"/>
    <w:rsid w:val="00DF7353"/>
    <w:rsid w:val="00E01472"/>
    <w:rsid w:val="00E015B9"/>
    <w:rsid w:val="00E32FF1"/>
    <w:rsid w:val="00E34501"/>
    <w:rsid w:val="00E34DBD"/>
    <w:rsid w:val="00E52EA0"/>
    <w:rsid w:val="00E57761"/>
    <w:rsid w:val="00E60FB6"/>
    <w:rsid w:val="00E617EB"/>
    <w:rsid w:val="00E64A8F"/>
    <w:rsid w:val="00E73E1D"/>
    <w:rsid w:val="00E86416"/>
    <w:rsid w:val="00E975D7"/>
    <w:rsid w:val="00EB4776"/>
    <w:rsid w:val="00EB51F4"/>
    <w:rsid w:val="00EC565A"/>
    <w:rsid w:val="00EC5C53"/>
    <w:rsid w:val="00ED0518"/>
    <w:rsid w:val="00ED4441"/>
    <w:rsid w:val="00ED4A29"/>
    <w:rsid w:val="00ED4ED9"/>
    <w:rsid w:val="00EE1CEE"/>
    <w:rsid w:val="00EE1F4B"/>
    <w:rsid w:val="00EF0AE5"/>
    <w:rsid w:val="00F03305"/>
    <w:rsid w:val="00F04B72"/>
    <w:rsid w:val="00F2228B"/>
    <w:rsid w:val="00F62573"/>
    <w:rsid w:val="00F83A62"/>
    <w:rsid w:val="00FA6D77"/>
    <w:rsid w:val="00FB5B6A"/>
    <w:rsid w:val="00FC4906"/>
    <w:rsid w:val="00FD1F77"/>
    <w:rsid w:val="00FF5835"/>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156A9B"/>
    <w:pPr>
      <w:keepNext/>
      <w:numPr>
        <w:numId w:val="1"/>
      </w:numPr>
      <w:outlineLvl w:val="0"/>
    </w:pPr>
    <w:rPr>
      <w:b/>
      <w:bCs/>
      <w:sz w:val="32"/>
    </w:rPr>
  </w:style>
  <w:style w:type="paragraph" w:styleId="Heading2">
    <w:name w:val="heading 2"/>
    <w:basedOn w:val="Normal"/>
    <w:next w:val="Normal"/>
    <w:qFormat/>
    <w:rsid w:val="00156A9B"/>
    <w:pPr>
      <w:keepNext/>
      <w:numPr>
        <w:ilvl w:val="1"/>
        <w:numId w:val="1"/>
      </w:numPr>
      <w:jc w:val="both"/>
      <w:outlineLvl w:val="1"/>
    </w:pPr>
    <w:rPr>
      <w:b/>
      <w:sz w:val="28"/>
    </w:rPr>
  </w:style>
  <w:style w:type="paragraph" w:styleId="Heading3">
    <w:name w:val="heading 3"/>
    <w:basedOn w:val="Normal"/>
    <w:next w:val="Normal"/>
    <w:qFormat/>
    <w:rsid w:val="00156A9B"/>
    <w:pPr>
      <w:keepNext/>
      <w:numPr>
        <w:ilvl w:val="2"/>
        <w:numId w:val="1"/>
      </w:numPr>
      <w:spacing w:line="360" w:lineRule="auto"/>
      <w:jc w:val="both"/>
      <w:outlineLvl w:val="2"/>
    </w:pPr>
    <w:rPr>
      <w:b/>
      <w:bCs/>
    </w:rPr>
  </w:style>
  <w:style w:type="paragraph" w:styleId="Heading6">
    <w:name w:val="heading 6"/>
    <w:basedOn w:val="Normal"/>
    <w:next w:val="Normal"/>
    <w:qFormat/>
    <w:rsid w:val="00156A9B"/>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156A9B"/>
  </w:style>
  <w:style w:type="character" w:customStyle="1" w:styleId="WW-Absatz-Standardschriftart">
    <w:name w:val="WW-Absatz-Standardschriftart"/>
    <w:rsid w:val="00156A9B"/>
  </w:style>
  <w:style w:type="character" w:customStyle="1" w:styleId="WW-Absatz-Standardschriftart1">
    <w:name w:val="WW-Absatz-Standardschriftart1"/>
    <w:rsid w:val="00156A9B"/>
  </w:style>
  <w:style w:type="character" w:customStyle="1" w:styleId="WW-Absatz-Standardschriftart11">
    <w:name w:val="WW-Absatz-Standardschriftart11"/>
    <w:rsid w:val="00156A9B"/>
  </w:style>
  <w:style w:type="character" w:customStyle="1" w:styleId="WW-Absatz-Standardschriftart111">
    <w:name w:val="WW-Absatz-Standardschriftart111"/>
    <w:rsid w:val="00156A9B"/>
  </w:style>
  <w:style w:type="character" w:customStyle="1" w:styleId="WW-Absatz-Standardschriftart1111">
    <w:name w:val="WW-Absatz-Standardschriftart1111"/>
    <w:rsid w:val="00156A9B"/>
  </w:style>
  <w:style w:type="character" w:customStyle="1" w:styleId="WW-Absatz-Standardschriftart11111">
    <w:name w:val="WW-Absatz-Standardschriftart11111"/>
    <w:rsid w:val="00156A9B"/>
  </w:style>
  <w:style w:type="character" w:customStyle="1" w:styleId="WW-Absatz-Standardschriftart111111">
    <w:name w:val="WW-Absatz-Standardschriftart111111"/>
    <w:rsid w:val="00156A9B"/>
  </w:style>
  <w:style w:type="character" w:customStyle="1" w:styleId="WW-Absatz-Standardschriftart1111111">
    <w:name w:val="WW-Absatz-Standardschriftart1111111"/>
    <w:rsid w:val="00156A9B"/>
  </w:style>
  <w:style w:type="character" w:customStyle="1" w:styleId="WW-Absatz-Standardschriftart11111111">
    <w:name w:val="WW-Absatz-Standardschriftart11111111"/>
    <w:rsid w:val="00156A9B"/>
  </w:style>
  <w:style w:type="character" w:customStyle="1" w:styleId="WW-Absatz-Standardschriftart111111111">
    <w:name w:val="WW-Absatz-Standardschriftart111111111"/>
    <w:rsid w:val="00156A9B"/>
  </w:style>
  <w:style w:type="character" w:customStyle="1" w:styleId="WW-Absatz-Standardschriftart1111111111">
    <w:name w:val="WW-Absatz-Standardschriftart1111111111"/>
    <w:rsid w:val="00156A9B"/>
  </w:style>
  <w:style w:type="character" w:customStyle="1" w:styleId="WW-Absatz-Standardschriftart11111111111">
    <w:name w:val="WW-Absatz-Standardschriftart11111111111"/>
    <w:rsid w:val="00156A9B"/>
  </w:style>
  <w:style w:type="character" w:customStyle="1" w:styleId="WW-Absatz-Standardschriftart111111111111">
    <w:name w:val="WW-Absatz-Standardschriftart111111111111"/>
    <w:rsid w:val="00156A9B"/>
  </w:style>
  <w:style w:type="character" w:customStyle="1" w:styleId="WW-Absatz-Standardschriftart1111111111111">
    <w:name w:val="WW-Absatz-Standardschriftart1111111111111"/>
    <w:rsid w:val="00156A9B"/>
  </w:style>
  <w:style w:type="character" w:customStyle="1" w:styleId="WW-Absatz-Standardschriftart11111111111111">
    <w:name w:val="WW-Absatz-Standardschriftart11111111111111"/>
    <w:rsid w:val="00156A9B"/>
  </w:style>
  <w:style w:type="character" w:customStyle="1" w:styleId="WW-Absatz-Standardschriftart111111111111111">
    <w:name w:val="WW-Absatz-Standardschriftart111111111111111"/>
    <w:rsid w:val="00156A9B"/>
  </w:style>
  <w:style w:type="character" w:customStyle="1" w:styleId="WW-Absatz-Standardschriftart1111111111111111">
    <w:name w:val="WW-Absatz-Standardschriftart1111111111111111"/>
    <w:rsid w:val="00156A9B"/>
  </w:style>
  <w:style w:type="character" w:customStyle="1" w:styleId="WW8Num1z0">
    <w:name w:val="WW8Num1z0"/>
    <w:rsid w:val="00156A9B"/>
    <w:rPr>
      <w:rFonts w:ascii="Symbol" w:eastAsia="Times New Roman" w:hAnsi="Symbol" w:cs="Times New Roman"/>
    </w:rPr>
  </w:style>
  <w:style w:type="character" w:customStyle="1" w:styleId="WW8Num1z1">
    <w:name w:val="WW8Num1z1"/>
    <w:rsid w:val="00156A9B"/>
    <w:rPr>
      <w:rFonts w:ascii="Courier New" w:hAnsi="Courier New" w:cs="Courier New"/>
    </w:rPr>
  </w:style>
  <w:style w:type="character" w:customStyle="1" w:styleId="WW8Num1z2">
    <w:name w:val="WW8Num1z2"/>
    <w:rsid w:val="00156A9B"/>
    <w:rPr>
      <w:rFonts w:ascii="Wingdings" w:hAnsi="Wingdings"/>
    </w:rPr>
  </w:style>
  <w:style w:type="character" w:customStyle="1" w:styleId="WW8Num1z3">
    <w:name w:val="WW8Num1z3"/>
    <w:rsid w:val="00156A9B"/>
    <w:rPr>
      <w:rFonts w:ascii="Symbol" w:hAnsi="Symbol"/>
    </w:rPr>
  </w:style>
  <w:style w:type="character" w:styleId="PageNumber">
    <w:name w:val="page number"/>
    <w:basedOn w:val="DefaultParagraphFont"/>
    <w:rsid w:val="00156A9B"/>
  </w:style>
  <w:style w:type="character" w:styleId="Hyperlink">
    <w:name w:val="Hyperlink"/>
    <w:basedOn w:val="DefaultParagraphFont"/>
    <w:rsid w:val="00156A9B"/>
    <w:rPr>
      <w:color w:val="0000FF"/>
      <w:u w:val="single"/>
    </w:rPr>
  </w:style>
  <w:style w:type="character" w:styleId="FollowedHyperlink">
    <w:name w:val="FollowedHyperlink"/>
    <w:basedOn w:val="DefaultParagraphFont"/>
    <w:rsid w:val="00156A9B"/>
    <w:rPr>
      <w:color w:val="800080"/>
      <w:u w:val="single"/>
    </w:rPr>
  </w:style>
  <w:style w:type="character" w:customStyle="1" w:styleId="NumberingSymbols">
    <w:name w:val="Numbering Symbols"/>
    <w:rsid w:val="00156A9B"/>
  </w:style>
  <w:style w:type="paragraph" w:customStyle="1" w:styleId="Heading">
    <w:name w:val="Heading"/>
    <w:basedOn w:val="Normal"/>
    <w:next w:val="BodyText"/>
    <w:rsid w:val="00156A9B"/>
    <w:pPr>
      <w:keepNext/>
      <w:spacing w:before="240" w:after="120"/>
    </w:pPr>
    <w:rPr>
      <w:rFonts w:ascii="Nimbus Sans L" w:eastAsia="DejaVu Sans" w:hAnsi="Nimbus Sans L" w:cs="DejaVu Sans"/>
      <w:sz w:val="28"/>
      <w:szCs w:val="28"/>
    </w:rPr>
  </w:style>
  <w:style w:type="paragraph" w:styleId="BodyText">
    <w:name w:val="Body Text"/>
    <w:basedOn w:val="Normal"/>
    <w:rsid w:val="00156A9B"/>
    <w:pPr>
      <w:spacing w:line="360" w:lineRule="auto"/>
    </w:pPr>
  </w:style>
  <w:style w:type="paragraph" w:styleId="List">
    <w:name w:val="List"/>
    <w:basedOn w:val="BodyText"/>
    <w:rsid w:val="00156A9B"/>
  </w:style>
  <w:style w:type="paragraph" w:styleId="Caption">
    <w:name w:val="caption"/>
    <w:basedOn w:val="Normal"/>
    <w:qFormat/>
    <w:rsid w:val="00156A9B"/>
    <w:pPr>
      <w:suppressLineNumbers/>
      <w:spacing w:before="120" w:after="120"/>
    </w:pPr>
    <w:rPr>
      <w:i/>
      <w:iCs/>
    </w:rPr>
  </w:style>
  <w:style w:type="paragraph" w:customStyle="1" w:styleId="Index">
    <w:name w:val="Index"/>
    <w:basedOn w:val="Normal"/>
    <w:rsid w:val="00156A9B"/>
    <w:pPr>
      <w:suppressLineNumbers/>
    </w:pPr>
  </w:style>
  <w:style w:type="paragraph" w:styleId="Header">
    <w:name w:val="header"/>
    <w:basedOn w:val="Normal"/>
    <w:next w:val="Heading1"/>
    <w:link w:val="HeaderChar"/>
    <w:rsid w:val="00156A9B"/>
    <w:pPr>
      <w:tabs>
        <w:tab w:val="center" w:pos="4320"/>
        <w:tab w:val="right" w:pos="8640"/>
      </w:tabs>
    </w:pPr>
  </w:style>
  <w:style w:type="paragraph" w:styleId="BodyTextIndent3">
    <w:name w:val="Body Text Indent 3"/>
    <w:basedOn w:val="Normal"/>
    <w:rsid w:val="00156A9B"/>
    <w:pPr>
      <w:spacing w:line="360" w:lineRule="auto"/>
      <w:ind w:firstLine="720"/>
      <w:jc w:val="both"/>
    </w:pPr>
    <w:rPr>
      <w:b/>
      <w:bCs/>
    </w:rPr>
  </w:style>
  <w:style w:type="paragraph" w:styleId="BodyTextIndent">
    <w:name w:val="Body Text Indent"/>
    <w:basedOn w:val="Normal"/>
    <w:rsid w:val="00156A9B"/>
    <w:pPr>
      <w:ind w:left="540" w:hanging="720"/>
      <w:jc w:val="both"/>
    </w:pPr>
  </w:style>
  <w:style w:type="paragraph" w:styleId="BodyTextIndent2">
    <w:name w:val="Body Text Indent 2"/>
    <w:basedOn w:val="Normal"/>
    <w:rsid w:val="00156A9B"/>
    <w:pPr>
      <w:spacing w:line="360" w:lineRule="auto"/>
      <w:ind w:firstLine="720"/>
      <w:jc w:val="both"/>
    </w:pPr>
  </w:style>
  <w:style w:type="paragraph" w:styleId="BodyText2">
    <w:name w:val="Body Text 2"/>
    <w:basedOn w:val="Normal"/>
    <w:rsid w:val="00156A9B"/>
    <w:pPr>
      <w:spacing w:line="360" w:lineRule="auto"/>
      <w:jc w:val="both"/>
    </w:pPr>
  </w:style>
  <w:style w:type="paragraph" w:styleId="Footer">
    <w:name w:val="footer"/>
    <w:basedOn w:val="Normal"/>
    <w:rsid w:val="00156A9B"/>
    <w:pPr>
      <w:tabs>
        <w:tab w:val="center" w:pos="4320"/>
        <w:tab w:val="right" w:pos="8640"/>
      </w:tabs>
    </w:pPr>
    <w:rPr>
      <w:sz w:val="32"/>
    </w:rPr>
  </w:style>
  <w:style w:type="paragraph" w:customStyle="1" w:styleId="TableContents">
    <w:name w:val="Table Contents"/>
    <w:basedOn w:val="Normal"/>
    <w:rsid w:val="00156A9B"/>
    <w:pPr>
      <w:suppressLineNumbers/>
    </w:pPr>
  </w:style>
  <w:style w:type="paragraph" w:customStyle="1" w:styleId="TableHeading">
    <w:name w:val="Table Heading"/>
    <w:basedOn w:val="TableContents"/>
    <w:rsid w:val="00156A9B"/>
    <w:pPr>
      <w:jc w:val="center"/>
    </w:pPr>
    <w:rPr>
      <w:b/>
      <w:bCs/>
    </w:rPr>
  </w:style>
  <w:style w:type="paragraph" w:customStyle="1" w:styleId="Framecontents">
    <w:name w:val="Frame contents"/>
    <w:basedOn w:val="BodyText"/>
    <w:rsid w:val="00156A9B"/>
  </w:style>
  <w:style w:type="paragraph" w:customStyle="1" w:styleId="Text">
    <w:name w:val="Text"/>
    <w:basedOn w:val="Normal"/>
    <w:rsid w:val="00156A9B"/>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D778C9"/>
    <w:rPr>
      <w:sz w:val="24"/>
      <w:szCs w:val="24"/>
      <w:lang w:eastAsia="ar-SA"/>
    </w:rPr>
  </w:style>
  <w:style w:type="paragraph" w:styleId="ListParagraph">
    <w:name w:val="List Paragraph"/>
    <w:basedOn w:val="Normal"/>
    <w:uiPriority w:val="34"/>
    <w:qFormat/>
    <w:rsid w:val="00410669"/>
    <w:pPr>
      <w:suppressAutoHyphens w:val="0"/>
      <w:spacing w:after="200" w:line="276" w:lineRule="auto"/>
      <w:ind w:left="720"/>
      <w:contextualSpacing/>
    </w:pPr>
    <w:rPr>
      <w:rFonts w:asciiTheme="minorHAnsi" w:hAnsiTheme="minorHAnsi" w:cstheme="minorBidi"/>
      <w:sz w:val="22"/>
      <w:szCs w:val="22"/>
      <w:lang w:eastAsia="en-US"/>
    </w:rPr>
  </w:style>
  <w:style w:type="table" w:styleId="TableGrid">
    <w:name w:val="Table Grid"/>
    <w:basedOn w:val="TableNormal"/>
    <w:uiPriority w:val="39"/>
    <w:rsid w:val="0041066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60FB6"/>
    <w:pPr>
      <w:autoSpaceDE w:val="0"/>
      <w:autoSpaceDN w:val="0"/>
      <w:adjustRightInd w:val="0"/>
    </w:pPr>
    <w:rPr>
      <w:rFonts w:ascii="Arial" w:eastAsiaTheme="minorHAnsi" w:hAnsi="Arial" w:cs="Arial"/>
      <w:color w:val="000000"/>
      <w:sz w:val="24"/>
      <w:szCs w:val="24"/>
      <w:lang w:eastAsia="en-US"/>
    </w:rPr>
  </w:style>
  <w:style w:type="paragraph" w:styleId="BalloonText">
    <w:name w:val="Balloon Text"/>
    <w:basedOn w:val="Normal"/>
    <w:link w:val="BalloonTextChar"/>
    <w:uiPriority w:val="99"/>
    <w:semiHidden/>
    <w:unhideWhenUsed/>
    <w:rsid w:val="00BE3CA6"/>
    <w:rPr>
      <w:sz w:val="18"/>
      <w:szCs w:val="18"/>
    </w:rPr>
  </w:style>
  <w:style w:type="character" w:customStyle="1" w:styleId="BalloonTextChar">
    <w:name w:val="Balloon Text Char"/>
    <w:basedOn w:val="DefaultParagraphFont"/>
    <w:link w:val="BalloonText"/>
    <w:uiPriority w:val="99"/>
    <w:semiHidden/>
    <w:rsid w:val="00BE3CA6"/>
    <w:rPr>
      <w:sz w:val="18"/>
      <w:szCs w:val="18"/>
      <w:lang w:eastAsia="ar-SA"/>
    </w:rPr>
  </w:style>
</w:styles>
</file>

<file path=word/webSettings.xml><?xml version="1.0" encoding="utf-8"?>
<w:webSettings xmlns:r="http://schemas.openxmlformats.org/officeDocument/2006/relationships" xmlns:w="http://schemas.openxmlformats.org/wordprocessingml/2006/main">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footer" Target="footer8.xml"/><Relationship Id="rId34" Type="http://schemas.openxmlformats.org/officeDocument/2006/relationships/header" Target="header7.xml"/><Relationship Id="rId7" Type="http://schemas.openxmlformats.org/officeDocument/2006/relationships/hyperlink" Target="mailto:okojokwuoj@gmail.com" TargetMode="Externa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33" Type="http://schemas.openxmlformats.org/officeDocument/2006/relationships/footer" Target="footer12.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7.xml"/><Relationship Id="rId29" Type="http://schemas.openxmlformats.org/officeDocument/2006/relationships/hyperlink" Target="http://www.epa.gov/saf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chart" Target="charts/chart3.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chart" Target="charts/chart2.xml"/><Relationship Id="rId28" Type="http://schemas.openxmlformats.org/officeDocument/2006/relationships/hyperlink" Target="mailto:okojokwuoj@gmail.com" TargetMode="External"/><Relationship Id="rId36" Type="http://schemas.openxmlformats.org/officeDocument/2006/relationships/footer" Target="footer14.xml"/><Relationship Id="rId10" Type="http://schemas.openxmlformats.org/officeDocument/2006/relationships/header" Target="header1.xml"/><Relationship Id="rId19" Type="http://schemas.openxmlformats.org/officeDocument/2006/relationships/header" Target="header4.xm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www.dx.doi.org/10.7537/marsrsj090717.01" TargetMode="External"/><Relationship Id="rId14" Type="http://schemas.openxmlformats.org/officeDocument/2006/relationships/footer" Target="footer3.xml"/><Relationship Id="rId22" Type="http://schemas.openxmlformats.org/officeDocument/2006/relationships/chart" Target="charts/chart1.xml"/><Relationship Id="rId27" Type="http://schemas.openxmlformats.org/officeDocument/2006/relationships/footer" Target="footer10.xml"/><Relationship Id="rId30" Type="http://schemas.openxmlformats.org/officeDocument/2006/relationships/hyperlink" Target="http://www.who.int/water_%20sanitati" TargetMode="External"/><Relationship Id="rId35" Type="http://schemas.openxmlformats.org/officeDocument/2006/relationships/footer" Target="footer13.xml"/></Relationships>
</file>

<file path=word/_rels/footer14.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5.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6.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7.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551252258334363"/>
          <c:y val="5.1587410933157989E-2"/>
          <c:w val="0.74685312773403323"/>
          <c:h val="0.78844581927259194"/>
        </c:manualLayout>
      </c:layout>
      <c:barChart>
        <c:barDir val="col"/>
        <c:grouping val="clustered"/>
        <c:ser>
          <c:idx val="0"/>
          <c:order val="0"/>
          <c:tx>
            <c:strRef>
              <c:f>Sheet1!$B$1</c:f>
              <c:strCache>
                <c:ptCount val="1"/>
                <c:pt idx="0">
                  <c:v>Well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Lit>
                <c:formatCode>General</c:formatCode>
                <c:ptCount val="2"/>
                <c:pt idx="0">
                  <c:v>0.13</c:v>
                </c:pt>
                <c:pt idx="1">
                  <c:v>0.26</c:v>
                </c:pt>
              </c:numLit>
            </c:plus>
            <c:minus>
              <c:numLit>
                <c:formatCode>General</c:formatCode>
                <c:ptCount val="2"/>
                <c:pt idx="0">
                  <c:v>0.13</c:v>
                </c:pt>
                <c:pt idx="1">
                  <c:v>0.26</c:v>
                </c:pt>
              </c:numLit>
            </c:minus>
            <c:spPr>
              <a:noFill/>
              <a:ln w="9525" cap="flat" cmpd="sng" algn="ctr">
                <a:solidFill>
                  <a:schemeClr val="tx1">
                    <a:lumMod val="65000"/>
                    <a:lumOff val="35000"/>
                  </a:schemeClr>
                </a:solidFill>
                <a:round/>
              </a:ln>
              <a:effectLst/>
            </c:spPr>
          </c:errBars>
          <c:cat>
            <c:strRef>
              <c:f>Sheet1!$A$2:$A$3</c:f>
              <c:strCache>
                <c:ptCount val="2"/>
                <c:pt idx="0">
                  <c:v>Magama †</c:v>
                </c:pt>
                <c:pt idx="1">
                  <c:v>Bolgang ‡</c:v>
                </c:pt>
              </c:strCache>
            </c:strRef>
          </c:cat>
          <c:val>
            <c:numRef>
              <c:f>Sheet1!$B$2:$B$3</c:f>
              <c:numCache>
                <c:formatCode>General</c:formatCode>
                <c:ptCount val="2"/>
                <c:pt idx="0">
                  <c:v>7.08</c:v>
                </c:pt>
                <c:pt idx="1">
                  <c:v>6.9300000000000024</c:v>
                </c:pt>
              </c:numCache>
            </c:numRef>
          </c:val>
        </c:ser>
        <c:ser>
          <c:idx val="1"/>
          <c:order val="1"/>
          <c:tx>
            <c:strRef>
              <c:f>Sheet1!$C$1</c:f>
              <c:strCache>
                <c:ptCount val="1"/>
                <c:pt idx="0">
                  <c:v>Pond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Magama †</c:v>
                </c:pt>
                <c:pt idx="1">
                  <c:v>Bolgang ‡</c:v>
                </c:pt>
              </c:strCache>
            </c:strRef>
          </c:cat>
          <c:val>
            <c:numRef>
              <c:f>Sheet1!$C$2:$C$3</c:f>
              <c:numCache>
                <c:formatCode>General</c:formatCode>
                <c:ptCount val="2"/>
                <c:pt idx="0">
                  <c:v>7.4</c:v>
                </c:pt>
                <c:pt idx="1">
                  <c:v>6.4</c:v>
                </c:pt>
              </c:numCache>
            </c:numRef>
          </c:val>
        </c:ser>
        <c:ser>
          <c:idx val="2"/>
          <c:order val="2"/>
          <c:tx>
            <c:strRef>
              <c:f>Sheet1!$D$1</c:f>
              <c:strCache>
                <c:ptCount val="1"/>
                <c:pt idx="0">
                  <c:v>Bore-hole</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Magama †</c:v>
                </c:pt>
                <c:pt idx="1">
                  <c:v>Bolgang ‡</c:v>
                </c:pt>
              </c:strCache>
            </c:strRef>
          </c:cat>
          <c:val>
            <c:numRef>
              <c:f>Sheet1!$D$2:$D$3</c:f>
              <c:numCache>
                <c:formatCode>General</c:formatCode>
                <c:ptCount val="2"/>
                <c:pt idx="0">
                  <c:v>6.8</c:v>
                </c:pt>
                <c:pt idx="1">
                  <c:v>6.6</c:v>
                </c:pt>
              </c:numCache>
            </c:numRef>
          </c:val>
        </c:ser>
        <c:ser>
          <c:idx val="3"/>
          <c:order val="3"/>
          <c:tx>
            <c:strRef>
              <c:f>Sheet1!$E$1</c:f>
              <c:strCache>
                <c:ptCount val="1"/>
                <c:pt idx="0">
                  <c:v>Stream</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Lit>
                <c:formatCode>General</c:formatCode>
                <c:ptCount val="1"/>
                <c:pt idx="0">
                  <c:v>0.2</c:v>
                </c:pt>
              </c:numLit>
            </c:plus>
            <c:minus>
              <c:numLit>
                <c:formatCode>General</c:formatCode>
                <c:ptCount val="1"/>
                <c:pt idx="0">
                  <c:v>0.2</c:v>
                </c:pt>
              </c:numLit>
            </c:minus>
            <c:spPr>
              <a:noFill/>
              <a:ln w="9525" cap="flat" cmpd="sng" algn="ctr">
                <a:solidFill>
                  <a:schemeClr val="tx1">
                    <a:lumMod val="65000"/>
                    <a:lumOff val="35000"/>
                  </a:schemeClr>
                </a:solidFill>
                <a:round/>
              </a:ln>
              <a:effectLst/>
            </c:spPr>
          </c:errBars>
          <c:cat>
            <c:strRef>
              <c:f>Sheet1!$A$2:$A$3</c:f>
              <c:strCache>
                <c:ptCount val="2"/>
                <c:pt idx="0">
                  <c:v>Magama †</c:v>
                </c:pt>
                <c:pt idx="1">
                  <c:v>Bolgang ‡</c:v>
                </c:pt>
              </c:strCache>
            </c:strRef>
          </c:cat>
          <c:val>
            <c:numRef>
              <c:f>Sheet1!$E$2:$E$3</c:f>
              <c:numCache>
                <c:formatCode>General</c:formatCode>
                <c:ptCount val="2"/>
                <c:pt idx="1">
                  <c:v>7</c:v>
                </c:pt>
              </c:numCache>
            </c:numRef>
          </c:val>
        </c:ser>
        <c:dLbls>
          <c:showVal val="1"/>
        </c:dLbls>
        <c:gapWidth val="219"/>
        <c:overlap val="-27"/>
        <c:axId val="51026944"/>
        <c:axId val="51041408"/>
      </c:barChart>
      <c:catAx>
        <c:axId val="51026944"/>
        <c:scaling>
          <c:orientation val="minMax"/>
        </c:scaling>
        <c:axPos val="b"/>
        <c:title>
          <c:tx>
            <c:rich>
              <a:bodyPr rot="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Location</a:t>
                </a:r>
              </a:p>
            </c:rich>
          </c:tx>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041408"/>
        <c:crosses val="autoZero"/>
        <c:auto val="1"/>
        <c:lblAlgn val="ctr"/>
        <c:lblOffset val="100"/>
      </c:catAx>
      <c:valAx>
        <c:axId val="51041408"/>
        <c:scaling>
          <c:orientation val="minMax"/>
        </c:scaling>
        <c:axPos val="l"/>
        <c:title>
          <c:tx>
            <c:rich>
              <a:bodyPr rot="-5400000" spcFirstLastPara="1" vertOverflow="ellipsis" vert="horz" wrap="square" anchor="ctr" anchorCtr="1"/>
              <a:lstStyle/>
              <a:p>
                <a:pPr>
                  <a:defRPr lang="en-US"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Mean pH</a:t>
                </a:r>
              </a:p>
            </c:rich>
          </c:tx>
          <c:layout>
            <c:manualLayout>
              <c:xMode val="edge"/>
              <c:yMode val="edge"/>
              <c:x val="2.5352005123230006E-2"/>
              <c:y val="0.3740209471174975"/>
            </c:manualLayout>
          </c:layout>
          <c:spPr>
            <a:noFill/>
            <a:ln>
              <a:noFill/>
            </a:ln>
            <a:effectLst/>
          </c:spPr>
        </c:title>
        <c:numFmt formatCode="#,##0.0" sourceLinked="0"/>
        <c:majorTickMark val="cross"/>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026944"/>
        <c:crosses val="autoZero"/>
        <c:crossBetween val="between"/>
      </c:valAx>
      <c:spPr>
        <a:noFill/>
        <a:ln>
          <a:noFill/>
        </a:ln>
        <a:effectLst/>
      </c:spPr>
    </c:plotArea>
    <c:legend>
      <c:legendPos val="r"/>
      <c:layout/>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461996937882764"/>
          <c:y val="4.3650793650793704E-2"/>
          <c:w val="0.73122794546515024"/>
          <c:h val="0.78693788276465437"/>
        </c:manualLayout>
      </c:layout>
      <c:barChart>
        <c:barDir val="col"/>
        <c:grouping val="clustered"/>
        <c:ser>
          <c:idx val="0"/>
          <c:order val="0"/>
          <c:tx>
            <c:strRef>
              <c:f>Sheet1!$B$1</c:f>
              <c:strCache>
                <c:ptCount val="1"/>
                <c:pt idx="0">
                  <c:v>Well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Lit>
                <c:formatCode>General</c:formatCode>
                <c:ptCount val="2"/>
                <c:pt idx="0">
                  <c:v>34.090000000000003</c:v>
                </c:pt>
                <c:pt idx="1">
                  <c:v>6.6899999999999995</c:v>
                </c:pt>
              </c:numLit>
            </c:plus>
            <c:minus>
              <c:numLit>
                <c:formatCode>General</c:formatCode>
                <c:ptCount val="2"/>
                <c:pt idx="0">
                  <c:v>34.090000000000003</c:v>
                </c:pt>
                <c:pt idx="1">
                  <c:v>6.6899999999999995</c:v>
                </c:pt>
              </c:numLit>
            </c:minus>
            <c:spPr>
              <a:noFill/>
              <a:ln w="9525" cap="flat" cmpd="sng" algn="ctr">
                <a:solidFill>
                  <a:schemeClr val="tx1">
                    <a:lumMod val="65000"/>
                    <a:lumOff val="35000"/>
                  </a:schemeClr>
                </a:solidFill>
                <a:round/>
              </a:ln>
              <a:effectLst/>
            </c:spPr>
          </c:errBars>
          <c:cat>
            <c:strRef>
              <c:f>Sheet1!$A$2:$A$3</c:f>
              <c:strCache>
                <c:ptCount val="2"/>
                <c:pt idx="0">
                  <c:v>Magama †</c:v>
                </c:pt>
                <c:pt idx="1">
                  <c:v>Bolgang ‡</c:v>
                </c:pt>
              </c:strCache>
            </c:strRef>
          </c:cat>
          <c:val>
            <c:numRef>
              <c:f>Sheet1!$B$2:$B$3</c:f>
              <c:numCache>
                <c:formatCode>General</c:formatCode>
                <c:ptCount val="2"/>
                <c:pt idx="0">
                  <c:v>70.38</c:v>
                </c:pt>
                <c:pt idx="1">
                  <c:v>39.83</c:v>
                </c:pt>
              </c:numCache>
            </c:numRef>
          </c:val>
        </c:ser>
        <c:ser>
          <c:idx val="1"/>
          <c:order val="1"/>
          <c:tx>
            <c:strRef>
              <c:f>Sheet1!$C$1</c:f>
              <c:strCache>
                <c:ptCount val="1"/>
                <c:pt idx="0">
                  <c:v>Pond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Magama †</c:v>
                </c:pt>
                <c:pt idx="1">
                  <c:v>Bolgang ‡</c:v>
                </c:pt>
              </c:strCache>
            </c:strRef>
          </c:cat>
          <c:val>
            <c:numRef>
              <c:f>Sheet1!$C$2:$C$3</c:f>
              <c:numCache>
                <c:formatCode>General</c:formatCode>
                <c:ptCount val="2"/>
                <c:pt idx="0">
                  <c:v>78</c:v>
                </c:pt>
                <c:pt idx="1">
                  <c:v>42</c:v>
                </c:pt>
              </c:numCache>
            </c:numRef>
          </c:val>
        </c:ser>
        <c:ser>
          <c:idx val="2"/>
          <c:order val="2"/>
          <c:tx>
            <c:strRef>
              <c:f>Sheet1!$D$1</c:f>
              <c:strCache>
                <c:ptCount val="1"/>
                <c:pt idx="0">
                  <c:v>Bore-hole</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Magama †</c:v>
                </c:pt>
                <c:pt idx="1">
                  <c:v>Bolgang ‡</c:v>
                </c:pt>
              </c:strCache>
            </c:strRef>
          </c:cat>
          <c:val>
            <c:numRef>
              <c:f>Sheet1!$D$2:$D$3</c:f>
              <c:numCache>
                <c:formatCode>General</c:formatCode>
                <c:ptCount val="2"/>
                <c:pt idx="0">
                  <c:v>26</c:v>
                </c:pt>
                <c:pt idx="1">
                  <c:v>20</c:v>
                </c:pt>
              </c:numCache>
            </c:numRef>
          </c:val>
        </c:ser>
        <c:ser>
          <c:idx val="3"/>
          <c:order val="3"/>
          <c:tx>
            <c:strRef>
              <c:f>Sheet1!$E$1</c:f>
              <c:strCache>
                <c:ptCount val="1"/>
                <c:pt idx="0">
                  <c:v>Stream</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Lit>
                <c:formatCode>General</c:formatCode>
                <c:ptCount val="1"/>
                <c:pt idx="0">
                  <c:v>12.5</c:v>
                </c:pt>
              </c:numLit>
            </c:plus>
            <c:minus>
              <c:numLit>
                <c:formatCode>General</c:formatCode>
                <c:ptCount val="1"/>
                <c:pt idx="0">
                  <c:v>12.5</c:v>
                </c:pt>
              </c:numLit>
            </c:minus>
            <c:spPr>
              <a:noFill/>
              <a:ln w="9525" cap="flat" cmpd="sng" algn="ctr">
                <a:solidFill>
                  <a:schemeClr val="tx1">
                    <a:lumMod val="65000"/>
                    <a:lumOff val="35000"/>
                  </a:schemeClr>
                </a:solidFill>
                <a:round/>
              </a:ln>
              <a:effectLst/>
            </c:spPr>
          </c:errBars>
          <c:cat>
            <c:strRef>
              <c:f>Sheet1!$A$2:$A$3</c:f>
              <c:strCache>
                <c:ptCount val="2"/>
                <c:pt idx="0">
                  <c:v>Magama †</c:v>
                </c:pt>
                <c:pt idx="1">
                  <c:v>Bolgang ‡</c:v>
                </c:pt>
              </c:strCache>
            </c:strRef>
          </c:cat>
          <c:val>
            <c:numRef>
              <c:f>Sheet1!$E$2:$E$3</c:f>
              <c:numCache>
                <c:formatCode>General</c:formatCode>
                <c:ptCount val="2"/>
                <c:pt idx="1">
                  <c:v>44.5</c:v>
                </c:pt>
              </c:numCache>
            </c:numRef>
          </c:val>
        </c:ser>
        <c:dLbls>
          <c:showVal val="1"/>
        </c:dLbls>
        <c:gapWidth val="219"/>
        <c:overlap val="-27"/>
        <c:axId val="89147264"/>
        <c:axId val="89169920"/>
      </c:barChart>
      <c:catAx>
        <c:axId val="89147264"/>
        <c:scaling>
          <c:orientation val="minMax"/>
        </c:scaling>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Location</a:t>
                </a:r>
              </a:p>
            </c:rich>
          </c:tx>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169920"/>
        <c:crosses val="autoZero"/>
        <c:auto val="1"/>
        <c:lblAlgn val="ctr"/>
        <c:lblOffset val="100"/>
      </c:catAx>
      <c:valAx>
        <c:axId val="89169920"/>
        <c:scaling>
          <c:orientation val="minMax"/>
        </c:scaling>
        <c:axPos val="l"/>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Alkalinity (mg/L)</a:t>
                </a:r>
              </a:p>
            </c:rich>
          </c:tx>
          <c:layout>
            <c:manualLayout>
              <c:xMode val="edge"/>
              <c:yMode val="edge"/>
              <c:x val="2.7777777777777853E-2"/>
              <c:y val="0.28356799150106238"/>
            </c:manualLayout>
          </c:layout>
          <c:spPr>
            <a:noFill/>
            <a:ln>
              <a:noFill/>
            </a:ln>
            <a:effectLst/>
          </c:spPr>
        </c:title>
        <c:numFmt formatCode="General" sourceLinked="1"/>
        <c:majorTickMark val="cross"/>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147264"/>
        <c:crosses val="autoZero"/>
        <c:crossBetween val="between"/>
      </c:valAx>
      <c:spPr>
        <a:noFill/>
        <a:ln>
          <a:noFill/>
        </a:ln>
        <a:effectLst/>
      </c:spPr>
    </c:plotArea>
    <c:legend>
      <c:legendPos val="r"/>
      <c:layout/>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3461996937882764"/>
          <c:y val="3.968253968253968E-2"/>
          <c:w val="0.73122794546515024"/>
          <c:h val="0.78693788276465437"/>
        </c:manualLayout>
      </c:layout>
      <c:barChart>
        <c:barDir val="col"/>
        <c:grouping val="clustered"/>
        <c:ser>
          <c:idx val="0"/>
          <c:order val="0"/>
          <c:tx>
            <c:strRef>
              <c:f>Sheet1!$B$1</c:f>
              <c:strCache>
                <c:ptCount val="1"/>
                <c:pt idx="0">
                  <c:v>Well</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Lit>
                <c:formatCode>General</c:formatCode>
                <c:ptCount val="2"/>
                <c:pt idx="0">
                  <c:v>26.16</c:v>
                </c:pt>
                <c:pt idx="1">
                  <c:v>22.68</c:v>
                </c:pt>
              </c:numLit>
            </c:plus>
            <c:minus>
              <c:numLit>
                <c:formatCode>General</c:formatCode>
                <c:ptCount val="2"/>
                <c:pt idx="0">
                  <c:v>26.16</c:v>
                </c:pt>
                <c:pt idx="1">
                  <c:v>22.68</c:v>
                </c:pt>
              </c:numLit>
            </c:minus>
            <c:spPr>
              <a:noFill/>
              <a:ln w="9525" cap="flat" cmpd="sng" algn="ctr">
                <a:solidFill>
                  <a:schemeClr val="tx1">
                    <a:lumMod val="65000"/>
                    <a:lumOff val="35000"/>
                  </a:schemeClr>
                </a:solidFill>
                <a:round/>
              </a:ln>
              <a:effectLst/>
            </c:spPr>
          </c:errBars>
          <c:cat>
            <c:strRef>
              <c:f>Sheet1!$A$2:$A$3</c:f>
              <c:strCache>
                <c:ptCount val="2"/>
                <c:pt idx="0">
                  <c:v>Magama †</c:v>
                </c:pt>
                <c:pt idx="1">
                  <c:v>Bolgang ‡</c:v>
                </c:pt>
              </c:strCache>
            </c:strRef>
          </c:cat>
          <c:val>
            <c:numRef>
              <c:f>Sheet1!$B$2:$B$3</c:f>
              <c:numCache>
                <c:formatCode>General</c:formatCode>
                <c:ptCount val="2"/>
                <c:pt idx="0">
                  <c:v>179.25</c:v>
                </c:pt>
                <c:pt idx="1">
                  <c:v>171.33</c:v>
                </c:pt>
              </c:numCache>
            </c:numRef>
          </c:val>
        </c:ser>
        <c:ser>
          <c:idx val="1"/>
          <c:order val="1"/>
          <c:tx>
            <c:strRef>
              <c:f>Sheet1!$C$1</c:f>
              <c:strCache>
                <c:ptCount val="1"/>
                <c:pt idx="0">
                  <c:v>Pond</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Magama †</c:v>
                </c:pt>
                <c:pt idx="1">
                  <c:v>Bolgang ‡</c:v>
                </c:pt>
              </c:strCache>
            </c:strRef>
          </c:cat>
          <c:val>
            <c:numRef>
              <c:f>Sheet1!$C$2:$C$3</c:f>
              <c:numCache>
                <c:formatCode>General</c:formatCode>
                <c:ptCount val="2"/>
                <c:pt idx="0">
                  <c:v>96</c:v>
                </c:pt>
                <c:pt idx="1">
                  <c:v>79</c:v>
                </c:pt>
              </c:numCache>
            </c:numRef>
          </c:val>
        </c:ser>
        <c:ser>
          <c:idx val="2"/>
          <c:order val="2"/>
          <c:tx>
            <c:strRef>
              <c:f>Sheet1!$D$1</c:f>
              <c:strCache>
                <c:ptCount val="1"/>
                <c:pt idx="0">
                  <c:v>Bore-hole</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Magama †</c:v>
                </c:pt>
                <c:pt idx="1">
                  <c:v>Bolgang ‡</c:v>
                </c:pt>
              </c:strCache>
            </c:strRef>
          </c:cat>
          <c:val>
            <c:numRef>
              <c:f>Sheet1!$D$2:$D$3</c:f>
              <c:numCache>
                <c:formatCode>General</c:formatCode>
                <c:ptCount val="2"/>
                <c:pt idx="0">
                  <c:v>89</c:v>
                </c:pt>
                <c:pt idx="1">
                  <c:v>73</c:v>
                </c:pt>
              </c:numCache>
            </c:numRef>
          </c:val>
        </c:ser>
        <c:ser>
          <c:idx val="3"/>
          <c:order val="3"/>
          <c:tx>
            <c:strRef>
              <c:f>Sheet1!$E$1</c:f>
              <c:strCache>
                <c:ptCount val="1"/>
                <c:pt idx="0">
                  <c:v>Stream</c:v>
                </c:pt>
              </c:strCache>
            </c:strRef>
          </c:tx>
          <c:spPr>
            <a:solidFill>
              <a:schemeClr val="accent4"/>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cust"/>
            <c:plus>
              <c:numLit>
                <c:formatCode>General</c:formatCode>
                <c:ptCount val="1"/>
                <c:pt idx="0">
                  <c:v>9.5</c:v>
                </c:pt>
              </c:numLit>
            </c:plus>
            <c:minus>
              <c:numLit>
                <c:formatCode>General</c:formatCode>
                <c:ptCount val="1"/>
                <c:pt idx="0">
                  <c:v>9.5</c:v>
                </c:pt>
              </c:numLit>
            </c:minus>
            <c:spPr>
              <a:noFill/>
              <a:ln w="9525" cap="flat" cmpd="sng" algn="ctr">
                <a:solidFill>
                  <a:schemeClr val="tx1">
                    <a:lumMod val="65000"/>
                    <a:lumOff val="35000"/>
                  </a:schemeClr>
                </a:solidFill>
                <a:round/>
              </a:ln>
              <a:effectLst/>
            </c:spPr>
          </c:errBars>
          <c:cat>
            <c:strRef>
              <c:f>Sheet1!$A$2:$A$3</c:f>
              <c:strCache>
                <c:ptCount val="2"/>
                <c:pt idx="0">
                  <c:v>Magama †</c:v>
                </c:pt>
                <c:pt idx="1">
                  <c:v>Bolgang ‡</c:v>
                </c:pt>
              </c:strCache>
            </c:strRef>
          </c:cat>
          <c:val>
            <c:numRef>
              <c:f>Sheet1!$E$2:$E$3</c:f>
              <c:numCache>
                <c:formatCode>General</c:formatCode>
                <c:ptCount val="2"/>
                <c:pt idx="1">
                  <c:v>73.5</c:v>
                </c:pt>
              </c:numCache>
            </c:numRef>
          </c:val>
        </c:ser>
        <c:dLbls>
          <c:showVal val="1"/>
        </c:dLbls>
        <c:gapWidth val="219"/>
        <c:overlap val="-27"/>
        <c:axId val="89215360"/>
        <c:axId val="89217280"/>
      </c:barChart>
      <c:catAx>
        <c:axId val="89215360"/>
        <c:scaling>
          <c:orientation val="minMax"/>
        </c:scaling>
        <c:axPos val="b"/>
        <c:title>
          <c:tx>
            <c:rich>
              <a:bodyPr rot="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Location</a:t>
                </a:r>
              </a:p>
            </c:rich>
          </c:tx>
          <c:layout/>
          <c:spPr>
            <a:noFill/>
            <a:ln>
              <a:noFill/>
            </a:ln>
            <a:effectLst/>
          </c:spPr>
        </c:title>
        <c:numFmt formatCode="General" sourceLinked="1"/>
        <c:maj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217280"/>
        <c:crosses val="autoZero"/>
        <c:auto val="1"/>
        <c:lblAlgn val="ctr"/>
        <c:lblOffset val="100"/>
      </c:catAx>
      <c:valAx>
        <c:axId val="89217280"/>
        <c:scaling>
          <c:orientation val="minMax"/>
        </c:scaling>
        <c:axPos val="l"/>
        <c:title>
          <c:tx>
            <c:rich>
              <a:bodyPr rot="-5400000" spcFirstLastPara="1" vertOverflow="ellipsis" vert="horz" wrap="square" anchor="ctr" anchorCtr="1"/>
              <a:lstStyle/>
              <a:p>
                <a:pPr>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Total hardness (mg/L)</a:t>
                </a:r>
              </a:p>
            </c:rich>
          </c:tx>
          <c:layout>
            <c:manualLayout>
              <c:xMode val="edge"/>
              <c:yMode val="edge"/>
              <c:x val="2.7777777777777853E-2"/>
              <c:y val="0.24380608673915771"/>
            </c:manualLayout>
          </c:layout>
          <c:spPr>
            <a:noFill/>
            <a:ln>
              <a:noFill/>
            </a:ln>
            <a:effectLst/>
          </c:spPr>
        </c:title>
        <c:numFmt formatCode="General" sourceLinked="1"/>
        <c:majorTickMark val="cross"/>
        <c:tickLblPos val="nextTo"/>
        <c:spPr>
          <a:noFill/>
          <a:ln>
            <a:solidFill>
              <a:schemeClr val="tx1"/>
            </a:solidFill>
          </a:ln>
          <a:effectLst/>
        </c:spPr>
        <c:txPr>
          <a:bodyPr rot="-6000000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9215360"/>
        <c:crosses val="autoZero"/>
        <c:crossBetween val="between"/>
      </c:valAx>
      <c:spPr>
        <a:noFill/>
        <a:ln>
          <a:noFill/>
        </a:ln>
        <a:effectLst/>
      </c:spPr>
    </c:plotArea>
    <c:legend>
      <c:legendPos val="r"/>
      <c:layout/>
      <c:spPr>
        <a:noFill/>
        <a:ln>
          <a:noFill/>
        </a:ln>
        <a:effectLst/>
      </c:spPr>
      <c:txPr>
        <a:bodyPr rot="0" spcFirstLastPara="1" vertOverflow="ellipsis" vert="horz" wrap="square" anchor="ctr" anchorCtr="1"/>
        <a:lstStyle/>
        <a:p>
          <a:pPr>
            <a:defRPr lang="en-US"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10</Pages>
  <Words>6458</Words>
  <Characters>34830</Characters>
  <Application>Microsoft Office Word</Application>
  <DocSecurity>0</DocSecurity>
  <Lines>290</Lines>
  <Paragraphs>82</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41206</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393281</vt:i4>
      </vt:variant>
      <vt:variant>
        <vt:i4>6</vt:i4>
      </vt:variant>
      <vt:variant>
        <vt:i4>0</vt:i4>
      </vt:variant>
      <vt:variant>
        <vt:i4>5</vt:i4>
      </vt:variant>
      <vt:variant>
        <vt:lpwstr>http://www.dx.doi.org/10.7537/marsrsj08xx16xx</vt:lpwstr>
      </vt:variant>
      <vt:variant>
        <vt:lpwstr/>
      </vt:variant>
      <vt:variant>
        <vt:i4>4391003</vt:i4>
      </vt:variant>
      <vt:variant>
        <vt:i4>3</vt:i4>
      </vt:variant>
      <vt:variant>
        <vt:i4>0</vt:i4>
      </vt:variant>
      <vt:variant>
        <vt:i4>5</vt:i4>
      </vt:variant>
      <vt:variant>
        <vt:lpwstr>http://www.sciencepub.net/researcher</vt:lpwstr>
      </vt:variant>
      <vt:variant>
        <vt:lpwstr/>
      </vt:variant>
      <vt:variant>
        <vt:i4>852021</vt:i4>
      </vt:variant>
      <vt:variant>
        <vt:i4>0</vt:i4>
      </vt:variant>
      <vt:variant>
        <vt:i4>0</vt:i4>
      </vt:variant>
      <vt:variant>
        <vt:i4>5</vt:i4>
      </vt:variant>
      <vt:variant>
        <vt:lpwstr>mailto:geetakh@gmail.com</vt:lpwstr>
      </vt:variant>
      <vt:variant>
        <vt:lpwstr/>
      </vt:variant>
      <vt:variant>
        <vt:i4>6553620</vt:i4>
      </vt:variant>
      <vt:variant>
        <vt:i4>11</vt:i4>
      </vt:variant>
      <vt:variant>
        <vt:i4>0</vt:i4>
      </vt:variant>
      <vt:variant>
        <vt:i4>5</vt:i4>
      </vt:variant>
      <vt:variant>
        <vt:lpwstr>mailto:researcher135@gmail.com</vt:lpwstr>
      </vt:variant>
      <vt:variant>
        <vt:lpwstr/>
      </vt:variant>
      <vt:variant>
        <vt:i4>4391003</vt:i4>
      </vt:variant>
      <vt:variant>
        <vt:i4>8</vt:i4>
      </vt:variant>
      <vt:variant>
        <vt:i4>0</vt:i4>
      </vt:variant>
      <vt:variant>
        <vt:i4>5</vt:i4>
      </vt:variant>
      <vt:variant>
        <vt:lpwstr>http://www.sciencepub.net/researcher</vt:lpwstr>
      </vt:variant>
      <vt:variant>
        <vt:lpwstr/>
      </vt:variant>
      <vt:variant>
        <vt:i4>4391003</vt:i4>
      </vt:variant>
      <vt:variant>
        <vt:i4>0</vt:i4>
      </vt:variant>
      <vt:variant>
        <vt:i4>0</vt:i4>
      </vt:variant>
      <vt:variant>
        <vt:i4>5</vt:i4>
      </vt:variant>
      <vt:variant>
        <vt:lpwstr>http://www.sciencepub.net/researcher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keywords>science, research, publish</cp:keywords>
  <cp:lastModifiedBy>Administrator</cp:lastModifiedBy>
  <cp:revision>3</cp:revision>
  <cp:lastPrinted>2008-06-25T09:46:00Z</cp:lastPrinted>
  <dcterms:created xsi:type="dcterms:W3CDTF">2017-06-06T13:02:00Z</dcterms:created>
  <dcterms:modified xsi:type="dcterms:W3CDTF">2017-06-06T23:54:00Z</dcterms:modified>
  <cp:category>science</cp:category>
</cp:coreProperties>
</file>