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0E8" w:rsidRPr="003C30AA" w:rsidRDefault="00EE1BA1" w:rsidP="003C30AA">
      <w:pPr>
        <w:bidi w:val="0"/>
        <w:snapToGrid w:val="0"/>
        <w:ind w:right="4"/>
        <w:jc w:val="center"/>
        <w:rPr>
          <w:b/>
          <w:bCs/>
          <w:sz w:val="20"/>
          <w:szCs w:val="20"/>
          <w:lang w:eastAsia="zh-CN"/>
        </w:rPr>
      </w:pPr>
      <w:r w:rsidRPr="003C30AA">
        <w:rPr>
          <w:b/>
          <w:bCs/>
          <w:sz w:val="20"/>
          <w:szCs w:val="20"/>
        </w:rPr>
        <w:t>Ass</w:t>
      </w:r>
      <w:r w:rsidR="00721232" w:rsidRPr="003C30AA">
        <w:rPr>
          <w:b/>
          <w:bCs/>
          <w:sz w:val="20"/>
          <w:szCs w:val="20"/>
        </w:rPr>
        <w:t xml:space="preserve">essment of Bone Mineral Density in Primary Generalized </w:t>
      </w:r>
      <w:r w:rsidR="001F5336" w:rsidRPr="003C30AA">
        <w:rPr>
          <w:b/>
          <w:bCs/>
          <w:sz w:val="20"/>
          <w:szCs w:val="20"/>
        </w:rPr>
        <w:t>Osteoarthritis</w:t>
      </w:r>
    </w:p>
    <w:p w:rsidR="004130E8" w:rsidRPr="003C30AA" w:rsidRDefault="004130E8" w:rsidP="003C30AA">
      <w:pPr>
        <w:bidi w:val="0"/>
        <w:snapToGrid w:val="0"/>
        <w:ind w:right="4"/>
        <w:jc w:val="center"/>
        <w:rPr>
          <w:b/>
          <w:bCs/>
          <w:sz w:val="20"/>
          <w:szCs w:val="20"/>
          <w:lang w:eastAsia="zh-CN"/>
        </w:rPr>
      </w:pPr>
    </w:p>
    <w:p w:rsidR="004130E8" w:rsidRPr="003C30AA" w:rsidRDefault="00CD7954" w:rsidP="003C30AA">
      <w:pPr>
        <w:bidi w:val="0"/>
        <w:snapToGrid w:val="0"/>
        <w:ind w:right="4"/>
        <w:jc w:val="center"/>
        <w:rPr>
          <w:sz w:val="20"/>
          <w:szCs w:val="20"/>
          <w:vertAlign w:val="superscript"/>
          <w:lang w:eastAsia="zh-CN"/>
        </w:rPr>
      </w:pPr>
      <w:proofErr w:type="spellStart"/>
      <w:r w:rsidRPr="003C30AA">
        <w:rPr>
          <w:sz w:val="20"/>
          <w:szCs w:val="20"/>
        </w:rPr>
        <w:t>Hisham</w:t>
      </w:r>
      <w:proofErr w:type="spellEnd"/>
      <w:r w:rsidRPr="003C30AA">
        <w:rPr>
          <w:sz w:val="20"/>
          <w:szCs w:val="20"/>
        </w:rPr>
        <w:t xml:space="preserve"> El </w:t>
      </w:r>
      <w:proofErr w:type="spellStart"/>
      <w:r w:rsidRPr="003C30AA">
        <w:rPr>
          <w:sz w:val="20"/>
          <w:szCs w:val="20"/>
        </w:rPr>
        <w:t>Dosoky</w:t>
      </w:r>
      <w:proofErr w:type="spellEnd"/>
      <w:r w:rsidRPr="003C30AA">
        <w:rPr>
          <w:sz w:val="20"/>
          <w:szCs w:val="20"/>
        </w:rPr>
        <w:t xml:space="preserve"> </w:t>
      </w:r>
      <w:proofErr w:type="spellStart"/>
      <w:r w:rsidRPr="003C30AA">
        <w:rPr>
          <w:sz w:val="20"/>
          <w:szCs w:val="20"/>
        </w:rPr>
        <w:t>Abd</w:t>
      </w:r>
      <w:proofErr w:type="spellEnd"/>
      <w:r w:rsidRPr="003C30AA">
        <w:rPr>
          <w:sz w:val="20"/>
          <w:szCs w:val="20"/>
        </w:rPr>
        <w:t xml:space="preserve"> El-Wahab</w:t>
      </w:r>
      <w:r w:rsidRPr="003C30AA">
        <w:rPr>
          <w:sz w:val="20"/>
          <w:szCs w:val="20"/>
          <w:vertAlign w:val="superscript"/>
        </w:rPr>
        <w:t>1</w:t>
      </w:r>
      <w:r w:rsidRPr="003C30AA">
        <w:rPr>
          <w:sz w:val="20"/>
          <w:szCs w:val="20"/>
        </w:rPr>
        <w:t xml:space="preserve">, Ali </w:t>
      </w:r>
      <w:proofErr w:type="spellStart"/>
      <w:r w:rsidRPr="003C30AA">
        <w:rPr>
          <w:sz w:val="20"/>
          <w:szCs w:val="20"/>
        </w:rPr>
        <w:t>Refaat</w:t>
      </w:r>
      <w:proofErr w:type="spellEnd"/>
      <w:r w:rsidRPr="003C30AA">
        <w:rPr>
          <w:sz w:val="20"/>
          <w:szCs w:val="20"/>
        </w:rPr>
        <w:t xml:space="preserve"> Ali Ebrahim</w:t>
      </w:r>
      <w:r w:rsidRPr="003C30AA">
        <w:rPr>
          <w:sz w:val="20"/>
          <w:szCs w:val="20"/>
          <w:vertAlign w:val="superscript"/>
        </w:rPr>
        <w:t>1</w:t>
      </w:r>
      <w:r w:rsidRPr="003C30AA">
        <w:rPr>
          <w:sz w:val="20"/>
          <w:szCs w:val="20"/>
        </w:rPr>
        <w:t xml:space="preserve">, </w:t>
      </w:r>
      <w:proofErr w:type="spellStart"/>
      <w:r w:rsidRPr="003C30AA">
        <w:rPr>
          <w:sz w:val="20"/>
          <w:szCs w:val="20"/>
        </w:rPr>
        <w:t>Elsayed</w:t>
      </w:r>
      <w:proofErr w:type="spellEnd"/>
      <w:r w:rsidRPr="003C30AA">
        <w:rPr>
          <w:sz w:val="20"/>
          <w:szCs w:val="20"/>
        </w:rPr>
        <w:t xml:space="preserve"> Mohammed </w:t>
      </w:r>
      <w:proofErr w:type="spellStart"/>
      <w:r w:rsidRPr="003C30AA">
        <w:rPr>
          <w:sz w:val="20"/>
          <w:szCs w:val="20"/>
        </w:rPr>
        <w:t>Abd</w:t>
      </w:r>
      <w:proofErr w:type="spellEnd"/>
      <w:r w:rsidRPr="003C30AA">
        <w:rPr>
          <w:sz w:val="20"/>
          <w:szCs w:val="20"/>
        </w:rPr>
        <w:t xml:space="preserve"> El-Hamid</w:t>
      </w:r>
      <w:r w:rsidRPr="003C30AA">
        <w:rPr>
          <w:sz w:val="20"/>
          <w:szCs w:val="20"/>
          <w:vertAlign w:val="superscript"/>
        </w:rPr>
        <w:t>2</w:t>
      </w:r>
      <w:r w:rsidRPr="003C30AA">
        <w:rPr>
          <w:sz w:val="20"/>
          <w:szCs w:val="20"/>
        </w:rPr>
        <w:t xml:space="preserve">, </w:t>
      </w:r>
      <w:proofErr w:type="spellStart"/>
      <w:r w:rsidRPr="003C30AA">
        <w:rPr>
          <w:sz w:val="20"/>
          <w:szCs w:val="20"/>
        </w:rPr>
        <w:t>Wafaa</w:t>
      </w:r>
      <w:proofErr w:type="spellEnd"/>
      <w:r w:rsidRPr="003C30AA">
        <w:rPr>
          <w:sz w:val="20"/>
          <w:szCs w:val="20"/>
        </w:rPr>
        <w:t xml:space="preserve"> </w:t>
      </w:r>
      <w:proofErr w:type="spellStart"/>
      <w:r w:rsidRPr="003C30AA">
        <w:rPr>
          <w:sz w:val="20"/>
          <w:szCs w:val="20"/>
        </w:rPr>
        <w:t>Kamal</w:t>
      </w:r>
      <w:proofErr w:type="spellEnd"/>
      <w:r w:rsidRPr="003C30AA">
        <w:rPr>
          <w:sz w:val="20"/>
          <w:szCs w:val="20"/>
        </w:rPr>
        <w:t xml:space="preserve"> </w:t>
      </w:r>
      <w:proofErr w:type="spellStart"/>
      <w:r w:rsidRPr="003C30AA">
        <w:rPr>
          <w:sz w:val="20"/>
          <w:szCs w:val="20"/>
        </w:rPr>
        <w:t>Ebrahim</w:t>
      </w:r>
      <w:proofErr w:type="spellEnd"/>
      <w:r w:rsidRPr="003C30AA">
        <w:rPr>
          <w:sz w:val="20"/>
          <w:szCs w:val="20"/>
        </w:rPr>
        <w:t xml:space="preserve"> Hashish</w:t>
      </w:r>
      <w:r w:rsidRPr="003C30AA">
        <w:rPr>
          <w:sz w:val="20"/>
          <w:szCs w:val="20"/>
          <w:vertAlign w:val="superscript"/>
        </w:rPr>
        <w:t>3</w:t>
      </w:r>
    </w:p>
    <w:p w:rsidR="004130E8" w:rsidRPr="003C30AA" w:rsidRDefault="004130E8" w:rsidP="003C30AA">
      <w:pPr>
        <w:bidi w:val="0"/>
        <w:snapToGrid w:val="0"/>
        <w:ind w:right="4"/>
        <w:jc w:val="center"/>
        <w:rPr>
          <w:sz w:val="20"/>
          <w:szCs w:val="20"/>
          <w:vertAlign w:val="superscript"/>
          <w:lang w:eastAsia="zh-CN"/>
        </w:rPr>
      </w:pPr>
    </w:p>
    <w:p w:rsidR="006E3D35" w:rsidRPr="003C30AA" w:rsidRDefault="00CD7954" w:rsidP="003C30AA">
      <w:pPr>
        <w:bidi w:val="0"/>
        <w:snapToGrid w:val="0"/>
        <w:ind w:right="4"/>
        <w:jc w:val="center"/>
        <w:rPr>
          <w:sz w:val="20"/>
          <w:szCs w:val="20"/>
          <w:lang w:eastAsia="zh-CN"/>
        </w:rPr>
      </w:pPr>
      <w:r w:rsidRPr="003C30AA">
        <w:rPr>
          <w:sz w:val="20"/>
          <w:szCs w:val="20"/>
          <w:vertAlign w:val="superscript"/>
        </w:rPr>
        <w:t>1</w:t>
      </w:r>
      <w:r w:rsidRPr="003C30AA">
        <w:rPr>
          <w:sz w:val="20"/>
          <w:szCs w:val="20"/>
        </w:rPr>
        <w:t>Rheumatology, Rehabilitation and Physical Medicine Department, Faculty of Medicine, Al-</w:t>
      </w:r>
      <w:proofErr w:type="spellStart"/>
      <w:r w:rsidRPr="003C30AA">
        <w:rPr>
          <w:sz w:val="20"/>
          <w:szCs w:val="20"/>
        </w:rPr>
        <w:t>Azhar</w:t>
      </w:r>
      <w:proofErr w:type="spellEnd"/>
      <w:r w:rsidRPr="003C30AA">
        <w:rPr>
          <w:sz w:val="20"/>
          <w:szCs w:val="20"/>
        </w:rPr>
        <w:t>, University, Egypt</w:t>
      </w:r>
    </w:p>
    <w:p w:rsidR="006E3D35" w:rsidRPr="003C30AA" w:rsidRDefault="00CD7954" w:rsidP="003C30AA">
      <w:pPr>
        <w:bidi w:val="0"/>
        <w:snapToGrid w:val="0"/>
        <w:ind w:right="4"/>
        <w:jc w:val="center"/>
        <w:rPr>
          <w:sz w:val="20"/>
          <w:szCs w:val="20"/>
          <w:lang w:eastAsia="zh-CN"/>
        </w:rPr>
      </w:pPr>
      <w:r w:rsidRPr="003C30AA">
        <w:rPr>
          <w:sz w:val="20"/>
          <w:szCs w:val="20"/>
          <w:vertAlign w:val="superscript"/>
        </w:rPr>
        <w:t>2</w:t>
      </w:r>
      <w:r w:rsidRPr="003C30AA">
        <w:rPr>
          <w:sz w:val="20"/>
          <w:szCs w:val="20"/>
        </w:rPr>
        <w:t>Radiodiagnostic Department, Faculty of Medicine, Al-</w:t>
      </w:r>
      <w:proofErr w:type="spellStart"/>
      <w:r w:rsidRPr="003C30AA">
        <w:rPr>
          <w:sz w:val="20"/>
          <w:szCs w:val="20"/>
        </w:rPr>
        <w:t>Azhar</w:t>
      </w:r>
      <w:proofErr w:type="spellEnd"/>
      <w:r w:rsidRPr="003C30AA">
        <w:rPr>
          <w:sz w:val="20"/>
          <w:szCs w:val="20"/>
        </w:rPr>
        <w:t>, University, Egypt</w:t>
      </w:r>
    </w:p>
    <w:p w:rsidR="00CD7954" w:rsidRPr="003C30AA" w:rsidRDefault="00CD7954" w:rsidP="003C30AA">
      <w:pPr>
        <w:bidi w:val="0"/>
        <w:snapToGrid w:val="0"/>
        <w:ind w:right="4"/>
        <w:jc w:val="center"/>
        <w:rPr>
          <w:sz w:val="20"/>
          <w:szCs w:val="20"/>
          <w:vertAlign w:val="superscript"/>
        </w:rPr>
      </w:pPr>
      <w:r w:rsidRPr="003C30AA">
        <w:rPr>
          <w:sz w:val="20"/>
          <w:szCs w:val="20"/>
          <w:vertAlign w:val="superscript"/>
        </w:rPr>
        <w:t>3</w:t>
      </w:r>
      <w:r w:rsidRPr="003C30AA">
        <w:rPr>
          <w:sz w:val="20"/>
          <w:szCs w:val="20"/>
        </w:rPr>
        <w:t>Resident at Rheumatology, Rehabilitation and Physical Medicine Ministry of Health and Populations, Egypt</w:t>
      </w:r>
    </w:p>
    <w:p w:rsidR="004130E8" w:rsidRPr="003C30AA" w:rsidRDefault="008C152B" w:rsidP="003C30AA">
      <w:pPr>
        <w:widowControl w:val="0"/>
        <w:autoSpaceDE w:val="0"/>
        <w:autoSpaceDN w:val="0"/>
        <w:bidi w:val="0"/>
        <w:adjustRightInd w:val="0"/>
        <w:snapToGrid w:val="0"/>
        <w:ind w:right="4"/>
        <w:jc w:val="center"/>
        <w:rPr>
          <w:color w:val="3333FF"/>
          <w:sz w:val="20"/>
          <w:szCs w:val="20"/>
        </w:rPr>
      </w:pPr>
      <w:hyperlink r:id="rId7" w:history="1">
        <w:r w:rsidR="00FE1A9E" w:rsidRPr="003C30AA">
          <w:rPr>
            <w:rStyle w:val="Hyperlink"/>
            <w:color w:val="3333FF"/>
            <w:sz w:val="20"/>
            <w:szCs w:val="20"/>
            <w:shd w:val="clear" w:color="auto" w:fill="FFFFFF"/>
          </w:rPr>
          <w:t>drezzstar84@gmail.com</w:t>
        </w:r>
      </w:hyperlink>
    </w:p>
    <w:p w:rsidR="004130E8" w:rsidRPr="003C30AA" w:rsidRDefault="004130E8" w:rsidP="003C30AA">
      <w:pPr>
        <w:widowControl w:val="0"/>
        <w:autoSpaceDE w:val="0"/>
        <w:autoSpaceDN w:val="0"/>
        <w:bidi w:val="0"/>
        <w:adjustRightInd w:val="0"/>
        <w:snapToGrid w:val="0"/>
        <w:ind w:right="4"/>
        <w:jc w:val="center"/>
        <w:rPr>
          <w:color w:val="3333FF"/>
          <w:sz w:val="20"/>
          <w:szCs w:val="20"/>
        </w:rPr>
      </w:pPr>
    </w:p>
    <w:p w:rsidR="006318D2" w:rsidRPr="003C30AA" w:rsidRDefault="00F84C82" w:rsidP="00840D53">
      <w:pPr>
        <w:widowControl w:val="0"/>
        <w:autoSpaceDE w:val="0"/>
        <w:autoSpaceDN w:val="0"/>
        <w:bidi w:val="0"/>
        <w:adjustRightInd w:val="0"/>
        <w:snapToGrid w:val="0"/>
        <w:jc w:val="both"/>
        <w:rPr>
          <w:b/>
          <w:bCs/>
          <w:sz w:val="20"/>
          <w:szCs w:val="20"/>
        </w:rPr>
      </w:pPr>
      <w:r w:rsidRPr="003C30AA">
        <w:rPr>
          <w:b/>
          <w:bCs/>
          <w:sz w:val="20"/>
          <w:szCs w:val="20"/>
        </w:rPr>
        <w:t>Abstract</w:t>
      </w:r>
      <w:r w:rsidR="007412E8" w:rsidRPr="003C30AA">
        <w:rPr>
          <w:b/>
          <w:bCs/>
          <w:sz w:val="20"/>
          <w:szCs w:val="20"/>
        </w:rPr>
        <w:t xml:space="preserve">: </w:t>
      </w:r>
      <w:r w:rsidR="006318D2" w:rsidRPr="003C30AA">
        <w:rPr>
          <w:b/>
          <w:bCs/>
          <w:sz w:val="20"/>
          <w:szCs w:val="20"/>
        </w:rPr>
        <w:t>Background:</w:t>
      </w:r>
      <w:r w:rsidR="006318D2" w:rsidRPr="003C30AA">
        <w:rPr>
          <w:sz w:val="20"/>
          <w:szCs w:val="20"/>
        </w:rPr>
        <w:t xml:space="preserve"> </w:t>
      </w:r>
      <w:r w:rsidR="006318D2" w:rsidRPr="003C30AA">
        <w:rPr>
          <w:rFonts w:eastAsia="Calibri"/>
          <w:sz w:val="20"/>
          <w:szCs w:val="20"/>
        </w:rPr>
        <w:t>Osteoarthritis is the most common musculoskeletal disorder. The relation with osteoporosis is under-examined.</w:t>
      </w:r>
      <w:r w:rsidR="007412E8" w:rsidRPr="003C30AA">
        <w:rPr>
          <w:rFonts w:eastAsia="Calibri"/>
          <w:sz w:val="20"/>
          <w:szCs w:val="20"/>
        </w:rPr>
        <w:t xml:space="preserve"> </w:t>
      </w:r>
      <w:r w:rsidR="006318D2" w:rsidRPr="003C30AA">
        <w:rPr>
          <w:rFonts w:eastAsia="Calibri"/>
          <w:b/>
          <w:bCs/>
          <w:sz w:val="20"/>
          <w:szCs w:val="20"/>
        </w:rPr>
        <w:t>The aim of the present study</w:t>
      </w:r>
      <w:r w:rsidR="006318D2" w:rsidRPr="003C30AA">
        <w:rPr>
          <w:rFonts w:eastAsia="Calibri"/>
          <w:sz w:val="20"/>
          <w:szCs w:val="20"/>
        </w:rPr>
        <w:t xml:space="preserve"> is to assess bone mineral density in primary generalized osteoarthritis.</w:t>
      </w:r>
      <w:r w:rsidR="007412E8" w:rsidRPr="003C30AA">
        <w:rPr>
          <w:rFonts w:eastAsia="Calibri"/>
          <w:sz w:val="20"/>
          <w:szCs w:val="20"/>
        </w:rPr>
        <w:t xml:space="preserve"> </w:t>
      </w:r>
      <w:r w:rsidR="006318D2" w:rsidRPr="003C30AA">
        <w:rPr>
          <w:rFonts w:eastAsia="Calibri"/>
          <w:b/>
          <w:bCs/>
          <w:sz w:val="20"/>
          <w:szCs w:val="20"/>
        </w:rPr>
        <w:t>Patients and methods:</w:t>
      </w:r>
      <w:r w:rsidR="006318D2" w:rsidRPr="003C30AA">
        <w:rPr>
          <w:rFonts w:eastAsia="Calibri"/>
          <w:sz w:val="20"/>
          <w:szCs w:val="20"/>
        </w:rPr>
        <w:t xml:space="preserve"> 100 patients with primary generalized osteoarthritis were included. All fulfilled ACR Criteria for diagnosis of </w:t>
      </w:r>
      <w:r w:rsidR="005D6340" w:rsidRPr="003C30AA">
        <w:rPr>
          <w:rFonts w:eastAsia="Calibri"/>
          <w:sz w:val="20"/>
          <w:szCs w:val="20"/>
        </w:rPr>
        <w:t>osteoarthritis</w:t>
      </w:r>
      <w:r w:rsidR="006318D2" w:rsidRPr="003C30AA">
        <w:rPr>
          <w:rFonts w:eastAsia="Calibri"/>
          <w:sz w:val="20"/>
          <w:szCs w:val="20"/>
        </w:rPr>
        <w:t xml:space="preserve">. 20 healthy subjects were included as control group. </w:t>
      </w:r>
      <w:r w:rsidR="006318D2" w:rsidRPr="003C30AA">
        <w:rPr>
          <w:sz w:val="20"/>
          <w:szCs w:val="20"/>
        </w:rPr>
        <w:t>All were subjected to history taking, clinical examination and laboratory investigations. Pain was assessed by visual analogue scale. Weste</w:t>
      </w:r>
      <w:r w:rsidR="003C30AA" w:rsidRPr="003C30AA">
        <w:rPr>
          <w:rFonts w:hint="eastAsia"/>
          <w:sz w:val="20"/>
          <w:szCs w:val="20"/>
          <w:lang w:eastAsia="zh-CN"/>
        </w:rPr>
        <w:t>r</w:t>
      </w:r>
      <w:r w:rsidR="006318D2" w:rsidRPr="003C30AA">
        <w:rPr>
          <w:sz w:val="20"/>
          <w:szCs w:val="20"/>
        </w:rPr>
        <w:t xml:space="preserve">n Ontario and McMaster Universities questionnaire was used to evaluate a patient’s functions when diagnosed with rheumatic diseases. All radiographs were examined using and graded according to the </w:t>
      </w:r>
      <w:proofErr w:type="spellStart"/>
      <w:r w:rsidR="006318D2" w:rsidRPr="003C30AA">
        <w:rPr>
          <w:sz w:val="20"/>
          <w:szCs w:val="20"/>
        </w:rPr>
        <w:t>Kellgren</w:t>
      </w:r>
      <w:proofErr w:type="spellEnd"/>
      <w:r w:rsidR="006318D2" w:rsidRPr="003C30AA">
        <w:rPr>
          <w:sz w:val="20"/>
          <w:szCs w:val="20"/>
        </w:rPr>
        <w:t xml:space="preserve"> and Lawrence criteria. Finally, Osteoporosis was assessed by dual-energy X-ray </w:t>
      </w:r>
      <w:proofErr w:type="spellStart"/>
      <w:r w:rsidR="006318D2" w:rsidRPr="003C30AA">
        <w:rPr>
          <w:sz w:val="20"/>
          <w:szCs w:val="20"/>
        </w:rPr>
        <w:t>absorptiometry</w:t>
      </w:r>
      <w:proofErr w:type="spellEnd"/>
      <w:r w:rsidR="005D6340" w:rsidRPr="003C30AA">
        <w:rPr>
          <w:sz w:val="20"/>
          <w:szCs w:val="20"/>
        </w:rPr>
        <w:t xml:space="preserve"> </w:t>
      </w:r>
      <w:r w:rsidR="006318D2" w:rsidRPr="003C30AA">
        <w:rPr>
          <w:sz w:val="20"/>
          <w:szCs w:val="20"/>
        </w:rPr>
        <w:t xml:space="preserve">scanning. </w:t>
      </w:r>
      <w:r w:rsidR="006318D2" w:rsidRPr="003C30AA">
        <w:rPr>
          <w:rFonts w:eastAsia="Calibri"/>
          <w:b/>
          <w:bCs/>
          <w:sz w:val="20"/>
          <w:szCs w:val="20"/>
        </w:rPr>
        <w:t>Results:</w:t>
      </w:r>
      <w:r w:rsidR="00840D53" w:rsidRPr="003C30AA">
        <w:rPr>
          <w:rFonts w:eastAsia="Calibri"/>
          <w:sz w:val="20"/>
          <w:szCs w:val="20"/>
        </w:rPr>
        <w:t xml:space="preserve"> </w:t>
      </w:r>
      <w:r w:rsidR="006318D2" w:rsidRPr="003C30AA">
        <w:rPr>
          <w:sz w:val="20"/>
          <w:szCs w:val="20"/>
        </w:rPr>
        <w:t>Both study and control group were comparable as regard to age, sex, residence and height.</w:t>
      </w:r>
      <w:r w:rsidR="006318D2" w:rsidRPr="003C30AA">
        <w:rPr>
          <w:color w:val="000000"/>
          <w:sz w:val="20"/>
          <w:szCs w:val="20"/>
        </w:rPr>
        <w:t xml:space="preserve"> </w:t>
      </w:r>
      <w:r w:rsidR="006318D2" w:rsidRPr="003C30AA">
        <w:rPr>
          <w:sz w:val="20"/>
          <w:szCs w:val="20"/>
        </w:rPr>
        <w:t xml:space="preserve">The intensity of pain in the study group was significantly </w:t>
      </w:r>
      <w:r w:rsidR="005D6340" w:rsidRPr="003C30AA">
        <w:rPr>
          <w:sz w:val="20"/>
          <w:szCs w:val="20"/>
        </w:rPr>
        <w:t>increased when</w:t>
      </w:r>
      <w:r w:rsidR="006318D2" w:rsidRPr="003C30AA">
        <w:rPr>
          <w:sz w:val="20"/>
          <w:szCs w:val="20"/>
        </w:rPr>
        <w:t xml:space="preserve"> compared to control group.</w:t>
      </w:r>
      <w:r w:rsidR="00840D53" w:rsidRPr="003C30AA">
        <w:rPr>
          <w:sz w:val="20"/>
          <w:szCs w:val="20"/>
        </w:rPr>
        <w:t xml:space="preserve"> </w:t>
      </w:r>
      <w:r w:rsidR="006318D2" w:rsidRPr="003C30AA">
        <w:rPr>
          <w:sz w:val="20"/>
          <w:szCs w:val="20"/>
        </w:rPr>
        <w:t xml:space="preserve">There was statistically significant decrease of </w:t>
      </w:r>
      <w:r w:rsidR="005D6340" w:rsidRPr="003C30AA">
        <w:rPr>
          <w:sz w:val="20"/>
          <w:szCs w:val="20"/>
        </w:rPr>
        <w:t>bone mineral density</w:t>
      </w:r>
      <w:r w:rsidR="006318D2" w:rsidRPr="003C30AA">
        <w:rPr>
          <w:sz w:val="20"/>
          <w:szCs w:val="20"/>
        </w:rPr>
        <w:t xml:space="preserve"> in the study group when compared to control group at lumber spine and forearm.</w:t>
      </w:r>
      <w:r w:rsidR="005D6340" w:rsidRPr="003C30AA">
        <w:rPr>
          <w:sz w:val="20"/>
          <w:szCs w:val="20"/>
        </w:rPr>
        <w:t xml:space="preserve"> </w:t>
      </w:r>
      <w:r w:rsidR="006318D2" w:rsidRPr="003C30AA">
        <w:rPr>
          <w:sz w:val="20"/>
          <w:szCs w:val="20"/>
        </w:rPr>
        <w:t xml:space="preserve">There was statistically significant increase of </w:t>
      </w:r>
      <w:r w:rsidR="005D6340" w:rsidRPr="003C30AA">
        <w:rPr>
          <w:sz w:val="20"/>
          <w:szCs w:val="20"/>
        </w:rPr>
        <w:t>C - reactive protein</w:t>
      </w:r>
      <w:r w:rsidR="006318D2" w:rsidRPr="003C30AA">
        <w:rPr>
          <w:sz w:val="20"/>
          <w:szCs w:val="20"/>
        </w:rPr>
        <w:t xml:space="preserve"> and </w:t>
      </w:r>
      <w:r w:rsidR="005D6340" w:rsidRPr="003C30AA">
        <w:rPr>
          <w:sz w:val="20"/>
          <w:szCs w:val="20"/>
        </w:rPr>
        <w:t>erythrocyte sedimentation rate</w:t>
      </w:r>
      <w:r w:rsidR="006318D2" w:rsidRPr="003C30AA">
        <w:rPr>
          <w:sz w:val="20"/>
          <w:szCs w:val="20"/>
        </w:rPr>
        <w:t xml:space="preserve"> in study group, and there was statistically significant decrease of calcium and significant increase of alkaline </w:t>
      </w:r>
      <w:proofErr w:type="spellStart"/>
      <w:r w:rsidR="006318D2" w:rsidRPr="003C30AA">
        <w:rPr>
          <w:sz w:val="20"/>
          <w:szCs w:val="20"/>
        </w:rPr>
        <w:t>phosphatase</w:t>
      </w:r>
      <w:proofErr w:type="spellEnd"/>
      <w:r w:rsidR="006318D2" w:rsidRPr="003C30AA">
        <w:rPr>
          <w:sz w:val="20"/>
          <w:szCs w:val="20"/>
        </w:rPr>
        <w:t xml:space="preserve"> in study group.</w:t>
      </w:r>
      <w:r w:rsidR="005B6583" w:rsidRPr="003C30AA">
        <w:rPr>
          <w:rFonts w:hint="eastAsia"/>
          <w:sz w:val="20"/>
          <w:szCs w:val="20"/>
          <w:lang w:eastAsia="zh-CN"/>
        </w:rPr>
        <w:t xml:space="preserve"> </w:t>
      </w:r>
      <w:r w:rsidR="006318D2" w:rsidRPr="003C30AA">
        <w:rPr>
          <w:b/>
          <w:bCs/>
          <w:sz w:val="20"/>
          <w:szCs w:val="20"/>
        </w:rPr>
        <w:t>Conclusion:</w:t>
      </w:r>
      <w:r w:rsidR="006318D2" w:rsidRPr="003C30AA">
        <w:rPr>
          <w:sz w:val="20"/>
          <w:szCs w:val="20"/>
        </w:rPr>
        <w:t xml:space="preserve"> there was statistically significant decrease of BMD in the study group when compared to control group at lumber spine and forearm. However, the difference at femur was statistically non-significant.</w:t>
      </w:r>
    </w:p>
    <w:p w:rsidR="00840D53" w:rsidRPr="003C30AA" w:rsidRDefault="00840D53" w:rsidP="00840D53">
      <w:pPr>
        <w:bidi w:val="0"/>
        <w:snapToGrid w:val="0"/>
        <w:jc w:val="both"/>
        <w:rPr>
          <w:b/>
          <w:bCs/>
          <w:sz w:val="20"/>
          <w:szCs w:val="20"/>
          <w:lang w:eastAsia="zh-CN"/>
        </w:rPr>
      </w:pPr>
      <w:r w:rsidRPr="003C30AA">
        <w:rPr>
          <w:rFonts w:hint="eastAsia"/>
          <w:sz w:val="20"/>
          <w:szCs w:val="20"/>
        </w:rPr>
        <w:t>[</w:t>
      </w:r>
      <w:proofErr w:type="spellStart"/>
      <w:r w:rsidRPr="003C30AA">
        <w:rPr>
          <w:sz w:val="20"/>
          <w:szCs w:val="20"/>
        </w:rPr>
        <w:t>Hisham</w:t>
      </w:r>
      <w:proofErr w:type="spellEnd"/>
      <w:r w:rsidRPr="003C30AA">
        <w:rPr>
          <w:sz w:val="20"/>
          <w:szCs w:val="20"/>
        </w:rPr>
        <w:t xml:space="preserve"> El </w:t>
      </w:r>
      <w:proofErr w:type="spellStart"/>
      <w:r w:rsidRPr="003C30AA">
        <w:rPr>
          <w:sz w:val="20"/>
          <w:szCs w:val="20"/>
        </w:rPr>
        <w:t>Dosoky</w:t>
      </w:r>
      <w:proofErr w:type="spellEnd"/>
      <w:r w:rsidRPr="003C30AA">
        <w:rPr>
          <w:sz w:val="20"/>
          <w:szCs w:val="20"/>
        </w:rPr>
        <w:t xml:space="preserve"> </w:t>
      </w:r>
      <w:proofErr w:type="spellStart"/>
      <w:r w:rsidRPr="003C30AA">
        <w:rPr>
          <w:sz w:val="20"/>
          <w:szCs w:val="20"/>
        </w:rPr>
        <w:t>Abd</w:t>
      </w:r>
      <w:proofErr w:type="spellEnd"/>
      <w:r w:rsidRPr="003C30AA">
        <w:rPr>
          <w:sz w:val="20"/>
          <w:szCs w:val="20"/>
        </w:rPr>
        <w:t xml:space="preserve"> El-</w:t>
      </w:r>
      <w:proofErr w:type="spellStart"/>
      <w:r w:rsidRPr="003C30AA">
        <w:rPr>
          <w:sz w:val="20"/>
          <w:szCs w:val="20"/>
        </w:rPr>
        <w:t>Wahab</w:t>
      </w:r>
      <w:proofErr w:type="spellEnd"/>
      <w:r w:rsidRPr="003C30AA">
        <w:rPr>
          <w:sz w:val="20"/>
          <w:szCs w:val="20"/>
        </w:rPr>
        <w:t xml:space="preserve">, Ali </w:t>
      </w:r>
      <w:proofErr w:type="spellStart"/>
      <w:r w:rsidRPr="003C30AA">
        <w:rPr>
          <w:sz w:val="20"/>
          <w:szCs w:val="20"/>
        </w:rPr>
        <w:t>Refaat</w:t>
      </w:r>
      <w:proofErr w:type="spellEnd"/>
      <w:r w:rsidRPr="003C30AA">
        <w:rPr>
          <w:sz w:val="20"/>
          <w:szCs w:val="20"/>
        </w:rPr>
        <w:t xml:space="preserve"> Ali </w:t>
      </w:r>
      <w:proofErr w:type="spellStart"/>
      <w:r w:rsidRPr="003C30AA">
        <w:rPr>
          <w:sz w:val="20"/>
          <w:szCs w:val="20"/>
        </w:rPr>
        <w:t>Ebrahim</w:t>
      </w:r>
      <w:proofErr w:type="spellEnd"/>
      <w:r w:rsidRPr="003C30AA">
        <w:rPr>
          <w:sz w:val="20"/>
          <w:szCs w:val="20"/>
        </w:rPr>
        <w:t xml:space="preserve">, </w:t>
      </w:r>
      <w:proofErr w:type="spellStart"/>
      <w:r w:rsidRPr="003C30AA">
        <w:rPr>
          <w:sz w:val="20"/>
          <w:szCs w:val="20"/>
        </w:rPr>
        <w:t>Elsayed</w:t>
      </w:r>
      <w:proofErr w:type="spellEnd"/>
      <w:r w:rsidRPr="003C30AA">
        <w:rPr>
          <w:sz w:val="20"/>
          <w:szCs w:val="20"/>
        </w:rPr>
        <w:t xml:space="preserve"> Mohammed </w:t>
      </w:r>
      <w:proofErr w:type="spellStart"/>
      <w:r w:rsidRPr="003C30AA">
        <w:rPr>
          <w:sz w:val="20"/>
          <w:szCs w:val="20"/>
        </w:rPr>
        <w:t>Abd</w:t>
      </w:r>
      <w:proofErr w:type="spellEnd"/>
      <w:r w:rsidRPr="003C30AA">
        <w:rPr>
          <w:sz w:val="20"/>
          <w:szCs w:val="20"/>
        </w:rPr>
        <w:t xml:space="preserve"> El-</w:t>
      </w:r>
      <w:proofErr w:type="spellStart"/>
      <w:r w:rsidRPr="003C30AA">
        <w:rPr>
          <w:sz w:val="20"/>
          <w:szCs w:val="20"/>
        </w:rPr>
        <w:t>Hamid</w:t>
      </w:r>
      <w:proofErr w:type="spellEnd"/>
      <w:r w:rsidRPr="003C30AA">
        <w:rPr>
          <w:sz w:val="20"/>
          <w:szCs w:val="20"/>
        </w:rPr>
        <w:t xml:space="preserve">, </w:t>
      </w:r>
      <w:proofErr w:type="spellStart"/>
      <w:r w:rsidRPr="003C30AA">
        <w:rPr>
          <w:sz w:val="20"/>
          <w:szCs w:val="20"/>
        </w:rPr>
        <w:t>Wafaa</w:t>
      </w:r>
      <w:proofErr w:type="spellEnd"/>
      <w:r w:rsidRPr="003C30AA">
        <w:rPr>
          <w:sz w:val="20"/>
          <w:szCs w:val="20"/>
        </w:rPr>
        <w:t xml:space="preserve"> </w:t>
      </w:r>
      <w:proofErr w:type="spellStart"/>
      <w:r w:rsidRPr="003C30AA">
        <w:rPr>
          <w:sz w:val="20"/>
          <w:szCs w:val="20"/>
        </w:rPr>
        <w:t>Kamal</w:t>
      </w:r>
      <w:proofErr w:type="spellEnd"/>
      <w:r w:rsidRPr="003C30AA">
        <w:rPr>
          <w:sz w:val="20"/>
          <w:szCs w:val="20"/>
        </w:rPr>
        <w:t xml:space="preserve"> </w:t>
      </w:r>
      <w:proofErr w:type="spellStart"/>
      <w:r w:rsidRPr="003C30AA">
        <w:rPr>
          <w:sz w:val="20"/>
          <w:szCs w:val="20"/>
        </w:rPr>
        <w:t>Ebrahim</w:t>
      </w:r>
      <w:proofErr w:type="spellEnd"/>
      <w:r w:rsidRPr="003C30AA">
        <w:rPr>
          <w:sz w:val="20"/>
          <w:szCs w:val="20"/>
        </w:rPr>
        <w:t xml:space="preserve"> Hashish.</w:t>
      </w:r>
      <w:r w:rsidRPr="003C30AA">
        <w:rPr>
          <w:rFonts w:eastAsiaTheme="minorEastAsia" w:hint="eastAsia"/>
          <w:b/>
          <w:bCs/>
          <w:sz w:val="20"/>
          <w:szCs w:val="20"/>
          <w:lang w:bidi="fa-IR"/>
        </w:rPr>
        <w:t xml:space="preserve"> </w:t>
      </w:r>
      <w:r w:rsidRPr="003C30AA">
        <w:rPr>
          <w:b/>
          <w:bCs/>
          <w:sz w:val="20"/>
          <w:szCs w:val="20"/>
        </w:rPr>
        <w:t>Assessment of Bone Mineral Density in Primary Generalized Osteoarthritis</w:t>
      </w:r>
      <w:r w:rsidRPr="003C30AA">
        <w:rPr>
          <w:rFonts w:eastAsia="Times New Roman"/>
          <w:b/>
          <w:bCs/>
          <w:sz w:val="20"/>
          <w:szCs w:val="20"/>
          <w:lang w:bidi="fa-IR"/>
        </w:rPr>
        <w:t>.</w:t>
      </w:r>
      <w:r w:rsidRPr="003C30AA">
        <w:rPr>
          <w:bCs/>
          <w:i/>
          <w:sz w:val="20"/>
          <w:szCs w:val="20"/>
        </w:rPr>
        <w:t xml:space="preserve"> Researcher</w:t>
      </w:r>
      <w:r w:rsidRPr="003C30AA">
        <w:rPr>
          <w:bCs/>
          <w:sz w:val="20"/>
          <w:szCs w:val="20"/>
        </w:rPr>
        <w:t xml:space="preserve"> 201</w:t>
      </w:r>
      <w:r w:rsidRPr="003C30AA">
        <w:rPr>
          <w:rFonts w:hint="eastAsia"/>
          <w:bCs/>
          <w:sz w:val="20"/>
          <w:szCs w:val="20"/>
        </w:rPr>
        <w:t>7</w:t>
      </w:r>
      <w:r w:rsidRPr="003C30AA">
        <w:rPr>
          <w:bCs/>
          <w:sz w:val="20"/>
          <w:szCs w:val="20"/>
        </w:rPr>
        <w:t>;</w:t>
      </w:r>
      <w:r w:rsidRPr="003C30AA">
        <w:rPr>
          <w:rFonts w:hint="eastAsia"/>
          <w:bCs/>
          <w:sz w:val="20"/>
          <w:szCs w:val="20"/>
        </w:rPr>
        <w:t>9</w:t>
      </w:r>
      <w:r w:rsidRPr="003C30AA">
        <w:rPr>
          <w:bCs/>
          <w:sz w:val="20"/>
          <w:szCs w:val="20"/>
        </w:rPr>
        <w:t>(</w:t>
      </w:r>
      <w:r w:rsidRPr="003C30AA">
        <w:rPr>
          <w:rFonts w:hint="eastAsia"/>
          <w:bCs/>
          <w:sz w:val="20"/>
          <w:szCs w:val="20"/>
        </w:rPr>
        <w:t>7</w:t>
      </w:r>
      <w:r w:rsidRPr="003C30AA">
        <w:rPr>
          <w:bCs/>
          <w:sz w:val="20"/>
          <w:szCs w:val="20"/>
        </w:rPr>
        <w:t>):</w:t>
      </w:r>
      <w:r w:rsidR="007E2D9F" w:rsidRPr="003C30AA">
        <w:rPr>
          <w:noProof/>
          <w:color w:val="000000"/>
          <w:sz w:val="20"/>
          <w:szCs w:val="20"/>
        </w:rPr>
        <w:t>104-110</w:t>
      </w:r>
      <w:r w:rsidRPr="003C30AA">
        <w:rPr>
          <w:bCs/>
          <w:sz w:val="20"/>
          <w:szCs w:val="20"/>
        </w:rPr>
        <w:t xml:space="preserve">]. </w:t>
      </w:r>
      <w:r w:rsidRPr="003C30AA">
        <w:rPr>
          <w:sz w:val="20"/>
          <w:szCs w:val="20"/>
        </w:rPr>
        <w:t>ISSN 1553-9865 (print); ISSN 2163-8950 (online)</w:t>
      </w:r>
      <w:r w:rsidRPr="003C30AA">
        <w:rPr>
          <w:bCs/>
          <w:sz w:val="20"/>
          <w:szCs w:val="20"/>
        </w:rPr>
        <w:t xml:space="preserve">. </w:t>
      </w:r>
      <w:hyperlink r:id="rId8" w:history="1">
        <w:r w:rsidRPr="003C30AA">
          <w:rPr>
            <w:rStyle w:val="Hyperlink"/>
            <w:sz w:val="20"/>
            <w:szCs w:val="20"/>
          </w:rPr>
          <w:t>http://www.sciencepub.net/researcher</w:t>
        </w:r>
      </w:hyperlink>
      <w:r w:rsidRPr="003C30AA">
        <w:rPr>
          <w:bCs/>
          <w:sz w:val="20"/>
          <w:szCs w:val="20"/>
        </w:rPr>
        <w:t>.</w:t>
      </w:r>
      <w:r w:rsidRPr="003C30AA">
        <w:rPr>
          <w:rFonts w:hint="eastAsia"/>
          <w:bCs/>
          <w:sz w:val="20"/>
          <w:szCs w:val="20"/>
        </w:rPr>
        <w:t xml:space="preserve"> </w:t>
      </w:r>
      <w:r w:rsidRPr="003C30AA">
        <w:rPr>
          <w:rFonts w:hint="eastAsia"/>
          <w:bCs/>
          <w:sz w:val="20"/>
          <w:szCs w:val="20"/>
          <w:lang w:eastAsia="zh-CN"/>
        </w:rPr>
        <w:t>16</w:t>
      </w:r>
      <w:r w:rsidRPr="003C30AA">
        <w:rPr>
          <w:rFonts w:hint="eastAsia"/>
          <w:bCs/>
          <w:sz w:val="20"/>
          <w:szCs w:val="20"/>
        </w:rPr>
        <w:t xml:space="preserve">. </w:t>
      </w:r>
      <w:r w:rsidRPr="003C30AA">
        <w:rPr>
          <w:color w:val="000000"/>
          <w:sz w:val="20"/>
          <w:szCs w:val="20"/>
          <w:shd w:val="clear" w:color="auto" w:fill="FFFFFF"/>
        </w:rPr>
        <w:t>doi:</w:t>
      </w:r>
      <w:hyperlink r:id="rId9" w:history="1">
        <w:r w:rsidRPr="003C30AA">
          <w:rPr>
            <w:rStyle w:val="Hyperlink"/>
            <w:sz w:val="20"/>
            <w:szCs w:val="20"/>
            <w:shd w:val="clear" w:color="auto" w:fill="FFFFFF"/>
          </w:rPr>
          <w:t>10.7537/mars</w:t>
        </w:r>
        <w:r w:rsidRPr="003C30AA">
          <w:rPr>
            <w:rStyle w:val="Hyperlink"/>
            <w:rFonts w:hint="eastAsia"/>
            <w:sz w:val="20"/>
            <w:szCs w:val="20"/>
            <w:shd w:val="clear" w:color="auto" w:fill="FFFFFF"/>
          </w:rPr>
          <w:t>r</w:t>
        </w:r>
        <w:r w:rsidRPr="003C30AA">
          <w:rPr>
            <w:rStyle w:val="Hyperlink"/>
            <w:sz w:val="20"/>
            <w:szCs w:val="20"/>
            <w:shd w:val="clear" w:color="auto" w:fill="FFFFFF"/>
          </w:rPr>
          <w:t>sj</w:t>
        </w:r>
        <w:r w:rsidRPr="003C30AA">
          <w:rPr>
            <w:rStyle w:val="Hyperlink"/>
            <w:rFonts w:hint="eastAsia"/>
            <w:sz w:val="20"/>
            <w:szCs w:val="20"/>
            <w:shd w:val="clear" w:color="auto" w:fill="FFFFFF"/>
          </w:rPr>
          <w:t>090717.</w:t>
        </w:r>
        <w:r w:rsidRPr="003C30AA">
          <w:rPr>
            <w:rStyle w:val="Hyperlink"/>
            <w:rFonts w:hint="eastAsia"/>
            <w:sz w:val="20"/>
            <w:szCs w:val="20"/>
            <w:shd w:val="clear" w:color="auto" w:fill="FFFFFF"/>
            <w:lang w:eastAsia="zh-CN"/>
          </w:rPr>
          <w:t>16</w:t>
        </w:r>
      </w:hyperlink>
      <w:r w:rsidRPr="003C30AA">
        <w:rPr>
          <w:color w:val="000000"/>
          <w:sz w:val="20"/>
          <w:szCs w:val="20"/>
          <w:shd w:val="clear" w:color="auto" w:fill="FFFFFF"/>
        </w:rPr>
        <w:t>.</w:t>
      </w:r>
    </w:p>
    <w:p w:rsidR="007412E8" w:rsidRPr="003C30AA" w:rsidRDefault="007412E8" w:rsidP="00840D53">
      <w:pPr>
        <w:autoSpaceDE w:val="0"/>
        <w:autoSpaceDN w:val="0"/>
        <w:bidi w:val="0"/>
        <w:adjustRightInd w:val="0"/>
        <w:snapToGrid w:val="0"/>
        <w:jc w:val="both"/>
        <w:rPr>
          <w:b/>
          <w:bCs/>
          <w:sz w:val="20"/>
          <w:szCs w:val="20"/>
        </w:rPr>
      </w:pPr>
    </w:p>
    <w:p w:rsidR="006318D2" w:rsidRPr="003C30AA" w:rsidRDefault="006318D2" w:rsidP="00840D53">
      <w:pPr>
        <w:autoSpaceDE w:val="0"/>
        <w:autoSpaceDN w:val="0"/>
        <w:bidi w:val="0"/>
        <w:adjustRightInd w:val="0"/>
        <w:snapToGrid w:val="0"/>
        <w:jc w:val="both"/>
        <w:rPr>
          <w:rFonts w:eastAsia="Calibri"/>
          <w:sz w:val="20"/>
          <w:szCs w:val="20"/>
        </w:rPr>
      </w:pPr>
      <w:r w:rsidRPr="003C30AA">
        <w:rPr>
          <w:b/>
          <w:bCs/>
          <w:sz w:val="20"/>
          <w:szCs w:val="20"/>
        </w:rPr>
        <w:t>Keywords:</w:t>
      </w:r>
      <w:r w:rsidRPr="003C30AA">
        <w:rPr>
          <w:rFonts w:eastAsia="Calibri"/>
          <w:sz w:val="20"/>
          <w:szCs w:val="20"/>
        </w:rPr>
        <w:t xml:space="preserve"> bone mineral density; osteoarthritis, osteoporosis</w:t>
      </w:r>
    </w:p>
    <w:p w:rsidR="005D6340" w:rsidRPr="003C30AA" w:rsidRDefault="005D6340" w:rsidP="00840D53">
      <w:pPr>
        <w:widowControl w:val="0"/>
        <w:autoSpaceDE w:val="0"/>
        <w:autoSpaceDN w:val="0"/>
        <w:bidi w:val="0"/>
        <w:adjustRightInd w:val="0"/>
        <w:snapToGrid w:val="0"/>
        <w:jc w:val="both"/>
        <w:rPr>
          <w:b/>
          <w:bCs/>
          <w:sz w:val="20"/>
          <w:szCs w:val="20"/>
        </w:rPr>
      </w:pPr>
    </w:p>
    <w:p w:rsidR="00840D53" w:rsidRPr="003C30AA" w:rsidRDefault="00840D53" w:rsidP="00840D53">
      <w:pPr>
        <w:widowControl w:val="0"/>
        <w:autoSpaceDE w:val="0"/>
        <w:autoSpaceDN w:val="0"/>
        <w:bidi w:val="0"/>
        <w:adjustRightInd w:val="0"/>
        <w:snapToGrid w:val="0"/>
        <w:jc w:val="both"/>
        <w:rPr>
          <w:b/>
          <w:bCs/>
          <w:sz w:val="20"/>
          <w:szCs w:val="20"/>
        </w:rPr>
        <w:sectPr w:rsidR="00840D53" w:rsidRPr="003C30AA" w:rsidSect="007E2D9F">
          <w:headerReference w:type="default" r:id="rId10"/>
          <w:footerReference w:type="default" r:id="rId11"/>
          <w:type w:val="continuous"/>
          <w:pgSz w:w="12240" w:h="15840" w:code="1"/>
          <w:pgMar w:top="1440" w:right="1440" w:bottom="1440" w:left="1440" w:header="720" w:footer="720" w:gutter="0"/>
          <w:pgNumType w:start="104"/>
          <w:cols w:space="720"/>
          <w:noEndnote/>
          <w:docGrid w:linePitch="326"/>
        </w:sectPr>
      </w:pPr>
    </w:p>
    <w:p w:rsidR="00F84C82" w:rsidRPr="003C30AA" w:rsidRDefault="00CD7954" w:rsidP="00840D53">
      <w:pPr>
        <w:widowControl w:val="0"/>
        <w:autoSpaceDE w:val="0"/>
        <w:autoSpaceDN w:val="0"/>
        <w:bidi w:val="0"/>
        <w:adjustRightInd w:val="0"/>
        <w:snapToGrid w:val="0"/>
        <w:jc w:val="both"/>
        <w:rPr>
          <w:b/>
          <w:bCs/>
          <w:sz w:val="20"/>
          <w:szCs w:val="20"/>
        </w:rPr>
      </w:pPr>
      <w:r w:rsidRPr="003C30AA">
        <w:rPr>
          <w:b/>
          <w:bCs/>
          <w:sz w:val="20"/>
          <w:szCs w:val="20"/>
        </w:rPr>
        <w:lastRenderedPageBreak/>
        <w:t xml:space="preserve">1. </w:t>
      </w:r>
      <w:r w:rsidR="00F84C82" w:rsidRPr="003C30AA">
        <w:rPr>
          <w:b/>
          <w:bCs/>
          <w:sz w:val="20"/>
          <w:szCs w:val="20"/>
        </w:rPr>
        <w:t>Introduction</w:t>
      </w:r>
    </w:p>
    <w:p w:rsidR="00F84C82" w:rsidRPr="003C30AA" w:rsidRDefault="00F84C82" w:rsidP="00840D53">
      <w:pPr>
        <w:bidi w:val="0"/>
        <w:snapToGrid w:val="0"/>
        <w:ind w:firstLine="425"/>
        <w:jc w:val="both"/>
        <w:rPr>
          <w:rFonts w:eastAsia="Calibri"/>
          <w:b/>
          <w:bCs/>
          <w:sz w:val="20"/>
          <w:szCs w:val="20"/>
        </w:rPr>
      </w:pPr>
      <w:r w:rsidRPr="003C30AA">
        <w:rPr>
          <w:rFonts w:eastAsia="Calibri"/>
          <w:sz w:val="20"/>
          <w:szCs w:val="20"/>
        </w:rPr>
        <w:t>Osteoarthritis (OA</w:t>
      </w:r>
      <w:r w:rsidR="008E03FA" w:rsidRPr="003C30AA">
        <w:rPr>
          <w:rFonts w:eastAsia="Calibri"/>
          <w:sz w:val="20"/>
          <w:szCs w:val="20"/>
        </w:rPr>
        <w:t>)</w:t>
      </w:r>
      <w:r w:rsidRPr="003C30AA">
        <w:rPr>
          <w:rFonts w:eastAsia="Calibri"/>
          <w:sz w:val="20"/>
          <w:szCs w:val="20"/>
        </w:rPr>
        <w:t xml:space="preserve"> </w:t>
      </w:r>
      <w:r w:rsidR="007E79B9" w:rsidRPr="003C30AA">
        <w:rPr>
          <w:rFonts w:eastAsia="Calibri"/>
          <w:sz w:val="20"/>
          <w:szCs w:val="20"/>
        </w:rPr>
        <w:t xml:space="preserve">a very </w:t>
      </w:r>
      <w:r w:rsidRPr="003C30AA">
        <w:rPr>
          <w:rFonts w:eastAsia="Calibri"/>
          <w:sz w:val="20"/>
          <w:szCs w:val="20"/>
        </w:rPr>
        <w:t>common form of arthritis</w:t>
      </w:r>
      <w:r w:rsidR="008E03FA" w:rsidRPr="003C30AA">
        <w:rPr>
          <w:rFonts w:eastAsia="Calibri"/>
          <w:sz w:val="20"/>
          <w:szCs w:val="20"/>
        </w:rPr>
        <w:t xml:space="preserve">. It leads to a significant chronic pain and disability and </w:t>
      </w:r>
      <w:r w:rsidRPr="003C30AA">
        <w:rPr>
          <w:rFonts w:eastAsia="Calibri"/>
          <w:sz w:val="20"/>
          <w:szCs w:val="20"/>
        </w:rPr>
        <w:t>confers</w:t>
      </w:r>
      <w:r w:rsidR="008E03FA" w:rsidRPr="003C30AA">
        <w:rPr>
          <w:rFonts w:eastAsia="Calibri"/>
          <w:sz w:val="20"/>
          <w:szCs w:val="20"/>
        </w:rPr>
        <w:t xml:space="preserve"> an</w:t>
      </w:r>
      <w:r w:rsidRPr="003C30AA">
        <w:rPr>
          <w:rFonts w:eastAsia="Calibri"/>
          <w:sz w:val="20"/>
          <w:szCs w:val="20"/>
        </w:rPr>
        <w:t xml:space="preserve"> </w:t>
      </w:r>
      <w:r w:rsidR="008E03FA" w:rsidRPr="003C30AA">
        <w:rPr>
          <w:rFonts w:eastAsia="Calibri"/>
          <w:sz w:val="20"/>
          <w:szCs w:val="20"/>
        </w:rPr>
        <w:t>enormous</w:t>
      </w:r>
      <w:r w:rsidRPr="003C30AA">
        <w:rPr>
          <w:rFonts w:eastAsia="Calibri"/>
          <w:sz w:val="20"/>
          <w:szCs w:val="20"/>
        </w:rPr>
        <w:t xml:space="preserve"> </w:t>
      </w:r>
      <w:r w:rsidR="008E03FA" w:rsidRPr="003C30AA">
        <w:rPr>
          <w:rFonts w:eastAsia="Calibri"/>
          <w:sz w:val="20"/>
          <w:szCs w:val="20"/>
        </w:rPr>
        <w:t>load</w:t>
      </w:r>
      <w:r w:rsidRPr="003C30AA">
        <w:rPr>
          <w:rFonts w:eastAsia="Calibri"/>
          <w:sz w:val="20"/>
          <w:szCs w:val="20"/>
        </w:rPr>
        <w:t xml:space="preserve"> on both </w:t>
      </w:r>
      <w:r w:rsidR="007E79B9" w:rsidRPr="003C30AA">
        <w:rPr>
          <w:rFonts w:eastAsia="Calibri"/>
          <w:sz w:val="20"/>
          <w:szCs w:val="20"/>
        </w:rPr>
        <w:t>people</w:t>
      </w:r>
      <w:r w:rsidRPr="003C30AA">
        <w:rPr>
          <w:rFonts w:eastAsia="Calibri"/>
          <w:sz w:val="20"/>
          <w:szCs w:val="20"/>
        </w:rPr>
        <w:t xml:space="preserve"> and health economies </w:t>
      </w:r>
      <w:r w:rsidRPr="003C30AA">
        <w:rPr>
          <w:rFonts w:eastAsia="Calibri"/>
          <w:b/>
          <w:bCs/>
          <w:sz w:val="20"/>
          <w:szCs w:val="20"/>
        </w:rPr>
        <w:t>(Barr et al., 2015).</w:t>
      </w:r>
      <w:r w:rsidR="001E55C6" w:rsidRPr="003C30AA">
        <w:rPr>
          <w:rFonts w:eastAsia="Calibri"/>
          <w:b/>
          <w:bCs/>
          <w:sz w:val="20"/>
          <w:szCs w:val="20"/>
        </w:rPr>
        <w:t xml:space="preserve"> </w:t>
      </w:r>
      <w:r w:rsidR="001E55C6" w:rsidRPr="003C30AA">
        <w:rPr>
          <w:rFonts w:eastAsia="Calibri"/>
          <w:sz w:val="20"/>
          <w:szCs w:val="20"/>
        </w:rPr>
        <w:t xml:space="preserve">It is </w:t>
      </w:r>
      <w:r w:rsidRPr="003C30AA">
        <w:rPr>
          <w:rFonts w:eastAsia="Calibri"/>
          <w:sz w:val="20"/>
          <w:szCs w:val="20"/>
        </w:rPr>
        <w:t>a primary inflammatory degenerative disease</w:t>
      </w:r>
      <w:r w:rsidR="001E55C6" w:rsidRPr="003C30AA">
        <w:rPr>
          <w:rFonts w:eastAsia="Calibri"/>
          <w:sz w:val="20"/>
          <w:szCs w:val="20"/>
        </w:rPr>
        <w:t xml:space="preserve"> affecting joints and is</w:t>
      </w:r>
      <w:r w:rsidRPr="003C30AA">
        <w:rPr>
          <w:rFonts w:eastAsia="Calibri"/>
          <w:sz w:val="20"/>
          <w:szCs w:val="20"/>
        </w:rPr>
        <w:t xml:space="preserve"> </w:t>
      </w:r>
      <w:r w:rsidR="007E79B9" w:rsidRPr="003C30AA">
        <w:rPr>
          <w:rFonts w:eastAsia="Calibri"/>
          <w:sz w:val="20"/>
          <w:szCs w:val="20"/>
        </w:rPr>
        <w:t>marked</w:t>
      </w:r>
      <w:r w:rsidRPr="003C30AA">
        <w:rPr>
          <w:rFonts w:eastAsia="Calibri"/>
          <w:sz w:val="20"/>
          <w:szCs w:val="20"/>
        </w:rPr>
        <w:t xml:space="preserve"> by an </w:t>
      </w:r>
      <w:r w:rsidR="007E79B9" w:rsidRPr="003C30AA">
        <w:rPr>
          <w:rFonts w:eastAsia="Calibri"/>
          <w:sz w:val="20"/>
          <w:szCs w:val="20"/>
        </w:rPr>
        <w:t xml:space="preserve">inequality </w:t>
      </w:r>
      <w:r w:rsidRPr="003C30AA">
        <w:rPr>
          <w:rFonts w:eastAsia="Calibri"/>
          <w:sz w:val="20"/>
          <w:szCs w:val="20"/>
        </w:rPr>
        <w:t xml:space="preserve">between </w:t>
      </w:r>
      <w:r w:rsidR="007E79B9" w:rsidRPr="003C30AA">
        <w:rPr>
          <w:rFonts w:eastAsia="Calibri"/>
          <w:sz w:val="20"/>
          <w:szCs w:val="20"/>
        </w:rPr>
        <w:t>production</w:t>
      </w:r>
      <w:r w:rsidRPr="003C30AA">
        <w:rPr>
          <w:rFonts w:eastAsia="Calibri"/>
          <w:sz w:val="20"/>
          <w:szCs w:val="20"/>
        </w:rPr>
        <w:t xml:space="preserve"> and </w:t>
      </w:r>
      <w:r w:rsidR="007E79B9" w:rsidRPr="003C30AA">
        <w:rPr>
          <w:rFonts w:eastAsia="Calibri"/>
          <w:sz w:val="20"/>
          <w:szCs w:val="20"/>
        </w:rPr>
        <w:t>degeneration</w:t>
      </w:r>
      <w:r w:rsidRPr="003C30AA">
        <w:rPr>
          <w:rFonts w:eastAsia="Calibri"/>
          <w:sz w:val="20"/>
          <w:szCs w:val="20"/>
        </w:rPr>
        <w:t xml:space="preserve"> of </w:t>
      </w:r>
      <w:proofErr w:type="spellStart"/>
      <w:r w:rsidRPr="003C30AA">
        <w:rPr>
          <w:rFonts w:eastAsia="Calibri"/>
          <w:sz w:val="20"/>
          <w:szCs w:val="20"/>
        </w:rPr>
        <w:t>articular</w:t>
      </w:r>
      <w:proofErr w:type="spellEnd"/>
      <w:r w:rsidRPr="003C30AA">
        <w:rPr>
          <w:rFonts w:eastAsia="Calibri"/>
          <w:sz w:val="20"/>
          <w:szCs w:val="20"/>
        </w:rPr>
        <w:t xml:space="preserve"> cartilage leading to classic pathologic change of wearing away and destruction of cartilage </w:t>
      </w:r>
      <w:r w:rsidRPr="003C30AA">
        <w:rPr>
          <w:rFonts w:eastAsia="Calibri"/>
          <w:b/>
          <w:bCs/>
          <w:sz w:val="20"/>
          <w:szCs w:val="20"/>
        </w:rPr>
        <w:t>(Brandt et al., 2009).</w:t>
      </w:r>
      <w:r w:rsidR="00840D53" w:rsidRPr="003C30AA">
        <w:rPr>
          <w:rFonts w:eastAsia="Calibri"/>
          <w:b/>
          <w:bCs/>
          <w:sz w:val="20"/>
          <w:szCs w:val="20"/>
        </w:rPr>
        <w:t xml:space="preserve"> </w:t>
      </w:r>
      <w:r w:rsidRPr="003C30AA">
        <w:rPr>
          <w:rFonts w:eastAsia="Calibri"/>
          <w:sz w:val="20"/>
          <w:szCs w:val="20"/>
        </w:rPr>
        <w:t>OA</w:t>
      </w:r>
      <w:r w:rsidR="001E55C6" w:rsidRPr="003C30AA">
        <w:rPr>
          <w:rFonts w:eastAsia="Calibri"/>
          <w:sz w:val="20"/>
          <w:szCs w:val="20"/>
        </w:rPr>
        <w:t xml:space="preserve"> also</w:t>
      </w:r>
      <w:r w:rsidRPr="003C30AA">
        <w:rPr>
          <w:rFonts w:eastAsia="Calibri"/>
          <w:sz w:val="20"/>
          <w:szCs w:val="20"/>
        </w:rPr>
        <w:t xml:space="preserve"> has a </w:t>
      </w:r>
      <w:proofErr w:type="spellStart"/>
      <w:r w:rsidR="007E79B9" w:rsidRPr="003C30AA">
        <w:rPr>
          <w:rFonts w:eastAsia="Calibri"/>
          <w:sz w:val="20"/>
          <w:szCs w:val="20"/>
        </w:rPr>
        <w:t>multifactorial</w:t>
      </w:r>
      <w:proofErr w:type="spellEnd"/>
      <w:r w:rsidRPr="003C30AA">
        <w:rPr>
          <w:rFonts w:eastAsia="Calibri"/>
          <w:sz w:val="20"/>
          <w:szCs w:val="20"/>
        </w:rPr>
        <w:t xml:space="preserve"> </w:t>
      </w:r>
      <w:proofErr w:type="spellStart"/>
      <w:r w:rsidR="007E79B9" w:rsidRPr="003C30AA">
        <w:rPr>
          <w:rFonts w:eastAsia="Calibri"/>
          <w:sz w:val="20"/>
          <w:szCs w:val="20"/>
        </w:rPr>
        <w:t>pathophysiological</w:t>
      </w:r>
      <w:proofErr w:type="spellEnd"/>
      <w:r w:rsidR="007E79B9" w:rsidRPr="003C30AA">
        <w:rPr>
          <w:rFonts w:eastAsia="Calibri"/>
          <w:sz w:val="20"/>
          <w:szCs w:val="20"/>
        </w:rPr>
        <w:t xml:space="preserve"> changes</w:t>
      </w:r>
      <w:r w:rsidRPr="003C30AA">
        <w:rPr>
          <w:rFonts w:eastAsia="Calibri"/>
          <w:sz w:val="20"/>
          <w:szCs w:val="20"/>
        </w:rPr>
        <w:t xml:space="preserve"> due to the interaction of genetic, mechanical, biochemical, metabolic, endocrine, and environmental factors that </w:t>
      </w:r>
      <w:r w:rsidR="007E79B9" w:rsidRPr="003C30AA">
        <w:rPr>
          <w:rFonts w:eastAsia="Calibri"/>
          <w:sz w:val="20"/>
          <w:szCs w:val="20"/>
        </w:rPr>
        <w:t>lead to</w:t>
      </w:r>
      <w:r w:rsidRPr="003C30AA">
        <w:rPr>
          <w:rFonts w:eastAsia="Calibri"/>
          <w:sz w:val="20"/>
          <w:szCs w:val="20"/>
        </w:rPr>
        <w:t xml:space="preserve"> cartilage breakdown and </w:t>
      </w:r>
      <w:r w:rsidR="007E79B9" w:rsidRPr="003C30AA">
        <w:rPr>
          <w:rFonts w:eastAsia="Calibri"/>
          <w:sz w:val="20"/>
          <w:szCs w:val="20"/>
        </w:rPr>
        <w:t>many</w:t>
      </w:r>
      <w:r w:rsidRPr="003C30AA">
        <w:rPr>
          <w:rFonts w:eastAsia="Calibri"/>
          <w:sz w:val="20"/>
          <w:szCs w:val="20"/>
        </w:rPr>
        <w:t xml:space="preserve"> changes in </w:t>
      </w:r>
      <w:proofErr w:type="spellStart"/>
      <w:r w:rsidRPr="003C30AA">
        <w:rPr>
          <w:rFonts w:eastAsia="Calibri"/>
          <w:sz w:val="20"/>
          <w:szCs w:val="20"/>
        </w:rPr>
        <w:t>subchondral</w:t>
      </w:r>
      <w:proofErr w:type="spellEnd"/>
      <w:r w:rsidRPr="003C30AA">
        <w:rPr>
          <w:rFonts w:eastAsia="Calibri"/>
          <w:sz w:val="20"/>
          <w:szCs w:val="20"/>
        </w:rPr>
        <w:t xml:space="preserve"> bone, which may lead to chronic pain, swelling</w:t>
      </w:r>
      <w:r w:rsidR="007E79B9" w:rsidRPr="003C30AA">
        <w:rPr>
          <w:rFonts w:eastAsia="Calibri"/>
          <w:sz w:val="20"/>
          <w:szCs w:val="20"/>
        </w:rPr>
        <w:t xml:space="preserve"> of the joints</w:t>
      </w:r>
      <w:r w:rsidRPr="003C30AA">
        <w:rPr>
          <w:rFonts w:eastAsia="Calibri"/>
          <w:sz w:val="20"/>
          <w:szCs w:val="20"/>
        </w:rPr>
        <w:t xml:space="preserve">, deformity and whole joint abnormalities resulting in disability </w:t>
      </w:r>
      <w:r w:rsidRPr="003C30AA">
        <w:rPr>
          <w:rFonts w:eastAsia="Calibri"/>
          <w:b/>
          <w:bCs/>
          <w:sz w:val="20"/>
          <w:szCs w:val="20"/>
        </w:rPr>
        <w:t>(</w:t>
      </w:r>
      <w:proofErr w:type="spellStart"/>
      <w:r w:rsidRPr="003C30AA">
        <w:rPr>
          <w:rFonts w:eastAsia="Calibri"/>
          <w:b/>
          <w:bCs/>
          <w:sz w:val="20"/>
          <w:szCs w:val="20"/>
        </w:rPr>
        <w:t>Meulenbelt</w:t>
      </w:r>
      <w:proofErr w:type="spellEnd"/>
      <w:r w:rsidRPr="003C30AA">
        <w:rPr>
          <w:rFonts w:eastAsia="Calibri"/>
          <w:b/>
          <w:bCs/>
          <w:sz w:val="20"/>
          <w:szCs w:val="20"/>
        </w:rPr>
        <w:t>, 2012).</w:t>
      </w:r>
    </w:p>
    <w:p w:rsidR="00F84C82" w:rsidRPr="003C30AA" w:rsidRDefault="007E79B9" w:rsidP="00840D53">
      <w:pPr>
        <w:pStyle w:val="p"/>
        <w:widowControl w:val="0"/>
        <w:snapToGrid w:val="0"/>
        <w:spacing w:before="0" w:beforeAutospacing="0" w:after="0" w:afterAutospacing="0"/>
        <w:ind w:firstLine="425"/>
        <w:jc w:val="both"/>
        <w:rPr>
          <w:sz w:val="20"/>
          <w:szCs w:val="20"/>
        </w:rPr>
      </w:pPr>
      <w:r w:rsidRPr="003C30AA">
        <w:rPr>
          <w:rFonts w:eastAsia="Calibri"/>
          <w:sz w:val="20"/>
          <w:szCs w:val="20"/>
        </w:rPr>
        <w:t xml:space="preserve">All over the world </w:t>
      </w:r>
      <w:r w:rsidR="00F84C82" w:rsidRPr="003C30AA">
        <w:rPr>
          <w:rFonts w:eastAsia="Calibri"/>
          <w:sz w:val="20"/>
          <w:szCs w:val="20"/>
        </w:rPr>
        <w:t>estimates indicate</w:t>
      </w:r>
      <w:r w:rsidRPr="003C30AA">
        <w:rPr>
          <w:rFonts w:eastAsia="Calibri"/>
          <w:sz w:val="20"/>
          <w:szCs w:val="20"/>
        </w:rPr>
        <w:t>d</w:t>
      </w:r>
      <w:r w:rsidR="00F84C82" w:rsidRPr="003C30AA">
        <w:rPr>
          <w:rFonts w:eastAsia="Calibri"/>
          <w:sz w:val="20"/>
          <w:szCs w:val="20"/>
        </w:rPr>
        <w:t xml:space="preserve"> that 9.6 % of </w:t>
      </w:r>
      <w:r w:rsidRPr="003C30AA">
        <w:rPr>
          <w:rFonts w:eastAsia="Calibri"/>
          <w:sz w:val="20"/>
          <w:szCs w:val="20"/>
        </w:rPr>
        <w:t>males</w:t>
      </w:r>
      <w:r w:rsidR="00F84C82" w:rsidRPr="003C30AA">
        <w:rPr>
          <w:rFonts w:eastAsia="Calibri"/>
          <w:sz w:val="20"/>
          <w:szCs w:val="20"/>
        </w:rPr>
        <w:t xml:space="preserve"> and 18 % of </w:t>
      </w:r>
      <w:r w:rsidRPr="003C30AA">
        <w:rPr>
          <w:rFonts w:eastAsia="Calibri"/>
          <w:sz w:val="20"/>
          <w:szCs w:val="20"/>
        </w:rPr>
        <w:t>females</w:t>
      </w:r>
      <w:r w:rsidR="00F84C82" w:rsidRPr="003C30AA">
        <w:rPr>
          <w:rFonts w:eastAsia="Calibri"/>
          <w:sz w:val="20"/>
          <w:szCs w:val="20"/>
        </w:rPr>
        <w:t xml:space="preserve"> ≥ 60 years have symptomatic OA </w:t>
      </w:r>
      <w:r w:rsidR="00F84C82" w:rsidRPr="003C30AA">
        <w:rPr>
          <w:b/>
          <w:bCs/>
          <w:sz w:val="20"/>
          <w:szCs w:val="20"/>
        </w:rPr>
        <w:t>(</w:t>
      </w:r>
      <w:proofErr w:type="spellStart"/>
      <w:r w:rsidR="00F84C82" w:rsidRPr="003C30AA">
        <w:rPr>
          <w:b/>
          <w:bCs/>
          <w:sz w:val="20"/>
          <w:szCs w:val="20"/>
        </w:rPr>
        <w:t>Peláez-Ballestas</w:t>
      </w:r>
      <w:proofErr w:type="spellEnd"/>
      <w:r w:rsidR="00F84C82" w:rsidRPr="003C30AA">
        <w:rPr>
          <w:b/>
          <w:bCs/>
          <w:sz w:val="20"/>
          <w:szCs w:val="20"/>
        </w:rPr>
        <w:t xml:space="preserve"> et al., 2011).</w:t>
      </w:r>
      <w:r w:rsidR="00F84C82" w:rsidRPr="003C30AA">
        <w:rPr>
          <w:rFonts w:eastAsia="Calibri"/>
          <w:b/>
          <w:bCs/>
          <w:sz w:val="20"/>
          <w:szCs w:val="20"/>
        </w:rPr>
        <w:t xml:space="preserve"> </w:t>
      </w:r>
      <w:r w:rsidR="00F84C82" w:rsidRPr="003C30AA">
        <w:rPr>
          <w:rFonts w:eastAsia="Calibri"/>
          <w:sz w:val="20"/>
          <w:szCs w:val="20"/>
        </w:rPr>
        <w:t>The knee is the joint most affected by OA</w:t>
      </w:r>
      <w:r w:rsidR="00F84C82" w:rsidRPr="003C30AA">
        <w:rPr>
          <w:rFonts w:eastAsia="Calibri"/>
          <w:b/>
          <w:bCs/>
          <w:sz w:val="20"/>
          <w:szCs w:val="20"/>
        </w:rPr>
        <w:t xml:space="preserve">. </w:t>
      </w:r>
      <w:r w:rsidR="009570C8" w:rsidRPr="003C30AA">
        <w:rPr>
          <w:rFonts w:eastAsia="Calibri"/>
          <w:sz w:val="20"/>
          <w:szCs w:val="20"/>
        </w:rPr>
        <w:t xml:space="preserve">Knee </w:t>
      </w:r>
      <w:r w:rsidR="00F35090" w:rsidRPr="003C30AA">
        <w:rPr>
          <w:rFonts w:eastAsia="Calibri"/>
          <w:sz w:val="20"/>
          <w:szCs w:val="20"/>
        </w:rPr>
        <w:t>OA</w:t>
      </w:r>
      <w:r w:rsidR="00F84C82" w:rsidRPr="003C30AA">
        <w:rPr>
          <w:rFonts w:eastAsia="Calibri"/>
          <w:sz w:val="20"/>
          <w:szCs w:val="20"/>
        </w:rPr>
        <w:t xml:space="preserve"> is the most frequent </w:t>
      </w:r>
      <w:r w:rsidR="009570C8" w:rsidRPr="003C30AA">
        <w:rPr>
          <w:rFonts w:eastAsia="Calibri"/>
          <w:sz w:val="20"/>
          <w:szCs w:val="20"/>
        </w:rPr>
        <w:t>cause</w:t>
      </w:r>
      <w:r w:rsidR="00F84C82" w:rsidRPr="003C30AA">
        <w:rPr>
          <w:rFonts w:eastAsia="Calibri"/>
          <w:sz w:val="20"/>
          <w:szCs w:val="20"/>
        </w:rPr>
        <w:t xml:space="preserve"> for joint replacement </w:t>
      </w:r>
      <w:r w:rsidR="00F84C82" w:rsidRPr="003C30AA">
        <w:rPr>
          <w:rFonts w:eastAsia="Calibri"/>
          <w:b/>
          <w:bCs/>
          <w:sz w:val="20"/>
          <w:szCs w:val="20"/>
        </w:rPr>
        <w:t>(</w:t>
      </w:r>
      <w:proofErr w:type="spellStart"/>
      <w:r w:rsidR="00F84C82" w:rsidRPr="003C30AA">
        <w:rPr>
          <w:rFonts w:eastAsia="Calibri"/>
          <w:b/>
          <w:bCs/>
          <w:sz w:val="20"/>
          <w:szCs w:val="20"/>
        </w:rPr>
        <w:t>Sanghi</w:t>
      </w:r>
      <w:proofErr w:type="spellEnd"/>
      <w:r w:rsidR="00F84C82" w:rsidRPr="003C30AA">
        <w:rPr>
          <w:rFonts w:eastAsia="Calibri"/>
          <w:b/>
          <w:bCs/>
          <w:sz w:val="20"/>
          <w:szCs w:val="20"/>
        </w:rPr>
        <w:t xml:space="preserve"> et </w:t>
      </w:r>
      <w:r w:rsidR="00F84C82" w:rsidRPr="003C30AA">
        <w:rPr>
          <w:rFonts w:eastAsia="Calibri"/>
          <w:b/>
          <w:bCs/>
          <w:sz w:val="20"/>
          <w:szCs w:val="20"/>
        </w:rPr>
        <w:lastRenderedPageBreak/>
        <w:t>al., 2013).</w:t>
      </w:r>
    </w:p>
    <w:p w:rsidR="00F84C82" w:rsidRPr="003C30AA" w:rsidRDefault="00F84C82" w:rsidP="00840D53">
      <w:pPr>
        <w:bidi w:val="0"/>
        <w:snapToGrid w:val="0"/>
        <w:ind w:firstLine="425"/>
        <w:jc w:val="both"/>
        <w:rPr>
          <w:rFonts w:eastAsia="Calibri"/>
          <w:sz w:val="20"/>
          <w:szCs w:val="20"/>
        </w:rPr>
      </w:pPr>
      <w:r w:rsidRPr="003C30AA">
        <w:rPr>
          <w:rFonts w:eastAsia="Calibri"/>
          <w:sz w:val="20"/>
          <w:szCs w:val="20"/>
        </w:rPr>
        <w:t xml:space="preserve">Osteoporosis (OP) is a systemic </w:t>
      </w:r>
      <w:r w:rsidR="009E55CE" w:rsidRPr="003C30AA">
        <w:rPr>
          <w:rFonts w:eastAsia="Calibri"/>
          <w:sz w:val="20"/>
          <w:szCs w:val="20"/>
        </w:rPr>
        <w:t>disorder</w:t>
      </w:r>
      <w:r w:rsidRPr="003C30AA">
        <w:rPr>
          <w:rFonts w:eastAsia="Calibri"/>
          <w:sz w:val="20"/>
          <w:szCs w:val="20"/>
        </w:rPr>
        <w:t xml:space="preserve"> characterized by </w:t>
      </w:r>
      <w:r w:rsidR="009E55CE" w:rsidRPr="003C30AA">
        <w:rPr>
          <w:rFonts w:eastAsia="Calibri"/>
          <w:sz w:val="20"/>
          <w:szCs w:val="20"/>
        </w:rPr>
        <w:t>reduced</w:t>
      </w:r>
      <w:r w:rsidRPr="003C30AA">
        <w:rPr>
          <w:rFonts w:eastAsia="Calibri"/>
          <w:sz w:val="20"/>
          <w:szCs w:val="20"/>
        </w:rPr>
        <w:t xml:space="preserve"> bone mineral density (BMD) and </w:t>
      </w:r>
      <w:r w:rsidR="009E55CE" w:rsidRPr="003C30AA">
        <w:rPr>
          <w:rFonts w:eastAsia="Calibri"/>
          <w:sz w:val="20"/>
          <w:szCs w:val="20"/>
        </w:rPr>
        <w:t>high</w:t>
      </w:r>
      <w:r w:rsidRPr="003C30AA">
        <w:rPr>
          <w:rFonts w:eastAsia="Calibri"/>
          <w:sz w:val="20"/>
          <w:szCs w:val="20"/>
        </w:rPr>
        <w:t xml:space="preserve"> fracture risk. It increases bone fragility by </w:t>
      </w:r>
      <w:r w:rsidR="009E55CE" w:rsidRPr="003C30AA">
        <w:rPr>
          <w:rFonts w:eastAsia="Calibri"/>
          <w:sz w:val="20"/>
          <w:szCs w:val="20"/>
        </w:rPr>
        <w:t>reduction of</w:t>
      </w:r>
      <w:r w:rsidRPr="003C30AA">
        <w:rPr>
          <w:rFonts w:eastAsia="Calibri"/>
          <w:sz w:val="20"/>
          <w:szCs w:val="20"/>
        </w:rPr>
        <w:t xml:space="preserve"> bone strength and causing fractures with minimal trauma during living activities </w:t>
      </w:r>
      <w:r w:rsidRPr="003C30AA">
        <w:rPr>
          <w:rFonts w:eastAsia="Calibri"/>
          <w:b/>
          <w:bCs/>
          <w:sz w:val="20"/>
          <w:szCs w:val="20"/>
        </w:rPr>
        <w:t>(</w:t>
      </w:r>
      <w:proofErr w:type="spellStart"/>
      <w:r w:rsidRPr="003C30AA">
        <w:rPr>
          <w:rFonts w:eastAsia="Calibri"/>
          <w:b/>
          <w:bCs/>
          <w:sz w:val="20"/>
          <w:szCs w:val="20"/>
        </w:rPr>
        <w:t>Tuncer</w:t>
      </w:r>
      <w:proofErr w:type="spellEnd"/>
      <w:r w:rsidRPr="003C30AA">
        <w:rPr>
          <w:rFonts w:eastAsia="Calibri"/>
          <w:b/>
          <w:bCs/>
          <w:sz w:val="20"/>
          <w:szCs w:val="20"/>
        </w:rPr>
        <w:t>, 2011).</w:t>
      </w:r>
    </w:p>
    <w:p w:rsidR="00F84C82" w:rsidRPr="003C30AA" w:rsidRDefault="00F84C82" w:rsidP="00840D53">
      <w:pPr>
        <w:bidi w:val="0"/>
        <w:snapToGrid w:val="0"/>
        <w:ind w:firstLine="425"/>
        <w:jc w:val="both"/>
        <w:rPr>
          <w:rFonts w:eastAsia="Calibri"/>
          <w:b/>
          <w:bCs/>
          <w:sz w:val="20"/>
          <w:szCs w:val="20"/>
        </w:rPr>
      </w:pPr>
      <w:r w:rsidRPr="003C30AA">
        <w:rPr>
          <w:rFonts w:eastAsia="Calibri"/>
          <w:sz w:val="20"/>
          <w:szCs w:val="20"/>
        </w:rPr>
        <w:t xml:space="preserve">The relationship between OA and OP is controversial. A review of the literature </w:t>
      </w:r>
      <w:r w:rsidR="007E2156" w:rsidRPr="003C30AA">
        <w:rPr>
          <w:rFonts w:eastAsia="Calibri"/>
          <w:sz w:val="20"/>
          <w:szCs w:val="20"/>
        </w:rPr>
        <w:t>proposed that</w:t>
      </w:r>
      <w:r w:rsidRPr="003C30AA">
        <w:rPr>
          <w:rFonts w:eastAsia="Calibri"/>
          <w:sz w:val="20"/>
          <w:szCs w:val="20"/>
        </w:rPr>
        <w:t xml:space="preserve"> OA is inversely </w:t>
      </w:r>
      <w:r w:rsidR="007E2156" w:rsidRPr="003C30AA">
        <w:rPr>
          <w:rFonts w:eastAsia="Calibri"/>
          <w:sz w:val="20"/>
          <w:szCs w:val="20"/>
        </w:rPr>
        <w:t xml:space="preserve">correlated with </w:t>
      </w:r>
      <w:r w:rsidRPr="003C30AA">
        <w:rPr>
          <w:rFonts w:eastAsia="Calibri"/>
          <w:sz w:val="20"/>
          <w:szCs w:val="20"/>
        </w:rPr>
        <w:t>OP in general when studied cross-</w:t>
      </w:r>
      <w:proofErr w:type="spellStart"/>
      <w:r w:rsidRPr="003C30AA">
        <w:rPr>
          <w:rFonts w:eastAsia="Calibri"/>
          <w:sz w:val="20"/>
          <w:szCs w:val="20"/>
        </w:rPr>
        <w:t>sectionally</w:t>
      </w:r>
      <w:proofErr w:type="spellEnd"/>
      <w:r w:rsidRPr="003C30AA">
        <w:rPr>
          <w:rFonts w:eastAsia="Calibri"/>
          <w:sz w:val="20"/>
          <w:szCs w:val="20"/>
        </w:rPr>
        <w:t xml:space="preserve"> and systematically. However, when analyzed in individual bones, the BMD of the </w:t>
      </w:r>
      <w:proofErr w:type="spellStart"/>
      <w:r w:rsidRPr="003C30AA">
        <w:rPr>
          <w:rFonts w:eastAsia="Calibri"/>
          <w:sz w:val="20"/>
          <w:szCs w:val="20"/>
        </w:rPr>
        <w:t>appendicular</w:t>
      </w:r>
      <w:proofErr w:type="spellEnd"/>
      <w:r w:rsidRPr="003C30AA">
        <w:rPr>
          <w:rFonts w:eastAsia="Calibri"/>
          <w:sz w:val="20"/>
          <w:szCs w:val="20"/>
        </w:rPr>
        <w:t xml:space="preserve"> skeleton in OA-affected joints may </w:t>
      </w:r>
      <w:r w:rsidR="007E2156" w:rsidRPr="003C30AA">
        <w:rPr>
          <w:rFonts w:eastAsia="Calibri"/>
          <w:sz w:val="20"/>
          <w:szCs w:val="20"/>
        </w:rPr>
        <w:t>decline</w:t>
      </w:r>
      <w:r w:rsidRPr="003C30AA">
        <w:rPr>
          <w:rFonts w:eastAsia="Calibri"/>
          <w:sz w:val="20"/>
          <w:szCs w:val="20"/>
        </w:rPr>
        <w:t xml:space="preserve">, particularly in the upper extremities. The risk for osteoporotic fracture does not seem to </w:t>
      </w:r>
      <w:r w:rsidR="007E2156" w:rsidRPr="003C30AA">
        <w:rPr>
          <w:rFonts w:eastAsia="Calibri"/>
          <w:sz w:val="20"/>
          <w:szCs w:val="20"/>
        </w:rPr>
        <w:t xml:space="preserve">be reduced despite increased </w:t>
      </w:r>
      <w:r w:rsidRPr="003C30AA">
        <w:rPr>
          <w:rFonts w:eastAsia="Calibri"/>
          <w:sz w:val="20"/>
          <w:szCs w:val="20"/>
        </w:rPr>
        <w:t xml:space="preserve">BMD in </w:t>
      </w:r>
      <w:r w:rsidR="007E2156" w:rsidRPr="003C30AA">
        <w:rPr>
          <w:rFonts w:eastAsia="Calibri"/>
          <w:sz w:val="20"/>
          <w:szCs w:val="20"/>
        </w:rPr>
        <w:t>people</w:t>
      </w:r>
      <w:r w:rsidRPr="003C30AA">
        <w:rPr>
          <w:rFonts w:eastAsia="Calibri"/>
          <w:sz w:val="20"/>
          <w:szCs w:val="20"/>
        </w:rPr>
        <w:t xml:space="preserve"> with OA, probably due to postural instability and muscle strength. </w:t>
      </w:r>
      <w:r w:rsidR="007E2156" w:rsidRPr="003C30AA">
        <w:rPr>
          <w:rFonts w:eastAsia="Calibri"/>
          <w:sz w:val="20"/>
          <w:szCs w:val="20"/>
        </w:rPr>
        <w:t>Reduced</w:t>
      </w:r>
      <w:r w:rsidRPr="003C30AA">
        <w:rPr>
          <w:rFonts w:eastAsia="Calibri"/>
          <w:sz w:val="20"/>
          <w:szCs w:val="20"/>
        </w:rPr>
        <w:t xml:space="preserve"> BMD at the lumbar spine is </w:t>
      </w:r>
      <w:r w:rsidR="007E2156" w:rsidRPr="003C30AA">
        <w:rPr>
          <w:rFonts w:eastAsia="Calibri"/>
          <w:sz w:val="20"/>
          <w:szCs w:val="20"/>
        </w:rPr>
        <w:t>linked</w:t>
      </w:r>
      <w:r w:rsidRPr="003C30AA">
        <w:rPr>
          <w:rFonts w:eastAsia="Calibri"/>
          <w:sz w:val="20"/>
          <w:szCs w:val="20"/>
        </w:rPr>
        <w:t xml:space="preserve"> with a lower incidence of knee OA although it does not arrest the progression of knee OA </w:t>
      </w:r>
      <w:r w:rsidRPr="003C30AA">
        <w:rPr>
          <w:rFonts w:eastAsia="Calibri"/>
          <w:b/>
          <w:bCs/>
          <w:sz w:val="20"/>
          <w:szCs w:val="20"/>
        </w:rPr>
        <w:t>(</w:t>
      </w:r>
      <w:proofErr w:type="spellStart"/>
      <w:r w:rsidRPr="003C30AA">
        <w:rPr>
          <w:rFonts w:eastAsia="Calibri"/>
          <w:b/>
          <w:bCs/>
          <w:sz w:val="20"/>
          <w:szCs w:val="20"/>
        </w:rPr>
        <w:t>Im</w:t>
      </w:r>
      <w:proofErr w:type="spellEnd"/>
      <w:r w:rsidRPr="003C30AA">
        <w:rPr>
          <w:rFonts w:eastAsia="Calibri"/>
          <w:b/>
          <w:bCs/>
          <w:sz w:val="20"/>
          <w:szCs w:val="20"/>
        </w:rPr>
        <w:t xml:space="preserve"> and Kim, 2014).</w:t>
      </w:r>
    </w:p>
    <w:p w:rsidR="00F84C82" w:rsidRPr="003C30AA" w:rsidRDefault="00F84C82" w:rsidP="00840D53">
      <w:pPr>
        <w:bidi w:val="0"/>
        <w:snapToGrid w:val="0"/>
        <w:ind w:firstLine="425"/>
        <w:jc w:val="both"/>
        <w:rPr>
          <w:rFonts w:eastAsia="Calibri"/>
          <w:sz w:val="20"/>
          <w:szCs w:val="20"/>
        </w:rPr>
      </w:pPr>
      <w:r w:rsidRPr="003C30AA">
        <w:rPr>
          <w:rFonts w:eastAsia="Calibri"/>
          <w:sz w:val="20"/>
          <w:szCs w:val="20"/>
        </w:rPr>
        <w:t xml:space="preserve">In clinical practice, dual energy X-ray </w:t>
      </w:r>
      <w:proofErr w:type="spellStart"/>
      <w:r w:rsidRPr="003C30AA">
        <w:rPr>
          <w:rFonts w:eastAsia="Calibri"/>
          <w:sz w:val="20"/>
          <w:szCs w:val="20"/>
        </w:rPr>
        <w:t>absorptiometry</w:t>
      </w:r>
      <w:proofErr w:type="spellEnd"/>
      <w:r w:rsidRPr="003C30AA">
        <w:rPr>
          <w:rFonts w:eastAsia="Calibri"/>
          <w:sz w:val="20"/>
          <w:szCs w:val="20"/>
        </w:rPr>
        <w:t xml:space="preserve"> (DEXA) is the </w:t>
      </w:r>
      <w:r w:rsidR="007E2156" w:rsidRPr="003C30AA">
        <w:rPr>
          <w:rFonts w:eastAsia="Calibri"/>
          <w:sz w:val="20"/>
          <w:szCs w:val="20"/>
        </w:rPr>
        <w:t>corner stone</w:t>
      </w:r>
      <w:r w:rsidRPr="003C30AA">
        <w:rPr>
          <w:rFonts w:eastAsia="Calibri"/>
          <w:sz w:val="20"/>
          <w:szCs w:val="20"/>
        </w:rPr>
        <w:t xml:space="preserve"> for </w:t>
      </w:r>
      <w:r w:rsidR="007E2156" w:rsidRPr="003C30AA">
        <w:rPr>
          <w:rFonts w:eastAsia="Calibri"/>
          <w:sz w:val="20"/>
          <w:szCs w:val="20"/>
        </w:rPr>
        <w:lastRenderedPageBreak/>
        <w:t>evaluating</w:t>
      </w:r>
      <w:r w:rsidRPr="003C30AA">
        <w:rPr>
          <w:rFonts w:eastAsia="Calibri"/>
          <w:sz w:val="20"/>
          <w:szCs w:val="20"/>
        </w:rPr>
        <w:t xml:space="preserve"> bone mass in vivo </w:t>
      </w:r>
      <w:r w:rsidRPr="003C30AA">
        <w:rPr>
          <w:rFonts w:eastAsia="Calibri"/>
          <w:b/>
          <w:bCs/>
          <w:sz w:val="20"/>
          <w:szCs w:val="20"/>
        </w:rPr>
        <w:t>(Blake</w:t>
      </w:r>
      <w:r w:rsidR="006318D2" w:rsidRPr="003C30AA">
        <w:rPr>
          <w:rFonts w:eastAsia="Calibri"/>
          <w:b/>
          <w:bCs/>
          <w:sz w:val="20"/>
          <w:szCs w:val="20"/>
        </w:rPr>
        <w:t xml:space="preserve"> and </w:t>
      </w:r>
      <w:r w:rsidR="006318D2" w:rsidRPr="003C30AA">
        <w:rPr>
          <w:b/>
          <w:bCs/>
          <w:sz w:val="20"/>
          <w:szCs w:val="20"/>
        </w:rPr>
        <w:t>Fogelman,</w:t>
      </w:r>
      <w:r w:rsidRPr="003C30AA">
        <w:rPr>
          <w:rFonts w:eastAsia="Calibri"/>
          <w:b/>
          <w:bCs/>
          <w:sz w:val="20"/>
          <w:szCs w:val="20"/>
        </w:rPr>
        <w:t xml:space="preserve"> 2009).</w:t>
      </w:r>
      <w:r w:rsidRPr="003C30AA">
        <w:rPr>
          <w:rFonts w:eastAsia="Calibri"/>
          <w:sz w:val="20"/>
          <w:szCs w:val="20"/>
        </w:rPr>
        <w:t xml:space="preserve"> This methodology </w:t>
      </w:r>
      <w:r w:rsidR="007E2156" w:rsidRPr="003C30AA">
        <w:rPr>
          <w:rFonts w:eastAsia="Calibri"/>
          <w:sz w:val="20"/>
          <w:szCs w:val="20"/>
        </w:rPr>
        <w:t>involves</w:t>
      </w:r>
      <w:r w:rsidRPr="003C30AA">
        <w:rPr>
          <w:rFonts w:eastAsia="Calibri"/>
          <w:sz w:val="20"/>
          <w:szCs w:val="20"/>
        </w:rPr>
        <w:t xml:space="preserve"> </w:t>
      </w:r>
      <w:r w:rsidR="007E2156" w:rsidRPr="003C30AA">
        <w:rPr>
          <w:rFonts w:eastAsia="Calibri"/>
          <w:sz w:val="20"/>
          <w:szCs w:val="20"/>
        </w:rPr>
        <w:t>measurement of</w:t>
      </w:r>
      <w:r w:rsidRPr="003C30AA">
        <w:rPr>
          <w:rFonts w:eastAsia="Calibri"/>
          <w:sz w:val="20"/>
          <w:szCs w:val="20"/>
        </w:rPr>
        <w:t xml:space="preserve"> the attenuation of two monochromatic X-ray beams (with a high and low energy) by bone and soft tissues. The bone mineral is </w:t>
      </w:r>
      <w:r w:rsidR="007E2156" w:rsidRPr="003C30AA">
        <w:rPr>
          <w:rFonts w:eastAsia="Calibri"/>
          <w:sz w:val="20"/>
          <w:szCs w:val="20"/>
        </w:rPr>
        <w:t>accountable</w:t>
      </w:r>
      <w:r w:rsidRPr="003C30AA">
        <w:rPr>
          <w:rFonts w:eastAsia="Calibri"/>
          <w:sz w:val="20"/>
          <w:szCs w:val="20"/>
        </w:rPr>
        <w:t xml:space="preserve"> for X-ray attenuation allowing the </w:t>
      </w:r>
      <w:r w:rsidR="007E2156" w:rsidRPr="003C30AA">
        <w:rPr>
          <w:rFonts w:eastAsia="Calibri"/>
          <w:sz w:val="20"/>
          <w:szCs w:val="20"/>
        </w:rPr>
        <w:t xml:space="preserve">evaluation </w:t>
      </w:r>
      <w:r w:rsidRPr="003C30AA">
        <w:rPr>
          <w:rFonts w:eastAsia="Calibri"/>
          <w:sz w:val="20"/>
          <w:szCs w:val="20"/>
        </w:rPr>
        <w:t xml:space="preserve">of the bone mineral content (BMC). The measure of the bone mineral density (BMD) is derived by normalizing BMC by the area of the 2D bone projection and results into a real BMD (a BMD). Because of the 2D projection, DEXA allows for a global evaluation of the mineral phase of the bone as an organ including the marrow spaces, the vascular channels and the </w:t>
      </w:r>
      <w:proofErr w:type="spellStart"/>
      <w:r w:rsidRPr="003C30AA">
        <w:rPr>
          <w:rFonts w:eastAsia="Calibri"/>
          <w:sz w:val="20"/>
          <w:szCs w:val="20"/>
        </w:rPr>
        <w:t>Haversian</w:t>
      </w:r>
      <w:proofErr w:type="spellEnd"/>
      <w:r w:rsidRPr="003C30AA">
        <w:rPr>
          <w:rFonts w:eastAsia="Calibri"/>
          <w:sz w:val="20"/>
          <w:szCs w:val="20"/>
        </w:rPr>
        <w:t xml:space="preserve"> canals </w:t>
      </w:r>
      <w:r w:rsidRPr="003C30AA">
        <w:rPr>
          <w:rFonts w:eastAsia="Calibri"/>
          <w:b/>
          <w:bCs/>
          <w:sz w:val="20"/>
          <w:szCs w:val="20"/>
        </w:rPr>
        <w:t>(</w:t>
      </w:r>
      <w:proofErr w:type="spellStart"/>
      <w:r w:rsidRPr="003C30AA">
        <w:rPr>
          <w:rFonts w:eastAsia="Calibri"/>
          <w:b/>
          <w:bCs/>
          <w:sz w:val="20"/>
          <w:szCs w:val="20"/>
        </w:rPr>
        <w:t>Mabilleau</w:t>
      </w:r>
      <w:proofErr w:type="spellEnd"/>
      <w:r w:rsidRPr="003C30AA">
        <w:rPr>
          <w:rFonts w:eastAsia="Calibri"/>
          <w:b/>
          <w:bCs/>
          <w:sz w:val="20"/>
          <w:szCs w:val="20"/>
        </w:rPr>
        <w:t xml:space="preserve"> et al., 2015).</w:t>
      </w:r>
    </w:p>
    <w:p w:rsidR="00F84C82" w:rsidRPr="003C30AA" w:rsidRDefault="00F84C82" w:rsidP="00840D53">
      <w:pPr>
        <w:bidi w:val="0"/>
        <w:snapToGrid w:val="0"/>
        <w:ind w:firstLine="425"/>
        <w:jc w:val="both"/>
        <w:rPr>
          <w:rFonts w:eastAsia="Calibri"/>
          <w:sz w:val="20"/>
          <w:szCs w:val="20"/>
        </w:rPr>
      </w:pPr>
      <w:r w:rsidRPr="003C30AA">
        <w:rPr>
          <w:rFonts w:eastAsia="Calibri"/>
          <w:sz w:val="20"/>
          <w:szCs w:val="20"/>
        </w:rPr>
        <w:t>The aim of the present study is to assess bone mineral density in primary generalized osteoarthritis.</w:t>
      </w:r>
    </w:p>
    <w:p w:rsidR="00F84C82" w:rsidRPr="003C30AA" w:rsidRDefault="00F84C82" w:rsidP="00840D53">
      <w:pPr>
        <w:autoSpaceDE w:val="0"/>
        <w:autoSpaceDN w:val="0"/>
        <w:bidi w:val="0"/>
        <w:adjustRightInd w:val="0"/>
        <w:snapToGrid w:val="0"/>
        <w:jc w:val="both"/>
        <w:rPr>
          <w:b/>
          <w:bCs/>
          <w:sz w:val="20"/>
          <w:szCs w:val="20"/>
        </w:rPr>
      </w:pPr>
      <w:r w:rsidRPr="003C30AA">
        <w:rPr>
          <w:b/>
          <w:bCs/>
          <w:sz w:val="20"/>
          <w:szCs w:val="20"/>
        </w:rPr>
        <w:t>Patients and methods</w:t>
      </w:r>
    </w:p>
    <w:p w:rsidR="001E55C6" w:rsidRPr="003C30AA" w:rsidRDefault="00F84C82" w:rsidP="00840D53">
      <w:pPr>
        <w:pStyle w:val="NormalWeb"/>
        <w:widowControl w:val="0"/>
        <w:snapToGrid w:val="0"/>
        <w:spacing w:before="0" w:beforeAutospacing="0" w:after="0" w:afterAutospacing="0"/>
        <w:ind w:firstLine="425"/>
        <w:jc w:val="both"/>
        <w:rPr>
          <w:sz w:val="20"/>
          <w:szCs w:val="20"/>
        </w:rPr>
      </w:pPr>
      <w:r w:rsidRPr="003C30AA">
        <w:rPr>
          <w:sz w:val="20"/>
          <w:szCs w:val="20"/>
        </w:rPr>
        <w:t xml:space="preserve">This prospective study was carried out on 100 patients with primary generalized OA. All of them fulfilled ACR Criteria for diagnosis of OA </w:t>
      </w:r>
      <w:r w:rsidRPr="003C30AA">
        <w:rPr>
          <w:b/>
          <w:bCs/>
          <w:sz w:val="20"/>
          <w:szCs w:val="20"/>
        </w:rPr>
        <w:t>(</w:t>
      </w:r>
      <w:r w:rsidRPr="003C30AA">
        <w:rPr>
          <w:rStyle w:val="element-citation"/>
          <w:b/>
          <w:bCs/>
          <w:sz w:val="20"/>
          <w:szCs w:val="20"/>
        </w:rPr>
        <w:t>Wu et al., 2005).</w:t>
      </w:r>
      <w:r w:rsidRPr="003C30AA">
        <w:rPr>
          <w:rStyle w:val="element-citation"/>
          <w:b/>
          <w:bCs/>
          <w:i/>
          <w:iCs/>
          <w:sz w:val="20"/>
          <w:szCs w:val="20"/>
        </w:rPr>
        <w:t xml:space="preserve"> </w:t>
      </w:r>
      <w:r w:rsidRPr="003C30AA">
        <w:rPr>
          <w:rStyle w:val="element-citation"/>
          <w:sz w:val="20"/>
          <w:szCs w:val="20"/>
        </w:rPr>
        <w:t>They were recruited from the outpatient clinic of Rheumatology Department, Al-</w:t>
      </w:r>
      <w:proofErr w:type="spellStart"/>
      <w:r w:rsidRPr="003C30AA">
        <w:rPr>
          <w:rStyle w:val="element-citation"/>
          <w:sz w:val="20"/>
          <w:szCs w:val="20"/>
        </w:rPr>
        <w:t>Azhar</w:t>
      </w:r>
      <w:proofErr w:type="spellEnd"/>
      <w:r w:rsidRPr="003C30AA">
        <w:rPr>
          <w:rStyle w:val="element-citation"/>
          <w:sz w:val="20"/>
          <w:szCs w:val="20"/>
        </w:rPr>
        <w:t xml:space="preserve"> University. Other 20 apparently healthy subjects were included as a control group. </w:t>
      </w:r>
      <w:r w:rsidR="001E55C6" w:rsidRPr="003C30AA">
        <w:rPr>
          <w:rStyle w:val="element-citation"/>
          <w:sz w:val="20"/>
          <w:szCs w:val="20"/>
        </w:rPr>
        <w:t xml:space="preserve">Patients with secondary or primary </w:t>
      </w:r>
      <w:r w:rsidRPr="003C30AA">
        <w:rPr>
          <w:sz w:val="20"/>
          <w:szCs w:val="20"/>
        </w:rPr>
        <w:t>localized osteoarthritis</w:t>
      </w:r>
      <w:r w:rsidR="001E55C6" w:rsidRPr="003C30AA">
        <w:rPr>
          <w:sz w:val="20"/>
          <w:szCs w:val="20"/>
        </w:rPr>
        <w:t xml:space="preserve"> were excluded from the study.</w:t>
      </w:r>
    </w:p>
    <w:p w:rsidR="00F84C82" w:rsidRPr="003C30AA" w:rsidRDefault="001E55C6" w:rsidP="00840D53">
      <w:pPr>
        <w:pStyle w:val="NormalWeb"/>
        <w:widowControl w:val="0"/>
        <w:snapToGrid w:val="0"/>
        <w:spacing w:before="0" w:beforeAutospacing="0" w:after="0" w:afterAutospacing="0"/>
        <w:ind w:firstLine="425"/>
        <w:jc w:val="both"/>
        <w:rPr>
          <w:sz w:val="20"/>
          <w:szCs w:val="20"/>
        </w:rPr>
      </w:pPr>
      <w:r w:rsidRPr="003C30AA">
        <w:rPr>
          <w:sz w:val="20"/>
          <w:szCs w:val="20"/>
        </w:rPr>
        <w:t>All participants were subjected to full history taking (personal, present, and past history), full clinical examination (general and musculoskeletal examinations).</w:t>
      </w:r>
      <w:r w:rsidR="00840D53" w:rsidRPr="003C30AA">
        <w:rPr>
          <w:sz w:val="20"/>
          <w:szCs w:val="20"/>
        </w:rPr>
        <w:t xml:space="preserve"> </w:t>
      </w:r>
      <w:r w:rsidRPr="003C30AA">
        <w:rPr>
          <w:sz w:val="20"/>
          <w:szCs w:val="20"/>
        </w:rPr>
        <w:t xml:space="preserve">In general examination, all body systems were reviewed, blood pressure was measured and body mass index was calculated </w:t>
      </w:r>
      <w:r w:rsidR="00F84C82" w:rsidRPr="003C30AA">
        <w:rPr>
          <w:sz w:val="20"/>
          <w:szCs w:val="20"/>
        </w:rPr>
        <w:t>as weight in kilograms divided by the square of height in meters.</w:t>
      </w:r>
      <w:r w:rsidRPr="003C30AA">
        <w:rPr>
          <w:sz w:val="20"/>
          <w:szCs w:val="20"/>
        </w:rPr>
        <w:t xml:space="preserve"> In addition, a </w:t>
      </w:r>
      <w:r w:rsidR="00F84C82" w:rsidRPr="003C30AA">
        <w:rPr>
          <w:sz w:val="20"/>
          <w:szCs w:val="20"/>
        </w:rPr>
        <w:t>thorough musculoskeletal examination was performed</w:t>
      </w:r>
      <w:r w:rsidRPr="003C30AA">
        <w:rPr>
          <w:sz w:val="20"/>
          <w:szCs w:val="20"/>
        </w:rPr>
        <w:t xml:space="preserve"> where the system was inspected for </w:t>
      </w:r>
      <w:r w:rsidR="00F84C82" w:rsidRPr="003C30AA">
        <w:rPr>
          <w:color w:val="000000"/>
          <w:sz w:val="20"/>
          <w:szCs w:val="20"/>
        </w:rPr>
        <w:t xml:space="preserve">bony deformity </w:t>
      </w:r>
      <w:r w:rsidRPr="003C30AA">
        <w:rPr>
          <w:color w:val="000000"/>
          <w:sz w:val="20"/>
          <w:szCs w:val="20"/>
        </w:rPr>
        <w:t xml:space="preserve">or swelling, palpated for range of motion, </w:t>
      </w:r>
      <w:proofErr w:type="spellStart"/>
      <w:r w:rsidRPr="003C30AA">
        <w:rPr>
          <w:color w:val="000000"/>
          <w:sz w:val="20"/>
          <w:szCs w:val="20"/>
        </w:rPr>
        <w:t>crepitus</w:t>
      </w:r>
      <w:proofErr w:type="spellEnd"/>
      <w:r w:rsidRPr="003C30AA">
        <w:rPr>
          <w:color w:val="000000"/>
          <w:sz w:val="20"/>
          <w:szCs w:val="20"/>
        </w:rPr>
        <w:t>, tenderness of the joints or muscle weakness.</w:t>
      </w:r>
      <w:r w:rsidR="00840D53" w:rsidRPr="003C30AA">
        <w:rPr>
          <w:color w:val="000000"/>
          <w:sz w:val="20"/>
          <w:szCs w:val="20"/>
        </w:rPr>
        <w:t xml:space="preserve"> </w:t>
      </w:r>
      <w:r w:rsidR="00317BB6" w:rsidRPr="003C30AA">
        <w:rPr>
          <w:sz w:val="20"/>
          <w:szCs w:val="20"/>
        </w:rPr>
        <w:t>Subsequently, p</w:t>
      </w:r>
      <w:r w:rsidR="00F84C82" w:rsidRPr="003C30AA">
        <w:rPr>
          <w:sz w:val="20"/>
          <w:szCs w:val="20"/>
        </w:rPr>
        <w:t>ain was measured using a 10 cm Visual Analogue Scale (VAS). Pain intensity is classified using a range from 0 to 10, in which 0 = no pain at all and 10 = the worst possible pain. Patients were asked to sign the place on the VAS scale that c</w:t>
      </w:r>
      <w:r w:rsidR="008E03FA" w:rsidRPr="003C30AA">
        <w:rPr>
          <w:sz w:val="20"/>
          <w:szCs w:val="20"/>
        </w:rPr>
        <w:t>orresponded to their pain level</w:t>
      </w:r>
      <w:r w:rsidR="00F84C82" w:rsidRPr="003C30AA">
        <w:rPr>
          <w:sz w:val="20"/>
          <w:szCs w:val="20"/>
        </w:rPr>
        <w:t>.</w:t>
      </w:r>
    </w:p>
    <w:p w:rsidR="00F84C82" w:rsidRPr="003C30AA" w:rsidRDefault="00F84C82" w:rsidP="00840D53">
      <w:pPr>
        <w:pStyle w:val="NormalWeb"/>
        <w:widowControl w:val="0"/>
        <w:snapToGrid w:val="0"/>
        <w:spacing w:before="0" w:beforeAutospacing="0" w:after="0" w:afterAutospacing="0"/>
        <w:ind w:firstLine="425"/>
        <w:jc w:val="both"/>
        <w:rPr>
          <w:b/>
          <w:bCs/>
          <w:sz w:val="20"/>
          <w:szCs w:val="20"/>
        </w:rPr>
      </w:pPr>
      <w:proofErr w:type="spellStart"/>
      <w:r w:rsidRPr="003C30AA">
        <w:rPr>
          <w:sz w:val="20"/>
          <w:szCs w:val="20"/>
        </w:rPr>
        <w:t>Westren</w:t>
      </w:r>
      <w:proofErr w:type="spellEnd"/>
      <w:r w:rsidRPr="003C30AA">
        <w:rPr>
          <w:sz w:val="20"/>
          <w:szCs w:val="20"/>
        </w:rPr>
        <w:t xml:space="preserve"> Ontario and McMaster Universities (WOMAC) questionnaire </w:t>
      </w:r>
      <w:r w:rsidR="00317BB6" w:rsidRPr="003C30AA">
        <w:rPr>
          <w:sz w:val="20"/>
          <w:szCs w:val="20"/>
        </w:rPr>
        <w:t>was</w:t>
      </w:r>
      <w:r w:rsidRPr="003C30AA">
        <w:rPr>
          <w:sz w:val="20"/>
          <w:szCs w:val="20"/>
        </w:rPr>
        <w:t xml:space="preserve"> used to evaluate a patient’s functions when diagnosed with rheumatic diseases. The WOMAC is a 24-item questionnaire with three subscales measuring pain (five items), stiffness (two items), and physical function (17 items). Answers to each of the 24 questions are scored on five-point </w:t>
      </w:r>
      <w:proofErr w:type="spellStart"/>
      <w:r w:rsidRPr="003C30AA">
        <w:rPr>
          <w:sz w:val="20"/>
          <w:szCs w:val="20"/>
        </w:rPr>
        <w:t>Likert</w:t>
      </w:r>
      <w:proofErr w:type="spellEnd"/>
      <w:r w:rsidRPr="003C30AA">
        <w:rPr>
          <w:sz w:val="20"/>
          <w:szCs w:val="20"/>
        </w:rPr>
        <w:t xml:space="preserve"> scales (none = 0, slight = 1, moderate = 2, severe = 3, extreme = 4), with total scores ranging from 0 to 96. So, the maximum possible scores for WOMAC, pain, stiffness, and function are 96 (most severe), 20, 8, and 68, respectively. Higher scores indicate greater disease severity</w:t>
      </w:r>
      <w:r w:rsidRPr="003C30AA">
        <w:rPr>
          <w:b/>
          <w:bCs/>
          <w:sz w:val="20"/>
          <w:szCs w:val="20"/>
        </w:rPr>
        <w:t xml:space="preserve"> (McConnell et al. 2001).</w:t>
      </w:r>
    </w:p>
    <w:p w:rsidR="00F84C82" w:rsidRPr="003C30AA" w:rsidRDefault="00317BB6" w:rsidP="00840D53">
      <w:pPr>
        <w:pStyle w:val="NormalWeb"/>
        <w:widowControl w:val="0"/>
        <w:snapToGrid w:val="0"/>
        <w:spacing w:before="0" w:beforeAutospacing="0" w:after="0" w:afterAutospacing="0"/>
        <w:ind w:firstLine="425"/>
        <w:jc w:val="both"/>
        <w:rPr>
          <w:sz w:val="20"/>
          <w:szCs w:val="20"/>
        </w:rPr>
      </w:pPr>
      <w:r w:rsidRPr="003C30AA">
        <w:rPr>
          <w:sz w:val="20"/>
          <w:szCs w:val="20"/>
        </w:rPr>
        <w:lastRenderedPageBreak/>
        <w:t>As regard to radiologic grading of joints, a</w:t>
      </w:r>
      <w:r w:rsidR="00F84C82" w:rsidRPr="003C30AA">
        <w:rPr>
          <w:sz w:val="20"/>
          <w:szCs w:val="20"/>
        </w:rPr>
        <w:t xml:space="preserve"> single observer examined and interpret all radiographs using the </w:t>
      </w:r>
      <w:proofErr w:type="spellStart"/>
      <w:r w:rsidR="00F84C82" w:rsidRPr="003C30AA">
        <w:rPr>
          <w:sz w:val="20"/>
          <w:szCs w:val="20"/>
        </w:rPr>
        <w:t>Kellgren</w:t>
      </w:r>
      <w:proofErr w:type="spellEnd"/>
      <w:r w:rsidR="00F84C82" w:rsidRPr="003C30AA">
        <w:rPr>
          <w:sz w:val="20"/>
          <w:szCs w:val="20"/>
        </w:rPr>
        <w:t xml:space="preserve"> and Lawrence crite</w:t>
      </w:r>
      <w:r w:rsidR="00F35090" w:rsidRPr="003C30AA">
        <w:rPr>
          <w:sz w:val="20"/>
          <w:szCs w:val="20"/>
        </w:rPr>
        <w:t>ria (0 – 4, 0 = none, 4 = sever</w:t>
      </w:r>
      <w:r w:rsidR="00F84C82" w:rsidRPr="003C30AA">
        <w:rPr>
          <w:sz w:val="20"/>
          <w:szCs w:val="20"/>
        </w:rPr>
        <w:t xml:space="preserve">) </w:t>
      </w:r>
      <w:r w:rsidR="0029197D" w:rsidRPr="003C30AA">
        <w:rPr>
          <w:sz w:val="20"/>
          <w:szCs w:val="20"/>
        </w:rPr>
        <w:t>(</w:t>
      </w:r>
      <w:proofErr w:type="spellStart"/>
      <w:r w:rsidR="0029197D" w:rsidRPr="003C30AA">
        <w:rPr>
          <w:b/>
          <w:bCs/>
          <w:sz w:val="20"/>
          <w:szCs w:val="20"/>
        </w:rPr>
        <w:t>Meulenbelt</w:t>
      </w:r>
      <w:proofErr w:type="spellEnd"/>
      <w:r w:rsidR="0029197D" w:rsidRPr="003C30AA">
        <w:rPr>
          <w:b/>
          <w:bCs/>
          <w:sz w:val="20"/>
          <w:szCs w:val="20"/>
        </w:rPr>
        <w:t>, 2012</w:t>
      </w:r>
      <w:r w:rsidR="00F84C82" w:rsidRPr="003C30AA">
        <w:rPr>
          <w:b/>
          <w:bCs/>
          <w:sz w:val="20"/>
          <w:szCs w:val="20"/>
        </w:rPr>
        <w:t xml:space="preserve">). </w:t>
      </w:r>
      <w:r w:rsidR="00F84C82" w:rsidRPr="003C30AA">
        <w:rPr>
          <w:sz w:val="20"/>
          <w:szCs w:val="20"/>
        </w:rPr>
        <w:t xml:space="preserve">Grade 1: doubtful narrowing of joint space and possible </w:t>
      </w:r>
      <w:proofErr w:type="spellStart"/>
      <w:r w:rsidR="00F84C82" w:rsidRPr="003C30AA">
        <w:rPr>
          <w:sz w:val="20"/>
          <w:szCs w:val="20"/>
        </w:rPr>
        <w:t>osteophytic</w:t>
      </w:r>
      <w:proofErr w:type="spellEnd"/>
      <w:r w:rsidR="00F84C82" w:rsidRPr="003C30AA">
        <w:rPr>
          <w:sz w:val="20"/>
          <w:szCs w:val="20"/>
        </w:rPr>
        <w:t xml:space="preserve"> </w:t>
      </w:r>
      <w:proofErr w:type="spellStart"/>
      <w:r w:rsidR="00F84C82" w:rsidRPr="003C30AA">
        <w:rPr>
          <w:sz w:val="20"/>
          <w:szCs w:val="20"/>
        </w:rPr>
        <w:t>lipping</w:t>
      </w:r>
      <w:proofErr w:type="spellEnd"/>
      <w:r w:rsidRPr="003C30AA">
        <w:rPr>
          <w:sz w:val="20"/>
          <w:szCs w:val="20"/>
        </w:rPr>
        <w:t xml:space="preserve">; </w:t>
      </w:r>
      <w:r w:rsidR="00F84C82" w:rsidRPr="003C30AA">
        <w:rPr>
          <w:sz w:val="20"/>
          <w:szCs w:val="20"/>
        </w:rPr>
        <w:t xml:space="preserve">Grade 2: definite </w:t>
      </w:r>
      <w:proofErr w:type="spellStart"/>
      <w:r w:rsidR="00F84C82" w:rsidRPr="003C30AA">
        <w:rPr>
          <w:sz w:val="20"/>
          <w:szCs w:val="20"/>
        </w:rPr>
        <w:t>osteophytes</w:t>
      </w:r>
      <w:proofErr w:type="spellEnd"/>
      <w:r w:rsidR="00F84C82" w:rsidRPr="003C30AA">
        <w:rPr>
          <w:sz w:val="20"/>
          <w:szCs w:val="20"/>
        </w:rPr>
        <w:t>, definite narrowing of joint space</w:t>
      </w:r>
      <w:r w:rsidRPr="003C30AA">
        <w:rPr>
          <w:sz w:val="20"/>
          <w:szCs w:val="20"/>
        </w:rPr>
        <w:t xml:space="preserve">; </w:t>
      </w:r>
      <w:r w:rsidR="00F84C82" w:rsidRPr="003C30AA">
        <w:rPr>
          <w:sz w:val="20"/>
          <w:szCs w:val="20"/>
        </w:rPr>
        <w:t xml:space="preserve">Grade 3: moderate multiple </w:t>
      </w:r>
      <w:proofErr w:type="spellStart"/>
      <w:r w:rsidR="00F84C82" w:rsidRPr="003C30AA">
        <w:rPr>
          <w:sz w:val="20"/>
          <w:szCs w:val="20"/>
        </w:rPr>
        <w:t>osteophytes</w:t>
      </w:r>
      <w:proofErr w:type="spellEnd"/>
      <w:r w:rsidR="00F84C82" w:rsidRPr="003C30AA">
        <w:rPr>
          <w:sz w:val="20"/>
          <w:szCs w:val="20"/>
        </w:rPr>
        <w:t>, definite narrowing of joints space, some sclerosis and possible deformity of bone contour</w:t>
      </w:r>
      <w:r w:rsidRPr="003C30AA">
        <w:rPr>
          <w:sz w:val="20"/>
          <w:szCs w:val="20"/>
        </w:rPr>
        <w:t xml:space="preserve">; </w:t>
      </w:r>
      <w:r w:rsidR="00F84C82" w:rsidRPr="003C30AA">
        <w:rPr>
          <w:sz w:val="20"/>
          <w:szCs w:val="20"/>
        </w:rPr>
        <w:t xml:space="preserve">Grade 4: large </w:t>
      </w:r>
      <w:proofErr w:type="spellStart"/>
      <w:r w:rsidR="00F84C82" w:rsidRPr="003C30AA">
        <w:rPr>
          <w:sz w:val="20"/>
          <w:szCs w:val="20"/>
        </w:rPr>
        <w:t>osteophytes</w:t>
      </w:r>
      <w:proofErr w:type="spellEnd"/>
      <w:r w:rsidR="00F84C82" w:rsidRPr="003C30AA">
        <w:rPr>
          <w:sz w:val="20"/>
          <w:szCs w:val="20"/>
        </w:rPr>
        <w:t>, marked narrowing of joint space, severe sclerosis and definite deformity of bone contour</w:t>
      </w:r>
      <w:r w:rsidRPr="003C30AA">
        <w:rPr>
          <w:sz w:val="20"/>
          <w:szCs w:val="20"/>
        </w:rPr>
        <w:t xml:space="preserve">. </w:t>
      </w:r>
      <w:r w:rsidR="00F84C82" w:rsidRPr="003C30AA">
        <w:rPr>
          <w:sz w:val="20"/>
          <w:szCs w:val="20"/>
        </w:rPr>
        <w:t xml:space="preserve">Only definite </w:t>
      </w:r>
      <w:proofErr w:type="spellStart"/>
      <w:r w:rsidR="00F84C82" w:rsidRPr="003C30AA">
        <w:rPr>
          <w:sz w:val="20"/>
          <w:szCs w:val="20"/>
        </w:rPr>
        <w:t>osteophytes</w:t>
      </w:r>
      <w:proofErr w:type="spellEnd"/>
      <w:r w:rsidR="00F84C82" w:rsidRPr="003C30AA">
        <w:rPr>
          <w:sz w:val="20"/>
          <w:szCs w:val="20"/>
        </w:rPr>
        <w:t xml:space="preserve"> were classified as present, with absent or possible </w:t>
      </w:r>
      <w:proofErr w:type="spellStart"/>
      <w:r w:rsidR="00F84C82" w:rsidRPr="003C30AA">
        <w:rPr>
          <w:sz w:val="20"/>
          <w:szCs w:val="20"/>
        </w:rPr>
        <w:t>osteophytes</w:t>
      </w:r>
      <w:proofErr w:type="spellEnd"/>
      <w:r w:rsidR="00F84C82" w:rsidRPr="003C30AA">
        <w:rPr>
          <w:sz w:val="20"/>
          <w:szCs w:val="20"/>
        </w:rPr>
        <w:t xml:space="preserve"> classified as not present.</w:t>
      </w:r>
    </w:p>
    <w:p w:rsidR="00F84C82" w:rsidRPr="003C30AA" w:rsidRDefault="00F84C82" w:rsidP="00840D53">
      <w:pPr>
        <w:pStyle w:val="NormalWeb"/>
        <w:widowControl w:val="0"/>
        <w:snapToGrid w:val="0"/>
        <w:spacing w:before="0" w:beforeAutospacing="0" w:after="0" w:afterAutospacing="0"/>
        <w:ind w:firstLine="425"/>
        <w:jc w:val="both"/>
        <w:rPr>
          <w:sz w:val="20"/>
          <w:szCs w:val="20"/>
        </w:rPr>
      </w:pPr>
      <w:r w:rsidRPr="003C30AA">
        <w:rPr>
          <w:sz w:val="20"/>
          <w:szCs w:val="20"/>
        </w:rPr>
        <w:t>Osteoporosis</w:t>
      </w:r>
      <w:r w:rsidR="00317BB6" w:rsidRPr="003C30AA">
        <w:rPr>
          <w:sz w:val="20"/>
          <w:szCs w:val="20"/>
        </w:rPr>
        <w:t xml:space="preserve"> was assessed </w:t>
      </w:r>
      <w:r w:rsidRPr="003C30AA">
        <w:rPr>
          <w:sz w:val="20"/>
          <w:szCs w:val="20"/>
        </w:rPr>
        <w:t xml:space="preserve">by dual-energy X-ray </w:t>
      </w:r>
      <w:proofErr w:type="spellStart"/>
      <w:r w:rsidRPr="003C30AA">
        <w:rPr>
          <w:sz w:val="20"/>
          <w:szCs w:val="20"/>
        </w:rPr>
        <w:t>absorptiometry</w:t>
      </w:r>
      <w:proofErr w:type="spellEnd"/>
      <w:r w:rsidRPr="003C30AA">
        <w:rPr>
          <w:sz w:val="20"/>
          <w:szCs w:val="20"/>
        </w:rPr>
        <w:t xml:space="preserve"> (DEXA) scanning</w:t>
      </w:r>
      <w:r w:rsidR="00317BB6" w:rsidRPr="003C30AA">
        <w:rPr>
          <w:sz w:val="20"/>
          <w:szCs w:val="20"/>
        </w:rPr>
        <w:t xml:space="preserve">: </w:t>
      </w:r>
      <w:r w:rsidRPr="003C30AA">
        <w:rPr>
          <w:sz w:val="20"/>
          <w:szCs w:val="20"/>
        </w:rPr>
        <w:t xml:space="preserve">DEXA was done by Lunar DPX DEXA system, manufactured by GE healthcare (USA). </w:t>
      </w:r>
      <w:r w:rsidR="00317BB6" w:rsidRPr="003C30AA">
        <w:rPr>
          <w:sz w:val="20"/>
          <w:szCs w:val="20"/>
        </w:rPr>
        <w:t xml:space="preserve">Finally, laboratory test were done for each patient included CBC, ESR, CRP and bone turnover markers </w:t>
      </w:r>
      <w:r w:rsidRPr="003C30AA">
        <w:rPr>
          <w:sz w:val="20"/>
          <w:szCs w:val="20"/>
        </w:rPr>
        <w:t xml:space="preserve">(Serum calcium, Serum phosphorus and Serum alkaline </w:t>
      </w:r>
      <w:proofErr w:type="spellStart"/>
      <w:r w:rsidRPr="003C30AA">
        <w:rPr>
          <w:sz w:val="20"/>
          <w:szCs w:val="20"/>
        </w:rPr>
        <w:t>phosphatase</w:t>
      </w:r>
      <w:proofErr w:type="spellEnd"/>
      <w:r w:rsidRPr="003C30AA">
        <w:rPr>
          <w:sz w:val="20"/>
          <w:szCs w:val="20"/>
        </w:rPr>
        <w:t>).</w:t>
      </w:r>
    </w:p>
    <w:p w:rsidR="00CD7954" w:rsidRPr="003C30AA" w:rsidRDefault="00F84C82" w:rsidP="00840D53">
      <w:pPr>
        <w:pStyle w:val="NormalWeb"/>
        <w:widowControl w:val="0"/>
        <w:snapToGrid w:val="0"/>
        <w:spacing w:before="0" w:beforeAutospacing="0" w:after="0" w:afterAutospacing="0"/>
        <w:jc w:val="both"/>
        <w:rPr>
          <w:sz w:val="20"/>
          <w:szCs w:val="20"/>
        </w:rPr>
      </w:pPr>
      <w:r w:rsidRPr="003C30AA">
        <w:rPr>
          <w:b/>
          <w:bCs/>
          <w:sz w:val="20"/>
          <w:szCs w:val="20"/>
        </w:rPr>
        <w:t>Statistical analysis of data:</w:t>
      </w:r>
    </w:p>
    <w:p w:rsidR="00F84C82" w:rsidRPr="003C30AA" w:rsidRDefault="00F84C82" w:rsidP="00840D53">
      <w:pPr>
        <w:pStyle w:val="NormalWeb"/>
        <w:widowControl w:val="0"/>
        <w:snapToGrid w:val="0"/>
        <w:spacing w:before="0" w:beforeAutospacing="0" w:after="0" w:afterAutospacing="0"/>
        <w:ind w:firstLine="425"/>
        <w:jc w:val="both"/>
        <w:rPr>
          <w:sz w:val="20"/>
          <w:szCs w:val="20"/>
        </w:rPr>
      </w:pPr>
      <w:r w:rsidRPr="003C30AA">
        <w:rPr>
          <w:sz w:val="20"/>
          <w:szCs w:val="20"/>
        </w:rPr>
        <w:t>The collected data organized, tabulated and statistically analyzed using statistical package for social science (SPSS) version 22 (IBM®SPSS® Inc, USA). For numerical variables, mean, standard deviation, minimum and maximum were calculated, and for comparison between two groups, the independent sample’s (t) test was used. Categorical variables were expressed as relative frequency and percent distribution, and for comparison between groups Chi square or Mann-Whitney test were used.</w:t>
      </w:r>
      <w:r w:rsidR="00840D53" w:rsidRPr="003C30AA">
        <w:rPr>
          <w:sz w:val="20"/>
          <w:szCs w:val="20"/>
        </w:rPr>
        <w:t xml:space="preserve"> </w:t>
      </w:r>
      <w:r w:rsidRPr="003C30AA">
        <w:rPr>
          <w:sz w:val="20"/>
          <w:szCs w:val="20"/>
        </w:rPr>
        <w:t>P value &lt; 0.05 was considered significant.</w:t>
      </w:r>
    </w:p>
    <w:p w:rsidR="00CD7954" w:rsidRPr="003C30AA" w:rsidRDefault="00CD7954" w:rsidP="00840D53">
      <w:pPr>
        <w:pStyle w:val="NormalWeb"/>
        <w:widowControl w:val="0"/>
        <w:tabs>
          <w:tab w:val="left" w:pos="2736"/>
        </w:tabs>
        <w:snapToGrid w:val="0"/>
        <w:spacing w:before="0" w:beforeAutospacing="0" w:after="0" w:afterAutospacing="0"/>
        <w:jc w:val="both"/>
        <w:rPr>
          <w:b/>
          <w:bCs/>
          <w:sz w:val="20"/>
          <w:szCs w:val="20"/>
        </w:rPr>
      </w:pPr>
    </w:p>
    <w:p w:rsidR="00F84C82" w:rsidRPr="003C30AA" w:rsidRDefault="00CD7954" w:rsidP="00840D53">
      <w:pPr>
        <w:pStyle w:val="NormalWeb"/>
        <w:widowControl w:val="0"/>
        <w:tabs>
          <w:tab w:val="left" w:pos="2736"/>
        </w:tabs>
        <w:snapToGrid w:val="0"/>
        <w:spacing w:before="0" w:beforeAutospacing="0" w:after="0" w:afterAutospacing="0"/>
        <w:jc w:val="both"/>
        <w:rPr>
          <w:b/>
          <w:bCs/>
          <w:sz w:val="20"/>
          <w:szCs w:val="20"/>
        </w:rPr>
      </w:pPr>
      <w:r w:rsidRPr="003C30AA">
        <w:rPr>
          <w:b/>
          <w:bCs/>
          <w:sz w:val="20"/>
          <w:szCs w:val="20"/>
        </w:rPr>
        <w:t xml:space="preserve">3. </w:t>
      </w:r>
      <w:r w:rsidR="00F84C82" w:rsidRPr="003C30AA">
        <w:rPr>
          <w:b/>
          <w:bCs/>
          <w:sz w:val="20"/>
          <w:szCs w:val="20"/>
        </w:rPr>
        <w:t>Results</w:t>
      </w:r>
    </w:p>
    <w:p w:rsidR="00F84C82" w:rsidRPr="003C30AA" w:rsidRDefault="00F84C82" w:rsidP="00840D53">
      <w:pPr>
        <w:pStyle w:val="NormalWeb"/>
        <w:widowControl w:val="0"/>
        <w:snapToGrid w:val="0"/>
        <w:spacing w:before="0" w:beforeAutospacing="0" w:after="0" w:afterAutospacing="0"/>
        <w:ind w:firstLine="425"/>
        <w:jc w:val="both"/>
        <w:rPr>
          <w:sz w:val="20"/>
          <w:szCs w:val="20"/>
        </w:rPr>
      </w:pPr>
      <w:r w:rsidRPr="003C30AA">
        <w:rPr>
          <w:sz w:val="20"/>
          <w:szCs w:val="20"/>
        </w:rPr>
        <w:t xml:space="preserve">In the present study, 100 patients with primary generalized osteoarthritis were included. In addition, 20 healthy subjects were included as control group. Both study and control group were comparable as regard to age, sex, residence and height. On the other hand, patients in study group had significant increase of both weight and BMI when compared to control group (80.86±5.97, 29.05±2.11 </w:t>
      </w:r>
      <w:proofErr w:type="spellStart"/>
      <w:r w:rsidRPr="003C30AA">
        <w:rPr>
          <w:sz w:val="20"/>
          <w:szCs w:val="20"/>
        </w:rPr>
        <w:t>vs</w:t>
      </w:r>
      <w:proofErr w:type="spellEnd"/>
      <w:r w:rsidRPr="003C30AA">
        <w:rPr>
          <w:sz w:val="20"/>
          <w:szCs w:val="20"/>
        </w:rPr>
        <w:t xml:space="preserve"> 69.75±3.17 and 27.70±0.69 respectively)</w:t>
      </w:r>
      <w:r w:rsidR="00317BB6" w:rsidRPr="003C30AA">
        <w:rPr>
          <w:sz w:val="20"/>
          <w:szCs w:val="20"/>
        </w:rPr>
        <w:t xml:space="preserve"> (Table 1)</w:t>
      </w:r>
      <w:r w:rsidRPr="003C30AA">
        <w:rPr>
          <w:sz w:val="20"/>
          <w:szCs w:val="20"/>
        </w:rPr>
        <w:t>.</w:t>
      </w:r>
    </w:p>
    <w:p w:rsidR="00317BB6" w:rsidRPr="003C30AA" w:rsidRDefault="00317BB6" w:rsidP="00840D53">
      <w:pPr>
        <w:pStyle w:val="NormalWeb"/>
        <w:widowControl w:val="0"/>
        <w:snapToGrid w:val="0"/>
        <w:spacing w:before="0" w:beforeAutospacing="0" w:after="0" w:afterAutospacing="0"/>
        <w:ind w:firstLine="425"/>
        <w:jc w:val="both"/>
        <w:rPr>
          <w:sz w:val="20"/>
          <w:szCs w:val="20"/>
        </w:rPr>
      </w:pPr>
      <w:r w:rsidRPr="003C30AA">
        <w:rPr>
          <w:sz w:val="20"/>
          <w:szCs w:val="20"/>
        </w:rPr>
        <w:t xml:space="preserve">In the study group, symptoms were in the form of stiffness in 39%, limited motion in 47% and no deformity was reported. Past history of hypertension was reported in 14% of studied patients and no cases had diabetes or surgery. Clinical examination revealed swelling in 20%, decreased ROM in 81%, </w:t>
      </w:r>
      <w:proofErr w:type="spellStart"/>
      <w:r w:rsidRPr="003C30AA">
        <w:rPr>
          <w:sz w:val="20"/>
          <w:szCs w:val="20"/>
        </w:rPr>
        <w:t>crepitus</w:t>
      </w:r>
      <w:proofErr w:type="spellEnd"/>
      <w:r w:rsidRPr="003C30AA">
        <w:rPr>
          <w:sz w:val="20"/>
          <w:szCs w:val="20"/>
        </w:rPr>
        <w:t xml:space="preserve"> in 26%, tenderness in 87% and muscle weakness in 15%. Disease duration ranged from 12 to 48 months, the mean duration was 34.47 weeks.</w:t>
      </w:r>
    </w:p>
    <w:p w:rsidR="004F0681" w:rsidRPr="003C30AA" w:rsidRDefault="004F0681" w:rsidP="00840D53">
      <w:pPr>
        <w:pStyle w:val="NormalWeb"/>
        <w:widowControl w:val="0"/>
        <w:snapToGrid w:val="0"/>
        <w:spacing w:before="0" w:beforeAutospacing="0" w:after="0" w:afterAutospacing="0"/>
        <w:ind w:firstLine="425"/>
        <w:jc w:val="both"/>
        <w:rPr>
          <w:sz w:val="20"/>
          <w:szCs w:val="20"/>
        </w:rPr>
      </w:pPr>
      <w:r w:rsidRPr="003C30AA">
        <w:rPr>
          <w:sz w:val="20"/>
          <w:szCs w:val="20"/>
        </w:rPr>
        <w:t xml:space="preserve">As regard to pain intensity in the study group, it ranged from 3 to 7 with a mean of 4.85±0.94; while in control group, it ranged from 0 to 2.0 with a mean of </w:t>
      </w:r>
      <w:r w:rsidRPr="003C30AA">
        <w:rPr>
          <w:sz w:val="20"/>
          <w:szCs w:val="20"/>
        </w:rPr>
        <w:lastRenderedPageBreak/>
        <w:t>0.65±0.58; and there was statistically significant increase of VAS score in study when compared to control group. In addition, there was statistically significant decrease of BMD in the study group when compared to control group at lumber spine and forearm. However, the difference at femur was statistically non-significant (Table 2).</w:t>
      </w:r>
    </w:p>
    <w:p w:rsidR="004F0681" w:rsidRPr="003C30AA" w:rsidRDefault="004F0681" w:rsidP="00840D53">
      <w:pPr>
        <w:pStyle w:val="NormalWeb"/>
        <w:widowControl w:val="0"/>
        <w:snapToGrid w:val="0"/>
        <w:spacing w:before="0" w:beforeAutospacing="0" w:after="0" w:afterAutospacing="0"/>
        <w:ind w:firstLine="425"/>
        <w:jc w:val="both"/>
        <w:rPr>
          <w:sz w:val="20"/>
          <w:szCs w:val="20"/>
        </w:rPr>
      </w:pPr>
      <w:r w:rsidRPr="003C30AA">
        <w:rPr>
          <w:sz w:val="20"/>
          <w:szCs w:val="20"/>
        </w:rPr>
        <w:t xml:space="preserve">As regard to CBC findings, there was no significant difference between study and control groups as regard to hemoglobin, </w:t>
      </w:r>
      <w:proofErr w:type="spellStart"/>
      <w:r w:rsidRPr="003C30AA">
        <w:rPr>
          <w:sz w:val="20"/>
          <w:szCs w:val="20"/>
        </w:rPr>
        <w:t>RBCs</w:t>
      </w:r>
      <w:proofErr w:type="spellEnd"/>
      <w:r w:rsidRPr="003C30AA">
        <w:rPr>
          <w:sz w:val="20"/>
          <w:szCs w:val="20"/>
        </w:rPr>
        <w:t xml:space="preserve"> and platelets; while there was statistically significant increase of </w:t>
      </w:r>
      <w:proofErr w:type="spellStart"/>
      <w:r w:rsidRPr="003C30AA">
        <w:rPr>
          <w:sz w:val="20"/>
          <w:szCs w:val="20"/>
        </w:rPr>
        <w:t>WBCs</w:t>
      </w:r>
      <w:proofErr w:type="spellEnd"/>
      <w:r w:rsidRPr="003C30AA">
        <w:rPr>
          <w:sz w:val="20"/>
          <w:szCs w:val="20"/>
        </w:rPr>
        <w:t xml:space="preserve"> in study group when compared to control group (9.64±1.47 </w:t>
      </w:r>
      <w:proofErr w:type="spellStart"/>
      <w:r w:rsidRPr="003C30AA">
        <w:rPr>
          <w:sz w:val="20"/>
          <w:szCs w:val="20"/>
        </w:rPr>
        <w:t>vs</w:t>
      </w:r>
      <w:proofErr w:type="spellEnd"/>
      <w:r w:rsidRPr="003C30AA">
        <w:rPr>
          <w:sz w:val="20"/>
          <w:szCs w:val="20"/>
        </w:rPr>
        <w:t xml:space="preserve"> 5.70±1.26). In addition, there was statistically significant increase of both ESR and CRP in study group when compared to control group (34.32±4.91, 178.64±34.31 </w:t>
      </w:r>
      <w:proofErr w:type="spellStart"/>
      <w:r w:rsidRPr="003C30AA">
        <w:rPr>
          <w:sz w:val="20"/>
          <w:szCs w:val="20"/>
        </w:rPr>
        <w:t>vs</w:t>
      </w:r>
      <w:proofErr w:type="spellEnd"/>
      <w:r w:rsidRPr="003C30AA">
        <w:rPr>
          <w:sz w:val="20"/>
          <w:szCs w:val="20"/>
        </w:rPr>
        <w:t xml:space="preserve"> 11.90±3.21, and 61.55±15.09 respectively) (Table 2).</w:t>
      </w:r>
    </w:p>
    <w:p w:rsidR="004F0681" w:rsidRPr="003C30AA" w:rsidRDefault="004F0681" w:rsidP="00840D53">
      <w:pPr>
        <w:pStyle w:val="NormalWeb"/>
        <w:widowControl w:val="0"/>
        <w:snapToGrid w:val="0"/>
        <w:spacing w:before="0" w:beforeAutospacing="0" w:after="0" w:afterAutospacing="0"/>
        <w:ind w:firstLine="425"/>
        <w:jc w:val="both"/>
        <w:rPr>
          <w:sz w:val="20"/>
          <w:szCs w:val="20"/>
        </w:rPr>
      </w:pPr>
      <w:r w:rsidRPr="003C30AA">
        <w:rPr>
          <w:sz w:val="20"/>
          <w:szCs w:val="20"/>
        </w:rPr>
        <w:t xml:space="preserve">As regard to bone turn over markers, there was </w:t>
      </w:r>
      <w:r w:rsidRPr="003C30AA">
        <w:rPr>
          <w:sz w:val="20"/>
          <w:szCs w:val="20"/>
        </w:rPr>
        <w:lastRenderedPageBreak/>
        <w:t xml:space="preserve">statistically significant decrease of calcium and significant increase of alkaline </w:t>
      </w:r>
      <w:proofErr w:type="spellStart"/>
      <w:r w:rsidRPr="003C30AA">
        <w:rPr>
          <w:sz w:val="20"/>
          <w:szCs w:val="20"/>
        </w:rPr>
        <w:t>phosphatase</w:t>
      </w:r>
      <w:proofErr w:type="spellEnd"/>
      <w:r w:rsidRPr="003C30AA">
        <w:rPr>
          <w:sz w:val="20"/>
          <w:szCs w:val="20"/>
        </w:rPr>
        <w:t xml:space="preserve"> in study when compared to control group (8.13±0.44, 79.56±9.35 </w:t>
      </w:r>
      <w:proofErr w:type="spellStart"/>
      <w:r w:rsidRPr="003C30AA">
        <w:rPr>
          <w:sz w:val="20"/>
          <w:szCs w:val="20"/>
        </w:rPr>
        <w:t>vs</w:t>
      </w:r>
      <w:proofErr w:type="spellEnd"/>
      <w:r w:rsidRPr="003C30AA">
        <w:rPr>
          <w:sz w:val="20"/>
          <w:szCs w:val="20"/>
        </w:rPr>
        <w:t xml:space="preserve"> 9.72±0.67 and 63.25±10.39 respectively) (Table 2).</w:t>
      </w:r>
      <w:r w:rsidR="006318D2" w:rsidRPr="003C30AA">
        <w:rPr>
          <w:sz w:val="20"/>
          <w:szCs w:val="20"/>
        </w:rPr>
        <w:t xml:space="preserve"> T</w:t>
      </w:r>
      <w:r w:rsidRPr="003C30AA">
        <w:rPr>
          <w:sz w:val="20"/>
          <w:szCs w:val="20"/>
        </w:rPr>
        <w:t>otal WOMAC score ranged from 23 to 39; the mean value was 30.82. The percentage ranged from 23.96 to 40.63, the mean value was 32.10±3.10 (Table 3).</w:t>
      </w:r>
    </w:p>
    <w:p w:rsidR="008601DF" w:rsidRPr="003C30AA" w:rsidRDefault="008601DF" w:rsidP="00840D53">
      <w:pPr>
        <w:pStyle w:val="NormalWeb"/>
        <w:widowControl w:val="0"/>
        <w:snapToGrid w:val="0"/>
        <w:spacing w:before="0" w:beforeAutospacing="0" w:after="0" w:afterAutospacing="0"/>
        <w:ind w:firstLine="425"/>
        <w:jc w:val="both"/>
        <w:rPr>
          <w:sz w:val="20"/>
          <w:szCs w:val="20"/>
        </w:rPr>
      </w:pPr>
      <w:r w:rsidRPr="003C30AA">
        <w:rPr>
          <w:sz w:val="20"/>
          <w:szCs w:val="20"/>
        </w:rPr>
        <w:t>As regard to X-ray grading, it was zero in 12%, grade I in 27%, grade II in 45% and grade III in 16%.</w:t>
      </w:r>
    </w:p>
    <w:p w:rsidR="008601DF" w:rsidRPr="003C30AA" w:rsidRDefault="008601DF" w:rsidP="00840D53">
      <w:pPr>
        <w:pStyle w:val="NormalWeb"/>
        <w:widowControl w:val="0"/>
        <w:snapToGrid w:val="0"/>
        <w:spacing w:before="0" w:beforeAutospacing="0" w:after="0" w:afterAutospacing="0"/>
        <w:ind w:firstLine="425"/>
        <w:jc w:val="both"/>
        <w:rPr>
          <w:sz w:val="20"/>
          <w:szCs w:val="20"/>
        </w:rPr>
      </w:pPr>
      <w:r w:rsidRPr="003C30AA">
        <w:rPr>
          <w:sz w:val="20"/>
          <w:szCs w:val="20"/>
        </w:rPr>
        <w:t xml:space="preserve">In the present work BMD of lumbar spine was negatively correlated with each of VAS, BMI, ESR, CRP and alkaline </w:t>
      </w:r>
      <w:proofErr w:type="spellStart"/>
      <w:r w:rsidRPr="003C30AA">
        <w:rPr>
          <w:sz w:val="20"/>
          <w:szCs w:val="20"/>
        </w:rPr>
        <w:t>phosphatase</w:t>
      </w:r>
      <w:proofErr w:type="spellEnd"/>
      <w:r w:rsidRPr="003C30AA">
        <w:rPr>
          <w:sz w:val="20"/>
          <w:szCs w:val="20"/>
        </w:rPr>
        <w:t>, and correlated proportionately with total WOMAC and calcium. Similar correlations were found between femur DEXA and the same variables as lumbar spine.</w:t>
      </w:r>
      <w:r w:rsidR="00840D53" w:rsidRPr="003C30AA">
        <w:rPr>
          <w:sz w:val="20"/>
          <w:szCs w:val="20"/>
        </w:rPr>
        <w:t xml:space="preserve"> </w:t>
      </w:r>
      <w:r w:rsidRPr="003C30AA">
        <w:rPr>
          <w:sz w:val="20"/>
          <w:szCs w:val="20"/>
        </w:rPr>
        <w:t>Finally, no significant correlation was found between forearm DEXA and any of studied variables (Table 4).</w:t>
      </w:r>
    </w:p>
    <w:p w:rsidR="00840D53" w:rsidRPr="003C30AA" w:rsidRDefault="00840D53" w:rsidP="00840D53">
      <w:pPr>
        <w:pStyle w:val="NormalWeb"/>
        <w:widowControl w:val="0"/>
        <w:snapToGrid w:val="0"/>
        <w:spacing w:before="0" w:beforeAutospacing="0" w:after="0" w:afterAutospacing="0"/>
        <w:jc w:val="both"/>
        <w:rPr>
          <w:b/>
          <w:bCs/>
          <w:sz w:val="20"/>
          <w:szCs w:val="20"/>
        </w:rPr>
        <w:sectPr w:rsidR="00840D53" w:rsidRPr="003C30AA" w:rsidSect="00840D53">
          <w:type w:val="continuous"/>
          <w:pgSz w:w="12240" w:h="15840" w:code="1"/>
          <w:pgMar w:top="1440" w:right="1440" w:bottom="1440" w:left="1440" w:header="720" w:footer="720" w:gutter="0"/>
          <w:cols w:num="2" w:space="600"/>
          <w:noEndnote/>
          <w:docGrid w:linePitch="326"/>
        </w:sectPr>
      </w:pPr>
    </w:p>
    <w:p w:rsidR="007412E8" w:rsidRPr="003C30AA" w:rsidRDefault="007412E8" w:rsidP="00840D53">
      <w:pPr>
        <w:pStyle w:val="NormalWeb"/>
        <w:widowControl w:val="0"/>
        <w:snapToGrid w:val="0"/>
        <w:spacing w:before="0" w:beforeAutospacing="0" w:after="0" w:afterAutospacing="0"/>
        <w:jc w:val="center"/>
        <w:rPr>
          <w:b/>
          <w:bCs/>
          <w:sz w:val="20"/>
          <w:szCs w:val="20"/>
        </w:rPr>
      </w:pPr>
    </w:p>
    <w:p w:rsidR="00F84C82" w:rsidRPr="003C30AA" w:rsidRDefault="00317BB6" w:rsidP="00840D53">
      <w:pPr>
        <w:pStyle w:val="NormalWeb"/>
        <w:widowControl w:val="0"/>
        <w:snapToGrid w:val="0"/>
        <w:spacing w:before="0" w:beforeAutospacing="0" w:after="0" w:afterAutospacing="0"/>
        <w:jc w:val="center"/>
        <w:rPr>
          <w:b/>
          <w:bCs/>
          <w:sz w:val="20"/>
          <w:szCs w:val="20"/>
        </w:rPr>
      </w:pPr>
      <w:r w:rsidRPr="003C30AA">
        <w:rPr>
          <w:b/>
          <w:bCs/>
          <w:sz w:val="20"/>
          <w:szCs w:val="20"/>
        </w:rPr>
        <w:t>Table (1</w:t>
      </w:r>
      <w:r w:rsidR="00F84C82" w:rsidRPr="003C30AA">
        <w:rPr>
          <w:b/>
          <w:bCs/>
          <w:sz w:val="20"/>
          <w:szCs w:val="20"/>
        </w:rPr>
        <w:t xml:space="preserve">): </w:t>
      </w:r>
      <w:r w:rsidR="00F84C82" w:rsidRPr="003C30AA">
        <w:rPr>
          <w:sz w:val="20"/>
          <w:szCs w:val="20"/>
        </w:rPr>
        <w:t>General characteristics of studied populations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551"/>
        <w:gridCol w:w="1177"/>
        <w:gridCol w:w="2367"/>
        <w:gridCol w:w="2367"/>
        <w:gridCol w:w="769"/>
        <w:gridCol w:w="1243"/>
      </w:tblGrid>
      <w:tr w:rsidR="00A26007" w:rsidRPr="003C30AA" w:rsidTr="00840D53">
        <w:trPr>
          <w:jc w:val="center"/>
        </w:trPr>
        <w:tc>
          <w:tcPr>
            <w:tcW w:w="1440" w:type="pct"/>
            <w:gridSpan w:val="2"/>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Variable</w:t>
            </w:r>
          </w:p>
        </w:tc>
        <w:tc>
          <w:tcPr>
            <w:tcW w:w="124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Study</w:t>
            </w:r>
          </w:p>
        </w:tc>
        <w:tc>
          <w:tcPr>
            <w:tcW w:w="124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Control</w:t>
            </w:r>
          </w:p>
        </w:tc>
        <w:tc>
          <w:tcPr>
            <w:tcW w:w="40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Test</w:t>
            </w:r>
          </w:p>
        </w:tc>
        <w:tc>
          <w:tcPr>
            <w:tcW w:w="657"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P value</w:t>
            </w:r>
          </w:p>
        </w:tc>
      </w:tr>
      <w:tr w:rsidR="00A26007" w:rsidRPr="003C30AA" w:rsidTr="00840D53">
        <w:trPr>
          <w:jc w:val="center"/>
        </w:trPr>
        <w:tc>
          <w:tcPr>
            <w:tcW w:w="1440" w:type="pct"/>
            <w:gridSpan w:val="2"/>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Age (y)</w:t>
            </w:r>
          </w:p>
        </w:tc>
        <w:tc>
          <w:tcPr>
            <w:tcW w:w="124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55.40±7.17;</w:t>
            </w:r>
          </w:p>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40-70</w:t>
            </w:r>
          </w:p>
        </w:tc>
        <w:tc>
          <w:tcPr>
            <w:tcW w:w="124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55.05±6.24;</w:t>
            </w:r>
          </w:p>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45-63</w:t>
            </w:r>
          </w:p>
        </w:tc>
        <w:tc>
          <w:tcPr>
            <w:tcW w:w="40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0.20</w:t>
            </w:r>
          </w:p>
        </w:tc>
        <w:tc>
          <w:tcPr>
            <w:tcW w:w="657"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0.84(ns)</w:t>
            </w:r>
          </w:p>
        </w:tc>
      </w:tr>
      <w:tr w:rsidR="00A26007" w:rsidRPr="003C30AA" w:rsidTr="00840D53">
        <w:trPr>
          <w:jc w:val="center"/>
        </w:trPr>
        <w:tc>
          <w:tcPr>
            <w:tcW w:w="1440" w:type="pct"/>
            <w:gridSpan w:val="2"/>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Weight (kg)</w:t>
            </w:r>
          </w:p>
        </w:tc>
        <w:tc>
          <w:tcPr>
            <w:tcW w:w="124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80.86±5.97;</w:t>
            </w:r>
          </w:p>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69-93</w:t>
            </w:r>
          </w:p>
        </w:tc>
        <w:tc>
          <w:tcPr>
            <w:tcW w:w="124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69.75±3.17;</w:t>
            </w:r>
          </w:p>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64-75</w:t>
            </w:r>
          </w:p>
        </w:tc>
        <w:tc>
          <w:tcPr>
            <w:tcW w:w="40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8.07</w:t>
            </w:r>
          </w:p>
        </w:tc>
        <w:tc>
          <w:tcPr>
            <w:tcW w:w="657"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&lt;0.001*</w:t>
            </w:r>
          </w:p>
        </w:tc>
      </w:tr>
      <w:tr w:rsidR="00A26007" w:rsidRPr="003C30AA" w:rsidTr="00840D53">
        <w:trPr>
          <w:jc w:val="center"/>
        </w:trPr>
        <w:tc>
          <w:tcPr>
            <w:tcW w:w="1440" w:type="pct"/>
            <w:gridSpan w:val="2"/>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Height (m)</w:t>
            </w:r>
          </w:p>
        </w:tc>
        <w:tc>
          <w:tcPr>
            <w:tcW w:w="124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1.6685±0.03532;</w:t>
            </w:r>
          </w:p>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1.62-1.75</w:t>
            </w:r>
          </w:p>
        </w:tc>
        <w:tc>
          <w:tcPr>
            <w:tcW w:w="124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1.6800±0.02248;</w:t>
            </w:r>
          </w:p>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1.63-1.71</w:t>
            </w:r>
          </w:p>
        </w:tc>
        <w:tc>
          <w:tcPr>
            <w:tcW w:w="40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1.39</w:t>
            </w:r>
          </w:p>
        </w:tc>
        <w:tc>
          <w:tcPr>
            <w:tcW w:w="657"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0.16(ns)</w:t>
            </w:r>
          </w:p>
        </w:tc>
      </w:tr>
      <w:tr w:rsidR="00A26007" w:rsidRPr="003C30AA" w:rsidTr="00840D53">
        <w:trPr>
          <w:jc w:val="center"/>
        </w:trPr>
        <w:tc>
          <w:tcPr>
            <w:tcW w:w="1440" w:type="pct"/>
            <w:gridSpan w:val="2"/>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BMI</w:t>
            </w:r>
          </w:p>
        </w:tc>
        <w:tc>
          <w:tcPr>
            <w:tcW w:w="124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29.05±2.11;</w:t>
            </w:r>
          </w:p>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24.62-34.16</w:t>
            </w:r>
          </w:p>
        </w:tc>
        <w:tc>
          <w:tcPr>
            <w:tcW w:w="124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27.70±0.69;</w:t>
            </w:r>
          </w:p>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23.31-25.95</w:t>
            </w:r>
          </w:p>
        </w:tc>
        <w:tc>
          <w:tcPr>
            <w:tcW w:w="40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9.08</w:t>
            </w:r>
          </w:p>
        </w:tc>
        <w:tc>
          <w:tcPr>
            <w:tcW w:w="657"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&lt;0.001*</w:t>
            </w:r>
          </w:p>
        </w:tc>
      </w:tr>
      <w:tr w:rsidR="00A26007" w:rsidRPr="003C30AA" w:rsidTr="00840D53">
        <w:trPr>
          <w:jc w:val="center"/>
        </w:trPr>
        <w:tc>
          <w:tcPr>
            <w:tcW w:w="819" w:type="pct"/>
            <w:vMerge w:val="restar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Sex</w:t>
            </w:r>
          </w:p>
        </w:tc>
        <w:tc>
          <w:tcPr>
            <w:tcW w:w="62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Male</w:t>
            </w:r>
          </w:p>
        </w:tc>
        <w:tc>
          <w:tcPr>
            <w:tcW w:w="124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38(38.0%)</w:t>
            </w:r>
          </w:p>
        </w:tc>
        <w:tc>
          <w:tcPr>
            <w:tcW w:w="124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7(35.0%)</w:t>
            </w:r>
          </w:p>
        </w:tc>
        <w:tc>
          <w:tcPr>
            <w:tcW w:w="406" w:type="pct"/>
            <w:vMerge w:val="restar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0.06</w:t>
            </w:r>
          </w:p>
        </w:tc>
        <w:tc>
          <w:tcPr>
            <w:tcW w:w="657" w:type="pct"/>
            <w:vMerge w:val="restar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0.80(ns)</w:t>
            </w:r>
          </w:p>
        </w:tc>
      </w:tr>
      <w:tr w:rsidR="00A26007" w:rsidRPr="003C30AA" w:rsidTr="00840D53">
        <w:trPr>
          <w:jc w:val="center"/>
        </w:trPr>
        <w:tc>
          <w:tcPr>
            <w:tcW w:w="819"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p>
        </w:tc>
        <w:tc>
          <w:tcPr>
            <w:tcW w:w="62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Female</w:t>
            </w:r>
          </w:p>
        </w:tc>
        <w:tc>
          <w:tcPr>
            <w:tcW w:w="124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62(62.0%)</w:t>
            </w:r>
          </w:p>
        </w:tc>
        <w:tc>
          <w:tcPr>
            <w:tcW w:w="124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13(65.0%)</w:t>
            </w:r>
          </w:p>
        </w:tc>
        <w:tc>
          <w:tcPr>
            <w:tcW w:w="406"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657"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r>
      <w:tr w:rsidR="00A26007" w:rsidRPr="003C30AA" w:rsidTr="00840D53">
        <w:trPr>
          <w:jc w:val="center"/>
        </w:trPr>
        <w:tc>
          <w:tcPr>
            <w:tcW w:w="819" w:type="pct"/>
            <w:vMerge w:val="restar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Residence</w:t>
            </w:r>
          </w:p>
        </w:tc>
        <w:tc>
          <w:tcPr>
            <w:tcW w:w="62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Rural</w:t>
            </w:r>
          </w:p>
        </w:tc>
        <w:tc>
          <w:tcPr>
            <w:tcW w:w="124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73(73.0%)</w:t>
            </w:r>
          </w:p>
        </w:tc>
        <w:tc>
          <w:tcPr>
            <w:tcW w:w="124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12(60.0%)</w:t>
            </w:r>
          </w:p>
        </w:tc>
        <w:tc>
          <w:tcPr>
            <w:tcW w:w="406" w:type="pct"/>
            <w:vMerge w:val="restar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1.36</w:t>
            </w:r>
          </w:p>
        </w:tc>
        <w:tc>
          <w:tcPr>
            <w:tcW w:w="657" w:type="pct"/>
            <w:vMerge w:val="restar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0.24(ns)</w:t>
            </w:r>
          </w:p>
        </w:tc>
      </w:tr>
      <w:tr w:rsidR="00A26007" w:rsidRPr="003C30AA" w:rsidTr="00840D53">
        <w:trPr>
          <w:jc w:val="center"/>
        </w:trPr>
        <w:tc>
          <w:tcPr>
            <w:tcW w:w="819"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p>
        </w:tc>
        <w:tc>
          <w:tcPr>
            <w:tcW w:w="62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Urban</w:t>
            </w:r>
          </w:p>
        </w:tc>
        <w:tc>
          <w:tcPr>
            <w:tcW w:w="124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27(27.0%)</w:t>
            </w:r>
          </w:p>
        </w:tc>
        <w:tc>
          <w:tcPr>
            <w:tcW w:w="124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8(40.0%)</w:t>
            </w:r>
          </w:p>
        </w:tc>
        <w:tc>
          <w:tcPr>
            <w:tcW w:w="406"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657"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r>
    </w:tbl>
    <w:p w:rsidR="00A26007" w:rsidRPr="003C30AA" w:rsidRDefault="00A26007" w:rsidP="00840D53">
      <w:pPr>
        <w:pStyle w:val="NormalWeb"/>
        <w:widowControl w:val="0"/>
        <w:snapToGrid w:val="0"/>
        <w:spacing w:before="0" w:beforeAutospacing="0" w:after="0" w:afterAutospacing="0"/>
        <w:jc w:val="center"/>
        <w:rPr>
          <w:b/>
          <w:bCs/>
          <w:sz w:val="20"/>
          <w:szCs w:val="20"/>
        </w:rPr>
      </w:pPr>
    </w:p>
    <w:p w:rsidR="00317BB6" w:rsidRPr="003C30AA" w:rsidRDefault="00317BB6" w:rsidP="00840D53">
      <w:pPr>
        <w:pStyle w:val="NormalWeb"/>
        <w:widowControl w:val="0"/>
        <w:snapToGrid w:val="0"/>
        <w:spacing w:before="0" w:beforeAutospacing="0" w:after="0" w:afterAutospacing="0"/>
        <w:jc w:val="center"/>
        <w:rPr>
          <w:b/>
          <w:bCs/>
          <w:sz w:val="20"/>
          <w:szCs w:val="20"/>
        </w:rPr>
      </w:pPr>
      <w:r w:rsidRPr="003C30AA">
        <w:rPr>
          <w:b/>
          <w:bCs/>
          <w:sz w:val="20"/>
          <w:szCs w:val="20"/>
        </w:rPr>
        <w:t xml:space="preserve">Table (2): </w:t>
      </w:r>
      <w:r w:rsidRPr="003C30AA">
        <w:rPr>
          <w:sz w:val="20"/>
          <w:szCs w:val="20"/>
        </w:rPr>
        <w:t>Pain intensity (VAS)</w:t>
      </w:r>
      <w:r w:rsidR="006417F3" w:rsidRPr="003C30AA">
        <w:rPr>
          <w:sz w:val="20"/>
          <w:szCs w:val="20"/>
        </w:rPr>
        <w:t xml:space="preserve">, BMD and laboratory </w:t>
      </w:r>
      <w:r w:rsidR="004F0681" w:rsidRPr="003C30AA">
        <w:rPr>
          <w:sz w:val="20"/>
          <w:szCs w:val="20"/>
        </w:rPr>
        <w:t>investigations of</w:t>
      </w:r>
      <w:r w:rsidRPr="003C30AA">
        <w:rPr>
          <w:sz w:val="20"/>
          <w:szCs w:val="20"/>
        </w:rPr>
        <w:t xml:space="preserve"> studied populations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02"/>
        <w:gridCol w:w="2137"/>
        <w:gridCol w:w="1982"/>
        <w:gridCol w:w="1982"/>
        <w:gridCol w:w="913"/>
        <w:gridCol w:w="1258"/>
      </w:tblGrid>
      <w:tr w:rsidR="00A26007" w:rsidRPr="003C30AA" w:rsidTr="00840D53">
        <w:trPr>
          <w:jc w:val="center"/>
        </w:trPr>
        <w:tc>
          <w:tcPr>
            <w:tcW w:w="1762" w:type="pct"/>
            <w:gridSpan w:val="2"/>
            <w:shd w:val="clear" w:color="auto" w:fill="auto"/>
            <w:vAlign w:val="center"/>
          </w:tcPr>
          <w:p w:rsidR="00317BB6" w:rsidRPr="003C30AA" w:rsidRDefault="00317BB6"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Variable</w:t>
            </w:r>
          </w:p>
        </w:tc>
        <w:tc>
          <w:tcPr>
            <w:tcW w:w="1046" w:type="pct"/>
            <w:shd w:val="clear" w:color="auto" w:fill="auto"/>
            <w:vAlign w:val="center"/>
          </w:tcPr>
          <w:p w:rsidR="00317BB6" w:rsidRPr="003C30AA" w:rsidRDefault="00317BB6"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Study</w:t>
            </w:r>
          </w:p>
        </w:tc>
        <w:tc>
          <w:tcPr>
            <w:tcW w:w="1046" w:type="pct"/>
            <w:shd w:val="clear" w:color="auto" w:fill="auto"/>
            <w:vAlign w:val="center"/>
          </w:tcPr>
          <w:p w:rsidR="00317BB6" w:rsidRPr="003C30AA" w:rsidRDefault="00317BB6"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Control</w:t>
            </w:r>
          </w:p>
        </w:tc>
        <w:tc>
          <w:tcPr>
            <w:tcW w:w="482" w:type="pct"/>
            <w:shd w:val="clear" w:color="auto" w:fill="auto"/>
            <w:vAlign w:val="center"/>
          </w:tcPr>
          <w:p w:rsidR="00317BB6" w:rsidRPr="003C30AA" w:rsidRDefault="00317BB6"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t</w:t>
            </w:r>
          </w:p>
        </w:tc>
        <w:tc>
          <w:tcPr>
            <w:tcW w:w="665" w:type="pct"/>
            <w:shd w:val="clear" w:color="auto" w:fill="auto"/>
            <w:vAlign w:val="center"/>
          </w:tcPr>
          <w:p w:rsidR="00317BB6" w:rsidRPr="003C30AA" w:rsidRDefault="00317BB6"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P value</w:t>
            </w:r>
          </w:p>
        </w:tc>
      </w:tr>
      <w:tr w:rsidR="00A26007" w:rsidRPr="003C30AA" w:rsidTr="00840D53">
        <w:trPr>
          <w:jc w:val="center"/>
        </w:trPr>
        <w:tc>
          <w:tcPr>
            <w:tcW w:w="1762" w:type="pct"/>
            <w:gridSpan w:val="2"/>
            <w:shd w:val="clear" w:color="auto" w:fill="auto"/>
            <w:vAlign w:val="center"/>
          </w:tcPr>
          <w:p w:rsidR="00317BB6" w:rsidRPr="003C30AA" w:rsidRDefault="00317BB6"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VAS</w:t>
            </w:r>
          </w:p>
        </w:tc>
        <w:tc>
          <w:tcPr>
            <w:tcW w:w="1046" w:type="pct"/>
            <w:shd w:val="clear" w:color="auto" w:fill="auto"/>
            <w:vAlign w:val="center"/>
          </w:tcPr>
          <w:p w:rsidR="00317BB6" w:rsidRPr="003C30AA" w:rsidRDefault="00317BB6"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4.85±0.94</w:t>
            </w:r>
          </w:p>
        </w:tc>
        <w:tc>
          <w:tcPr>
            <w:tcW w:w="1046" w:type="pct"/>
            <w:shd w:val="clear" w:color="auto" w:fill="auto"/>
            <w:vAlign w:val="center"/>
          </w:tcPr>
          <w:p w:rsidR="00317BB6" w:rsidRPr="003C30AA" w:rsidRDefault="00317BB6"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0.65±0.58</w:t>
            </w:r>
          </w:p>
        </w:tc>
        <w:tc>
          <w:tcPr>
            <w:tcW w:w="482" w:type="pct"/>
            <w:shd w:val="clear" w:color="auto" w:fill="auto"/>
            <w:vAlign w:val="center"/>
          </w:tcPr>
          <w:p w:rsidR="00317BB6" w:rsidRPr="003C30AA" w:rsidRDefault="00317BB6"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19.07</w:t>
            </w:r>
          </w:p>
        </w:tc>
        <w:tc>
          <w:tcPr>
            <w:tcW w:w="665" w:type="pct"/>
            <w:shd w:val="clear" w:color="auto" w:fill="auto"/>
            <w:vAlign w:val="center"/>
          </w:tcPr>
          <w:p w:rsidR="00317BB6" w:rsidRPr="003C30AA" w:rsidRDefault="00317BB6"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&lt;0.001*</w:t>
            </w:r>
          </w:p>
        </w:tc>
      </w:tr>
      <w:tr w:rsidR="00A26007" w:rsidRPr="003C30AA" w:rsidTr="00840D53">
        <w:trPr>
          <w:jc w:val="center"/>
        </w:trPr>
        <w:tc>
          <w:tcPr>
            <w:tcW w:w="634" w:type="pct"/>
            <w:vMerge w:val="restart"/>
            <w:shd w:val="clear" w:color="auto" w:fill="auto"/>
            <w:vAlign w:val="center"/>
          </w:tcPr>
          <w:p w:rsidR="00317BB6" w:rsidRPr="003C30AA" w:rsidRDefault="00317BB6"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BMD</w:t>
            </w:r>
          </w:p>
        </w:tc>
        <w:tc>
          <w:tcPr>
            <w:tcW w:w="1128" w:type="pct"/>
            <w:shd w:val="clear" w:color="auto" w:fill="auto"/>
            <w:vAlign w:val="center"/>
          </w:tcPr>
          <w:p w:rsidR="00317BB6" w:rsidRPr="003C30AA" w:rsidRDefault="00317BB6"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Lumbar spine</w:t>
            </w:r>
          </w:p>
        </w:tc>
        <w:tc>
          <w:tcPr>
            <w:tcW w:w="1046" w:type="pct"/>
            <w:shd w:val="clear" w:color="auto" w:fill="auto"/>
            <w:vAlign w:val="center"/>
          </w:tcPr>
          <w:p w:rsidR="00317BB6" w:rsidRPr="003C30AA" w:rsidRDefault="00317BB6"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0.898±0.101</w:t>
            </w:r>
          </w:p>
        </w:tc>
        <w:tc>
          <w:tcPr>
            <w:tcW w:w="1046" w:type="pct"/>
            <w:shd w:val="clear" w:color="auto" w:fill="auto"/>
            <w:vAlign w:val="center"/>
          </w:tcPr>
          <w:p w:rsidR="00317BB6" w:rsidRPr="003C30AA" w:rsidRDefault="00317BB6"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1.054±0.103</w:t>
            </w:r>
          </w:p>
        </w:tc>
        <w:tc>
          <w:tcPr>
            <w:tcW w:w="482" w:type="pct"/>
            <w:shd w:val="clear" w:color="auto" w:fill="auto"/>
            <w:vAlign w:val="center"/>
          </w:tcPr>
          <w:p w:rsidR="00317BB6" w:rsidRPr="003C30AA" w:rsidRDefault="00317BB6"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6.26</w:t>
            </w:r>
          </w:p>
        </w:tc>
        <w:tc>
          <w:tcPr>
            <w:tcW w:w="665" w:type="pct"/>
            <w:shd w:val="clear" w:color="auto" w:fill="auto"/>
            <w:vAlign w:val="center"/>
          </w:tcPr>
          <w:p w:rsidR="00317BB6" w:rsidRPr="003C30AA" w:rsidRDefault="00317BB6"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&lt;0.001*</w:t>
            </w:r>
          </w:p>
        </w:tc>
      </w:tr>
      <w:tr w:rsidR="00A26007" w:rsidRPr="003C30AA" w:rsidTr="00840D53">
        <w:trPr>
          <w:jc w:val="center"/>
        </w:trPr>
        <w:tc>
          <w:tcPr>
            <w:tcW w:w="634" w:type="pct"/>
            <w:vMerge/>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b/>
                <w:bCs/>
                <w:sz w:val="20"/>
                <w:szCs w:val="20"/>
              </w:rPr>
            </w:pPr>
          </w:p>
        </w:tc>
        <w:tc>
          <w:tcPr>
            <w:tcW w:w="1128"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Femur</w:t>
            </w:r>
          </w:p>
        </w:tc>
        <w:tc>
          <w:tcPr>
            <w:tcW w:w="1046"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0.927±0.145</w:t>
            </w:r>
          </w:p>
        </w:tc>
        <w:tc>
          <w:tcPr>
            <w:tcW w:w="1046"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0.983±0.082</w:t>
            </w:r>
          </w:p>
        </w:tc>
        <w:tc>
          <w:tcPr>
            <w:tcW w:w="482"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1.68</w:t>
            </w:r>
          </w:p>
        </w:tc>
        <w:tc>
          <w:tcPr>
            <w:tcW w:w="665"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0.09(ns)</w:t>
            </w:r>
          </w:p>
        </w:tc>
      </w:tr>
      <w:tr w:rsidR="00A26007" w:rsidRPr="003C30AA" w:rsidTr="00840D53">
        <w:trPr>
          <w:jc w:val="center"/>
        </w:trPr>
        <w:tc>
          <w:tcPr>
            <w:tcW w:w="634" w:type="pct"/>
            <w:vMerge/>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b/>
                <w:bCs/>
                <w:sz w:val="20"/>
                <w:szCs w:val="20"/>
              </w:rPr>
            </w:pPr>
          </w:p>
        </w:tc>
        <w:tc>
          <w:tcPr>
            <w:tcW w:w="1128"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Forearm</w:t>
            </w:r>
          </w:p>
        </w:tc>
        <w:tc>
          <w:tcPr>
            <w:tcW w:w="1046"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0.715±0.06</w:t>
            </w:r>
          </w:p>
        </w:tc>
        <w:tc>
          <w:tcPr>
            <w:tcW w:w="1046"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1.030±0.33</w:t>
            </w:r>
          </w:p>
        </w:tc>
        <w:tc>
          <w:tcPr>
            <w:tcW w:w="482"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8.98</w:t>
            </w:r>
          </w:p>
        </w:tc>
        <w:tc>
          <w:tcPr>
            <w:tcW w:w="665"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&lt;0.001*</w:t>
            </w:r>
          </w:p>
        </w:tc>
      </w:tr>
      <w:tr w:rsidR="00A26007" w:rsidRPr="003C30AA" w:rsidTr="00840D53">
        <w:trPr>
          <w:jc w:val="center"/>
        </w:trPr>
        <w:tc>
          <w:tcPr>
            <w:tcW w:w="634" w:type="pct"/>
            <w:vMerge w:val="restar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Z score</w:t>
            </w:r>
          </w:p>
        </w:tc>
        <w:tc>
          <w:tcPr>
            <w:tcW w:w="1128"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Lumbar spine</w:t>
            </w:r>
          </w:p>
        </w:tc>
        <w:tc>
          <w:tcPr>
            <w:tcW w:w="1046"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-0.79 ± 0.59</w:t>
            </w:r>
          </w:p>
        </w:tc>
        <w:tc>
          <w:tcPr>
            <w:tcW w:w="1046"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0.475±0.483</w:t>
            </w:r>
          </w:p>
        </w:tc>
        <w:tc>
          <w:tcPr>
            <w:tcW w:w="482"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8.97</w:t>
            </w:r>
          </w:p>
        </w:tc>
        <w:tc>
          <w:tcPr>
            <w:tcW w:w="665"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&lt;0.001*</w:t>
            </w:r>
          </w:p>
        </w:tc>
      </w:tr>
      <w:tr w:rsidR="00A26007" w:rsidRPr="003C30AA" w:rsidTr="00840D53">
        <w:trPr>
          <w:jc w:val="center"/>
        </w:trPr>
        <w:tc>
          <w:tcPr>
            <w:tcW w:w="634" w:type="pct"/>
            <w:vMerge/>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b/>
                <w:bCs/>
                <w:sz w:val="20"/>
                <w:szCs w:val="20"/>
              </w:rPr>
            </w:pPr>
          </w:p>
        </w:tc>
        <w:tc>
          <w:tcPr>
            <w:tcW w:w="1128"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Femur</w:t>
            </w:r>
          </w:p>
        </w:tc>
        <w:tc>
          <w:tcPr>
            <w:tcW w:w="1046"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-0.506±0.58</w:t>
            </w:r>
          </w:p>
        </w:tc>
        <w:tc>
          <w:tcPr>
            <w:tcW w:w="1046"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-0.276±0.514</w:t>
            </w:r>
          </w:p>
        </w:tc>
        <w:tc>
          <w:tcPr>
            <w:tcW w:w="482"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1.64</w:t>
            </w:r>
          </w:p>
        </w:tc>
        <w:tc>
          <w:tcPr>
            <w:tcW w:w="665"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0.10</w:t>
            </w:r>
          </w:p>
        </w:tc>
      </w:tr>
      <w:tr w:rsidR="00A26007" w:rsidRPr="003C30AA" w:rsidTr="00840D53">
        <w:trPr>
          <w:jc w:val="center"/>
        </w:trPr>
        <w:tc>
          <w:tcPr>
            <w:tcW w:w="634" w:type="pct"/>
            <w:vMerge/>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b/>
                <w:bCs/>
                <w:sz w:val="20"/>
                <w:szCs w:val="20"/>
              </w:rPr>
            </w:pPr>
          </w:p>
        </w:tc>
        <w:tc>
          <w:tcPr>
            <w:tcW w:w="1128"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Forearm</w:t>
            </w:r>
          </w:p>
        </w:tc>
        <w:tc>
          <w:tcPr>
            <w:tcW w:w="1046"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-1.84±0.67</w:t>
            </w:r>
          </w:p>
        </w:tc>
        <w:tc>
          <w:tcPr>
            <w:tcW w:w="1046"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-0.20±0.18</w:t>
            </w:r>
          </w:p>
        </w:tc>
        <w:tc>
          <w:tcPr>
            <w:tcW w:w="482"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10.75</w:t>
            </w:r>
          </w:p>
        </w:tc>
        <w:tc>
          <w:tcPr>
            <w:tcW w:w="665"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&lt;0.001*</w:t>
            </w:r>
          </w:p>
        </w:tc>
      </w:tr>
      <w:tr w:rsidR="00A26007" w:rsidRPr="003C30AA" w:rsidTr="00840D53">
        <w:trPr>
          <w:jc w:val="center"/>
        </w:trPr>
        <w:tc>
          <w:tcPr>
            <w:tcW w:w="1762" w:type="pct"/>
            <w:gridSpan w:val="2"/>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Hemoglobin</w:t>
            </w:r>
          </w:p>
        </w:tc>
        <w:tc>
          <w:tcPr>
            <w:tcW w:w="1046"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11.69±0.52</w:t>
            </w:r>
          </w:p>
        </w:tc>
        <w:tc>
          <w:tcPr>
            <w:tcW w:w="1046"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11.61±0.53</w:t>
            </w:r>
          </w:p>
        </w:tc>
        <w:tc>
          <w:tcPr>
            <w:tcW w:w="482"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0.59</w:t>
            </w:r>
          </w:p>
        </w:tc>
        <w:tc>
          <w:tcPr>
            <w:tcW w:w="665"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0.551</w:t>
            </w:r>
          </w:p>
        </w:tc>
      </w:tr>
      <w:tr w:rsidR="00A26007" w:rsidRPr="003C30AA" w:rsidTr="00840D53">
        <w:trPr>
          <w:jc w:val="center"/>
        </w:trPr>
        <w:tc>
          <w:tcPr>
            <w:tcW w:w="1762" w:type="pct"/>
            <w:gridSpan w:val="2"/>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RBCS</w:t>
            </w:r>
          </w:p>
        </w:tc>
        <w:tc>
          <w:tcPr>
            <w:tcW w:w="1046"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4.00±0.31</w:t>
            </w:r>
          </w:p>
        </w:tc>
        <w:tc>
          <w:tcPr>
            <w:tcW w:w="1046"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3.88±0.27</w:t>
            </w:r>
          </w:p>
        </w:tc>
        <w:tc>
          <w:tcPr>
            <w:tcW w:w="482"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1.57</w:t>
            </w:r>
          </w:p>
        </w:tc>
        <w:tc>
          <w:tcPr>
            <w:tcW w:w="665"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0.117</w:t>
            </w:r>
          </w:p>
        </w:tc>
      </w:tr>
      <w:tr w:rsidR="00A26007" w:rsidRPr="003C30AA" w:rsidTr="00840D53">
        <w:trPr>
          <w:jc w:val="center"/>
        </w:trPr>
        <w:tc>
          <w:tcPr>
            <w:tcW w:w="1762" w:type="pct"/>
            <w:gridSpan w:val="2"/>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WBCS</w:t>
            </w:r>
          </w:p>
        </w:tc>
        <w:tc>
          <w:tcPr>
            <w:tcW w:w="1046"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9.64±1.47</w:t>
            </w:r>
          </w:p>
        </w:tc>
        <w:tc>
          <w:tcPr>
            <w:tcW w:w="1046"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5.70±1.26</w:t>
            </w:r>
          </w:p>
        </w:tc>
        <w:tc>
          <w:tcPr>
            <w:tcW w:w="482"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11.16</w:t>
            </w:r>
          </w:p>
        </w:tc>
        <w:tc>
          <w:tcPr>
            <w:tcW w:w="665"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&lt;0.001*</w:t>
            </w:r>
          </w:p>
        </w:tc>
      </w:tr>
      <w:tr w:rsidR="00A26007" w:rsidRPr="003C30AA" w:rsidTr="00840D53">
        <w:trPr>
          <w:jc w:val="center"/>
        </w:trPr>
        <w:tc>
          <w:tcPr>
            <w:tcW w:w="1762" w:type="pct"/>
            <w:gridSpan w:val="2"/>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Platelets</w:t>
            </w:r>
          </w:p>
        </w:tc>
        <w:tc>
          <w:tcPr>
            <w:tcW w:w="1046"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255.09±40.67</w:t>
            </w:r>
          </w:p>
        </w:tc>
        <w:tc>
          <w:tcPr>
            <w:tcW w:w="1046"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211.80±21.49</w:t>
            </w:r>
          </w:p>
        </w:tc>
        <w:tc>
          <w:tcPr>
            <w:tcW w:w="482"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0.35</w:t>
            </w:r>
          </w:p>
        </w:tc>
        <w:tc>
          <w:tcPr>
            <w:tcW w:w="665" w:type="pct"/>
            <w:shd w:val="clear" w:color="auto" w:fill="auto"/>
            <w:vAlign w:val="center"/>
          </w:tcPr>
          <w:p w:rsidR="006417F3" w:rsidRPr="003C30AA" w:rsidRDefault="006417F3"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0.72</w:t>
            </w:r>
          </w:p>
        </w:tc>
      </w:tr>
      <w:tr w:rsidR="00A26007" w:rsidRPr="003C30AA" w:rsidTr="00840D53">
        <w:trPr>
          <w:jc w:val="center"/>
        </w:trPr>
        <w:tc>
          <w:tcPr>
            <w:tcW w:w="1762" w:type="pct"/>
            <w:gridSpan w:val="2"/>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ESR</w:t>
            </w:r>
          </w:p>
        </w:tc>
        <w:tc>
          <w:tcPr>
            <w:tcW w:w="1046"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34.32±4.91</w:t>
            </w:r>
          </w:p>
        </w:tc>
        <w:tc>
          <w:tcPr>
            <w:tcW w:w="1046"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11.90±3.21</w:t>
            </w:r>
          </w:p>
        </w:tc>
        <w:tc>
          <w:tcPr>
            <w:tcW w:w="482"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19.53</w:t>
            </w:r>
          </w:p>
        </w:tc>
        <w:tc>
          <w:tcPr>
            <w:tcW w:w="665"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&lt;0.001*</w:t>
            </w:r>
          </w:p>
        </w:tc>
      </w:tr>
      <w:tr w:rsidR="00A26007" w:rsidRPr="003C30AA" w:rsidTr="00840D53">
        <w:trPr>
          <w:jc w:val="center"/>
        </w:trPr>
        <w:tc>
          <w:tcPr>
            <w:tcW w:w="1762" w:type="pct"/>
            <w:gridSpan w:val="2"/>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CRP</w:t>
            </w:r>
          </w:p>
        </w:tc>
        <w:tc>
          <w:tcPr>
            <w:tcW w:w="1046"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178.64±34.31</w:t>
            </w:r>
          </w:p>
        </w:tc>
        <w:tc>
          <w:tcPr>
            <w:tcW w:w="1046"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61.55±15.09</w:t>
            </w:r>
          </w:p>
        </w:tc>
        <w:tc>
          <w:tcPr>
            <w:tcW w:w="482"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13.59</w:t>
            </w:r>
          </w:p>
        </w:tc>
        <w:tc>
          <w:tcPr>
            <w:tcW w:w="665"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&lt;0.001*</w:t>
            </w:r>
          </w:p>
        </w:tc>
      </w:tr>
      <w:tr w:rsidR="00A26007" w:rsidRPr="003C30AA" w:rsidTr="00840D53">
        <w:trPr>
          <w:jc w:val="center"/>
        </w:trPr>
        <w:tc>
          <w:tcPr>
            <w:tcW w:w="1762" w:type="pct"/>
            <w:gridSpan w:val="2"/>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Calcium</w:t>
            </w:r>
          </w:p>
        </w:tc>
        <w:tc>
          <w:tcPr>
            <w:tcW w:w="1046"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8.13±0.44</w:t>
            </w:r>
          </w:p>
        </w:tc>
        <w:tc>
          <w:tcPr>
            <w:tcW w:w="1046"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9.72±0.67</w:t>
            </w:r>
          </w:p>
        </w:tc>
        <w:tc>
          <w:tcPr>
            <w:tcW w:w="482"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13.31</w:t>
            </w:r>
          </w:p>
        </w:tc>
        <w:tc>
          <w:tcPr>
            <w:tcW w:w="665"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&lt;0.001*</w:t>
            </w:r>
          </w:p>
        </w:tc>
      </w:tr>
      <w:tr w:rsidR="00A26007" w:rsidRPr="003C30AA" w:rsidTr="00840D53">
        <w:trPr>
          <w:jc w:val="center"/>
        </w:trPr>
        <w:tc>
          <w:tcPr>
            <w:tcW w:w="1762" w:type="pct"/>
            <w:gridSpan w:val="2"/>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Phosphorus</w:t>
            </w:r>
          </w:p>
        </w:tc>
        <w:tc>
          <w:tcPr>
            <w:tcW w:w="1046"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3.44±0.21</w:t>
            </w:r>
          </w:p>
        </w:tc>
        <w:tc>
          <w:tcPr>
            <w:tcW w:w="1046"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3.52±0.18</w:t>
            </w:r>
          </w:p>
        </w:tc>
        <w:tc>
          <w:tcPr>
            <w:tcW w:w="482"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1.39</w:t>
            </w:r>
          </w:p>
        </w:tc>
        <w:tc>
          <w:tcPr>
            <w:tcW w:w="665"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0.167</w:t>
            </w:r>
          </w:p>
        </w:tc>
      </w:tr>
      <w:tr w:rsidR="00A26007" w:rsidRPr="003C30AA" w:rsidTr="00840D53">
        <w:trPr>
          <w:jc w:val="center"/>
        </w:trPr>
        <w:tc>
          <w:tcPr>
            <w:tcW w:w="1762" w:type="pct"/>
            <w:gridSpan w:val="2"/>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 xml:space="preserve">Alkaline </w:t>
            </w:r>
            <w:proofErr w:type="spellStart"/>
            <w:r w:rsidRPr="003C30AA">
              <w:rPr>
                <w:rFonts w:eastAsia="Calibri"/>
                <w:b/>
                <w:bCs/>
                <w:sz w:val="20"/>
                <w:szCs w:val="20"/>
              </w:rPr>
              <w:t>phosphatase</w:t>
            </w:r>
            <w:proofErr w:type="spellEnd"/>
          </w:p>
        </w:tc>
        <w:tc>
          <w:tcPr>
            <w:tcW w:w="1046"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79.56±9.35</w:t>
            </w:r>
          </w:p>
        </w:tc>
        <w:tc>
          <w:tcPr>
            <w:tcW w:w="1046"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63.25±10.39</w:t>
            </w:r>
          </w:p>
        </w:tc>
        <w:tc>
          <w:tcPr>
            <w:tcW w:w="482"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6.98</w:t>
            </w:r>
          </w:p>
        </w:tc>
        <w:tc>
          <w:tcPr>
            <w:tcW w:w="665"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&lt;0.001*</w:t>
            </w:r>
          </w:p>
        </w:tc>
      </w:tr>
    </w:tbl>
    <w:p w:rsidR="00317BB6" w:rsidRPr="003C30AA" w:rsidRDefault="00317BB6" w:rsidP="00840D53">
      <w:pPr>
        <w:pStyle w:val="NormalWeb"/>
        <w:widowControl w:val="0"/>
        <w:snapToGrid w:val="0"/>
        <w:spacing w:before="0" w:beforeAutospacing="0" w:after="0" w:afterAutospacing="0"/>
        <w:ind w:firstLine="425"/>
        <w:jc w:val="both"/>
        <w:rPr>
          <w:sz w:val="20"/>
          <w:szCs w:val="20"/>
        </w:rPr>
      </w:pPr>
    </w:p>
    <w:p w:rsidR="007412E8" w:rsidRDefault="007412E8" w:rsidP="00840D53">
      <w:pPr>
        <w:pStyle w:val="NormalWeb"/>
        <w:widowControl w:val="0"/>
        <w:snapToGrid w:val="0"/>
        <w:spacing w:before="0" w:beforeAutospacing="0" w:after="0" w:afterAutospacing="0"/>
        <w:jc w:val="both"/>
        <w:rPr>
          <w:rFonts w:hint="eastAsia"/>
          <w:b/>
          <w:bCs/>
          <w:sz w:val="20"/>
          <w:szCs w:val="20"/>
          <w:lang w:eastAsia="zh-CN"/>
        </w:rPr>
      </w:pPr>
    </w:p>
    <w:p w:rsidR="003C30AA" w:rsidRPr="003C30AA" w:rsidRDefault="003C30AA" w:rsidP="00840D53">
      <w:pPr>
        <w:pStyle w:val="NormalWeb"/>
        <w:widowControl w:val="0"/>
        <w:snapToGrid w:val="0"/>
        <w:spacing w:before="0" w:beforeAutospacing="0" w:after="0" w:afterAutospacing="0"/>
        <w:jc w:val="both"/>
        <w:rPr>
          <w:rFonts w:hint="eastAsia"/>
          <w:b/>
          <w:bCs/>
          <w:sz w:val="20"/>
          <w:szCs w:val="20"/>
          <w:lang w:eastAsia="zh-CN"/>
        </w:rPr>
      </w:pPr>
    </w:p>
    <w:p w:rsidR="00F84C82" w:rsidRPr="003C30AA" w:rsidRDefault="004F0681" w:rsidP="00840D53">
      <w:pPr>
        <w:pStyle w:val="NormalWeb"/>
        <w:widowControl w:val="0"/>
        <w:snapToGrid w:val="0"/>
        <w:spacing w:before="0" w:beforeAutospacing="0" w:after="0" w:afterAutospacing="0"/>
        <w:jc w:val="center"/>
        <w:rPr>
          <w:sz w:val="20"/>
          <w:szCs w:val="20"/>
        </w:rPr>
      </w:pPr>
      <w:r w:rsidRPr="003C30AA">
        <w:rPr>
          <w:b/>
          <w:bCs/>
          <w:sz w:val="20"/>
          <w:szCs w:val="20"/>
        </w:rPr>
        <w:lastRenderedPageBreak/>
        <w:t>Table (3</w:t>
      </w:r>
      <w:r w:rsidR="00F84C82" w:rsidRPr="003C30AA">
        <w:rPr>
          <w:b/>
          <w:bCs/>
          <w:sz w:val="20"/>
          <w:szCs w:val="20"/>
        </w:rPr>
        <w:t xml:space="preserve">): </w:t>
      </w:r>
      <w:r w:rsidR="00F84C82" w:rsidRPr="003C30AA">
        <w:rPr>
          <w:sz w:val="20"/>
          <w:szCs w:val="20"/>
        </w:rPr>
        <w:t>WOMAC values in patients of study 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220"/>
        <w:gridCol w:w="2994"/>
        <w:gridCol w:w="838"/>
        <w:gridCol w:w="682"/>
        <w:gridCol w:w="1345"/>
        <w:gridCol w:w="1395"/>
      </w:tblGrid>
      <w:tr w:rsidR="00A26007" w:rsidRPr="003C30AA" w:rsidTr="00840D53">
        <w:trPr>
          <w:jc w:val="center"/>
        </w:trPr>
        <w:tc>
          <w:tcPr>
            <w:tcW w:w="117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Mean</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SD</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Minimum</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Maximum</w:t>
            </w:r>
          </w:p>
        </w:tc>
      </w:tr>
      <w:tr w:rsidR="00A26007" w:rsidRPr="003C30AA" w:rsidTr="00840D53">
        <w:trPr>
          <w:jc w:val="center"/>
        </w:trPr>
        <w:tc>
          <w:tcPr>
            <w:tcW w:w="1171" w:type="pct"/>
            <w:vMerge w:val="restar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Pain</w:t>
            </w: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Walking</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1.35</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0.83</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3.00</w:t>
            </w:r>
          </w:p>
        </w:tc>
      </w:tr>
      <w:tr w:rsidR="00A26007" w:rsidRPr="003C30AA" w:rsidTr="00840D53">
        <w:trPr>
          <w:jc w:val="center"/>
        </w:trPr>
        <w:tc>
          <w:tcPr>
            <w:tcW w:w="117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Stair climbing</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2.10</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1.05</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4.00</w:t>
            </w:r>
          </w:p>
        </w:tc>
      </w:tr>
      <w:tr w:rsidR="00A26007" w:rsidRPr="003C30AA" w:rsidTr="00840D53">
        <w:trPr>
          <w:jc w:val="center"/>
        </w:trPr>
        <w:tc>
          <w:tcPr>
            <w:tcW w:w="117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Nocturnal</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1.18</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0.70</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3.00</w:t>
            </w:r>
          </w:p>
        </w:tc>
      </w:tr>
      <w:tr w:rsidR="00A26007" w:rsidRPr="003C30AA" w:rsidTr="00840D53">
        <w:trPr>
          <w:jc w:val="center"/>
        </w:trPr>
        <w:tc>
          <w:tcPr>
            <w:tcW w:w="117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Rest</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0.65</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0.54</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2.00</w:t>
            </w:r>
          </w:p>
        </w:tc>
      </w:tr>
      <w:tr w:rsidR="00A26007" w:rsidRPr="003C30AA" w:rsidTr="00840D53">
        <w:trPr>
          <w:jc w:val="center"/>
        </w:trPr>
        <w:tc>
          <w:tcPr>
            <w:tcW w:w="117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Weight bearing</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1.75</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0.95</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3.00</w:t>
            </w:r>
          </w:p>
        </w:tc>
      </w:tr>
      <w:tr w:rsidR="00A26007" w:rsidRPr="003C30AA" w:rsidTr="00840D53">
        <w:trPr>
          <w:jc w:val="center"/>
        </w:trPr>
        <w:tc>
          <w:tcPr>
            <w:tcW w:w="1171" w:type="pct"/>
            <w:vMerge w:val="restar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Stiffness</w:t>
            </w: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Morning</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1.74</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0.93</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3.00</w:t>
            </w:r>
          </w:p>
        </w:tc>
      </w:tr>
      <w:tr w:rsidR="00A26007" w:rsidRPr="003C30AA" w:rsidTr="00840D53">
        <w:trPr>
          <w:jc w:val="center"/>
        </w:trPr>
        <w:tc>
          <w:tcPr>
            <w:tcW w:w="117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Occur later in the day</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0.55</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0.69</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3.00</w:t>
            </w:r>
          </w:p>
        </w:tc>
      </w:tr>
      <w:tr w:rsidR="00A26007" w:rsidRPr="003C30AA" w:rsidTr="00840D53">
        <w:trPr>
          <w:jc w:val="center"/>
        </w:trPr>
        <w:tc>
          <w:tcPr>
            <w:tcW w:w="1171" w:type="pct"/>
            <w:vMerge w:val="restar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Physical function</w:t>
            </w: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Descending stairs</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0.44</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0.57</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2.00</w:t>
            </w:r>
          </w:p>
        </w:tc>
      </w:tr>
      <w:tr w:rsidR="00A26007" w:rsidRPr="003C30AA" w:rsidTr="00840D53">
        <w:trPr>
          <w:jc w:val="center"/>
        </w:trPr>
        <w:tc>
          <w:tcPr>
            <w:tcW w:w="117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Ascending stairs</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1.16</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0.71</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3.00</w:t>
            </w:r>
          </w:p>
        </w:tc>
      </w:tr>
      <w:tr w:rsidR="00A26007" w:rsidRPr="003C30AA" w:rsidTr="00840D53">
        <w:trPr>
          <w:jc w:val="center"/>
        </w:trPr>
        <w:tc>
          <w:tcPr>
            <w:tcW w:w="117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Rising from sitting</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1.79</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0.88</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3.00</w:t>
            </w:r>
          </w:p>
        </w:tc>
      </w:tr>
      <w:tr w:rsidR="00A26007" w:rsidRPr="003C30AA" w:rsidTr="00840D53">
        <w:trPr>
          <w:jc w:val="center"/>
        </w:trPr>
        <w:tc>
          <w:tcPr>
            <w:tcW w:w="117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Standing</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1.22</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0.73</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3.00</w:t>
            </w:r>
          </w:p>
        </w:tc>
      </w:tr>
      <w:tr w:rsidR="00A26007" w:rsidRPr="003C30AA" w:rsidTr="00840D53">
        <w:trPr>
          <w:jc w:val="center"/>
        </w:trPr>
        <w:tc>
          <w:tcPr>
            <w:tcW w:w="117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Bending to floor</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1.17</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0.69</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2.00</w:t>
            </w:r>
          </w:p>
        </w:tc>
      </w:tr>
      <w:tr w:rsidR="00A26007" w:rsidRPr="003C30AA" w:rsidTr="00840D53">
        <w:trPr>
          <w:jc w:val="center"/>
        </w:trPr>
        <w:tc>
          <w:tcPr>
            <w:tcW w:w="117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Walking on flat surface</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0.29</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0.45</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1.00</w:t>
            </w:r>
          </w:p>
        </w:tc>
      </w:tr>
      <w:tr w:rsidR="00A26007" w:rsidRPr="003C30AA" w:rsidTr="00840D53">
        <w:trPr>
          <w:jc w:val="center"/>
        </w:trPr>
        <w:tc>
          <w:tcPr>
            <w:tcW w:w="117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Getting in/out of the car</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0.85</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0.52</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2.00</w:t>
            </w:r>
          </w:p>
        </w:tc>
      </w:tr>
      <w:tr w:rsidR="00A26007" w:rsidRPr="003C30AA" w:rsidTr="00840D53">
        <w:trPr>
          <w:jc w:val="center"/>
        </w:trPr>
        <w:tc>
          <w:tcPr>
            <w:tcW w:w="117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Going shopping</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0.60</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0.49</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1.00</w:t>
            </w:r>
          </w:p>
        </w:tc>
      </w:tr>
      <w:tr w:rsidR="00A26007" w:rsidRPr="003C30AA" w:rsidTr="00840D53">
        <w:trPr>
          <w:jc w:val="center"/>
        </w:trPr>
        <w:tc>
          <w:tcPr>
            <w:tcW w:w="117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Putting on socks</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1.12</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0.73</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3.00</w:t>
            </w:r>
          </w:p>
        </w:tc>
      </w:tr>
      <w:tr w:rsidR="00A26007" w:rsidRPr="003C30AA" w:rsidTr="00840D53">
        <w:trPr>
          <w:jc w:val="center"/>
        </w:trPr>
        <w:tc>
          <w:tcPr>
            <w:tcW w:w="117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Lying in bed</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0.85</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0.52</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2.00</w:t>
            </w:r>
          </w:p>
        </w:tc>
      </w:tr>
      <w:tr w:rsidR="00A26007" w:rsidRPr="003C30AA" w:rsidTr="00840D53">
        <w:trPr>
          <w:jc w:val="center"/>
        </w:trPr>
        <w:tc>
          <w:tcPr>
            <w:tcW w:w="117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Taking off socks</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0.74</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0.61</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3.00</w:t>
            </w:r>
          </w:p>
        </w:tc>
      </w:tr>
      <w:tr w:rsidR="00A26007" w:rsidRPr="003C30AA" w:rsidTr="00840D53">
        <w:trPr>
          <w:jc w:val="center"/>
        </w:trPr>
        <w:tc>
          <w:tcPr>
            <w:tcW w:w="117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Rising from bed</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0.90</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0.59</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2.00</w:t>
            </w:r>
          </w:p>
        </w:tc>
      </w:tr>
      <w:tr w:rsidR="00A26007" w:rsidRPr="003C30AA" w:rsidTr="00840D53">
        <w:trPr>
          <w:jc w:val="center"/>
        </w:trPr>
        <w:tc>
          <w:tcPr>
            <w:tcW w:w="117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Getting in/out of bath</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1.52</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0.80</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3.00</w:t>
            </w:r>
          </w:p>
        </w:tc>
      </w:tr>
      <w:tr w:rsidR="00A26007" w:rsidRPr="003C30AA" w:rsidTr="00840D53">
        <w:trPr>
          <w:jc w:val="center"/>
        </w:trPr>
        <w:tc>
          <w:tcPr>
            <w:tcW w:w="117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Sitting</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1.06</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0.23</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2.00</w:t>
            </w:r>
          </w:p>
        </w:tc>
      </w:tr>
      <w:tr w:rsidR="00A26007" w:rsidRPr="003C30AA" w:rsidTr="00840D53">
        <w:trPr>
          <w:jc w:val="center"/>
        </w:trPr>
        <w:tc>
          <w:tcPr>
            <w:tcW w:w="117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Getting on/off toilet</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0.83</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0.37</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1.00</w:t>
            </w:r>
          </w:p>
        </w:tc>
      </w:tr>
      <w:tr w:rsidR="00A26007" w:rsidRPr="003C30AA" w:rsidTr="00840D53">
        <w:trPr>
          <w:jc w:val="center"/>
        </w:trPr>
        <w:tc>
          <w:tcPr>
            <w:tcW w:w="117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Heavy domestic duties</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1.79</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0.86</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3.00</w:t>
            </w:r>
          </w:p>
        </w:tc>
      </w:tr>
      <w:tr w:rsidR="00A26007" w:rsidRPr="003C30AA" w:rsidTr="00840D53">
        <w:trPr>
          <w:jc w:val="center"/>
        </w:trPr>
        <w:tc>
          <w:tcPr>
            <w:tcW w:w="117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58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Light domestic duties</w:t>
            </w:r>
          </w:p>
        </w:tc>
        <w:tc>
          <w:tcPr>
            <w:tcW w:w="442"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0.27</w:t>
            </w:r>
          </w:p>
        </w:tc>
        <w:tc>
          <w:tcPr>
            <w:tcW w:w="36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0.44</w:t>
            </w:r>
          </w:p>
        </w:tc>
        <w:tc>
          <w:tcPr>
            <w:tcW w:w="710"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w:t>
            </w:r>
          </w:p>
        </w:tc>
        <w:tc>
          <w:tcPr>
            <w:tcW w:w="736"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1.00</w:t>
            </w:r>
          </w:p>
        </w:tc>
      </w:tr>
      <w:tr w:rsidR="00A26007" w:rsidRPr="003C30AA" w:rsidTr="00840D53">
        <w:trPr>
          <w:jc w:val="center"/>
        </w:trPr>
        <w:tc>
          <w:tcPr>
            <w:tcW w:w="2751" w:type="pct"/>
            <w:gridSpan w:val="2"/>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Total score</w:t>
            </w:r>
          </w:p>
        </w:tc>
        <w:tc>
          <w:tcPr>
            <w:tcW w:w="442"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30.82</w:t>
            </w:r>
          </w:p>
        </w:tc>
        <w:tc>
          <w:tcPr>
            <w:tcW w:w="360"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2.98</w:t>
            </w:r>
          </w:p>
        </w:tc>
        <w:tc>
          <w:tcPr>
            <w:tcW w:w="710"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23.00</w:t>
            </w:r>
          </w:p>
        </w:tc>
        <w:tc>
          <w:tcPr>
            <w:tcW w:w="736"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39.00</w:t>
            </w:r>
          </w:p>
        </w:tc>
      </w:tr>
      <w:tr w:rsidR="00A26007" w:rsidRPr="003C30AA" w:rsidTr="00840D53">
        <w:trPr>
          <w:jc w:val="center"/>
        </w:trPr>
        <w:tc>
          <w:tcPr>
            <w:tcW w:w="2751" w:type="pct"/>
            <w:gridSpan w:val="2"/>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Percentage of total score</w:t>
            </w:r>
          </w:p>
        </w:tc>
        <w:tc>
          <w:tcPr>
            <w:tcW w:w="442"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32.10</w:t>
            </w:r>
          </w:p>
        </w:tc>
        <w:tc>
          <w:tcPr>
            <w:tcW w:w="360"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3.10</w:t>
            </w:r>
          </w:p>
        </w:tc>
        <w:tc>
          <w:tcPr>
            <w:tcW w:w="710"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23.96</w:t>
            </w:r>
          </w:p>
        </w:tc>
        <w:tc>
          <w:tcPr>
            <w:tcW w:w="736" w:type="pct"/>
            <w:shd w:val="clear" w:color="auto" w:fill="auto"/>
            <w:vAlign w:val="center"/>
          </w:tcPr>
          <w:p w:rsidR="004F0681" w:rsidRPr="003C30AA" w:rsidRDefault="004F0681"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40.63</w:t>
            </w:r>
          </w:p>
        </w:tc>
      </w:tr>
    </w:tbl>
    <w:p w:rsidR="00F84C82" w:rsidRPr="003C30AA" w:rsidRDefault="00F84C82" w:rsidP="00840D53">
      <w:pPr>
        <w:pStyle w:val="NormalWeb"/>
        <w:widowControl w:val="0"/>
        <w:snapToGrid w:val="0"/>
        <w:spacing w:before="0" w:beforeAutospacing="0" w:after="0" w:afterAutospacing="0"/>
        <w:jc w:val="center"/>
        <w:rPr>
          <w:sz w:val="20"/>
          <w:szCs w:val="20"/>
        </w:rPr>
      </w:pPr>
    </w:p>
    <w:p w:rsidR="00F84C82" w:rsidRPr="003C30AA" w:rsidRDefault="00F84C82" w:rsidP="00840D53">
      <w:pPr>
        <w:pStyle w:val="NormalWeb"/>
        <w:widowControl w:val="0"/>
        <w:snapToGrid w:val="0"/>
        <w:spacing w:before="0" w:beforeAutospacing="0" w:after="0" w:afterAutospacing="0"/>
        <w:jc w:val="center"/>
        <w:rPr>
          <w:sz w:val="20"/>
          <w:szCs w:val="20"/>
        </w:rPr>
      </w:pPr>
      <w:r w:rsidRPr="003C30AA">
        <w:rPr>
          <w:sz w:val="20"/>
          <w:szCs w:val="20"/>
        </w:rPr>
        <w:t>Table (</w:t>
      </w:r>
      <w:r w:rsidR="008601DF" w:rsidRPr="003C30AA">
        <w:rPr>
          <w:sz w:val="20"/>
          <w:szCs w:val="20"/>
        </w:rPr>
        <w:t>4</w:t>
      </w:r>
      <w:r w:rsidRPr="003C30AA">
        <w:rPr>
          <w:sz w:val="20"/>
          <w:szCs w:val="20"/>
        </w:rPr>
        <w:t>): Correlation between BMD and other variables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712"/>
        <w:gridCol w:w="1317"/>
        <w:gridCol w:w="1385"/>
        <w:gridCol w:w="934"/>
        <w:gridCol w:w="983"/>
        <w:gridCol w:w="1133"/>
        <w:gridCol w:w="1010"/>
      </w:tblGrid>
      <w:tr w:rsidR="00A26007" w:rsidRPr="003C30AA" w:rsidTr="00840D53">
        <w:trPr>
          <w:jc w:val="center"/>
        </w:trPr>
        <w:tc>
          <w:tcPr>
            <w:tcW w:w="1431" w:type="pct"/>
            <w:vMerge w:val="restar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1426" w:type="pct"/>
            <w:gridSpan w:val="2"/>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Lumbar spine DEXA</w:t>
            </w:r>
          </w:p>
        </w:tc>
        <w:tc>
          <w:tcPr>
            <w:tcW w:w="1012" w:type="pct"/>
            <w:gridSpan w:val="2"/>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Femur DEXA</w:t>
            </w:r>
          </w:p>
        </w:tc>
        <w:tc>
          <w:tcPr>
            <w:tcW w:w="1131" w:type="pct"/>
            <w:gridSpan w:val="2"/>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Forearm</w:t>
            </w:r>
            <w:r w:rsidR="00840D53" w:rsidRPr="003C30AA">
              <w:rPr>
                <w:rFonts w:eastAsia="Calibri"/>
                <w:sz w:val="20"/>
                <w:szCs w:val="20"/>
              </w:rPr>
              <w:t xml:space="preserve"> </w:t>
            </w:r>
            <w:r w:rsidRPr="003C30AA">
              <w:rPr>
                <w:rFonts w:eastAsia="Calibri"/>
                <w:sz w:val="20"/>
                <w:szCs w:val="20"/>
              </w:rPr>
              <w:t>DEXA</w:t>
            </w:r>
          </w:p>
        </w:tc>
      </w:tr>
      <w:tr w:rsidR="00A26007" w:rsidRPr="003C30AA" w:rsidTr="00840D53">
        <w:trPr>
          <w:jc w:val="center"/>
        </w:trPr>
        <w:tc>
          <w:tcPr>
            <w:tcW w:w="1431" w:type="pct"/>
            <w:vMerge/>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p>
        </w:tc>
        <w:tc>
          <w:tcPr>
            <w:tcW w:w="695"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r</w:t>
            </w:r>
          </w:p>
        </w:tc>
        <w:tc>
          <w:tcPr>
            <w:tcW w:w="7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p</w:t>
            </w:r>
          </w:p>
        </w:tc>
        <w:tc>
          <w:tcPr>
            <w:tcW w:w="493"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r</w:t>
            </w:r>
          </w:p>
        </w:tc>
        <w:tc>
          <w:tcPr>
            <w:tcW w:w="51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p</w:t>
            </w:r>
          </w:p>
        </w:tc>
        <w:tc>
          <w:tcPr>
            <w:tcW w:w="598"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r</w:t>
            </w:r>
          </w:p>
        </w:tc>
        <w:tc>
          <w:tcPr>
            <w:tcW w:w="534"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p</w:t>
            </w:r>
          </w:p>
        </w:tc>
      </w:tr>
      <w:tr w:rsidR="00A26007" w:rsidRPr="003C30AA" w:rsidTr="00840D53">
        <w:trPr>
          <w:jc w:val="center"/>
        </w:trPr>
        <w:tc>
          <w:tcPr>
            <w:tcW w:w="14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X ray grading</w:t>
            </w:r>
          </w:p>
        </w:tc>
        <w:tc>
          <w:tcPr>
            <w:tcW w:w="695"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0.063</w:t>
            </w:r>
          </w:p>
        </w:tc>
        <w:tc>
          <w:tcPr>
            <w:tcW w:w="7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0.535</w:t>
            </w:r>
          </w:p>
        </w:tc>
        <w:tc>
          <w:tcPr>
            <w:tcW w:w="493"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0.085</w:t>
            </w:r>
          </w:p>
        </w:tc>
        <w:tc>
          <w:tcPr>
            <w:tcW w:w="51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0.400</w:t>
            </w:r>
          </w:p>
        </w:tc>
        <w:tc>
          <w:tcPr>
            <w:tcW w:w="598"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-0.150</w:t>
            </w:r>
          </w:p>
        </w:tc>
        <w:tc>
          <w:tcPr>
            <w:tcW w:w="534"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0.138</w:t>
            </w:r>
          </w:p>
        </w:tc>
      </w:tr>
      <w:tr w:rsidR="00A26007" w:rsidRPr="003C30AA" w:rsidTr="00840D53">
        <w:trPr>
          <w:jc w:val="center"/>
        </w:trPr>
        <w:tc>
          <w:tcPr>
            <w:tcW w:w="14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Total WOMAC</w:t>
            </w:r>
          </w:p>
        </w:tc>
        <w:tc>
          <w:tcPr>
            <w:tcW w:w="695"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0.293</w:t>
            </w:r>
          </w:p>
        </w:tc>
        <w:tc>
          <w:tcPr>
            <w:tcW w:w="7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0.003*</w:t>
            </w:r>
          </w:p>
        </w:tc>
        <w:tc>
          <w:tcPr>
            <w:tcW w:w="493"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0.264</w:t>
            </w:r>
          </w:p>
        </w:tc>
        <w:tc>
          <w:tcPr>
            <w:tcW w:w="51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0.008*</w:t>
            </w:r>
          </w:p>
        </w:tc>
        <w:tc>
          <w:tcPr>
            <w:tcW w:w="598"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0.001</w:t>
            </w:r>
          </w:p>
        </w:tc>
        <w:tc>
          <w:tcPr>
            <w:tcW w:w="534"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0.990</w:t>
            </w:r>
          </w:p>
        </w:tc>
      </w:tr>
      <w:tr w:rsidR="00A26007" w:rsidRPr="003C30AA" w:rsidTr="00840D53">
        <w:trPr>
          <w:jc w:val="center"/>
        </w:trPr>
        <w:tc>
          <w:tcPr>
            <w:tcW w:w="14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VAS</w:t>
            </w:r>
          </w:p>
        </w:tc>
        <w:tc>
          <w:tcPr>
            <w:tcW w:w="695"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-0.367</w:t>
            </w:r>
          </w:p>
        </w:tc>
        <w:tc>
          <w:tcPr>
            <w:tcW w:w="7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0.000*</w:t>
            </w:r>
          </w:p>
        </w:tc>
        <w:tc>
          <w:tcPr>
            <w:tcW w:w="493"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-0.570</w:t>
            </w:r>
          </w:p>
        </w:tc>
        <w:tc>
          <w:tcPr>
            <w:tcW w:w="51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0.000*</w:t>
            </w:r>
          </w:p>
        </w:tc>
        <w:tc>
          <w:tcPr>
            <w:tcW w:w="598"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0.092</w:t>
            </w:r>
          </w:p>
        </w:tc>
        <w:tc>
          <w:tcPr>
            <w:tcW w:w="534"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0.315</w:t>
            </w:r>
          </w:p>
        </w:tc>
      </w:tr>
      <w:tr w:rsidR="00A26007" w:rsidRPr="003C30AA" w:rsidTr="00840D53">
        <w:trPr>
          <w:jc w:val="center"/>
        </w:trPr>
        <w:tc>
          <w:tcPr>
            <w:tcW w:w="14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BMI</w:t>
            </w:r>
          </w:p>
        </w:tc>
        <w:tc>
          <w:tcPr>
            <w:tcW w:w="695"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-0.303</w:t>
            </w:r>
          </w:p>
        </w:tc>
        <w:tc>
          <w:tcPr>
            <w:tcW w:w="7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0.001*</w:t>
            </w:r>
          </w:p>
        </w:tc>
        <w:tc>
          <w:tcPr>
            <w:tcW w:w="493"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-0.560</w:t>
            </w:r>
          </w:p>
        </w:tc>
        <w:tc>
          <w:tcPr>
            <w:tcW w:w="51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sz w:val="20"/>
                <w:szCs w:val="20"/>
              </w:rPr>
            </w:pPr>
            <w:r w:rsidRPr="003C30AA">
              <w:rPr>
                <w:rFonts w:eastAsia="Calibri"/>
                <w:b/>
                <w:bCs/>
                <w:sz w:val="20"/>
                <w:szCs w:val="20"/>
              </w:rPr>
              <w:t>0.000*</w:t>
            </w:r>
          </w:p>
        </w:tc>
        <w:tc>
          <w:tcPr>
            <w:tcW w:w="598"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0.050</w:t>
            </w:r>
          </w:p>
        </w:tc>
        <w:tc>
          <w:tcPr>
            <w:tcW w:w="534"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0.589</w:t>
            </w:r>
          </w:p>
        </w:tc>
      </w:tr>
      <w:tr w:rsidR="00A26007" w:rsidRPr="003C30AA" w:rsidTr="00840D53">
        <w:trPr>
          <w:jc w:val="center"/>
        </w:trPr>
        <w:tc>
          <w:tcPr>
            <w:tcW w:w="14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Hemoglobin</w:t>
            </w:r>
          </w:p>
        </w:tc>
        <w:tc>
          <w:tcPr>
            <w:tcW w:w="695"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0.014</w:t>
            </w:r>
          </w:p>
        </w:tc>
        <w:tc>
          <w:tcPr>
            <w:tcW w:w="7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0.881</w:t>
            </w:r>
          </w:p>
        </w:tc>
        <w:tc>
          <w:tcPr>
            <w:tcW w:w="493"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-0.124</w:t>
            </w:r>
          </w:p>
        </w:tc>
        <w:tc>
          <w:tcPr>
            <w:tcW w:w="51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0.177</w:t>
            </w:r>
          </w:p>
        </w:tc>
        <w:tc>
          <w:tcPr>
            <w:tcW w:w="598"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-0.092</w:t>
            </w:r>
          </w:p>
        </w:tc>
        <w:tc>
          <w:tcPr>
            <w:tcW w:w="534"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0.320</w:t>
            </w:r>
          </w:p>
        </w:tc>
      </w:tr>
      <w:tr w:rsidR="00A26007" w:rsidRPr="003C30AA" w:rsidTr="00840D53">
        <w:trPr>
          <w:jc w:val="center"/>
        </w:trPr>
        <w:tc>
          <w:tcPr>
            <w:tcW w:w="14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ESR</w:t>
            </w:r>
          </w:p>
        </w:tc>
        <w:tc>
          <w:tcPr>
            <w:tcW w:w="695"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-0.413</w:t>
            </w:r>
          </w:p>
        </w:tc>
        <w:tc>
          <w:tcPr>
            <w:tcW w:w="7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0.000*</w:t>
            </w:r>
          </w:p>
        </w:tc>
        <w:tc>
          <w:tcPr>
            <w:tcW w:w="493"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-0.645</w:t>
            </w:r>
          </w:p>
        </w:tc>
        <w:tc>
          <w:tcPr>
            <w:tcW w:w="51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0.000*</w:t>
            </w:r>
          </w:p>
        </w:tc>
        <w:tc>
          <w:tcPr>
            <w:tcW w:w="598"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0.087</w:t>
            </w:r>
          </w:p>
        </w:tc>
        <w:tc>
          <w:tcPr>
            <w:tcW w:w="534"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0.347</w:t>
            </w:r>
          </w:p>
        </w:tc>
      </w:tr>
      <w:tr w:rsidR="00A26007" w:rsidRPr="003C30AA" w:rsidTr="00840D53">
        <w:trPr>
          <w:jc w:val="center"/>
        </w:trPr>
        <w:tc>
          <w:tcPr>
            <w:tcW w:w="14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CRP</w:t>
            </w:r>
          </w:p>
        </w:tc>
        <w:tc>
          <w:tcPr>
            <w:tcW w:w="695"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-0.480</w:t>
            </w:r>
          </w:p>
        </w:tc>
        <w:tc>
          <w:tcPr>
            <w:tcW w:w="7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0.000*</w:t>
            </w:r>
          </w:p>
        </w:tc>
        <w:tc>
          <w:tcPr>
            <w:tcW w:w="493"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-0.590</w:t>
            </w:r>
          </w:p>
        </w:tc>
        <w:tc>
          <w:tcPr>
            <w:tcW w:w="51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0.000*</w:t>
            </w:r>
          </w:p>
        </w:tc>
        <w:tc>
          <w:tcPr>
            <w:tcW w:w="598"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0.072</w:t>
            </w:r>
          </w:p>
        </w:tc>
        <w:tc>
          <w:tcPr>
            <w:tcW w:w="534"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0.434</w:t>
            </w:r>
          </w:p>
        </w:tc>
      </w:tr>
      <w:tr w:rsidR="00A26007" w:rsidRPr="003C30AA" w:rsidTr="00840D53">
        <w:trPr>
          <w:jc w:val="center"/>
        </w:trPr>
        <w:tc>
          <w:tcPr>
            <w:tcW w:w="14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Calcium</w:t>
            </w:r>
          </w:p>
        </w:tc>
        <w:tc>
          <w:tcPr>
            <w:tcW w:w="695"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0.314</w:t>
            </w:r>
          </w:p>
        </w:tc>
        <w:tc>
          <w:tcPr>
            <w:tcW w:w="7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0.000*</w:t>
            </w:r>
          </w:p>
        </w:tc>
        <w:tc>
          <w:tcPr>
            <w:tcW w:w="493"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0.396</w:t>
            </w:r>
          </w:p>
        </w:tc>
        <w:tc>
          <w:tcPr>
            <w:tcW w:w="51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0.000*</w:t>
            </w:r>
          </w:p>
        </w:tc>
        <w:tc>
          <w:tcPr>
            <w:tcW w:w="598"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-0.085</w:t>
            </w:r>
          </w:p>
        </w:tc>
        <w:tc>
          <w:tcPr>
            <w:tcW w:w="534"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0.357</w:t>
            </w:r>
          </w:p>
        </w:tc>
      </w:tr>
      <w:tr w:rsidR="00A26007" w:rsidRPr="003C30AA" w:rsidTr="00840D53">
        <w:trPr>
          <w:jc w:val="center"/>
        </w:trPr>
        <w:tc>
          <w:tcPr>
            <w:tcW w:w="14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Phosphorus</w:t>
            </w:r>
          </w:p>
        </w:tc>
        <w:tc>
          <w:tcPr>
            <w:tcW w:w="695"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0.006</w:t>
            </w:r>
          </w:p>
        </w:tc>
        <w:tc>
          <w:tcPr>
            <w:tcW w:w="7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0.948</w:t>
            </w:r>
          </w:p>
        </w:tc>
        <w:tc>
          <w:tcPr>
            <w:tcW w:w="493"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0.084</w:t>
            </w:r>
          </w:p>
        </w:tc>
        <w:tc>
          <w:tcPr>
            <w:tcW w:w="51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0.362</w:t>
            </w:r>
          </w:p>
        </w:tc>
        <w:tc>
          <w:tcPr>
            <w:tcW w:w="598"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-0.004</w:t>
            </w:r>
          </w:p>
        </w:tc>
        <w:tc>
          <w:tcPr>
            <w:tcW w:w="534"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0.962</w:t>
            </w:r>
          </w:p>
        </w:tc>
      </w:tr>
      <w:tr w:rsidR="00A26007" w:rsidRPr="003C30AA" w:rsidTr="00840D53">
        <w:trPr>
          <w:jc w:val="center"/>
        </w:trPr>
        <w:tc>
          <w:tcPr>
            <w:tcW w:w="14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 xml:space="preserve">Alkaline </w:t>
            </w:r>
            <w:proofErr w:type="spellStart"/>
            <w:r w:rsidRPr="003C30AA">
              <w:rPr>
                <w:rFonts w:eastAsia="Calibri"/>
                <w:sz w:val="20"/>
                <w:szCs w:val="20"/>
              </w:rPr>
              <w:t>phosphatase</w:t>
            </w:r>
            <w:proofErr w:type="spellEnd"/>
          </w:p>
        </w:tc>
        <w:tc>
          <w:tcPr>
            <w:tcW w:w="695"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-0.192</w:t>
            </w:r>
          </w:p>
        </w:tc>
        <w:tc>
          <w:tcPr>
            <w:tcW w:w="7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0.036*</w:t>
            </w:r>
          </w:p>
        </w:tc>
        <w:tc>
          <w:tcPr>
            <w:tcW w:w="493"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-0.417</w:t>
            </w:r>
          </w:p>
        </w:tc>
        <w:tc>
          <w:tcPr>
            <w:tcW w:w="51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b/>
                <w:bCs/>
                <w:i/>
                <w:iCs/>
                <w:sz w:val="20"/>
                <w:szCs w:val="20"/>
              </w:rPr>
            </w:pPr>
            <w:r w:rsidRPr="003C30AA">
              <w:rPr>
                <w:rFonts w:eastAsia="Calibri"/>
                <w:b/>
                <w:bCs/>
                <w:i/>
                <w:iCs/>
                <w:sz w:val="20"/>
                <w:szCs w:val="20"/>
              </w:rPr>
              <w:t>0.000*</w:t>
            </w:r>
          </w:p>
        </w:tc>
        <w:tc>
          <w:tcPr>
            <w:tcW w:w="598"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-0.104</w:t>
            </w:r>
          </w:p>
        </w:tc>
        <w:tc>
          <w:tcPr>
            <w:tcW w:w="534"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0.260</w:t>
            </w:r>
          </w:p>
        </w:tc>
      </w:tr>
      <w:tr w:rsidR="00A26007" w:rsidRPr="003C30AA" w:rsidTr="00840D53">
        <w:trPr>
          <w:jc w:val="center"/>
        </w:trPr>
        <w:tc>
          <w:tcPr>
            <w:tcW w:w="14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Age</w:t>
            </w:r>
          </w:p>
        </w:tc>
        <w:tc>
          <w:tcPr>
            <w:tcW w:w="695"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0.076</w:t>
            </w:r>
          </w:p>
        </w:tc>
        <w:tc>
          <w:tcPr>
            <w:tcW w:w="7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0.410</w:t>
            </w:r>
          </w:p>
        </w:tc>
        <w:tc>
          <w:tcPr>
            <w:tcW w:w="493"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-0.035</w:t>
            </w:r>
          </w:p>
        </w:tc>
        <w:tc>
          <w:tcPr>
            <w:tcW w:w="51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0.701</w:t>
            </w:r>
          </w:p>
        </w:tc>
        <w:tc>
          <w:tcPr>
            <w:tcW w:w="598"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0.132</w:t>
            </w:r>
          </w:p>
        </w:tc>
        <w:tc>
          <w:tcPr>
            <w:tcW w:w="534"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0.149</w:t>
            </w:r>
          </w:p>
        </w:tc>
      </w:tr>
      <w:tr w:rsidR="00A26007" w:rsidRPr="003C30AA" w:rsidTr="00840D53">
        <w:trPr>
          <w:jc w:val="center"/>
        </w:trPr>
        <w:tc>
          <w:tcPr>
            <w:tcW w:w="14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Duration</w:t>
            </w:r>
          </w:p>
        </w:tc>
        <w:tc>
          <w:tcPr>
            <w:tcW w:w="695"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0.131</w:t>
            </w:r>
          </w:p>
        </w:tc>
        <w:tc>
          <w:tcPr>
            <w:tcW w:w="731"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0.193</w:t>
            </w:r>
          </w:p>
        </w:tc>
        <w:tc>
          <w:tcPr>
            <w:tcW w:w="493"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0.083</w:t>
            </w:r>
          </w:p>
        </w:tc>
        <w:tc>
          <w:tcPr>
            <w:tcW w:w="519"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0.414</w:t>
            </w:r>
          </w:p>
        </w:tc>
        <w:tc>
          <w:tcPr>
            <w:tcW w:w="598"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0.151</w:t>
            </w:r>
          </w:p>
        </w:tc>
        <w:tc>
          <w:tcPr>
            <w:tcW w:w="534" w:type="pct"/>
            <w:shd w:val="clear" w:color="auto" w:fill="auto"/>
            <w:vAlign w:val="center"/>
          </w:tcPr>
          <w:p w:rsidR="00F84C82" w:rsidRPr="003C30AA" w:rsidRDefault="00F84C82" w:rsidP="00840D53">
            <w:pPr>
              <w:pStyle w:val="NormalWeb"/>
              <w:widowControl w:val="0"/>
              <w:snapToGrid w:val="0"/>
              <w:spacing w:before="0" w:beforeAutospacing="0" w:after="0" w:afterAutospacing="0"/>
              <w:jc w:val="both"/>
              <w:rPr>
                <w:rFonts w:eastAsia="Calibri"/>
                <w:sz w:val="20"/>
                <w:szCs w:val="20"/>
              </w:rPr>
            </w:pPr>
            <w:r w:rsidRPr="003C30AA">
              <w:rPr>
                <w:rFonts w:eastAsia="Calibri"/>
                <w:sz w:val="20"/>
                <w:szCs w:val="20"/>
              </w:rPr>
              <w:t>0.135</w:t>
            </w:r>
          </w:p>
        </w:tc>
      </w:tr>
    </w:tbl>
    <w:p w:rsidR="00840D53" w:rsidRPr="003C30AA" w:rsidRDefault="00840D53" w:rsidP="00840D53">
      <w:pPr>
        <w:autoSpaceDE w:val="0"/>
        <w:autoSpaceDN w:val="0"/>
        <w:bidi w:val="0"/>
        <w:adjustRightInd w:val="0"/>
        <w:snapToGrid w:val="0"/>
        <w:jc w:val="both"/>
        <w:rPr>
          <w:b/>
          <w:bCs/>
          <w:sz w:val="20"/>
          <w:szCs w:val="20"/>
        </w:rPr>
      </w:pPr>
    </w:p>
    <w:p w:rsidR="00840D53" w:rsidRPr="003C30AA" w:rsidRDefault="00840D53" w:rsidP="00840D53">
      <w:pPr>
        <w:autoSpaceDE w:val="0"/>
        <w:autoSpaceDN w:val="0"/>
        <w:bidi w:val="0"/>
        <w:adjustRightInd w:val="0"/>
        <w:snapToGrid w:val="0"/>
        <w:jc w:val="both"/>
        <w:rPr>
          <w:b/>
          <w:bCs/>
          <w:sz w:val="20"/>
          <w:szCs w:val="20"/>
        </w:rPr>
        <w:sectPr w:rsidR="00840D53" w:rsidRPr="003C30AA" w:rsidSect="004130E8">
          <w:type w:val="continuous"/>
          <w:pgSz w:w="12240" w:h="15840" w:code="1"/>
          <w:pgMar w:top="1440" w:right="1440" w:bottom="1440" w:left="1440" w:header="720" w:footer="720" w:gutter="0"/>
          <w:cols w:space="720"/>
          <w:noEndnote/>
          <w:docGrid w:linePitch="326"/>
        </w:sectPr>
      </w:pPr>
    </w:p>
    <w:p w:rsidR="00F84C82" w:rsidRPr="003C30AA" w:rsidRDefault="00CD7954" w:rsidP="00840D53">
      <w:pPr>
        <w:autoSpaceDE w:val="0"/>
        <w:autoSpaceDN w:val="0"/>
        <w:bidi w:val="0"/>
        <w:adjustRightInd w:val="0"/>
        <w:snapToGrid w:val="0"/>
        <w:jc w:val="both"/>
        <w:rPr>
          <w:b/>
          <w:bCs/>
          <w:sz w:val="20"/>
          <w:szCs w:val="20"/>
        </w:rPr>
      </w:pPr>
      <w:r w:rsidRPr="003C30AA">
        <w:rPr>
          <w:b/>
          <w:bCs/>
          <w:sz w:val="20"/>
          <w:szCs w:val="20"/>
        </w:rPr>
        <w:lastRenderedPageBreak/>
        <w:t xml:space="preserve">4. </w:t>
      </w:r>
      <w:r w:rsidR="00F84C82" w:rsidRPr="003C30AA">
        <w:rPr>
          <w:b/>
          <w:bCs/>
          <w:sz w:val="20"/>
          <w:szCs w:val="20"/>
        </w:rPr>
        <w:t>Discussion</w:t>
      </w:r>
    </w:p>
    <w:p w:rsidR="00F84C82" w:rsidRPr="003C30AA" w:rsidRDefault="00F84C82" w:rsidP="00840D53">
      <w:pPr>
        <w:bidi w:val="0"/>
        <w:snapToGrid w:val="0"/>
        <w:ind w:firstLine="425"/>
        <w:jc w:val="both"/>
        <w:rPr>
          <w:rFonts w:eastAsia="Calibri"/>
          <w:sz w:val="20"/>
          <w:szCs w:val="20"/>
        </w:rPr>
      </w:pPr>
      <w:r w:rsidRPr="003C30AA">
        <w:rPr>
          <w:rFonts w:eastAsia="Calibri"/>
          <w:sz w:val="20"/>
          <w:szCs w:val="20"/>
        </w:rPr>
        <w:t>The present study was designed to assess bone mineral density in primary generalized osteoarthritis. It included 100 patients with generalized primary osteoarthritis and 20 healthy controls. All were submitted to full history taking, clinical examination, laboratory investigations and determination of BMD by DEXA.</w:t>
      </w:r>
    </w:p>
    <w:p w:rsidR="00F84C82" w:rsidRPr="003C30AA" w:rsidRDefault="00F84C82" w:rsidP="00840D53">
      <w:pPr>
        <w:bidi w:val="0"/>
        <w:snapToGrid w:val="0"/>
        <w:ind w:firstLine="425"/>
        <w:jc w:val="both"/>
        <w:rPr>
          <w:rFonts w:eastAsia="Calibri"/>
          <w:sz w:val="20"/>
          <w:szCs w:val="20"/>
        </w:rPr>
      </w:pPr>
      <w:r w:rsidRPr="003C30AA">
        <w:rPr>
          <w:rFonts w:eastAsia="Calibri"/>
          <w:sz w:val="20"/>
          <w:szCs w:val="20"/>
        </w:rPr>
        <w:lastRenderedPageBreak/>
        <w:t xml:space="preserve">In the present work, females were higher in OA group representing 62.0% of included patients. This result is comparable to those reported by </w:t>
      </w:r>
      <w:r w:rsidRPr="003C30AA">
        <w:rPr>
          <w:rFonts w:eastAsia="Calibri"/>
          <w:b/>
          <w:bCs/>
          <w:sz w:val="20"/>
          <w:szCs w:val="20"/>
        </w:rPr>
        <w:t>O'Connor (2006)</w:t>
      </w:r>
      <w:r w:rsidRPr="003C30AA">
        <w:rPr>
          <w:rFonts w:eastAsia="Calibri"/>
          <w:sz w:val="20"/>
          <w:szCs w:val="20"/>
        </w:rPr>
        <w:t xml:space="preserve"> who reported that, the incidence and severity of OA is greater in women than in men, suggesting a greater need for effective treatment and prevention of OA in women. Most population-based studies have demonstrated that women have a higher frequency of knee complaints along with higher prevalence of </w:t>
      </w:r>
      <w:r w:rsidRPr="003C30AA">
        <w:rPr>
          <w:rFonts w:eastAsia="Calibri"/>
          <w:sz w:val="20"/>
          <w:szCs w:val="20"/>
        </w:rPr>
        <w:lastRenderedPageBreak/>
        <w:t xml:space="preserve">radiographic and symptomatic OA compared to males. This has been usually observed at around menopause where hormones begin to fluctuate and their protective effects on OA are assumed to cease </w:t>
      </w:r>
      <w:r w:rsidRPr="003C30AA">
        <w:rPr>
          <w:rFonts w:eastAsia="Calibri"/>
          <w:b/>
          <w:bCs/>
          <w:sz w:val="20"/>
          <w:szCs w:val="20"/>
        </w:rPr>
        <w:t>(</w:t>
      </w:r>
      <w:proofErr w:type="spellStart"/>
      <w:r w:rsidRPr="003C30AA">
        <w:rPr>
          <w:rFonts w:eastAsia="Calibri"/>
          <w:b/>
          <w:bCs/>
          <w:sz w:val="20"/>
          <w:szCs w:val="20"/>
        </w:rPr>
        <w:t>Bialog</w:t>
      </w:r>
      <w:proofErr w:type="spellEnd"/>
      <w:r w:rsidRPr="003C30AA">
        <w:rPr>
          <w:rFonts w:eastAsia="Calibri"/>
          <w:b/>
          <w:bCs/>
          <w:sz w:val="20"/>
          <w:szCs w:val="20"/>
        </w:rPr>
        <w:t xml:space="preserve"> and </w:t>
      </w:r>
      <w:proofErr w:type="spellStart"/>
      <w:r w:rsidRPr="003C30AA">
        <w:rPr>
          <w:rFonts w:eastAsia="Calibri"/>
          <w:b/>
          <w:bCs/>
          <w:sz w:val="20"/>
          <w:szCs w:val="20"/>
        </w:rPr>
        <w:t>Reginato</w:t>
      </w:r>
      <w:proofErr w:type="spellEnd"/>
      <w:r w:rsidRPr="003C30AA">
        <w:rPr>
          <w:rFonts w:eastAsia="Calibri"/>
          <w:b/>
          <w:bCs/>
          <w:sz w:val="20"/>
          <w:szCs w:val="20"/>
        </w:rPr>
        <w:t xml:space="preserve">, 2011). </w:t>
      </w:r>
      <w:r w:rsidRPr="003C30AA">
        <w:rPr>
          <w:rFonts w:eastAsia="Calibri"/>
          <w:sz w:val="20"/>
          <w:szCs w:val="20"/>
        </w:rPr>
        <w:t xml:space="preserve">On the other hand, </w:t>
      </w:r>
      <w:r w:rsidRPr="003C30AA">
        <w:rPr>
          <w:rFonts w:eastAsia="Calibri"/>
          <w:b/>
          <w:bCs/>
          <w:sz w:val="20"/>
          <w:szCs w:val="20"/>
        </w:rPr>
        <w:t>Edwards et al. (2017)</w:t>
      </w:r>
      <w:r w:rsidRPr="003C30AA">
        <w:rPr>
          <w:rFonts w:eastAsia="Calibri"/>
          <w:sz w:val="20"/>
          <w:szCs w:val="20"/>
        </w:rPr>
        <w:t xml:space="preserve"> reported that, 58.2% of their participants were men and 37.8% of women. The possible explanation for this contradiction may be attributed higher age of patients included in their study, as the majority of their patients were in 70s while majority of our patients were in 50s; as at the higher age the degeneration may affect men more than women.</w:t>
      </w:r>
    </w:p>
    <w:p w:rsidR="00F84C82" w:rsidRPr="003C30AA" w:rsidRDefault="00F84C82" w:rsidP="00840D53">
      <w:pPr>
        <w:bidi w:val="0"/>
        <w:snapToGrid w:val="0"/>
        <w:ind w:firstLine="425"/>
        <w:jc w:val="both"/>
        <w:rPr>
          <w:rFonts w:eastAsia="Calibri"/>
          <w:sz w:val="20"/>
          <w:szCs w:val="20"/>
        </w:rPr>
      </w:pPr>
      <w:r w:rsidRPr="003C30AA">
        <w:rPr>
          <w:rFonts w:eastAsia="Calibri"/>
          <w:sz w:val="20"/>
          <w:szCs w:val="20"/>
        </w:rPr>
        <w:t>In the present study, patients in study group had significant increase of both weight and BMI when compared to control group.</w:t>
      </w:r>
      <w:r w:rsidR="00840D53" w:rsidRPr="003C30AA">
        <w:rPr>
          <w:rFonts w:eastAsia="Calibri"/>
          <w:sz w:val="20"/>
          <w:szCs w:val="20"/>
        </w:rPr>
        <w:t xml:space="preserve"> </w:t>
      </w:r>
      <w:r w:rsidRPr="003C30AA">
        <w:rPr>
          <w:rFonts w:eastAsia="Calibri"/>
          <w:sz w:val="20"/>
          <w:szCs w:val="20"/>
        </w:rPr>
        <w:t xml:space="preserve">These results are in agreement with those reported in previous literature, where the association between OA and obesity is well known, although the exact </w:t>
      </w:r>
      <w:proofErr w:type="spellStart"/>
      <w:r w:rsidRPr="003C30AA">
        <w:rPr>
          <w:rFonts w:eastAsia="Calibri"/>
          <w:sz w:val="20"/>
          <w:szCs w:val="20"/>
        </w:rPr>
        <w:t>pathophysiology</w:t>
      </w:r>
      <w:proofErr w:type="spellEnd"/>
      <w:r w:rsidRPr="003C30AA">
        <w:rPr>
          <w:rFonts w:eastAsia="Calibri"/>
          <w:sz w:val="20"/>
          <w:szCs w:val="20"/>
        </w:rPr>
        <w:t xml:space="preserve"> of OA is unclear </w:t>
      </w:r>
      <w:r w:rsidRPr="003C30AA">
        <w:rPr>
          <w:rFonts w:eastAsia="Calibri"/>
          <w:b/>
          <w:bCs/>
          <w:sz w:val="20"/>
          <w:szCs w:val="20"/>
        </w:rPr>
        <w:t>(</w:t>
      </w:r>
      <w:proofErr w:type="spellStart"/>
      <w:r w:rsidRPr="003C30AA">
        <w:rPr>
          <w:rFonts w:eastAsia="Calibri"/>
          <w:b/>
          <w:bCs/>
          <w:sz w:val="20"/>
          <w:szCs w:val="20"/>
        </w:rPr>
        <w:t>Chapple</w:t>
      </w:r>
      <w:proofErr w:type="spellEnd"/>
      <w:r w:rsidRPr="003C30AA">
        <w:rPr>
          <w:rFonts w:eastAsia="Calibri"/>
          <w:b/>
          <w:bCs/>
          <w:sz w:val="20"/>
          <w:szCs w:val="20"/>
        </w:rPr>
        <w:t xml:space="preserve"> et al., 2011).</w:t>
      </w:r>
      <w:r w:rsidRPr="003C30AA">
        <w:rPr>
          <w:rFonts w:eastAsia="Calibri"/>
          <w:sz w:val="20"/>
          <w:szCs w:val="20"/>
        </w:rPr>
        <w:t xml:space="preserve"> The biomechanical effect of increased body weight is one explanation for this association; especially in weight-bearing joints such as the knee joint </w:t>
      </w:r>
      <w:r w:rsidRPr="003C30AA">
        <w:rPr>
          <w:rFonts w:eastAsia="Calibri"/>
          <w:b/>
          <w:bCs/>
          <w:sz w:val="20"/>
          <w:szCs w:val="20"/>
        </w:rPr>
        <w:t>(</w:t>
      </w:r>
      <w:proofErr w:type="spellStart"/>
      <w:r w:rsidRPr="003C30AA">
        <w:rPr>
          <w:rFonts w:eastAsia="Calibri"/>
          <w:b/>
          <w:bCs/>
          <w:sz w:val="20"/>
          <w:szCs w:val="20"/>
        </w:rPr>
        <w:t>Bennell</w:t>
      </w:r>
      <w:proofErr w:type="spellEnd"/>
      <w:r w:rsidRPr="003C30AA">
        <w:rPr>
          <w:rFonts w:eastAsia="Calibri"/>
          <w:b/>
          <w:bCs/>
          <w:sz w:val="20"/>
          <w:szCs w:val="20"/>
        </w:rPr>
        <w:t xml:space="preserve"> et al., 2011).</w:t>
      </w:r>
      <w:r w:rsidRPr="003C30AA">
        <w:rPr>
          <w:rFonts w:eastAsia="Calibri"/>
          <w:sz w:val="20"/>
          <w:szCs w:val="20"/>
        </w:rPr>
        <w:t xml:space="preserve"> In addition, the adipose tissue of obese patients is an endocrine organ that secretes various </w:t>
      </w:r>
      <w:proofErr w:type="spellStart"/>
      <w:r w:rsidRPr="003C30AA">
        <w:rPr>
          <w:rFonts w:eastAsia="Calibri"/>
          <w:sz w:val="20"/>
          <w:szCs w:val="20"/>
        </w:rPr>
        <w:t>adipokines</w:t>
      </w:r>
      <w:proofErr w:type="spellEnd"/>
      <w:r w:rsidRPr="003C30AA">
        <w:rPr>
          <w:rFonts w:eastAsia="Calibri"/>
          <w:sz w:val="20"/>
          <w:szCs w:val="20"/>
        </w:rPr>
        <w:t xml:space="preserve"> that contribute to the </w:t>
      </w:r>
      <w:proofErr w:type="spellStart"/>
      <w:r w:rsidRPr="003C30AA">
        <w:rPr>
          <w:rFonts w:eastAsia="Calibri"/>
          <w:sz w:val="20"/>
          <w:szCs w:val="20"/>
        </w:rPr>
        <w:t>pathophysiology</w:t>
      </w:r>
      <w:proofErr w:type="spellEnd"/>
      <w:r w:rsidRPr="003C30AA">
        <w:rPr>
          <w:rFonts w:eastAsia="Calibri"/>
          <w:sz w:val="20"/>
          <w:szCs w:val="20"/>
        </w:rPr>
        <w:t xml:space="preserve"> of OA </w:t>
      </w:r>
      <w:r w:rsidRPr="003C30AA">
        <w:rPr>
          <w:rFonts w:eastAsia="Calibri"/>
          <w:b/>
          <w:bCs/>
          <w:sz w:val="20"/>
          <w:szCs w:val="20"/>
        </w:rPr>
        <w:t>(</w:t>
      </w:r>
      <w:proofErr w:type="spellStart"/>
      <w:r w:rsidRPr="003C30AA">
        <w:rPr>
          <w:rFonts w:eastAsia="Calibri"/>
          <w:b/>
          <w:bCs/>
          <w:sz w:val="20"/>
          <w:szCs w:val="20"/>
        </w:rPr>
        <w:t>Hui</w:t>
      </w:r>
      <w:proofErr w:type="spellEnd"/>
      <w:r w:rsidRPr="003C30AA">
        <w:rPr>
          <w:rFonts w:eastAsia="Calibri"/>
          <w:b/>
          <w:bCs/>
          <w:sz w:val="20"/>
          <w:szCs w:val="20"/>
        </w:rPr>
        <w:t xml:space="preserve"> et al., 2012).</w:t>
      </w:r>
    </w:p>
    <w:p w:rsidR="00F84C82" w:rsidRPr="003C30AA" w:rsidRDefault="00F84C82" w:rsidP="00840D53">
      <w:pPr>
        <w:bidi w:val="0"/>
        <w:snapToGrid w:val="0"/>
        <w:ind w:firstLine="425"/>
        <w:jc w:val="both"/>
        <w:rPr>
          <w:sz w:val="20"/>
          <w:szCs w:val="20"/>
        </w:rPr>
      </w:pPr>
      <w:r w:rsidRPr="003C30AA">
        <w:rPr>
          <w:sz w:val="20"/>
          <w:szCs w:val="20"/>
        </w:rPr>
        <w:t xml:space="preserve">In the study group, symptoms were in the form of pain in all patients, stiffness in 39%, limited motion in 47% and no deformity was reported. Past history of hypertension was reported in 14% of studied patients and no cases had diabetes or surgery. Clinical examination revealed swelling in 20%, decreased ROM in 81%, </w:t>
      </w:r>
      <w:proofErr w:type="spellStart"/>
      <w:r w:rsidRPr="003C30AA">
        <w:rPr>
          <w:sz w:val="20"/>
          <w:szCs w:val="20"/>
        </w:rPr>
        <w:t>crepitus</w:t>
      </w:r>
      <w:proofErr w:type="spellEnd"/>
      <w:r w:rsidRPr="003C30AA">
        <w:rPr>
          <w:sz w:val="20"/>
          <w:szCs w:val="20"/>
        </w:rPr>
        <w:t xml:space="preserve"> in 26%, tenderness in 87% and muscle weakness in 15%. Disease duration ranged from 12 to 48 months, the mean duration was 34.47 weeks. These results are comparable to </w:t>
      </w:r>
      <w:proofErr w:type="spellStart"/>
      <w:r w:rsidRPr="003C30AA">
        <w:rPr>
          <w:b/>
          <w:bCs/>
          <w:sz w:val="20"/>
          <w:szCs w:val="20"/>
        </w:rPr>
        <w:t>Felson</w:t>
      </w:r>
      <w:proofErr w:type="spellEnd"/>
      <w:r w:rsidRPr="003C30AA">
        <w:rPr>
          <w:b/>
          <w:bCs/>
          <w:sz w:val="20"/>
          <w:szCs w:val="20"/>
        </w:rPr>
        <w:t xml:space="preserve"> (2005)</w:t>
      </w:r>
      <w:r w:rsidRPr="003C30AA">
        <w:rPr>
          <w:sz w:val="20"/>
          <w:szCs w:val="20"/>
        </w:rPr>
        <w:t xml:space="preserve"> who reported that, pain is the most common presentation of an </w:t>
      </w:r>
      <w:proofErr w:type="spellStart"/>
      <w:r w:rsidRPr="003C30AA">
        <w:rPr>
          <w:sz w:val="20"/>
          <w:szCs w:val="20"/>
        </w:rPr>
        <w:t>osteoarthritic</w:t>
      </w:r>
      <w:proofErr w:type="spellEnd"/>
      <w:r w:rsidRPr="003C30AA">
        <w:rPr>
          <w:sz w:val="20"/>
          <w:szCs w:val="20"/>
        </w:rPr>
        <w:t xml:space="preserve"> joint. The nature of the pain is often described as dull and ill defined. Joint pain is typically accompanied by morning stiffness and generally lasts less than an hour. The origin of pain is poorly understood. Hyaline cartilage lacks </w:t>
      </w:r>
      <w:proofErr w:type="spellStart"/>
      <w:r w:rsidRPr="003C30AA">
        <w:rPr>
          <w:sz w:val="20"/>
          <w:szCs w:val="20"/>
        </w:rPr>
        <w:t>nociceptors</w:t>
      </w:r>
      <w:proofErr w:type="spellEnd"/>
      <w:r w:rsidRPr="003C30AA">
        <w:rPr>
          <w:sz w:val="20"/>
          <w:szCs w:val="20"/>
        </w:rPr>
        <w:t xml:space="preserve">, but neighboring structures do possess them. Pain from </w:t>
      </w:r>
      <w:proofErr w:type="spellStart"/>
      <w:r w:rsidRPr="003C30AA">
        <w:rPr>
          <w:sz w:val="20"/>
          <w:szCs w:val="20"/>
        </w:rPr>
        <w:t>articular</w:t>
      </w:r>
      <w:proofErr w:type="spellEnd"/>
      <w:r w:rsidRPr="003C30AA">
        <w:rPr>
          <w:sz w:val="20"/>
          <w:szCs w:val="20"/>
        </w:rPr>
        <w:t xml:space="preserve"> cartilage lesions results from mechanical irritation of loose flaps of cartilage, from synovial and capsular inflammation, and from </w:t>
      </w:r>
      <w:proofErr w:type="spellStart"/>
      <w:r w:rsidRPr="003C30AA">
        <w:rPr>
          <w:sz w:val="20"/>
          <w:szCs w:val="20"/>
        </w:rPr>
        <w:t>subchondral</w:t>
      </w:r>
      <w:proofErr w:type="spellEnd"/>
      <w:r w:rsidRPr="003C30AA">
        <w:rPr>
          <w:sz w:val="20"/>
          <w:szCs w:val="20"/>
        </w:rPr>
        <w:t xml:space="preserve"> bone sclerosis that acts on the </w:t>
      </w:r>
      <w:proofErr w:type="spellStart"/>
      <w:r w:rsidRPr="003C30AA">
        <w:rPr>
          <w:sz w:val="20"/>
          <w:szCs w:val="20"/>
        </w:rPr>
        <w:t>periarticular</w:t>
      </w:r>
      <w:proofErr w:type="spellEnd"/>
      <w:r w:rsidRPr="003C30AA">
        <w:rPr>
          <w:sz w:val="20"/>
          <w:szCs w:val="20"/>
        </w:rPr>
        <w:t xml:space="preserve"> nerve endings. The stimuli causing pain are related to, but fundamentally different from, those </w:t>
      </w:r>
      <w:r w:rsidR="0083623B" w:rsidRPr="003C30AA">
        <w:rPr>
          <w:sz w:val="20"/>
          <w:szCs w:val="20"/>
        </w:rPr>
        <w:t>produce</w:t>
      </w:r>
      <w:r w:rsidRPr="003C30AA">
        <w:rPr>
          <w:sz w:val="20"/>
          <w:szCs w:val="20"/>
        </w:rPr>
        <w:t xml:space="preserve"> cartilage loss.</w:t>
      </w:r>
    </w:p>
    <w:p w:rsidR="0083623B" w:rsidRPr="003C30AA" w:rsidRDefault="00F84C82" w:rsidP="00840D53">
      <w:pPr>
        <w:pStyle w:val="NormalWeb"/>
        <w:widowControl w:val="0"/>
        <w:snapToGrid w:val="0"/>
        <w:spacing w:before="0" w:beforeAutospacing="0" w:after="0" w:afterAutospacing="0"/>
        <w:ind w:firstLine="425"/>
        <w:jc w:val="both"/>
        <w:rPr>
          <w:b/>
          <w:bCs/>
          <w:sz w:val="20"/>
          <w:szCs w:val="20"/>
        </w:rPr>
      </w:pPr>
      <w:r w:rsidRPr="003C30AA">
        <w:rPr>
          <w:sz w:val="20"/>
          <w:szCs w:val="20"/>
        </w:rPr>
        <w:t xml:space="preserve">In the present </w:t>
      </w:r>
      <w:r w:rsidR="008601DF" w:rsidRPr="003C30AA">
        <w:rPr>
          <w:sz w:val="20"/>
          <w:szCs w:val="20"/>
        </w:rPr>
        <w:t>study</w:t>
      </w:r>
      <w:r w:rsidRPr="003C30AA">
        <w:rPr>
          <w:sz w:val="20"/>
          <w:szCs w:val="20"/>
        </w:rPr>
        <w:t xml:space="preserve">, there was statistically significant decrease of BMD in the study group when compared to control group at lumber spine and forearm. However, the difference at femur was statistically non-significant. These results are in </w:t>
      </w:r>
      <w:r w:rsidRPr="003C30AA">
        <w:rPr>
          <w:sz w:val="20"/>
          <w:szCs w:val="20"/>
        </w:rPr>
        <w:lastRenderedPageBreak/>
        <w:t xml:space="preserve">agreement to those reported by </w:t>
      </w:r>
      <w:proofErr w:type="spellStart"/>
      <w:r w:rsidRPr="003C30AA">
        <w:rPr>
          <w:b/>
          <w:bCs/>
          <w:sz w:val="20"/>
          <w:szCs w:val="20"/>
        </w:rPr>
        <w:t>Zholdoshova</w:t>
      </w:r>
      <w:proofErr w:type="spellEnd"/>
      <w:r w:rsidRPr="003C30AA">
        <w:rPr>
          <w:b/>
          <w:bCs/>
          <w:sz w:val="20"/>
          <w:szCs w:val="20"/>
        </w:rPr>
        <w:t xml:space="preserve"> and </w:t>
      </w:r>
      <w:proofErr w:type="spellStart"/>
      <w:r w:rsidRPr="003C30AA">
        <w:rPr>
          <w:b/>
          <w:bCs/>
          <w:sz w:val="20"/>
          <w:szCs w:val="20"/>
        </w:rPr>
        <w:t>Yalcin</w:t>
      </w:r>
      <w:proofErr w:type="spellEnd"/>
      <w:r w:rsidRPr="003C30AA">
        <w:rPr>
          <w:b/>
          <w:bCs/>
          <w:sz w:val="20"/>
          <w:szCs w:val="20"/>
        </w:rPr>
        <w:t xml:space="preserve"> (2013)</w:t>
      </w:r>
      <w:r w:rsidRPr="003C30AA">
        <w:rPr>
          <w:sz w:val="20"/>
          <w:szCs w:val="20"/>
        </w:rPr>
        <w:t xml:space="preserve"> who reported that, osteoarthritis and osteoporosis (decreased bone mineral density) are the most common societal diseases. In addition, it was reported that, the relationship between OA and OP varies between primary generalized OA and localized OA. The coexistence of OA and OP in the hand joints has been previously shown </w:t>
      </w:r>
      <w:r w:rsidRPr="003C30AA">
        <w:rPr>
          <w:b/>
          <w:bCs/>
          <w:sz w:val="20"/>
          <w:szCs w:val="20"/>
        </w:rPr>
        <w:t>(Hochberg et al., 2004).</w:t>
      </w:r>
    </w:p>
    <w:p w:rsidR="00F84C82" w:rsidRPr="003C30AA" w:rsidRDefault="0029197D" w:rsidP="00840D53">
      <w:pPr>
        <w:pStyle w:val="NormalWeb"/>
        <w:widowControl w:val="0"/>
        <w:snapToGrid w:val="0"/>
        <w:spacing w:before="0" w:beforeAutospacing="0" w:after="0" w:afterAutospacing="0"/>
        <w:ind w:firstLine="425"/>
        <w:jc w:val="both"/>
        <w:rPr>
          <w:b/>
          <w:bCs/>
          <w:sz w:val="20"/>
          <w:szCs w:val="20"/>
        </w:rPr>
      </w:pPr>
      <w:r w:rsidRPr="003C30AA">
        <w:rPr>
          <w:rFonts w:eastAsia="Calibri"/>
          <w:b/>
          <w:bCs/>
          <w:sz w:val="20"/>
          <w:szCs w:val="20"/>
        </w:rPr>
        <w:t xml:space="preserve">Blake and </w:t>
      </w:r>
      <w:r w:rsidRPr="003C30AA">
        <w:rPr>
          <w:b/>
          <w:bCs/>
          <w:sz w:val="20"/>
          <w:szCs w:val="20"/>
        </w:rPr>
        <w:t xml:space="preserve">Fogelman </w:t>
      </w:r>
      <w:r w:rsidR="00F84C82" w:rsidRPr="003C30AA">
        <w:rPr>
          <w:b/>
          <w:bCs/>
          <w:sz w:val="20"/>
          <w:szCs w:val="20"/>
        </w:rPr>
        <w:t xml:space="preserve">(1992) </w:t>
      </w:r>
      <w:r w:rsidR="00F84C82" w:rsidRPr="003C30AA">
        <w:rPr>
          <w:sz w:val="20"/>
          <w:szCs w:val="20"/>
        </w:rPr>
        <w:t>measured the femoral BMD of 50 primary hip OA patients with DXA and found high BMD values at the femoral neck and Ward’s triangle</w:t>
      </w:r>
      <w:r w:rsidR="00840D53" w:rsidRPr="003C30AA">
        <w:rPr>
          <w:sz w:val="20"/>
          <w:szCs w:val="20"/>
        </w:rPr>
        <w:t>. D</w:t>
      </w:r>
      <w:r w:rsidR="00F84C82" w:rsidRPr="003C30AA">
        <w:rPr>
          <w:sz w:val="20"/>
          <w:szCs w:val="20"/>
        </w:rPr>
        <w:t xml:space="preserve">espite numerous studies on this subject, there are conflicting results. These contradictions suggest that there is a very complicated relationship between these two diseases. Both have a </w:t>
      </w:r>
      <w:proofErr w:type="spellStart"/>
      <w:r w:rsidR="00F84C82" w:rsidRPr="003C30AA">
        <w:rPr>
          <w:sz w:val="20"/>
          <w:szCs w:val="20"/>
        </w:rPr>
        <w:t>multifactorial</w:t>
      </w:r>
      <w:proofErr w:type="spellEnd"/>
      <w:r w:rsidR="00F84C82" w:rsidRPr="003C30AA">
        <w:rPr>
          <w:sz w:val="20"/>
          <w:szCs w:val="20"/>
        </w:rPr>
        <w:t xml:space="preserve"> etiology, which might explain the varying research conclusions. In fact, genetic, metabolic, mechanical, and endocrine factors show both differences and similarities between OA and OP </w:t>
      </w:r>
      <w:r w:rsidR="00F84C82" w:rsidRPr="003C30AA">
        <w:rPr>
          <w:b/>
          <w:bCs/>
          <w:sz w:val="20"/>
          <w:szCs w:val="20"/>
        </w:rPr>
        <w:t>(</w:t>
      </w:r>
      <w:proofErr w:type="spellStart"/>
      <w:r w:rsidR="00F84C82" w:rsidRPr="003C30AA">
        <w:rPr>
          <w:b/>
          <w:bCs/>
          <w:sz w:val="20"/>
          <w:szCs w:val="20"/>
        </w:rPr>
        <w:t>Tuncer</w:t>
      </w:r>
      <w:proofErr w:type="spellEnd"/>
      <w:r w:rsidR="00F84C82" w:rsidRPr="003C30AA">
        <w:rPr>
          <w:b/>
          <w:bCs/>
          <w:sz w:val="20"/>
          <w:szCs w:val="20"/>
        </w:rPr>
        <w:t>, 2011).</w:t>
      </w:r>
    </w:p>
    <w:p w:rsidR="00F84C82" w:rsidRPr="003C30AA" w:rsidRDefault="00F84C82" w:rsidP="00840D53">
      <w:pPr>
        <w:pStyle w:val="NormalWeb"/>
        <w:widowControl w:val="0"/>
        <w:snapToGrid w:val="0"/>
        <w:spacing w:before="0" w:beforeAutospacing="0" w:after="0" w:afterAutospacing="0"/>
        <w:ind w:firstLine="425"/>
        <w:jc w:val="both"/>
        <w:rPr>
          <w:sz w:val="20"/>
          <w:szCs w:val="20"/>
        </w:rPr>
      </w:pPr>
      <w:r w:rsidRPr="003C30AA">
        <w:rPr>
          <w:sz w:val="20"/>
          <w:szCs w:val="20"/>
        </w:rPr>
        <w:t>As regard to ESR and CRP, there was statistically significant increase in study group</w:t>
      </w:r>
      <w:r w:rsidR="0083623B" w:rsidRPr="003C30AA">
        <w:rPr>
          <w:sz w:val="20"/>
          <w:szCs w:val="20"/>
        </w:rPr>
        <w:t xml:space="preserve"> when compared to control group</w:t>
      </w:r>
      <w:r w:rsidRPr="003C30AA">
        <w:rPr>
          <w:sz w:val="20"/>
          <w:szCs w:val="20"/>
        </w:rPr>
        <w:t xml:space="preserve">. </w:t>
      </w:r>
      <w:proofErr w:type="spellStart"/>
      <w:r w:rsidRPr="003C30AA">
        <w:rPr>
          <w:b/>
          <w:bCs/>
          <w:sz w:val="20"/>
          <w:szCs w:val="20"/>
        </w:rPr>
        <w:t>Schett</w:t>
      </w:r>
      <w:proofErr w:type="spellEnd"/>
      <w:r w:rsidRPr="003C30AA">
        <w:rPr>
          <w:b/>
          <w:bCs/>
          <w:sz w:val="20"/>
          <w:szCs w:val="20"/>
        </w:rPr>
        <w:t xml:space="preserve"> et al. (2006)</w:t>
      </w:r>
      <w:r w:rsidRPr="003C30AA">
        <w:rPr>
          <w:sz w:val="20"/>
          <w:szCs w:val="20"/>
        </w:rPr>
        <w:t xml:space="preserve"> demonstrated that low-grade inflammation, as estimated by the high-sensitivity C-reactive protein level, is a significant and independent risk predictor of Non-traumatic fractures in healthy individuals. This finding is in line with the hypothesis of a tight link between low-grade inflammation and bone quality.</w:t>
      </w:r>
      <w:r w:rsidR="008601DF" w:rsidRPr="003C30AA">
        <w:rPr>
          <w:sz w:val="20"/>
          <w:szCs w:val="20"/>
        </w:rPr>
        <w:t xml:space="preserve"> </w:t>
      </w:r>
      <w:r w:rsidRPr="003C30AA">
        <w:rPr>
          <w:sz w:val="20"/>
          <w:szCs w:val="20"/>
        </w:rPr>
        <w:t xml:space="preserve">In addition, </w:t>
      </w:r>
      <w:proofErr w:type="spellStart"/>
      <w:r w:rsidRPr="003C30AA">
        <w:rPr>
          <w:b/>
          <w:bCs/>
          <w:sz w:val="20"/>
          <w:szCs w:val="20"/>
        </w:rPr>
        <w:t>Bultink</w:t>
      </w:r>
      <w:proofErr w:type="spellEnd"/>
      <w:r w:rsidRPr="003C30AA">
        <w:rPr>
          <w:b/>
          <w:bCs/>
          <w:sz w:val="20"/>
          <w:szCs w:val="20"/>
        </w:rPr>
        <w:t xml:space="preserve"> and </w:t>
      </w:r>
      <w:proofErr w:type="spellStart"/>
      <w:r w:rsidRPr="003C30AA">
        <w:rPr>
          <w:b/>
          <w:bCs/>
          <w:sz w:val="20"/>
          <w:szCs w:val="20"/>
        </w:rPr>
        <w:t>Lems</w:t>
      </w:r>
      <w:proofErr w:type="spellEnd"/>
      <w:r w:rsidRPr="003C30AA">
        <w:rPr>
          <w:b/>
          <w:bCs/>
          <w:sz w:val="20"/>
          <w:szCs w:val="20"/>
        </w:rPr>
        <w:t xml:space="preserve"> (2013)</w:t>
      </w:r>
      <w:r w:rsidRPr="003C30AA">
        <w:rPr>
          <w:sz w:val="20"/>
          <w:szCs w:val="20"/>
        </w:rPr>
        <w:t xml:space="preserve"> confirmed the link between inflammation and development of OA (increased inflammatory markers such as cytokines). They added, the recognition that low-grade inflammation contributes to the development of OA and OP provides the opportunity to develop new, anti-inflammatory therapeutic interventions.</w:t>
      </w:r>
    </w:p>
    <w:p w:rsidR="00F84C82" w:rsidRPr="003C30AA" w:rsidRDefault="00F84C82" w:rsidP="00840D53">
      <w:pPr>
        <w:pStyle w:val="NormalWeb"/>
        <w:widowControl w:val="0"/>
        <w:snapToGrid w:val="0"/>
        <w:spacing w:before="0" w:beforeAutospacing="0" w:after="0" w:afterAutospacing="0"/>
        <w:ind w:firstLine="425"/>
        <w:jc w:val="both"/>
        <w:rPr>
          <w:b/>
          <w:bCs/>
          <w:sz w:val="20"/>
          <w:szCs w:val="20"/>
        </w:rPr>
      </w:pPr>
      <w:r w:rsidRPr="003C30AA">
        <w:rPr>
          <w:sz w:val="20"/>
          <w:szCs w:val="20"/>
        </w:rPr>
        <w:t>Although OA is commonly described as a non</w:t>
      </w:r>
      <w:r w:rsidR="008601DF" w:rsidRPr="003C30AA">
        <w:rPr>
          <w:sz w:val="20"/>
          <w:szCs w:val="20"/>
        </w:rPr>
        <w:t>-</w:t>
      </w:r>
      <w:r w:rsidRPr="003C30AA">
        <w:rPr>
          <w:sz w:val="20"/>
          <w:szCs w:val="20"/>
        </w:rPr>
        <w:t>inflammatory disease and, strictly speaking, should be termed “</w:t>
      </w:r>
      <w:proofErr w:type="spellStart"/>
      <w:r w:rsidRPr="003C30AA">
        <w:rPr>
          <w:sz w:val="20"/>
          <w:szCs w:val="20"/>
        </w:rPr>
        <w:t>osteoarthrosis</w:t>
      </w:r>
      <w:proofErr w:type="spellEnd"/>
      <w:r w:rsidRPr="003C30AA">
        <w:rPr>
          <w:sz w:val="20"/>
          <w:szCs w:val="20"/>
        </w:rPr>
        <w:t xml:space="preserve">,” inflammation does play a role. In healthy individuals, the joint space is filled with synovial fluid that contains abundant </w:t>
      </w:r>
      <w:proofErr w:type="spellStart"/>
      <w:r w:rsidRPr="003C30AA">
        <w:rPr>
          <w:sz w:val="20"/>
          <w:szCs w:val="20"/>
        </w:rPr>
        <w:t>hyaluronic</w:t>
      </w:r>
      <w:proofErr w:type="spellEnd"/>
      <w:r w:rsidRPr="003C30AA">
        <w:rPr>
          <w:sz w:val="20"/>
          <w:szCs w:val="20"/>
        </w:rPr>
        <w:t xml:space="preserve"> acid (HA) acting as lubricant. In OA patients, </w:t>
      </w:r>
      <w:proofErr w:type="spellStart"/>
      <w:r w:rsidRPr="003C30AA">
        <w:rPr>
          <w:sz w:val="20"/>
          <w:szCs w:val="20"/>
        </w:rPr>
        <w:t>hyaluronan</w:t>
      </w:r>
      <w:proofErr w:type="spellEnd"/>
      <w:r w:rsidRPr="003C30AA">
        <w:rPr>
          <w:sz w:val="20"/>
          <w:szCs w:val="20"/>
        </w:rPr>
        <w:t xml:space="preserve"> is smaller in size, diminished in concentration, and provides less efficient lubrication, and the joint space narrows. This decrease in joint lubrication can be remedied to some extent by </w:t>
      </w:r>
      <w:proofErr w:type="spellStart"/>
      <w:r w:rsidRPr="003C30AA">
        <w:rPr>
          <w:sz w:val="20"/>
          <w:szCs w:val="20"/>
        </w:rPr>
        <w:t>intraarticular</w:t>
      </w:r>
      <w:proofErr w:type="spellEnd"/>
      <w:r w:rsidRPr="003C30AA">
        <w:rPr>
          <w:sz w:val="20"/>
          <w:szCs w:val="20"/>
        </w:rPr>
        <w:t xml:space="preserve"> </w:t>
      </w:r>
      <w:proofErr w:type="spellStart"/>
      <w:r w:rsidRPr="003C30AA">
        <w:rPr>
          <w:sz w:val="20"/>
          <w:szCs w:val="20"/>
        </w:rPr>
        <w:t>visco</w:t>
      </w:r>
      <w:proofErr w:type="spellEnd"/>
      <w:r w:rsidRPr="003C30AA">
        <w:rPr>
          <w:sz w:val="20"/>
          <w:szCs w:val="20"/>
        </w:rPr>
        <w:t xml:space="preserve">-supplementation </w:t>
      </w:r>
      <w:r w:rsidRPr="003C30AA">
        <w:rPr>
          <w:b/>
          <w:bCs/>
          <w:sz w:val="20"/>
          <w:szCs w:val="20"/>
        </w:rPr>
        <w:t>(</w:t>
      </w:r>
      <w:proofErr w:type="spellStart"/>
      <w:r w:rsidRPr="003C30AA">
        <w:rPr>
          <w:b/>
          <w:bCs/>
          <w:sz w:val="20"/>
          <w:szCs w:val="20"/>
        </w:rPr>
        <w:t>Tehranzadeh</w:t>
      </w:r>
      <w:proofErr w:type="spellEnd"/>
      <w:r w:rsidRPr="003C30AA">
        <w:rPr>
          <w:b/>
          <w:bCs/>
          <w:sz w:val="20"/>
          <w:szCs w:val="20"/>
        </w:rPr>
        <w:t xml:space="preserve"> et al., 2005).</w:t>
      </w:r>
      <w:r w:rsidRPr="003C30AA">
        <w:rPr>
          <w:sz w:val="20"/>
          <w:szCs w:val="20"/>
        </w:rPr>
        <w:t xml:space="preserve"> </w:t>
      </w:r>
      <w:proofErr w:type="spellStart"/>
      <w:r w:rsidRPr="003C30AA">
        <w:rPr>
          <w:sz w:val="20"/>
          <w:szCs w:val="20"/>
        </w:rPr>
        <w:t>Synovitis</w:t>
      </w:r>
      <w:proofErr w:type="spellEnd"/>
      <w:r w:rsidRPr="003C30AA">
        <w:rPr>
          <w:sz w:val="20"/>
          <w:szCs w:val="20"/>
        </w:rPr>
        <w:t xml:space="preserve"> (inflammation of the synovial membrane) can either be the result of an acute inflammatory “flare” or of a chronic, but subclinical inflammation. </w:t>
      </w:r>
      <w:proofErr w:type="spellStart"/>
      <w:r w:rsidRPr="003C30AA">
        <w:rPr>
          <w:sz w:val="20"/>
          <w:szCs w:val="20"/>
        </w:rPr>
        <w:t>Synovitis</w:t>
      </w:r>
      <w:proofErr w:type="spellEnd"/>
      <w:r w:rsidRPr="003C30AA">
        <w:rPr>
          <w:sz w:val="20"/>
          <w:szCs w:val="20"/>
        </w:rPr>
        <w:t xml:space="preserve"> may be the primary event, that is, to initiate or propagate OA, or it may be a secondary result, perhaps due to the accumulation of cartilage breakdown products in the joint space </w:t>
      </w:r>
      <w:r w:rsidRPr="003C30AA">
        <w:rPr>
          <w:b/>
          <w:bCs/>
          <w:sz w:val="20"/>
          <w:szCs w:val="20"/>
        </w:rPr>
        <w:t>(Bonnet and Walsh, 2005).</w:t>
      </w:r>
    </w:p>
    <w:p w:rsidR="00F84C82" w:rsidRPr="003C30AA" w:rsidRDefault="00F84C82" w:rsidP="00840D53">
      <w:pPr>
        <w:pStyle w:val="NormalWeb"/>
        <w:widowControl w:val="0"/>
        <w:snapToGrid w:val="0"/>
        <w:spacing w:before="0" w:beforeAutospacing="0" w:after="0" w:afterAutospacing="0"/>
        <w:ind w:firstLine="425"/>
        <w:jc w:val="both"/>
        <w:rPr>
          <w:b/>
          <w:bCs/>
          <w:sz w:val="20"/>
          <w:szCs w:val="20"/>
        </w:rPr>
      </w:pPr>
      <w:r w:rsidRPr="003C30AA">
        <w:rPr>
          <w:sz w:val="20"/>
          <w:szCs w:val="20"/>
        </w:rPr>
        <w:t xml:space="preserve">As regard to bone turn over markers, there was </w:t>
      </w:r>
      <w:r w:rsidRPr="003C30AA">
        <w:rPr>
          <w:sz w:val="20"/>
          <w:szCs w:val="20"/>
        </w:rPr>
        <w:lastRenderedPageBreak/>
        <w:t xml:space="preserve">statistically significant decrease of calcium and significant increase of alkaline </w:t>
      </w:r>
      <w:proofErr w:type="spellStart"/>
      <w:r w:rsidRPr="003C30AA">
        <w:rPr>
          <w:sz w:val="20"/>
          <w:szCs w:val="20"/>
        </w:rPr>
        <w:t>phosphatase</w:t>
      </w:r>
      <w:proofErr w:type="spellEnd"/>
      <w:r w:rsidRPr="003C30AA">
        <w:rPr>
          <w:sz w:val="20"/>
          <w:szCs w:val="20"/>
        </w:rPr>
        <w:t xml:space="preserve"> in study wh</w:t>
      </w:r>
      <w:r w:rsidR="0083623B" w:rsidRPr="003C30AA">
        <w:rPr>
          <w:sz w:val="20"/>
          <w:szCs w:val="20"/>
        </w:rPr>
        <w:t>en compared to control group</w:t>
      </w:r>
      <w:r w:rsidRPr="003C30AA">
        <w:rPr>
          <w:sz w:val="20"/>
          <w:szCs w:val="20"/>
        </w:rPr>
        <w:t xml:space="preserve">. These results are in agreement with </w:t>
      </w:r>
      <w:r w:rsidRPr="003C30AA">
        <w:rPr>
          <w:b/>
          <w:bCs/>
          <w:sz w:val="20"/>
          <w:szCs w:val="20"/>
        </w:rPr>
        <w:t xml:space="preserve">Li et al. (2016) </w:t>
      </w:r>
      <w:r w:rsidRPr="003C30AA">
        <w:rPr>
          <w:sz w:val="20"/>
          <w:szCs w:val="20"/>
        </w:rPr>
        <w:t>who reported that, a negative association between serum calcium concentration and radiographic OA of the knee was observed in a model after adjustment for age, sex, and BMI, and also in a multivariable model adjusted for age, BMI, sex, educational level, smoking status, activity level, alcohol drinking status, diabetes, and hypertension</w:t>
      </w:r>
      <w:r w:rsidR="008601DF" w:rsidRPr="003C30AA">
        <w:rPr>
          <w:sz w:val="20"/>
          <w:szCs w:val="20"/>
        </w:rPr>
        <w:t xml:space="preserve">. </w:t>
      </w:r>
      <w:proofErr w:type="spellStart"/>
      <w:r w:rsidRPr="003C30AA">
        <w:rPr>
          <w:b/>
          <w:bCs/>
          <w:sz w:val="20"/>
          <w:szCs w:val="20"/>
        </w:rPr>
        <w:t>Yazmalar</w:t>
      </w:r>
      <w:proofErr w:type="spellEnd"/>
      <w:r w:rsidRPr="003C30AA">
        <w:rPr>
          <w:b/>
          <w:bCs/>
          <w:sz w:val="20"/>
          <w:szCs w:val="20"/>
        </w:rPr>
        <w:t xml:space="preserve"> et al. (2013) </w:t>
      </w:r>
      <w:r w:rsidRPr="003C30AA">
        <w:rPr>
          <w:sz w:val="20"/>
          <w:szCs w:val="20"/>
        </w:rPr>
        <w:t>found that serum calcium levels were not significantly different between 74 knee osteoarthritis patients and 70 controls. The authors state that there were statistically significant differences between groups in terms of age, sex, and BMI (</w:t>
      </w:r>
      <w:r w:rsidRPr="003C30AA">
        <w:rPr>
          <w:i/>
          <w:iCs/>
          <w:sz w:val="20"/>
          <w:szCs w:val="20"/>
        </w:rPr>
        <w:t>P</w:t>
      </w:r>
      <w:r w:rsidRPr="003C30AA">
        <w:rPr>
          <w:sz w:val="20"/>
          <w:szCs w:val="20"/>
        </w:rPr>
        <w:t> &lt; 0.05). However, these potential confounding factors were not adjusted, which may compromise the accuracy of the research results.</w:t>
      </w:r>
    </w:p>
    <w:p w:rsidR="00840D53" w:rsidRPr="003C30AA" w:rsidRDefault="00F84C82" w:rsidP="00840D53">
      <w:pPr>
        <w:pStyle w:val="NormalWeb"/>
        <w:widowControl w:val="0"/>
        <w:snapToGrid w:val="0"/>
        <w:spacing w:before="0" w:beforeAutospacing="0" w:after="0" w:afterAutospacing="0"/>
        <w:ind w:firstLine="425"/>
        <w:jc w:val="both"/>
        <w:rPr>
          <w:sz w:val="20"/>
          <w:szCs w:val="20"/>
        </w:rPr>
      </w:pPr>
      <w:r w:rsidRPr="003C30AA">
        <w:rPr>
          <w:sz w:val="20"/>
          <w:szCs w:val="20"/>
        </w:rPr>
        <w:t xml:space="preserve">In the present study we found no significant correlation between BMD and x-ray grading. Several studies have shown the presence of a relationship between the radiological grade of OA of the knee and BMD </w:t>
      </w:r>
      <w:r w:rsidRPr="003C30AA">
        <w:rPr>
          <w:b/>
          <w:bCs/>
          <w:sz w:val="20"/>
          <w:szCs w:val="20"/>
        </w:rPr>
        <w:t>(Zhang et al., 2000).</w:t>
      </w:r>
      <w:r w:rsidRPr="003C30AA">
        <w:rPr>
          <w:sz w:val="20"/>
          <w:szCs w:val="20"/>
        </w:rPr>
        <w:t xml:space="preserve"> However, these results were not always consistent </w:t>
      </w:r>
      <w:r w:rsidRPr="003C30AA">
        <w:rPr>
          <w:b/>
          <w:bCs/>
          <w:sz w:val="20"/>
          <w:szCs w:val="20"/>
        </w:rPr>
        <w:t>(Iwamoto et al., 2002).</w:t>
      </w:r>
      <w:r w:rsidR="00840D53" w:rsidRPr="003C30AA">
        <w:rPr>
          <w:b/>
          <w:bCs/>
          <w:sz w:val="20"/>
          <w:szCs w:val="20"/>
        </w:rPr>
        <w:t xml:space="preserve"> </w:t>
      </w:r>
      <w:r w:rsidRPr="003C30AA">
        <w:rPr>
          <w:b/>
          <w:bCs/>
          <w:sz w:val="20"/>
          <w:szCs w:val="20"/>
        </w:rPr>
        <w:t>Iwamoto et al. (2002)</w:t>
      </w:r>
      <w:r w:rsidRPr="003C30AA">
        <w:rPr>
          <w:sz w:val="20"/>
          <w:szCs w:val="20"/>
        </w:rPr>
        <w:t xml:space="preserve"> reported that, BMD was higher in radiological grade 3 than in grades 1 and 2, but BMD was lower in grade 3 than in grade 4. The most severe radiological grade of OA showed a lower BMD than moderate grade. The reason for this remains uncertain. However, these findings suggest that, although BMD may increase with OA of low to moderate radiological grades, a severe grade OA of the knee may not always develop from moderate grade OA. Some cases of severe grade OA of the knee may be associated with low BMD. The X-ray finding of severe joint-space narrowing is included in radiological grade 4. Thus, one possible explanation for the lower BMD in grade 4 than in grade 3 is that severe joint-space narrowing in the medial </w:t>
      </w:r>
      <w:proofErr w:type="spellStart"/>
      <w:r w:rsidRPr="003C30AA">
        <w:rPr>
          <w:sz w:val="20"/>
          <w:szCs w:val="20"/>
        </w:rPr>
        <w:t>femorotibial</w:t>
      </w:r>
      <w:proofErr w:type="spellEnd"/>
      <w:r w:rsidRPr="003C30AA">
        <w:rPr>
          <w:sz w:val="20"/>
          <w:szCs w:val="20"/>
        </w:rPr>
        <w:t xml:space="preserve"> joint with severe </w:t>
      </w:r>
      <w:proofErr w:type="spellStart"/>
      <w:r w:rsidRPr="003C30AA">
        <w:rPr>
          <w:sz w:val="20"/>
          <w:szCs w:val="20"/>
        </w:rPr>
        <w:t>varus</w:t>
      </w:r>
      <w:proofErr w:type="spellEnd"/>
      <w:r w:rsidRPr="003C30AA">
        <w:rPr>
          <w:sz w:val="20"/>
          <w:szCs w:val="20"/>
        </w:rPr>
        <w:t xml:space="preserve"> deformity could result from low bone mass. That is, patients with OA of the knee with low bone mass may show a radiological course different from that observed in those with high bone mass. These results can explain the non-significant correlation found between BMD and x-ray grading in the present wor</w:t>
      </w:r>
      <w:r w:rsidR="00840D53" w:rsidRPr="003C30AA">
        <w:rPr>
          <w:sz w:val="20"/>
          <w:szCs w:val="20"/>
        </w:rPr>
        <w:t>k.</w:t>
      </w:r>
    </w:p>
    <w:p w:rsidR="00F84C82" w:rsidRPr="003C30AA" w:rsidRDefault="00F84C82" w:rsidP="00840D53">
      <w:pPr>
        <w:pStyle w:val="NormalWeb"/>
        <w:widowControl w:val="0"/>
        <w:snapToGrid w:val="0"/>
        <w:spacing w:before="0" w:beforeAutospacing="0" w:after="0" w:afterAutospacing="0"/>
        <w:ind w:firstLine="425"/>
        <w:jc w:val="both"/>
        <w:rPr>
          <w:sz w:val="20"/>
          <w:szCs w:val="20"/>
        </w:rPr>
      </w:pPr>
      <w:r w:rsidRPr="003C30AA">
        <w:rPr>
          <w:sz w:val="20"/>
          <w:szCs w:val="20"/>
        </w:rPr>
        <w:t xml:space="preserve">Although, the present study did not follow up patients to know whether BMD decreased or not with advanced primary generalized OA; </w:t>
      </w:r>
      <w:r w:rsidRPr="003C30AA">
        <w:rPr>
          <w:b/>
          <w:bCs/>
          <w:sz w:val="20"/>
          <w:szCs w:val="20"/>
        </w:rPr>
        <w:t>Hart et al. (2002)</w:t>
      </w:r>
      <w:r w:rsidRPr="003C30AA">
        <w:rPr>
          <w:sz w:val="20"/>
          <w:szCs w:val="20"/>
        </w:rPr>
        <w:t xml:space="preserve"> examined a cohort of 830 white women from the Chingford study (a suburb of London). Bone mineral density measurements of the lumbar spine and hip and radiographs of the knees and hands were obtained at baseline, and the knee radiographs were repeated 48 months later. Hart et al. found that baseline bone mineral density at the lumbar spine and hip was </w:t>
      </w:r>
      <w:r w:rsidRPr="003C30AA">
        <w:rPr>
          <w:sz w:val="20"/>
          <w:szCs w:val="20"/>
        </w:rPr>
        <w:lastRenderedPageBreak/>
        <w:t xml:space="preserve">significantly higher in women who subsequently developed incident knee </w:t>
      </w:r>
      <w:proofErr w:type="spellStart"/>
      <w:r w:rsidRPr="003C30AA">
        <w:rPr>
          <w:sz w:val="20"/>
          <w:szCs w:val="20"/>
        </w:rPr>
        <w:t>osteophytes</w:t>
      </w:r>
      <w:proofErr w:type="spellEnd"/>
      <w:r w:rsidRPr="003C30AA">
        <w:rPr>
          <w:sz w:val="20"/>
          <w:szCs w:val="20"/>
        </w:rPr>
        <w:t>. Low bone mineral density at the hip appeared weakly related to progression. These results support the results of the present work.</w:t>
      </w:r>
    </w:p>
    <w:p w:rsidR="00F84C82" w:rsidRPr="003C30AA" w:rsidRDefault="00F84C82" w:rsidP="00840D53">
      <w:pPr>
        <w:pStyle w:val="NormalWeb"/>
        <w:widowControl w:val="0"/>
        <w:snapToGrid w:val="0"/>
        <w:spacing w:before="0" w:beforeAutospacing="0" w:after="0" w:afterAutospacing="0"/>
        <w:ind w:firstLine="425"/>
        <w:jc w:val="both"/>
        <w:rPr>
          <w:sz w:val="20"/>
          <w:szCs w:val="20"/>
        </w:rPr>
      </w:pPr>
      <w:r w:rsidRPr="003C30AA">
        <w:rPr>
          <w:sz w:val="20"/>
          <w:szCs w:val="20"/>
        </w:rPr>
        <w:t>Although we had some encouraging results, none of them provided conclusive evidence regarding the relationship between these two diseases. To clarify this issue, further studies with larger patient groups are needed, and separate information should be included for each joint and there should also be a long-term follow-up period.</w:t>
      </w:r>
    </w:p>
    <w:p w:rsidR="00736402" w:rsidRPr="003C30AA" w:rsidRDefault="00736402" w:rsidP="00840D53">
      <w:pPr>
        <w:bidi w:val="0"/>
        <w:snapToGrid w:val="0"/>
        <w:ind w:firstLine="425"/>
        <w:jc w:val="both"/>
        <w:rPr>
          <w:sz w:val="20"/>
          <w:szCs w:val="20"/>
        </w:rPr>
      </w:pPr>
    </w:p>
    <w:p w:rsidR="00736402" w:rsidRPr="003C30AA" w:rsidRDefault="00736402" w:rsidP="00840D53">
      <w:pPr>
        <w:autoSpaceDE w:val="0"/>
        <w:autoSpaceDN w:val="0"/>
        <w:bidi w:val="0"/>
        <w:adjustRightInd w:val="0"/>
        <w:snapToGrid w:val="0"/>
        <w:jc w:val="both"/>
        <w:rPr>
          <w:b/>
          <w:bCs/>
          <w:sz w:val="20"/>
          <w:szCs w:val="20"/>
        </w:rPr>
      </w:pPr>
      <w:r w:rsidRPr="003C30AA">
        <w:rPr>
          <w:b/>
          <w:bCs/>
          <w:sz w:val="20"/>
          <w:szCs w:val="20"/>
        </w:rPr>
        <w:t>References</w:t>
      </w:r>
    </w:p>
    <w:p w:rsidR="00736402" w:rsidRPr="003C30AA" w:rsidRDefault="00736402" w:rsidP="00840D53">
      <w:pPr>
        <w:widowControl w:val="0"/>
        <w:numPr>
          <w:ilvl w:val="0"/>
          <w:numId w:val="34"/>
        </w:numPr>
        <w:bidi w:val="0"/>
        <w:snapToGrid w:val="0"/>
        <w:ind w:left="425" w:hanging="425"/>
        <w:jc w:val="both"/>
        <w:rPr>
          <w:sz w:val="20"/>
          <w:szCs w:val="20"/>
        </w:rPr>
      </w:pPr>
      <w:r w:rsidRPr="003C30AA">
        <w:rPr>
          <w:bCs/>
          <w:sz w:val="20"/>
          <w:szCs w:val="20"/>
        </w:rPr>
        <w:t>Barr</w:t>
      </w:r>
      <w:r w:rsidR="00840D53" w:rsidRPr="003C30AA">
        <w:rPr>
          <w:bCs/>
          <w:sz w:val="20"/>
          <w:szCs w:val="20"/>
        </w:rPr>
        <w:t xml:space="preserve"> </w:t>
      </w:r>
      <w:r w:rsidRPr="003C30AA">
        <w:rPr>
          <w:bCs/>
          <w:sz w:val="20"/>
          <w:szCs w:val="20"/>
        </w:rPr>
        <w:t>AJ,</w:t>
      </w:r>
      <w:r w:rsidR="00840D53" w:rsidRPr="003C30AA">
        <w:rPr>
          <w:bCs/>
          <w:sz w:val="20"/>
          <w:szCs w:val="20"/>
        </w:rPr>
        <w:t xml:space="preserve"> </w:t>
      </w:r>
      <w:r w:rsidRPr="003C30AA">
        <w:rPr>
          <w:bCs/>
          <w:sz w:val="20"/>
          <w:szCs w:val="20"/>
        </w:rPr>
        <w:t>Campbell</w:t>
      </w:r>
      <w:r w:rsidR="00840D53" w:rsidRPr="003C30AA">
        <w:rPr>
          <w:bCs/>
          <w:sz w:val="20"/>
          <w:szCs w:val="20"/>
        </w:rPr>
        <w:t xml:space="preserve"> </w:t>
      </w:r>
      <w:r w:rsidRPr="003C30AA">
        <w:rPr>
          <w:bCs/>
          <w:sz w:val="20"/>
          <w:szCs w:val="20"/>
        </w:rPr>
        <w:t>TM,</w:t>
      </w:r>
      <w:r w:rsidR="00840D53" w:rsidRPr="003C30AA">
        <w:rPr>
          <w:bCs/>
          <w:sz w:val="20"/>
          <w:szCs w:val="20"/>
        </w:rPr>
        <w:t xml:space="preserve"> </w:t>
      </w:r>
      <w:r w:rsidRPr="003C30AA">
        <w:rPr>
          <w:bCs/>
          <w:sz w:val="20"/>
          <w:szCs w:val="20"/>
        </w:rPr>
        <w:t>Hopkinson</w:t>
      </w:r>
      <w:r w:rsidR="00840D53" w:rsidRPr="003C30AA">
        <w:rPr>
          <w:bCs/>
          <w:sz w:val="20"/>
          <w:szCs w:val="20"/>
        </w:rPr>
        <w:t xml:space="preserve"> </w:t>
      </w:r>
      <w:r w:rsidRPr="003C30AA">
        <w:rPr>
          <w:bCs/>
          <w:sz w:val="20"/>
          <w:szCs w:val="20"/>
        </w:rPr>
        <w:t>D,</w:t>
      </w:r>
      <w:r w:rsidR="00840D53" w:rsidRPr="003C30AA">
        <w:rPr>
          <w:bCs/>
          <w:sz w:val="20"/>
          <w:szCs w:val="20"/>
        </w:rPr>
        <w:t xml:space="preserve"> </w:t>
      </w:r>
      <w:r w:rsidRPr="003C30AA">
        <w:rPr>
          <w:bCs/>
          <w:sz w:val="20"/>
          <w:szCs w:val="20"/>
        </w:rPr>
        <w:t>Kingsbury</w:t>
      </w:r>
      <w:r w:rsidR="00840D53" w:rsidRPr="003C30AA">
        <w:rPr>
          <w:bCs/>
          <w:sz w:val="20"/>
          <w:szCs w:val="20"/>
        </w:rPr>
        <w:t xml:space="preserve"> </w:t>
      </w:r>
      <w:r w:rsidRPr="003C30AA">
        <w:rPr>
          <w:bCs/>
          <w:sz w:val="20"/>
          <w:szCs w:val="20"/>
        </w:rPr>
        <w:t>SR,</w:t>
      </w:r>
      <w:r w:rsidR="00840D53" w:rsidRPr="003C30AA">
        <w:rPr>
          <w:bCs/>
          <w:sz w:val="20"/>
          <w:szCs w:val="20"/>
        </w:rPr>
        <w:t xml:space="preserve"> </w:t>
      </w:r>
      <w:r w:rsidRPr="003C30AA">
        <w:rPr>
          <w:bCs/>
          <w:sz w:val="20"/>
          <w:szCs w:val="20"/>
        </w:rPr>
        <w:t>Bowes</w:t>
      </w:r>
      <w:r w:rsidR="00840D53" w:rsidRPr="003C30AA">
        <w:rPr>
          <w:bCs/>
          <w:sz w:val="20"/>
          <w:szCs w:val="20"/>
        </w:rPr>
        <w:t xml:space="preserve"> </w:t>
      </w:r>
      <w:r w:rsidRPr="003C30AA">
        <w:rPr>
          <w:bCs/>
          <w:sz w:val="20"/>
          <w:szCs w:val="20"/>
        </w:rPr>
        <w:t>MA.</w:t>
      </w:r>
      <w:r w:rsidR="00840D53" w:rsidRPr="003C30AA">
        <w:rPr>
          <w:sz w:val="20"/>
          <w:szCs w:val="20"/>
        </w:rPr>
        <w:t xml:space="preserve"> </w:t>
      </w:r>
      <w:r w:rsidRPr="003C30AA">
        <w:rPr>
          <w:sz w:val="20"/>
          <w:szCs w:val="20"/>
        </w:rPr>
        <w:t>A</w:t>
      </w:r>
      <w:r w:rsidR="00840D53" w:rsidRPr="003C30AA">
        <w:rPr>
          <w:sz w:val="20"/>
          <w:szCs w:val="20"/>
        </w:rPr>
        <w:t xml:space="preserve"> </w:t>
      </w:r>
      <w:r w:rsidRPr="003C30AA">
        <w:rPr>
          <w:sz w:val="20"/>
          <w:szCs w:val="20"/>
        </w:rPr>
        <w:t>systematic</w:t>
      </w:r>
      <w:r w:rsidR="00840D53" w:rsidRPr="003C30AA">
        <w:rPr>
          <w:sz w:val="20"/>
          <w:szCs w:val="20"/>
        </w:rPr>
        <w:t xml:space="preserve"> </w:t>
      </w:r>
      <w:r w:rsidRPr="003C30AA">
        <w:rPr>
          <w:sz w:val="20"/>
          <w:szCs w:val="20"/>
        </w:rPr>
        <w:t>review</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the</w:t>
      </w:r>
      <w:r w:rsidR="00840D53" w:rsidRPr="003C30AA">
        <w:rPr>
          <w:sz w:val="20"/>
          <w:szCs w:val="20"/>
        </w:rPr>
        <w:t xml:space="preserve"> </w:t>
      </w:r>
      <w:r w:rsidRPr="003C30AA">
        <w:rPr>
          <w:sz w:val="20"/>
          <w:szCs w:val="20"/>
        </w:rPr>
        <w:t>relationship</w:t>
      </w:r>
      <w:r w:rsidR="00840D53" w:rsidRPr="003C30AA">
        <w:rPr>
          <w:sz w:val="20"/>
          <w:szCs w:val="20"/>
        </w:rPr>
        <w:t xml:space="preserve"> </w:t>
      </w:r>
      <w:r w:rsidRPr="003C30AA">
        <w:rPr>
          <w:sz w:val="20"/>
          <w:szCs w:val="20"/>
        </w:rPr>
        <w:t>between</w:t>
      </w:r>
      <w:r w:rsidR="00840D53" w:rsidRPr="003C30AA">
        <w:rPr>
          <w:sz w:val="20"/>
          <w:szCs w:val="20"/>
        </w:rPr>
        <w:t xml:space="preserve"> </w:t>
      </w:r>
      <w:proofErr w:type="spellStart"/>
      <w:r w:rsidRPr="003C30AA">
        <w:rPr>
          <w:sz w:val="20"/>
          <w:szCs w:val="20"/>
        </w:rPr>
        <w:t>subchondral</w:t>
      </w:r>
      <w:proofErr w:type="spellEnd"/>
      <w:r w:rsidR="00840D53" w:rsidRPr="003C30AA">
        <w:rPr>
          <w:sz w:val="20"/>
          <w:szCs w:val="20"/>
        </w:rPr>
        <w:t xml:space="preserve"> </w:t>
      </w:r>
      <w:r w:rsidRPr="003C30AA">
        <w:rPr>
          <w:sz w:val="20"/>
          <w:szCs w:val="20"/>
        </w:rPr>
        <w:t>bone</w:t>
      </w:r>
      <w:r w:rsidR="00840D53" w:rsidRPr="003C30AA">
        <w:rPr>
          <w:sz w:val="20"/>
          <w:szCs w:val="20"/>
        </w:rPr>
        <w:t xml:space="preserve"> </w:t>
      </w:r>
      <w:r w:rsidRPr="003C30AA">
        <w:rPr>
          <w:sz w:val="20"/>
          <w:szCs w:val="20"/>
        </w:rPr>
        <w:t>features,</w:t>
      </w:r>
      <w:r w:rsidR="00840D53" w:rsidRPr="003C30AA">
        <w:rPr>
          <w:sz w:val="20"/>
          <w:szCs w:val="20"/>
        </w:rPr>
        <w:t xml:space="preserve"> </w:t>
      </w:r>
      <w:r w:rsidRPr="003C30AA">
        <w:rPr>
          <w:sz w:val="20"/>
          <w:szCs w:val="20"/>
        </w:rPr>
        <w:t>pain</w:t>
      </w:r>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structural</w:t>
      </w:r>
      <w:r w:rsidR="00840D53" w:rsidRPr="003C30AA">
        <w:rPr>
          <w:sz w:val="20"/>
          <w:szCs w:val="20"/>
        </w:rPr>
        <w:t xml:space="preserve"> </w:t>
      </w:r>
      <w:r w:rsidRPr="003C30AA">
        <w:rPr>
          <w:sz w:val="20"/>
          <w:szCs w:val="20"/>
        </w:rPr>
        <w:t>pathology</w:t>
      </w:r>
      <w:r w:rsidR="00840D53" w:rsidRPr="003C30AA">
        <w:rPr>
          <w:sz w:val="20"/>
          <w:szCs w:val="20"/>
        </w:rPr>
        <w:t xml:space="preserve"> </w:t>
      </w:r>
      <w:r w:rsidRPr="003C30AA">
        <w:rPr>
          <w:sz w:val="20"/>
          <w:szCs w:val="20"/>
        </w:rPr>
        <w:t>in</w:t>
      </w:r>
      <w:r w:rsidR="00840D53" w:rsidRPr="003C30AA">
        <w:rPr>
          <w:sz w:val="20"/>
          <w:szCs w:val="20"/>
        </w:rPr>
        <w:t xml:space="preserve"> </w:t>
      </w:r>
      <w:r w:rsidRPr="003C30AA">
        <w:rPr>
          <w:sz w:val="20"/>
          <w:szCs w:val="20"/>
        </w:rPr>
        <w:t>peripheral</w:t>
      </w:r>
      <w:r w:rsidR="00840D53" w:rsidRPr="003C30AA">
        <w:rPr>
          <w:sz w:val="20"/>
          <w:szCs w:val="20"/>
        </w:rPr>
        <w:t xml:space="preserve"> </w:t>
      </w:r>
      <w:r w:rsidRPr="003C30AA">
        <w:rPr>
          <w:sz w:val="20"/>
          <w:szCs w:val="20"/>
        </w:rPr>
        <w:t>joint</w:t>
      </w:r>
      <w:r w:rsidR="00840D53" w:rsidRPr="003C30AA">
        <w:rPr>
          <w:sz w:val="20"/>
          <w:szCs w:val="20"/>
        </w:rPr>
        <w:t xml:space="preserve"> </w:t>
      </w:r>
      <w:r w:rsidRPr="003C30AA">
        <w:rPr>
          <w:sz w:val="20"/>
          <w:szCs w:val="20"/>
        </w:rPr>
        <w:t>osteoarthritis.</w:t>
      </w:r>
      <w:r w:rsidR="00840D53" w:rsidRPr="003C30AA">
        <w:rPr>
          <w:sz w:val="20"/>
          <w:szCs w:val="20"/>
        </w:rPr>
        <w:t xml:space="preserve"> </w:t>
      </w:r>
      <w:r w:rsidRPr="003C30AA">
        <w:rPr>
          <w:sz w:val="20"/>
          <w:szCs w:val="20"/>
        </w:rPr>
        <w:t>Arthritis</w:t>
      </w:r>
      <w:r w:rsidR="00840D53" w:rsidRPr="003C30AA">
        <w:rPr>
          <w:sz w:val="20"/>
          <w:szCs w:val="20"/>
        </w:rPr>
        <w:t xml:space="preserve"> </w:t>
      </w:r>
      <w:r w:rsidRPr="003C30AA">
        <w:rPr>
          <w:sz w:val="20"/>
          <w:szCs w:val="20"/>
        </w:rPr>
        <w:t>Res</w:t>
      </w:r>
      <w:r w:rsidR="00840D53" w:rsidRPr="003C30AA">
        <w:rPr>
          <w:sz w:val="20"/>
          <w:szCs w:val="20"/>
        </w:rPr>
        <w:t xml:space="preserve"> </w:t>
      </w:r>
      <w:proofErr w:type="spellStart"/>
      <w:r w:rsidRPr="003C30AA">
        <w:rPr>
          <w:sz w:val="20"/>
          <w:szCs w:val="20"/>
        </w:rPr>
        <w:t>Ther</w:t>
      </w:r>
      <w:proofErr w:type="spellEnd"/>
      <w:r w:rsidR="00840D53" w:rsidRPr="003C30AA">
        <w:rPr>
          <w:sz w:val="20"/>
          <w:szCs w:val="20"/>
        </w:rPr>
        <w:t xml:space="preserve"> </w:t>
      </w:r>
      <w:r w:rsidRPr="003C30AA">
        <w:rPr>
          <w:bCs/>
          <w:sz w:val="20"/>
          <w:szCs w:val="20"/>
        </w:rPr>
        <w:t>2015</w:t>
      </w:r>
      <w:r w:rsidRPr="003C30AA">
        <w:rPr>
          <w:sz w:val="20"/>
          <w:szCs w:val="20"/>
        </w:rPr>
        <w:t>;</w:t>
      </w:r>
      <w:r w:rsidR="00840D53" w:rsidRPr="003C30AA">
        <w:rPr>
          <w:sz w:val="20"/>
          <w:szCs w:val="20"/>
        </w:rPr>
        <w:t xml:space="preserve"> </w:t>
      </w:r>
      <w:r w:rsidRPr="003C30AA">
        <w:rPr>
          <w:sz w:val="20"/>
          <w:szCs w:val="20"/>
        </w:rPr>
        <w:t>17(1):228.</w:t>
      </w:r>
    </w:p>
    <w:p w:rsidR="00736402" w:rsidRPr="003C30AA" w:rsidRDefault="00736402" w:rsidP="00840D53">
      <w:pPr>
        <w:numPr>
          <w:ilvl w:val="0"/>
          <w:numId w:val="34"/>
        </w:numPr>
        <w:autoSpaceDE w:val="0"/>
        <w:autoSpaceDN w:val="0"/>
        <w:bidi w:val="0"/>
        <w:adjustRightInd w:val="0"/>
        <w:snapToGrid w:val="0"/>
        <w:ind w:left="425" w:hanging="425"/>
        <w:jc w:val="both"/>
        <w:rPr>
          <w:sz w:val="20"/>
          <w:szCs w:val="20"/>
        </w:rPr>
      </w:pPr>
      <w:proofErr w:type="spellStart"/>
      <w:r w:rsidRPr="003C30AA">
        <w:rPr>
          <w:bCs/>
          <w:sz w:val="20"/>
          <w:szCs w:val="20"/>
        </w:rPr>
        <w:t>Bennell</w:t>
      </w:r>
      <w:proofErr w:type="spellEnd"/>
      <w:r w:rsidR="00840D53" w:rsidRPr="003C30AA">
        <w:rPr>
          <w:bCs/>
          <w:sz w:val="20"/>
          <w:szCs w:val="20"/>
        </w:rPr>
        <w:t xml:space="preserve"> </w:t>
      </w:r>
      <w:r w:rsidRPr="003C30AA">
        <w:rPr>
          <w:bCs/>
          <w:sz w:val="20"/>
          <w:szCs w:val="20"/>
        </w:rPr>
        <w:t>KL,</w:t>
      </w:r>
      <w:r w:rsidR="00840D53" w:rsidRPr="003C30AA">
        <w:rPr>
          <w:bCs/>
          <w:sz w:val="20"/>
          <w:szCs w:val="20"/>
        </w:rPr>
        <w:t xml:space="preserve"> </w:t>
      </w:r>
      <w:r w:rsidRPr="003C30AA">
        <w:rPr>
          <w:bCs/>
          <w:sz w:val="20"/>
          <w:szCs w:val="20"/>
        </w:rPr>
        <w:t>Bowles</w:t>
      </w:r>
      <w:r w:rsidR="00840D53" w:rsidRPr="003C30AA">
        <w:rPr>
          <w:bCs/>
          <w:sz w:val="20"/>
          <w:szCs w:val="20"/>
        </w:rPr>
        <w:t xml:space="preserve"> </w:t>
      </w:r>
      <w:r w:rsidRPr="003C30AA">
        <w:rPr>
          <w:bCs/>
          <w:sz w:val="20"/>
          <w:szCs w:val="20"/>
        </w:rPr>
        <w:t>KA,</w:t>
      </w:r>
      <w:r w:rsidR="00840D53" w:rsidRPr="003C30AA">
        <w:rPr>
          <w:bCs/>
          <w:sz w:val="20"/>
          <w:szCs w:val="20"/>
        </w:rPr>
        <w:t xml:space="preserve"> </w:t>
      </w:r>
      <w:r w:rsidRPr="003C30AA">
        <w:rPr>
          <w:bCs/>
          <w:sz w:val="20"/>
          <w:szCs w:val="20"/>
        </w:rPr>
        <w:t>Wang</w:t>
      </w:r>
      <w:r w:rsidR="00840D53" w:rsidRPr="003C30AA">
        <w:rPr>
          <w:bCs/>
          <w:sz w:val="20"/>
          <w:szCs w:val="20"/>
        </w:rPr>
        <w:t xml:space="preserve"> </w:t>
      </w:r>
      <w:r w:rsidRPr="003C30AA">
        <w:rPr>
          <w:bCs/>
          <w:sz w:val="20"/>
          <w:szCs w:val="20"/>
        </w:rPr>
        <w:t>Y,</w:t>
      </w:r>
      <w:r w:rsidR="00840D53" w:rsidRPr="003C30AA">
        <w:rPr>
          <w:bCs/>
          <w:sz w:val="20"/>
          <w:szCs w:val="20"/>
        </w:rPr>
        <w:t xml:space="preserve"> </w:t>
      </w:r>
      <w:proofErr w:type="spellStart"/>
      <w:r w:rsidRPr="003C30AA">
        <w:rPr>
          <w:bCs/>
          <w:sz w:val="20"/>
          <w:szCs w:val="20"/>
        </w:rPr>
        <w:t>Cicuttini</w:t>
      </w:r>
      <w:proofErr w:type="spellEnd"/>
      <w:r w:rsidR="00840D53" w:rsidRPr="003C30AA">
        <w:rPr>
          <w:bCs/>
          <w:sz w:val="20"/>
          <w:szCs w:val="20"/>
        </w:rPr>
        <w:t xml:space="preserve"> </w:t>
      </w:r>
      <w:r w:rsidRPr="003C30AA">
        <w:rPr>
          <w:bCs/>
          <w:sz w:val="20"/>
          <w:szCs w:val="20"/>
        </w:rPr>
        <w:t>F,</w:t>
      </w:r>
      <w:r w:rsidR="00840D53" w:rsidRPr="003C30AA">
        <w:rPr>
          <w:bCs/>
          <w:sz w:val="20"/>
          <w:szCs w:val="20"/>
        </w:rPr>
        <w:t xml:space="preserve"> </w:t>
      </w:r>
      <w:r w:rsidRPr="003C30AA">
        <w:rPr>
          <w:bCs/>
          <w:sz w:val="20"/>
          <w:szCs w:val="20"/>
        </w:rPr>
        <w:t>Davies-Tuck</w:t>
      </w:r>
      <w:r w:rsidR="00840D53" w:rsidRPr="003C30AA">
        <w:rPr>
          <w:bCs/>
          <w:sz w:val="20"/>
          <w:szCs w:val="20"/>
        </w:rPr>
        <w:t xml:space="preserve"> </w:t>
      </w:r>
      <w:r w:rsidRPr="003C30AA">
        <w:rPr>
          <w:bCs/>
          <w:sz w:val="20"/>
          <w:szCs w:val="20"/>
        </w:rPr>
        <w:t>M,</w:t>
      </w:r>
      <w:r w:rsidR="00840D53" w:rsidRPr="003C30AA">
        <w:rPr>
          <w:bCs/>
          <w:sz w:val="20"/>
          <w:szCs w:val="20"/>
        </w:rPr>
        <w:t xml:space="preserve"> </w:t>
      </w:r>
      <w:proofErr w:type="spellStart"/>
      <w:r w:rsidRPr="003C30AA">
        <w:rPr>
          <w:bCs/>
          <w:sz w:val="20"/>
          <w:szCs w:val="20"/>
        </w:rPr>
        <w:t>Hinman</w:t>
      </w:r>
      <w:proofErr w:type="spellEnd"/>
      <w:r w:rsidR="00840D53" w:rsidRPr="003C30AA">
        <w:rPr>
          <w:bCs/>
          <w:sz w:val="20"/>
          <w:szCs w:val="20"/>
        </w:rPr>
        <w:t xml:space="preserve"> </w:t>
      </w:r>
      <w:r w:rsidRPr="003C30AA">
        <w:rPr>
          <w:bCs/>
          <w:sz w:val="20"/>
          <w:szCs w:val="20"/>
        </w:rPr>
        <w:t>RS.</w:t>
      </w:r>
      <w:r w:rsidR="00840D53" w:rsidRPr="003C30AA">
        <w:rPr>
          <w:bCs/>
          <w:sz w:val="20"/>
          <w:szCs w:val="20"/>
        </w:rPr>
        <w:t xml:space="preserve"> </w:t>
      </w:r>
      <w:r w:rsidRPr="003C30AA">
        <w:rPr>
          <w:sz w:val="20"/>
          <w:szCs w:val="20"/>
        </w:rPr>
        <w:t>Higher</w:t>
      </w:r>
      <w:r w:rsidR="00840D53" w:rsidRPr="003C30AA">
        <w:rPr>
          <w:sz w:val="20"/>
          <w:szCs w:val="20"/>
        </w:rPr>
        <w:t xml:space="preserve"> </w:t>
      </w:r>
      <w:r w:rsidRPr="003C30AA">
        <w:rPr>
          <w:sz w:val="20"/>
          <w:szCs w:val="20"/>
        </w:rPr>
        <w:t>dynamic</w:t>
      </w:r>
      <w:r w:rsidR="00840D53" w:rsidRPr="003C30AA">
        <w:rPr>
          <w:sz w:val="20"/>
          <w:szCs w:val="20"/>
        </w:rPr>
        <w:t xml:space="preserve"> </w:t>
      </w:r>
      <w:r w:rsidRPr="003C30AA">
        <w:rPr>
          <w:sz w:val="20"/>
          <w:szCs w:val="20"/>
        </w:rPr>
        <w:t>medial</w:t>
      </w:r>
      <w:r w:rsidR="00840D53" w:rsidRPr="003C30AA">
        <w:rPr>
          <w:sz w:val="20"/>
          <w:szCs w:val="20"/>
        </w:rPr>
        <w:t xml:space="preserve"> </w:t>
      </w:r>
      <w:r w:rsidRPr="003C30AA">
        <w:rPr>
          <w:sz w:val="20"/>
          <w:szCs w:val="20"/>
        </w:rPr>
        <w:t>knee</w:t>
      </w:r>
      <w:r w:rsidR="00840D53" w:rsidRPr="003C30AA">
        <w:rPr>
          <w:sz w:val="20"/>
          <w:szCs w:val="20"/>
        </w:rPr>
        <w:t xml:space="preserve"> </w:t>
      </w:r>
      <w:r w:rsidRPr="003C30AA">
        <w:rPr>
          <w:sz w:val="20"/>
          <w:szCs w:val="20"/>
        </w:rPr>
        <w:t>load</w:t>
      </w:r>
      <w:r w:rsidR="00840D53" w:rsidRPr="003C30AA">
        <w:rPr>
          <w:sz w:val="20"/>
          <w:szCs w:val="20"/>
        </w:rPr>
        <w:t xml:space="preserve"> </w:t>
      </w:r>
      <w:r w:rsidRPr="003C30AA">
        <w:rPr>
          <w:sz w:val="20"/>
          <w:szCs w:val="20"/>
        </w:rPr>
        <w:t>predicts</w:t>
      </w:r>
      <w:r w:rsidR="00840D53" w:rsidRPr="003C30AA">
        <w:rPr>
          <w:sz w:val="20"/>
          <w:szCs w:val="20"/>
        </w:rPr>
        <w:t xml:space="preserve"> </w:t>
      </w:r>
      <w:r w:rsidRPr="003C30AA">
        <w:rPr>
          <w:sz w:val="20"/>
          <w:szCs w:val="20"/>
        </w:rPr>
        <w:t>greater</w:t>
      </w:r>
      <w:r w:rsidR="00840D53" w:rsidRPr="003C30AA">
        <w:rPr>
          <w:sz w:val="20"/>
          <w:szCs w:val="20"/>
        </w:rPr>
        <w:t xml:space="preserve"> </w:t>
      </w:r>
      <w:r w:rsidRPr="003C30AA">
        <w:rPr>
          <w:sz w:val="20"/>
          <w:szCs w:val="20"/>
        </w:rPr>
        <w:t>cartilage</w:t>
      </w:r>
      <w:r w:rsidR="00840D53" w:rsidRPr="003C30AA">
        <w:rPr>
          <w:sz w:val="20"/>
          <w:szCs w:val="20"/>
        </w:rPr>
        <w:t xml:space="preserve"> </w:t>
      </w:r>
      <w:r w:rsidRPr="003C30AA">
        <w:rPr>
          <w:sz w:val="20"/>
          <w:szCs w:val="20"/>
        </w:rPr>
        <w:t>loss</w:t>
      </w:r>
      <w:r w:rsidR="00840D53" w:rsidRPr="003C30AA">
        <w:rPr>
          <w:sz w:val="20"/>
          <w:szCs w:val="20"/>
        </w:rPr>
        <w:t xml:space="preserve"> </w:t>
      </w:r>
      <w:r w:rsidRPr="003C30AA">
        <w:rPr>
          <w:sz w:val="20"/>
          <w:szCs w:val="20"/>
        </w:rPr>
        <w:t>over</w:t>
      </w:r>
      <w:r w:rsidR="00840D53" w:rsidRPr="003C30AA">
        <w:rPr>
          <w:sz w:val="20"/>
          <w:szCs w:val="20"/>
        </w:rPr>
        <w:t xml:space="preserve"> </w:t>
      </w:r>
      <w:r w:rsidRPr="003C30AA">
        <w:rPr>
          <w:sz w:val="20"/>
          <w:szCs w:val="20"/>
        </w:rPr>
        <w:t>12</w:t>
      </w:r>
      <w:r w:rsidR="00840D53" w:rsidRPr="003C30AA">
        <w:rPr>
          <w:sz w:val="20"/>
          <w:szCs w:val="20"/>
        </w:rPr>
        <w:t xml:space="preserve"> </w:t>
      </w:r>
      <w:r w:rsidRPr="003C30AA">
        <w:rPr>
          <w:sz w:val="20"/>
          <w:szCs w:val="20"/>
        </w:rPr>
        <w:t>months</w:t>
      </w:r>
      <w:r w:rsidR="00840D53" w:rsidRPr="003C30AA">
        <w:rPr>
          <w:sz w:val="20"/>
          <w:szCs w:val="20"/>
        </w:rPr>
        <w:t xml:space="preserve"> </w:t>
      </w:r>
      <w:r w:rsidRPr="003C30AA">
        <w:rPr>
          <w:sz w:val="20"/>
          <w:szCs w:val="20"/>
        </w:rPr>
        <w:t>in</w:t>
      </w:r>
      <w:r w:rsidR="00840D53" w:rsidRPr="003C30AA">
        <w:rPr>
          <w:sz w:val="20"/>
          <w:szCs w:val="20"/>
        </w:rPr>
        <w:t xml:space="preserve"> </w:t>
      </w:r>
      <w:r w:rsidRPr="003C30AA">
        <w:rPr>
          <w:sz w:val="20"/>
          <w:szCs w:val="20"/>
        </w:rPr>
        <w:t>medial</w:t>
      </w:r>
      <w:r w:rsidR="00840D53" w:rsidRPr="003C30AA">
        <w:rPr>
          <w:sz w:val="20"/>
          <w:szCs w:val="20"/>
        </w:rPr>
        <w:t xml:space="preserve"> </w:t>
      </w:r>
      <w:r w:rsidRPr="003C30AA">
        <w:rPr>
          <w:sz w:val="20"/>
          <w:szCs w:val="20"/>
        </w:rPr>
        <w:t>knee</w:t>
      </w:r>
      <w:r w:rsidR="00840D53" w:rsidRPr="003C30AA">
        <w:rPr>
          <w:sz w:val="20"/>
          <w:szCs w:val="20"/>
        </w:rPr>
        <w:t xml:space="preserve"> </w:t>
      </w:r>
      <w:r w:rsidRPr="003C30AA">
        <w:rPr>
          <w:sz w:val="20"/>
          <w:szCs w:val="20"/>
        </w:rPr>
        <w:t>osteoarthritis.</w:t>
      </w:r>
      <w:r w:rsidR="00840D53" w:rsidRPr="003C30AA">
        <w:rPr>
          <w:sz w:val="20"/>
          <w:szCs w:val="20"/>
        </w:rPr>
        <w:t xml:space="preserve"> </w:t>
      </w:r>
      <w:r w:rsidRPr="003C30AA">
        <w:rPr>
          <w:sz w:val="20"/>
          <w:szCs w:val="20"/>
        </w:rPr>
        <w:t>Ann</w:t>
      </w:r>
      <w:r w:rsidR="00840D53" w:rsidRPr="003C30AA">
        <w:rPr>
          <w:sz w:val="20"/>
          <w:szCs w:val="20"/>
        </w:rPr>
        <w:t xml:space="preserve"> </w:t>
      </w:r>
      <w:r w:rsidRPr="003C30AA">
        <w:rPr>
          <w:sz w:val="20"/>
          <w:szCs w:val="20"/>
        </w:rPr>
        <w:t>Rheum</w:t>
      </w:r>
      <w:r w:rsidR="00840D53" w:rsidRPr="003C30AA">
        <w:rPr>
          <w:sz w:val="20"/>
          <w:szCs w:val="20"/>
        </w:rPr>
        <w:t xml:space="preserve"> </w:t>
      </w:r>
      <w:r w:rsidRPr="003C30AA">
        <w:rPr>
          <w:sz w:val="20"/>
          <w:szCs w:val="20"/>
        </w:rPr>
        <w:t>Dis.</w:t>
      </w:r>
      <w:r w:rsidR="00840D53" w:rsidRPr="003C30AA">
        <w:rPr>
          <w:sz w:val="20"/>
          <w:szCs w:val="20"/>
        </w:rPr>
        <w:t xml:space="preserve"> </w:t>
      </w:r>
      <w:r w:rsidRPr="003C30AA">
        <w:rPr>
          <w:bCs/>
          <w:sz w:val="20"/>
          <w:szCs w:val="20"/>
        </w:rPr>
        <w:t>2011</w:t>
      </w:r>
      <w:r w:rsidRPr="003C30AA">
        <w:rPr>
          <w:sz w:val="20"/>
          <w:szCs w:val="20"/>
        </w:rPr>
        <w:t>;70:1770-4.</w:t>
      </w:r>
    </w:p>
    <w:p w:rsidR="00736402" w:rsidRPr="003C30AA" w:rsidRDefault="00736402" w:rsidP="00840D53">
      <w:pPr>
        <w:numPr>
          <w:ilvl w:val="0"/>
          <w:numId w:val="34"/>
        </w:numPr>
        <w:autoSpaceDE w:val="0"/>
        <w:autoSpaceDN w:val="0"/>
        <w:bidi w:val="0"/>
        <w:adjustRightInd w:val="0"/>
        <w:snapToGrid w:val="0"/>
        <w:ind w:left="425" w:hanging="425"/>
        <w:jc w:val="both"/>
        <w:rPr>
          <w:sz w:val="20"/>
          <w:szCs w:val="20"/>
        </w:rPr>
      </w:pPr>
      <w:proofErr w:type="spellStart"/>
      <w:r w:rsidRPr="003C30AA">
        <w:rPr>
          <w:bCs/>
          <w:sz w:val="20"/>
          <w:szCs w:val="20"/>
        </w:rPr>
        <w:t>Bialog</w:t>
      </w:r>
      <w:proofErr w:type="spellEnd"/>
      <w:r w:rsidR="00840D53" w:rsidRPr="003C30AA">
        <w:rPr>
          <w:bCs/>
          <w:sz w:val="20"/>
          <w:szCs w:val="20"/>
        </w:rPr>
        <w:t xml:space="preserve"> </w:t>
      </w:r>
      <w:r w:rsidRPr="003C30AA">
        <w:rPr>
          <w:bCs/>
          <w:sz w:val="20"/>
          <w:szCs w:val="20"/>
        </w:rPr>
        <w:t>C,</w:t>
      </w:r>
      <w:r w:rsidR="00840D53" w:rsidRPr="003C30AA">
        <w:rPr>
          <w:bCs/>
          <w:sz w:val="20"/>
          <w:szCs w:val="20"/>
        </w:rPr>
        <w:t xml:space="preserve"> </w:t>
      </w:r>
      <w:proofErr w:type="spellStart"/>
      <w:r w:rsidRPr="003C30AA">
        <w:rPr>
          <w:bCs/>
          <w:sz w:val="20"/>
          <w:szCs w:val="20"/>
        </w:rPr>
        <w:t>Reginato</w:t>
      </w:r>
      <w:proofErr w:type="spellEnd"/>
      <w:r w:rsidR="00840D53" w:rsidRPr="003C30AA">
        <w:rPr>
          <w:bCs/>
          <w:sz w:val="20"/>
          <w:szCs w:val="20"/>
        </w:rPr>
        <w:t xml:space="preserve"> </w:t>
      </w:r>
      <w:r w:rsidRPr="003C30AA">
        <w:rPr>
          <w:bCs/>
          <w:sz w:val="20"/>
          <w:szCs w:val="20"/>
        </w:rPr>
        <w:t>AM.</w:t>
      </w:r>
      <w:r w:rsidR="00840D53" w:rsidRPr="003C30AA">
        <w:rPr>
          <w:sz w:val="20"/>
          <w:szCs w:val="20"/>
        </w:rPr>
        <w:t xml:space="preserve"> </w:t>
      </w:r>
      <w:r w:rsidRPr="003C30AA">
        <w:rPr>
          <w:sz w:val="20"/>
          <w:szCs w:val="20"/>
        </w:rPr>
        <w:t>Epidemiology,</w:t>
      </w:r>
      <w:r w:rsidR="00840D53" w:rsidRPr="003C30AA">
        <w:rPr>
          <w:sz w:val="20"/>
          <w:szCs w:val="20"/>
        </w:rPr>
        <w:t xml:space="preserve"> </w:t>
      </w:r>
      <w:r w:rsidRPr="003C30AA">
        <w:rPr>
          <w:sz w:val="20"/>
          <w:szCs w:val="20"/>
        </w:rPr>
        <w:t>Risk</w:t>
      </w:r>
      <w:r w:rsidR="00840D53" w:rsidRPr="003C30AA">
        <w:rPr>
          <w:sz w:val="20"/>
          <w:szCs w:val="20"/>
        </w:rPr>
        <w:t xml:space="preserve"> </w:t>
      </w:r>
      <w:r w:rsidRPr="003C30AA">
        <w:rPr>
          <w:sz w:val="20"/>
          <w:szCs w:val="20"/>
        </w:rPr>
        <w:t>Factors,</w:t>
      </w:r>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Aging</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Osteoarthritis.</w:t>
      </w:r>
      <w:r w:rsidR="00840D53" w:rsidRPr="003C30AA">
        <w:rPr>
          <w:sz w:val="20"/>
          <w:szCs w:val="20"/>
        </w:rPr>
        <w:t xml:space="preserve"> </w:t>
      </w:r>
      <w:r w:rsidRPr="003C30AA">
        <w:rPr>
          <w:sz w:val="20"/>
          <w:szCs w:val="20"/>
        </w:rPr>
        <w:t>Chapter</w:t>
      </w:r>
      <w:r w:rsidR="00840D53" w:rsidRPr="003C30AA">
        <w:rPr>
          <w:sz w:val="20"/>
          <w:szCs w:val="20"/>
        </w:rPr>
        <w:t xml:space="preserve"> </w:t>
      </w:r>
      <w:r w:rsidRPr="003C30AA">
        <w:rPr>
          <w:sz w:val="20"/>
          <w:szCs w:val="20"/>
        </w:rPr>
        <w:t>18:</w:t>
      </w:r>
      <w:r w:rsidR="00840D53" w:rsidRPr="003C30AA">
        <w:rPr>
          <w:sz w:val="20"/>
          <w:szCs w:val="20"/>
        </w:rPr>
        <w:t xml:space="preserve"> </w:t>
      </w:r>
      <w:r w:rsidRPr="003C30AA">
        <w:rPr>
          <w:sz w:val="20"/>
          <w:szCs w:val="20"/>
        </w:rPr>
        <w:t>In:</w:t>
      </w:r>
      <w:r w:rsidR="00840D53" w:rsidRPr="003C30AA">
        <w:rPr>
          <w:sz w:val="20"/>
          <w:szCs w:val="20"/>
        </w:rPr>
        <w:t xml:space="preserve"> </w:t>
      </w:r>
      <w:r w:rsidRPr="003C30AA">
        <w:rPr>
          <w:sz w:val="20"/>
          <w:szCs w:val="20"/>
        </w:rPr>
        <w:t>Geriatric</w:t>
      </w:r>
      <w:r w:rsidR="00840D53" w:rsidRPr="003C30AA">
        <w:rPr>
          <w:sz w:val="20"/>
          <w:szCs w:val="20"/>
        </w:rPr>
        <w:t xml:space="preserve"> </w:t>
      </w:r>
      <w:r w:rsidRPr="003C30AA">
        <w:rPr>
          <w:sz w:val="20"/>
          <w:szCs w:val="20"/>
        </w:rPr>
        <w:t>Rheumatology:</w:t>
      </w:r>
      <w:r w:rsidR="00840D53" w:rsidRPr="003C30AA">
        <w:rPr>
          <w:sz w:val="20"/>
          <w:szCs w:val="20"/>
        </w:rPr>
        <w:t xml:space="preserve"> </w:t>
      </w:r>
      <w:r w:rsidRPr="003C30AA">
        <w:rPr>
          <w:sz w:val="20"/>
          <w:szCs w:val="20"/>
        </w:rPr>
        <w:t>A</w:t>
      </w:r>
      <w:r w:rsidR="00840D53" w:rsidRPr="003C30AA">
        <w:rPr>
          <w:sz w:val="20"/>
          <w:szCs w:val="20"/>
        </w:rPr>
        <w:t xml:space="preserve"> </w:t>
      </w:r>
      <w:r w:rsidRPr="003C30AA">
        <w:rPr>
          <w:sz w:val="20"/>
          <w:szCs w:val="20"/>
        </w:rPr>
        <w:t>Comprehensive</w:t>
      </w:r>
      <w:r w:rsidR="00840D53" w:rsidRPr="003C30AA">
        <w:rPr>
          <w:sz w:val="20"/>
          <w:szCs w:val="20"/>
        </w:rPr>
        <w:t xml:space="preserve"> </w:t>
      </w:r>
      <w:r w:rsidRPr="003C30AA">
        <w:rPr>
          <w:sz w:val="20"/>
          <w:szCs w:val="20"/>
        </w:rPr>
        <w:t>Approach,</w:t>
      </w:r>
      <w:r w:rsidR="00840D53" w:rsidRPr="003C30AA">
        <w:rPr>
          <w:sz w:val="20"/>
          <w:szCs w:val="20"/>
        </w:rPr>
        <w:t xml:space="preserve"> </w:t>
      </w:r>
      <w:r w:rsidRPr="003C30AA">
        <w:rPr>
          <w:sz w:val="20"/>
          <w:szCs w:val="20"/>
        </w:rPr>
        <w:t>Y.</w:t>
      </w:r>
      <w:r w:rsidR="00840D53" w:rsidRPr="003C30AA">
        <w:rPr>
          <w:sz w:val="20"/>
          <w:szCs w:val="20"/>
        </w:rPr>
        <w:t xml:space="preserve"> </w:t>
      </w:r>
      <w:proofErr w:type="spellStart"/>
      <w:r w:rsidRPr="003C30AA">
        <w:rPr>
          <w:sz w:val="20"/>
          <w:szCs w:val="20"/>
        </w:rPr>
        <w:t>Nakasato</w:t>
      </w:r>
      <w:proofErr w:type="spellEnd"/>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R.L.</w:t>
      </w:r>
      <w:r w:rsidR="00840D53" w:rsidRPr="003C30AA">
        <w:rPr>
          <w:sz w:val="20"/>
          <w:szCs w:val="20"/>
        </w:rPr>
        <w:t xml:space="preserve"> </w:t>
      </w:r>
      <w:r w:rsidRPr="003C30AA">
        <w:rPr>
          <w:sz w:val="20"/>
          <w:szCs w:val="20"/>
        </w:rPr>
        <w:t>Yung</w:t>
      </w:r>
      <w:r w:rsidR="00840D53" w:rsidRPr="003C30AA">
        <w:rPr>
          <w:sz w:val="20"/>
          <w:szCs w:val="20"/>
        </w:rPr>
        <w:t xml:space="preserve"> </w:t>
      </w:r>
      <w:r w:rsidRPr="003C30AA">
        <w:rPr>
          <w:sz w:val="20"/>
          <w:szCs w:val="20"/>
        </w:rPr>
        <w:t>(eds.),</w:t>
      </w:r>
      <w:r w:rsidR="00840D53" w:rsidRPr="003C30AA">
        <w:rPr>
          <w:sz w:val="20"/>
          <w:szCs w:val="20"/>
        </w:rPr>
        <w:t xml:space="preserve"> </w:t>
      </w:r>
      <w:r w:rsidRPr="003C30AA">
        <w:rPr>
          <w:sz w:val="20"/>
          <w:szCs w:val="20"/>
        </w:rPr>
        <w:t>Springer</w:t>
      </w:r>
      <w:r w:rsidR="00840D53" w:rsidRPr="003C30AA">
        <w:rPr>
          <w:sz w:val="20"/>
          <w:szCs w:val="20"/>
        </w:rPr>
        <w:t xml:space="preserve"> </w:t>
      </w:r>
      <w:proofErr w:type="spellStart"/>
      <w:r w:rsidRPr="003C30AA">
        <w:rPr>
          <w:sz w:val="20"/>
          <w:szCs w:val="20"/>
        </w:rPr>
        <w:t>Science+Business</w:t>
      </w:r>
      <w:proofErr w:type="spellEnd"/>
      <w:r w:rsidR="00840D53" w:rsidRPr="003C30AA">
        <w:rPr>
          <w:sz w:val="20"/>
          <w:szCs w:val="20"/>
        </w:rPr>
        <w:t xml:space="preserve"> </w:t>
      </w:r>
      <w:r w:rsidRPr="003C30AA">
        <w:rPr>
          <w:sz w:val="20"/>
          <w:szCs w:val="20"/>
        </w:rPr>
        <w:t>Media,</w:t>
      </w:r>
      <w:r w:rsidR="00840D53" w:rsidRPr="003C30AA">
        <w:rPr>
          <w:sz w:val="20"/>
          <w:szCs w:val="20"/>
        </w:rPr>
        <w:t xml:space="preserve"> </w:t>
      </w:r>
      <w:r w:rsidRPr="003C30AA">
        <w:rPr>
          <w:sz w:val="20"/>
          <w:szCs w:val="20"/>
        </w:rPr>
        <w:t>LLC</w:t>
      </w:r>
      <w:r w:rsidR="00840D53" w:rsidRPr="003C30AA">
        <w:rPr>
          <w:sz w:val="20"/>
          <w:szCs w:val="20"/>
        </w:rPr>
        <w:t xml:space="preserve"> </w:t>
      </w:r>
      <w:r w:rsidRPr="003C30AA">
        <w:rPr>
          <w:bCs/>
          <w:sz w:val="20"/>
          <w:szCs w:val="20"/>
        </w:rPr>
        <w:t>2011</w:t>
      </w:r>
      <w:r w:rsidRPr="003C30AA">
        <w:rPr>
          <w:sz w:val="20"/>
          <w:szCs w:val="20"/>
        </w:rPr>
        <w:t>;</w:t>
      </w:r>
      <w:r w:rsidR="00840D53" w:rsidRPr="003C30AA">
        <w:rPr>
          <w:sz w:val="20"/>
          <w:szCs w:val="20"/>
        </w:rPr>
        <w:t xml:space="preserve"> </w:t>
      </w:r>
      <w:r w:rsidRPr="003C30AA">
        <w:rPr>
          <w:sz w:val="20"/>
          <w:szCs w:val="20"/>
        </w:rPr>
        <w:t>173-186.</w:t>
      </w:r>
    </w:p>
    <w:p w:rsidR="00736402" w:rsidRPr="003C30AA" w:rsidRDefault="00736402" w:rsidP="00840D53">
      <w:pPr>
        <w:widowControl w:val="0"/>
        <w:numPr>
          <w:ilvl w:val="0"/>
          <w:numId w:val="34"/>
        </w:numPr>
        <w:bidi w:val="0"/>
        <w:snapToGrid w:val="0"/>
        <w:ind w:left="425" w:hanging="425"/>
        <w:jc w:val="both"/>
        <w:rPr>
          <w:sz w:val="20"/>
          <w:szCs w:val="20"/>
        </w:rPr>
      </w:pPr>
      <w:r w:rsidRPr="003C30AA">
        <w:rPr>
          <w:bCs/>
          <w:sz w:val="20"/>
          <w:szCs w:val="20"/>
        </w:rPr>
        <w:t>Blake</w:t>
      </w:r>
      <w:r w:rsidR="00840D53" w:rsidRPr="003C30AA">
        <w:rPr>
          <w:bCs/>
          <w:sz w:val="20"/>
          <w:szCs w:val="20"/>
        </w:rPr>
        <w:t xml:space="preserve"> </w:t>
      </w:r>
      <w:r w:rsidRPr="003C30AA">
        <w:rPr>
          <w:bCs/>
          <w:sz w:val="20"/>
          <w:szCs w:val="20"/>
        </w:rPr>
        <w:t>GM,</w:t>
      </w:r>
      <w:r w:rsidR="00840D53" w:rsidRPr="003C30AA">
        <w:rPr>
          <w:bCs/>
          <w:sz w:val="20"/>
          <w:szCs w:val="20"/>
        </w:rPr>
        <w:t xml:space="preserve"> </w:t>
      </w:r>
      <w:r w:rsidRPr="003C30AA">
        <w:rPr>
          <w:bCs/>
          <w:sz w:val="20"/>
          <w:szCs w:val="20"/>
        </w:rPr>
        <w:t>Fogelman</w:t>
      </w:r>
      <w:r w:rsidR="00840D53" w:rsidRPr="003C30AA">
        <w:rPr>
          <w:bCs/>
          <w:sz w:val="20"/>
          <w:szCs w:val="20"/>
        </w:rPr>
        <w:t xml:space="preserve"> </w:t>
      </w:r>
      <w:r w:rsidRPr="003C30AA">
        <w:rPr>
          <w:bCs/>
          <w:sz w:val="20"/>
          <w:szCs w:val="20"/>
        </w:rPr>
        <w:t>I.</w:t>
      </w:r>
      <w:r w:rsidR="00840D53" w:rsidRPr="003C30AA">
        <w:rPr>
          <w:sz w:val="20"/>
          <w:szCs w:val="20"/>
        </w:rPr>
        <w:t xml:space="preserve"> </w:t>
      </w:r>
      <w:r w:rsidRPr="003C30AA">
        <w:rPr>
          <w:sz w:val="20"/>
          <w:szCs w:val="20"/>
        </w:rPr>
        <w:t>The</w:t>
      </w:r>
      <w:r w:rsidR="00840D53" w:rsidRPr="003C30AA">
        <w:rPr>
          <w:sz w:val="20"/>
          <w:szCs w:val="20"/>
        </w:rPr>
        <w:t xml:space="preserve"> </w:t>
      </w:r>
      <w:r w:rsidRPr="003C30AA">
        <w:rPr>
          <w:sz w:val="20"/>
          <w:szCs w:val="20"/>
        </w:rPr>
        <w:t>clinical</w:t>
      </w:r>
      <w:r w:rsidR="00840D53" w:rsidRPr="003C30AA">
        <w:rPr>
          <w:sz w:val="20"/>
          <w:szCs w:val="20"/>
        </w:rPr>
        <w:t xml:space="preserve"> </w:t>
      </w:r>
      <w:r w:rsidRPr="003C30AA">
        <w:rPr>
          <w:sz w:val="20"/>
          <w:szCs w:val="20"/>
        </w:rPr>
        <w:t>role</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dual</w:t>
      </w:r>
      <w:r w:rsidR="00840D53" w:rsidRPr="003C30AA">
        <w:rPr>
          <w:sz w:val="20"/>
          <w:szCs w:val="20"/>
        </w:rPr>
        <w:t xml:space="preserve"> </w:t>
      </w:r>
      <w:r w:rsidRPr="003C30AA">
        <w:rPr>
          <w:sz w:val="20"/>
          <w:szCs w:val="20"/>
        </w:rPr>
        <w:t>energy</w:t>
      </w:r>
      <w:r w:rsidR="00840D53" w:rsidRPr="003C30AA">
        <w:rPr>
          <w:sz w:val="20"/>
          <w:szCs w:val="20"/>
        </w:rPr>
        <w:t xml:space="preserve"> </w:t>
      </w:r>
      <w:r w:rsidRPr="003C30AA">
        <w:rPr>
          <w:sz w:val="20"/>
          <w:szCs w:val="20"/>
        </w:rPr>
        <w:t>X-ray</w:t>
      </w:r>
      <w:r w:rsidR="00840D53" w:rsidRPr="003C30AA">
        <w:rPr>
          <w:sz w:val="20"/>
          <w:szCs w:val="20"/>
        </w:rPr>
        <w:t xml:space="preserve"> </w:t>
      </w:r>
      <w:proofErr w:type="spellStart"/>
      <w:r w:rsidRPr="003C30AA">
        <w:rPr>
          <w:sz w:val="20"/>
          <w:szCs w:val="20"/>
        </w:rPr>
        <w:t>absorptiometry</w:t>
      </w:r>
      <w:proofErr w:type="spellEnd"/>
      <w:r w:rsidRPr="003C30AA">
        <w:rPr>
          <w:sz w:val="20"/>
          <w:szCs w:val="20"/>
        </w:rPr>
        <w:t>.</w:t>
      </w:r>
      <w:r w:rsidR="00840D53" w:rsidRPr="003C30AA">
        <w:rPr>
          <w:sz w:val="20"/>
          <w:szCs w:val="20"/>
        </w:rPr>
        <w:t xml:space="preserve"> </w:t>
      </w:r>
      <w:proofErr w:type="spellStart"/>
      <w:r w:rsidRPr="003C30AA">
        <w:rPr>
          <w:sz w:val="20"/>
          <w:szCs w:val="20"/>
        </w:rPr>
        <w:t>Eur</w:t>
      </w:r>
      <w:proofErr w:type="spellEnd"/>
      <w:r w:rsidR="00840D53" w:rsidRPr="003C30AA">
        <w:rPr>
          <w:sz w:val="20"/>
          <w:szCs w:val="20"/>
        </w:rPr>
        <w:t xml:space="preserve"> </w:t>
      </w:r>
      <w:r w:rsidRPr="003C30AA">
        <w:rPr>
          <w:sz w:val="20"/>
          <w:szCs w:val="20"/>
        </w:rPr>
        <w:t>J</w:t>
      </w:r>
      <w:r w:rsidR="00840D53" w:rsidRPr="003C30AA">
        <w:rPr>
          <w:sz w:val="20"/>
          <w:szCs w:val="20"/>
        </w:rPr>
        <w:t xml:space="preserve"> </w:t>
      </w:r>
      <w:proofErr w:type="spellStart"/>
      <w:r w:rsidRPr="003C30AA">
        <w:rPr>
          <w:sz w:val="20"/>
          <w:szCs w:val="20"/>
        </w:rPr>
        <w:t>Radiol</w:t>
      </w:r>
      <w:proofErr w:type="spellEnd"/>
      <w:r w:rsidR="00840D53" w:rsidRPr="003C30AA">
        <w:rPr>
          <w:sz w:val="20"/>
          <w:szCs w:val="20"/>
        </w:rPr>
        <w:t xml:space="preserve"> </w:t>
      </w:r>
      <w:r w:rsidRPr="003C30AA">
        <w:rPr>
          <w:bCs/>
          <w:sz w:val="20"/>
          <w:szCs w:val="20"/>
        </w:rPr>
        <w:t>2009</w:t>
      </w:r>
      <w:r w:rsidRPr="003C30AA">
        <w:rPr>
          <w:sz w:val="20"/>
          <w:szCs w:val="20"/>
        </w:rPr>
        <w:t>;</w:t>
      </w:r>
      <w:r w:rsidR="00840D53" w:rsidRPr="003C30AA">
        <w:rPr>
          <w:sz w:val="20"/>
          <w:szCs w:val="20"/>
        </w:rPr>
        <w:t xml:space="preserve"> </w:t>
      </w:r>
      <w:r w:rsidRPr="003C30AA">
        <w:rPr>
          <w:sz w:val="20"/>
          <w:szCs w:val="20"/>
        </w:rPr>
        <w:t>71:406-14.</w:t>
      </w:r>
    </w:p>
    <w:p w:rsidR="00736402" w:rsidRPr="003C30AA" w:rsidRDefault="00736402" w:rsidP="00840D53">
      <w:pPr>
        <w:widowControl w:val="0"/>
        <w:numPr>
          <w:ilvl w:val="0"/>
          <w:numId w:val="34"/>
        </w:numPr>
        <w:bidi w:val="0"/>
        <w:snapToGrid w:val="0"/>
        <w:ind w:left="425" w:hanging="425"/>
        <w:jc w:val="both"/>
        <w:rPr>
          <w:sz w:val="20"/>
          <w:szCs w:val="20"/>
        </w:rPr>
      </w:pPr>
      <w:r w:rsidRPr="003C30AA">
        <w:rPr>
          <w:bCs/>
          <w:sz w:val="20"/>
          <w:szCs w:val="20"/>
        </w:rPr>
        <w:t>Brandt</w:t>
      </w:r>
      <w:r w:rsidR="00840D53" w:rsidRPr="003C30AA">
        <w:rPr>
          <w:bCs/>
          <w:sz w:val="20"/>
          <w:szCs w:val="20"/>
        </w:rPr>
        <w:t xml:space="preserve"> </w:t>
      </w:r>
      <w:r w:rsidRPr="003C30AA">
        <w:rPr>
          <w:bCs/>
          <w:sz w:val="20"/>
          <w:szCs w:val="20"/>
        </w:rPr>
        <w:t>KD,</w:t>
      </w:r>
      <w:r w:rsidR="00840D53" w:rsidRPr="003C30AA">
        <w:rPr>
          <w:bCs/>
          <w:sz w:val="20"/>
          <w:szCs w:val="20"/>
        </w:rPr>
        <w:t xml:space="preserve"> </w:t>
      </w:r>
      <w:r w:rsidRPr="003C30AA">
        <w:rPr>
          <w:bCs/>
          <w:sz w:val="20"/>
          <w:szCs w:val="20"/>
        </w:rPr>
        <w:t>Dieppe</w:t>
      </w:r>
      <w:r w:rsidR="00840D53" w:rsidRPr="003C30AA">
        <w:rPr>
          <w:bCs/>
          <w:sz w:val="20"/>
          <w:szCs w:val="20"/>
        </w:rPr>
        <w:t xml:space="preserve"> </w:t>
      </w:r>
      <w:r w:rsidRPr="003C30AA">
        <w:rPr>
          <w:bCs/>
          <w:sz w:val="20"/>
          <w:szCs w:val="20"/>
        </w:rPr>
        <w:t>P,</w:t>
      </w:r>
      <w:r w:rsidR="00840D53" w:rsidRPr="003C30AA">
        <w:rPr>
          <w:bCs/>
          <w:sz w:val="20"/>
          <w:szCs w:val="20"/>
        </w:rPr>
        <w:t xml:space="preserve"> </w:t>
      </w:r>
      <w:proofErr w:type="spellStart"/>
      <w:r w:rsidRPr="003C30AA">
        <w:rPr>
          <w:bCs/>
          <w:sz w:val="20"/>
          <w:szCs w:val="20"/>
        </w:rPr>
        <w:t>Radin</w:t>
      </w:r>
      <w:proofErr w:type="spellEnd"/>
      <w:r w:rsidR="00840D53" w:rsidRPr="003C30AA">
        <w:rPr>
          <w:bCs/>
          <w:sz w:val="20"/>
          <w:szCs w:val="20"/>
        </w:rPr>
        <w:t xml:space="preserve"> </w:t>
      </w:r>
      <w:r w:rsidRPr="003C30AA">
        <w:rPr>
          <w:bCs/>
          <w:sz w:val="20"/>
          <w:szCs w:val="20"/>
        </w:rPr>
        <w:t>E.</w:t>
      </w:r>
      <w:r w:rsidR="00840D53" w:rsidRPr="003C30AA">
        <w:rPr>
          <w:bCs/>
          <w:sz w:val="20"/>
          <w:szCs w:val="20"/>
        </w:rPr>
        <w:t xml:space="preserve"> </w:t>
      </w:r>
      <w:proofErr w:type="spellStart"/>
      <w:r w:rsidRPr="003C30AA">
        <w:rPr>
          <w:sz w:val="20"/>
          <w:szCs w:val="20"/>
        </w:rPr>
        <w:t>Etiopathogenesis</w:t>
      </w:r>
      <w:proofErr w:type="spellEnd"/>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osteoarthritis</w:t>
      </w:r>
      <w:r w:rsidR="00840D53" w:rsidRPr="003C30AA">
        <w:rPr>
          <w:sz w:val="20"/>
          <w:szCs w:val="20"/>
        </w:rPr>
        <w:t>. M</w:t>
      </w:r>
      <w:r w:rsidRPr="003C30AA">
        <w:rPr>
          <w:sz w:val="20"/>
          <w:szCs w:val="20"/>
        </w:rPr>
        <w:t>ed</w:t>
      </w:r>
      <w:r w:rsidR="00840D53" w:rsidRPr="003C30AA">
        <w:rPr>
          <w:sz w:val="20"/>
          <w:szCs w:val="20"/>
        </w:rPr>
        <w:t xml:space="preserve"> </w:t>
      </w:r>
      <w:proofErr w:type="spellStart"/>
      <w:r w:rsidRPr="003C30AA">
        <w:rPr>
          <w:sz w:val="20"/>
          <w:szCs w:val="20"/>
        </w:rPr>
        <w:t>Clin</w:t>
      </w:r>
      <w:proofErr w:type="spellEnd"/>
      <w:r w:rsidR="00840D53" w:rsidRPr="003C30AA">
        <w:rPr>
          <w:sz w:val="20"/>
          <w:szCs w:val="20"/>
        </w:rPr>
        <w:t xml:space="preserve"> </w:t>
      </w:r>
      <w:r w:rsidRPr="003C30AA">
        <w:rPr>
          <w:sz w:val="20"/>
          <w:szCs w:val="20"/>
        </w:rPr>
        <w:t>North</w:t>
      </w:r>
      <w:r w:rsidR="00840D53" w:rsidRPr="003C30AA">
        <w:rPr>
          <w:sz w:val="20"/>
          <w:szCs w:val="20"/>
        </w:rPr>
        <w:t xml:space="preserve"> </w:t>
      </w:r>
      <w:r w:rsidRPr="003C30AA">
        <w:rPr>
          <w:sz w:val="20"/>
          <w:szCs w:val="20"/>
        </w:rPr>
        <w:t>Am</w:t>
      </w:r>
      <w:r w:rsidR="00840D53" w:rsidRPr="003C30AA">
        <w:rPr>
          <w:sz w:val="20"/>
          <w:szCs w:val="20"/>
        </w:rPr>
        <w:t xml:space="preserve"> </w:t>
      </w:r>
      <w:r w:rsidRPr="003C30AA">
        <w:rPr>
          <w:bCs/>
          <w:sz w:val="20"/>
          <w:szCs w:val="20"/>
        </w:rPr>
        <w:t>2009</w:t>
      </w:r>
      <w:r w:rsidRPr="003C30AA">
        <w:rPr>
          <w:sz w:val="20"/>
          <w:szCs w:val="20"/>
        </w:rPr>
        <w:t>;</w:t>
      </w:r>
      <w:r w:rsidR="00840D53" w:rsidRPr="003C30AA">
        <w:rPr>
          <w:sz w:val="20"/>
          <w:szCs w:val="20"/>
        </w:rPr>
        <w:t xml:space="preserve"> </w:t>
      </w:r>
      <w:r w:rsidRPr="003C30AA">
        <w:rPr>
          <w:sz w:val="20"/>
          <w:szCs w:val="20"/>
        </w:rPr>
        <w:t>93</w:t>
      </w:r>
      <w:r w:rsidR="00840D53" w:rsidRPr="003C30AA">
        <w:rPr>
          <w:sz w:val="20"/>
          <w:szCs w:val="20"/>
        </w:rPr>
        <w:t xml:space="preserve"> </w:t>
      </w:r>
      <w:r w:rsidRPr="003C30AA">
        <w:rPr>
          <w:sz w:val="20"/>
          <w:szCs w:val="20"/>
        </w:rPr>
        <w:t>(1):1-24,</w:t>
      </w:r>
      <w:r w:rsidR="00840D53" w:rsidRPr="003C30AA">
        <w:rPr>
          <w:sz w:val="20"/>
          <w:szCs w:val="20"/>
        </w:rPr>
        <w:t xml:space="preserve"> </w:t>
      </w:r>
      <w:r w:rsidRPr="003C30AA">
        <w:rPr>
          <w:sz w:val="20"/>
          <w:szCs w:val="20"/>
        </w:rPr>
        <w:t>xv.</w:t>
      </w:r>
    </w:p>
    <w:p w:rsidR="00840D53" w:rsidRPr="003C30AA" w:rsidRDefault="00736402" w:rsidP="00840D53">
      <w:pPr>
        <w:numPr>
          <w:ilvl w:val="0"/>
          <w:numId w:val="34"/>
        </w:numPr>
        <w:autoSpaceDE w:val="0"/>
        <w:autoSpaceDN w:val="0"/>
        <w:bidi w:val="0"/>
        <w:adjustRightInd w:val="0"/>
        <w:snapToGrid w:val="0"/>
        <w:ind w:left="425" w:hanging="425"/>
        <w:jc w:val="both"/>
        <w:rPr>
          <w:sz w:val="20"/>
          <w:szCs w:val="20"/>
        </w:rPr>
      </w:pPr>
      <w:proofErr w:type="spellStart"/>
      <w:r w:rsidRPr="003C30AA">
        <w:rPr>
          <w:bCs/>
          <w:sz w:val="20"/>
          <w:szCs w:val="20"/>
        </w:rPr>
        <w:t>Bultink</w:t>
      </w:r>
      <w:proofErr w:type="spellEnd"/>
      <w:r w:rsidR="00840D53" w:rsidRPr="003C30AA">
        <w:rPr>
          <w:bCs/>
          <w:sz w:val="20"/>
          <w:szCs w:val="20"/>
        </w:rPr>
        <w:t xml:space="preserve"> </w:t>
      </w:r>
      <w:r w:rsidRPr="003C30AA">
        <w:rPr>
          <w:bCs/>
          <w:sz w:val="20"/>
          <w:szCs w:val="20"/>
        </w:rPr>
        <w:t>IE,</w:t>
      </w:r>
      <w:r w:rsidR="00840D53" w:rsidRPr="003C30AA">
        <w:rPr>
          <w:bCs/>
          <w:sz w:val="20"/>
          <w:szCs w:val="20"/>
        </w:rPr>
        <w:t xml:space="preserve"> </w:t>
      </w:r>
      <w:proofErr w:type="spellStart"/>
      <w:r w:rsidRPr="003C30AA">
        <w:rPr>
          <w:bCs/>
          <w:sz w:val="20"/>
          <w:szCs w:val="20"/>
        </w:rPr>
        <w:t>Lems</w:t>
      </w:r>
      <w:proofErr w:type="spellEnd"/>
      <w:r w:rsidR="00840D53" w:rsidRPr="003C30AA">
        <w:rPr>
          <w:bCs/>
          <w:sz w:val="20"/>
          <w:szCs w:val="20"/>
        </w:rPr>
        <w:t xml:space="preserve"> </w:t>
      </w:r>
      <w:r w:rsidRPr="003C30AA">
        <w:rPr>
          <w:bCs/>
          <w:sz w:val="20"/>
          <w:szCs w:val="20"/>
        </w:rPr>
        <w:t>WF.</w:t>
      </w:r>
      <w:r w:rsidR="00840D53" w:rsidRPr="003C30AA">
        <w:rPr>
          <w:sz w:val="20"/>
          <w:szCs w:val="20"/>
        </w:rPr>
        <w:t xml:space="preserve"> </w:t>
      </w:r>
      <w:r w:rsidRPr="003C30AA">
        <w:rPr>
          <w:sz w:val="20"/>
          <w:szCs w:val="20"/>
        </w:rPr>
        <w:t>Osteoarthritis</w:t>
      </w:r>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Osteoporosis:</w:t>
      </w:r>
      <w:r w:rsidR="00840D53" w:rsidRPr="003C30AA">
        <w:rPr>
          <w:sz w:val="20"/>
          <w:szCs w:val="20"/>
        </w:rPr>
        <w:t xml:space="preserve"> </w:t>
      </w:r>
      <w:r w:rsidRPr="003C30AA">
        <w:rPr>
          <w:sz w:val="20"/>
          <w:szCs w:val="20"/>
        </w:rPr>
        <w:t>What</w:t>
      </w:r>
      <w:r w:rsidR="00840D53" w:rsidRPr="003C30AA">
        <w:rPr>
          <w:sz w:val="20"/>
          <w:szCs w:val="20"/>
        </w:rPr>
        <w:t xml:space="preserve"> </w:t>
      </w:r>
      <w:r w:rsidRPr="003C30AA">
        <w:rPr>
          <w:sz w:val="20"/>
          <w:szCs w:val="20"/>
        </w:rPr>
        <w:t>Is</w:t>
      </w:r>
      <w:r w:rsidR="00840D53" w:rsidRPr="003C30AA">
        <w:rPr>
          <w:sz w:val="20"/>
          <w:szCs w:val="20"/>
        </w:rPr>
        <w:t xml:space="preserve"> </w:t>
      </w:r>
      <w:r w:rsidRPr="003C30AA">
        <w:rPr>
          <w:sz w:val="20"/>
          <w:szCs w:val="20"/>
        </w:rPr>
        <w:t>the</w:t>
      </w:r>
      <w:r w:rsidR="00840D53" w:rsidRPr="003C30AA">
        <w:rPr>
          <w:sz w:val="20"/>
          <w:szCs w:val="20"/>
        </w:rPr>
        <w:t xml:space="preserve"> </w:t>
      </w:r>
      <w:r w:rsidRPr="003C30AA">
        <w:rPr>
          <w:sz w:val="20"/>
          <w:szCs w:val="20"/>
        </w:rPr>
        <w:t>Overlap?</w:t>
      </w:r>
      <w:r w:rsidR="00840D53" w:rsidRPr="003C30AA">
        <w:rPr>
          <w:sz w:val="20"/>
          <w:szCs w:val="20"/>
        </w:rPr>
        <w:t xml:space="preserve"> </w:t>
      </w:r>
      <w:proofErr w:type="spellStart"/>
      <w:r w:rsidRPr="003C30AA">
        <w:rPr>
          <w:sz w:val="20"/>
          <w:szCs w:val="20"/>
        </w:rPr>
        <w:t>Curr</w:t>
      </w:r>
      <w:proofErr w:type="spellEnd"/>
      <w:r w:rsidR="00840D53" w:rsidRPr="003C30AA">
        <w:rPr>
          <w:sz w:val="20"/>
          <w:szCs w:val="20"/>
        </w:rPr>
        <w:t xml:space="preserve"> </w:t>
      </w:r>
      <w:proofErr w:type="spellStart"/>
      <w:r w:rsidRPr="003C30AA">
        <w:rPr>
          <w:sz w:val="20"/>
          <w:szCs w:val="20"/>
        </w:rPr>
        <w:t>Rheumatol</w:t>
      </w:r>
      <w:proofErr w:type="spellEnd"/>
      <w:r w:rsidR="00840D53" w:rsidRPr="003C30AA">
        <w:rPr>
          <w:sz w:val="20"/>
          <w:szCs w:val="20"/>
        </w:rPr>
        <w:t xml:space="preserve"> </w:t>
      </w:r>
      <w:r w:rsidRPr="003C30AA">
        <w:rPr>
          <w:sz w:val="20"/>
          <w:szCs w:val="20"/>
        </w:rPr>
        <w:t>Rep</w:t>
      </w:r>
      <w:r w:rsidR="00840D53" w:rsidRPr="003C30AA">
        <w:rPr>
          <w:sz w:val="20"/>
          <w:szCs w:val="20"/>
        </w:rPr>
        <w:t xml:space="preserve"> </w:t>
      </w:r>
      <w:r w:rsidRPr="003C30AA">
        <w:rPr>
          <w:bCs/>
          <w:sz w:val="20"/>
          <w:szCs w:val="20"/>
        </w:rPr>
        <w:t>2013</w:t>
      </w:r>
      <w:r w:rsidRPr="003C30AA">
        <w:rPr>
          <w:sz w:val="20"/>
          <w:szCs w:val="20"/>
        </w:rPr>
        <w:t>;</w:t>
      </w:r>
      <w:r w:rsidR="00840D53" w:rsidRPr="003C30AA">
        <w:rPr>
          <w:sz w:val="20"/>
          <w:szCs w:val="20"/>
        </w:rPr>
        <w:t xml:space="preserve"> </w:t>
      </w:r>
      <w:r w:rsidRPr="003C30AA">
        <w:rPr>
          <w:sz w:val="20"/>
          <w:szCs w:val="20"/>
        </w:rPr>
        <w:t>15:32</w:t>
      </w:r>
      <w:r w:rsidR="00840D53" w:rsidRPr="003C30AA">
        <w:rPr>
          <w:sz w:val="20"/>
          <w:szCs w:val="20"/>
        </w:rPr>
        <w:t>8.</w:t>
      </w:r>
    </w:p>
    <w:p w:rsidR="00736402" w:rsidRPr="003C30AA" w:rsidRDefault="00736402" w:rsidP="00840D53">
      <w:pPr>
        <w:numPr>
          <w:ilvl w:val="0"/>
          <w:numId w:val="34"/>
        </w:numPr>
        <w:autoSpaceDE w:val="0"/>
        <w:autoSpaceDN w:val="0"/>
        <w:bidi w:val="0"/>
        <w:adjustRightInd w:val="0"/>
        <w:snapToGrid w:val="0"/>
        <w:ind w:left="425" w:hanging="425"/>
        <w:jc w:val="both"/>
        <w:rPr>
          <w:sz w:val="20"/>
          <w:szCs w:val="20"/>
        </w:rPr>
      </w:pPr>
      <w:proofErr w:type="spellStart"/>
      <w:r w:rsidRPr="003C30AA">
        <w:rPr>
          <w:bCs/>
          <w:sz w:val="20"/>
          <w:szCs w:val="20"/>
        </w:rPr>
        <w:t>Chapple</w:t>
      </w:r>
      <w:proofErr w:type="spellEnd"/>
      <w:r w:rsidR="00840D53" w:rsidRPr="003C30AA">
        <w:rPr>
          <w:bCs/>
          <w:sz w:val="20"/>
          <w:szCs w:val="20"/>
        </w:rPr>
        <w:t xml:space="preserve"> </w:t>
      </w:r>
      <w:r w:rsidRPr="003C30AA">
        <w:rPr>
          <w:bCs/>
          <w:sz w:val="20"/>
          <w:szCs w:val="20"/>
        </w:rPr>
        <w:t>CM,</w:t>
      </w:r>
      <w:r w:rsidR="00840D53" w:rsidRPr="003C30AA">
        <w:rPr>
          <w:bCs/>
          <w:sz w:val="20"/>
          <w:szCs w:val="20"/>
        </w:rPr>
        <w:t xml:space="preserve"> </w:t>
      </w:r>
      <w:r w:rsidRPr="003C30AA">
        <w:rPr>
          <w:bCs/>
          <w:sz w:val="20"/>
          <w:szCs w:val="20"/>
        </w:rPr>
        <w:t>Nicholson</w:t>
      </w:r>
      <w:r w:rsidR="00840D53" w:rsidRPr="003C30AA">
        <w:rPr>
          <w:bCs/>
          <w:sz w:val="20"/>
          <w:szCs w:val="20"/>
        </w:rPr>
        <w:t xml:space="preserve"> </w:t>
      </w:r>
      <w:r w:rsidRPr="003C30AA">
        <w:rPr>
          <w:bCs/>
          <w:sz w:val="20"/>
          <w:szCs w:val="20"/>
        </w:rPr>
        <w:t>H,</w:t>
      </w:r>
      <w:r w:rsidR="00840D53" w:rsidRPr="003C30AA">
        <w:rPr>
          <w:bCs/>
          <w:sz w:val="20"/>
          <w:szCs w:val="20"/>
        </w:rPr>
        <w:t xml:space="preserve"> </w:t>
      </w:r>
      <w:r w:rsidRPr="003C30AA">
        <w:rPr>
          <w:bCs/>
          <w:sz w:val="20"/>
          <w:szCs w:val="20"/>
        </w:rPr>
        <w:t>Baxter</w:t>
      </w:r>
      <w:r w:rsidR="00840D53" w:rsidRPr="003C30AA">
        <w:rPr>
          <w:bCs/>
          <w:sz w:val="20"/>
          <w:szCs w:val="20"/>
        </w:rPr>
        <w:t xml:space="preserve"> </w:t>
      </w:r>
      <w:r w:rsidRPr="003C30AA">
        <w:rPr>
          <w:bCs/>
          <w:sz w:val="20"/>
          <w:szCs w:val="20"/>
        </w:rPr>
        <w:t>GD,</w:t>
      </w:r>
      <w:r w:rsidR="00840D53" w:rsidRPr="003C30AA">
        <w:rPr>
          <w:bCs/>
          <w:sz w:val="20"/>
          <w:szCs w:val="20"/>
        </w:rPr>
        <w:t xml:space="preserve"> </w:t>
      </w:r>
      <w:r w:rsidRPr="003C30AA">
        <w:rPr>
          <w:bCs/>
          <w:sz w:val="20"/>
          <w:szCs w:val="20"/>
        </w:rPr>
        <w:t>Abbott</w:t>
      </w:r>
      <w:r w:rsidR="00840D53" w:rsidRPr="003C30AA">
        <w:rPr>
          <w:sz w:val="20"/>
          <w:szCs w:val="20"/>
        </w:rPr>
        <w:t xml:space="preserve"> </w:t>
      </w:r>
      <w:r w:rsidRPr="003C30AA">
        <w:rPr>
          <w:sz w:val="20"/>
          <w:szCs w:val="20"/>
        </w:rPr>
        <w:t>JH.</w:t>
      </w:r>
      <w:r w:rsidR="00840D53" w:rsidRPr="003C30AA">
        <w:rPr>
          <w:sz w:val="20"/>
          <w:szCs w:val="20"/>
        </w:rPr>
        <w:t xml:space="preserve"> </w:t>
      </w:r>
      <w:r w:rsidRPr="003C30AA">
        <w:rPr>
          <w:sz w:val="20"/>
          <w:szCs w:val="20"/>
        </w:rPr>
        <w:t>Patient</w:t>
      </w:r>
      <w:r w:rsidR="00840D53" w:rsidRPr="003C30AA">
        <w:rPr>
          <w:sz w:val="20"/>
          <w:szCs w:val="20"/>
        </w:rPr>
        <w:t xml:space="preserve"> </w:t>
      </w:r>
      <w:r w:rsidRPr="003C30AA">
        <w:rPr>
          <w:sz w:val="20"/>
          <w:szCs w:val="20"/>
        </w:rPr>
        <w:t>characteristics</w:t>
      </w:r>
      <w:r w:rsidR="00840D53" w:rsidRPr="003C30AA">
        <w:rPr>
          <w:sz w:val="20"/>
          <w:szCs w:val="20"/>
        </w:rPr>
        <w:t xml:space="preserve"> </w:t>
      </w:r>
      <w:r w:rsidRPr="003C30AA">
        <w:rPr>
          <w:sz w:val="20"/>
          <w:szCs w:val="20"/>
        </w:rPr>
        <w:t>that</w:t>
      </w:r>
      <w:r w:rsidR="00840D53" w:rsidRPr="003C30AA">
        <w:rPr>
          <w:sz w:val="20"/>
          <w:szCs w:val="20"/>
        </w:rPr>
        <w:t xml:space="preserve"> </w:t>
      </w:r>
      <w:r w:rsidRPr="003C30AA">
        <w:rPr>
          <w:sz w:val="20"/>
          <w:szCs w:val="20"/>
        </w:rPr>
        <w:t>predict</w:t>
      </w:r>
      <w:r w:rsidR="00840D53" w:rsidRPr="003C30AA">
        <w:rPr>
          <w:sz w:val="20"/>
          <w:szCs w:val="20"/>
        </w:rPr>
        <w:t xml:space="preserve"> </w:t>
      </w:r>
      <w:r w:rsidRPr="003C30AA">
        <w:rPr>
          <w:sz w:val="20"/>
          <w:szCs w:val="20"/>
        </w:rPr>
        <w:t>progression</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knee</w:t>
      </w:r>
      <w:r w:rsidR="00840D53" w:rsidRPr="003C30AA">
        <w:rPr>
          <w:sz w:val="20"/>
          <w:szCs w:val="20"/>
        </w:rPr>
        <w:t xml:space="preserve"> </w:t>
      </w:r>
      <w:r w:rsidRPr="003C30AA">
        <w:rPr>
          <w:sz w:val="20"/>
          <w:szCs w:val="20"/>
        </w:rPr>
        <w:t>osteoarthritis:</w:t>
      </w:r>
      <w:r w:rsidR="00840D53" w:rsidRPr="003C30AA">
        <w:rPr>
          <w:sz w:val="20"/>
          <w:szCs w:val="20"/>
        </w:rPr>
        <w:t xml:space="preserve"> </w:t>
      </w:r>
      <w:r w:rsidRPr="003C30AA">
        <w:rPr>
          <w:sz w:val="20"/>
          <w:szCs w:val="20"/>
        </w:rPr>
        <w:t>a</w:t>
      </w:r>
      <w:r w:rsidR="00840D53" w:rsidRPr="003C30AA">
        <w:rPr>
          <w:sz w:val="20"/>
          <w:szCs w:val="20"/>
        </w:rPr>
        <w:t xml:space="preserve"> </w:t>
      </w:r>
      <w:r w:rsidRPr="003C30AA">
        <w:rPr>
          <w:sz w:val="20"/>
          <w:szCs w:val="20"/>
        </w:rPr>
        <w:t>systematic</w:t>
      </w:r>
      <w:r w:rsidR="00840D53" w:rsidRPr="003C30AA">
        <w:rPr>
          <w:sz w:val="20"/>
          <w:szCs w:val="20"/>
        </w:rPr>
        <w:t xml:space="preserve"> </w:t>
      </w:r>
      <w:r w:rsidRPr="003C30AA">
        <w:rPr>
          <w:sz w:val="20"/>
          <w:szCs w:val="20"/>
        </w:rPr>
        <w:t>review</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prognostic</w:t>
      </w:r>
      <w:r w:rsidR="00840D53" w:rsidRPr="003C30AA">
        <w:rPr>
          <w:sz w:val="20"/>
          <w:szCs w:val="20"/>
        </w:rPr>
        <w:t xml:space="preserve"> </w:t>
      </w:r>
      <w:r w:rsidRPr="003C30AA">
        <w:rPr>
          <w:sz w:val="20"/>
          <w:szCs w:val="20"/>
        </w:rPr>
        <w:t>studies.</w:t>
      </w:r>
      <w:r w:rsidR="00840D53" w:rsidRPr="003C30AA">
        <w:rPr>
          <w:sz w:val="20"/>
          <w:szCs w:val="20"/>
        </w:rPr>
        <w:t xml:space="preserve"> </w:t>
      </w:r>
      <w:r w:rsidRPr="003C30AA">
        <w:rPr>
          <w:sz w:val="20"/>
          <w:szCs w:val="20"/>
        </w:rPr>
        <w:t>Arthritis</w:t>
      </w:r>
      <w:r w:rsidR="00840D53" w:rsidRPr="003C30AA">
        <w:rPr>
          <w:sz w:val="20"/>
          <w:szCs w:val="20"/>
        </w:rPr>
        <w:t xml:space="preserve"> </w:t>
      </w:r>
      <w:r w:rsidRPr="003C30AA">
        <w:rPr>
          <w:sz w:val="20"/>
          <w:szCs w:val="20"/>
        </w:rPr>
        <w:t>Care</w:t>
      </w:r>
      <w:r w:rsidR="00840D53" w:rsidRPr="003C30AA">
        <w:rPr>
          <w:sz w:val="20"/>
          <w:szCs w:val="20"/>
        </w:rPr>
        <w:t xml:space="preserve"> </w:t>
      </w:r>
      <w:r w:rsidRPr="003C30AA">
        <w:rPr>
          <w:sz w:val="20"/>
          <w:szCs w:val="20"/>
        </w:rPr>
        <w:t>Res</w:t>
      </w:r>
      <w:r w:rsidR="00840D53" w:rsidRPr="003C30AA">
        <w:rPr>
          <w:sz w:val="20"/>
          <w:szCs w:val="20"/>
        </w:rPr>
        <w:t xml:space="preserve"> </w:t>
      </w:r>
      <w:r w:rsidRPr="003C30AA">
        <w:rPr>
          <w:sz w:val="20"/>
          <w:szCs w:val="20"/>
        </w:rPr>
        <w:t>(Hoboken)</w:t>
      </w:r>
      <w:r w:rsidR="00840D53" w:rsidRPr="003C30AA">
        <w:rPr>
          <w:sz w:val="20"/>
          <w:szCs w:val="20"/>
        </w:rPr>
        <w:t xml:space="preserve"> </w:t>
      </w:r>
      <w:r w:rsidRPr="003C30AA">
        <w:rPr>
          <w:bCs/>
          <w:sz w:val="20"/>
          <w:szCs w:val="20"/>
        </w:rPr>
        <w:t>2011;</w:t>
      </w:r>
      <w:r w:rsidR="00840D53" w:rsidRPr="003C30AA">
        <w:rPr>
          <w:bCs/>
          <w:sz w:val="20"/>
          <w:szCs w:val="20"/>
        </w:rPr>
        <w:t xml:space="preserve"> </w:t>
      </w:r>
      <w:r w:rsidRPr="003C30AA">
        <w:rPr>
          <w:sz w:val="20"/>
          <w:szCs w:val="20"/>
        </w:rPr>
        <w:t>63:1115-25.</w:t>
      </w:r>
    </w:p>
    <w:p w:rsidR="00736402" w:rsidRPr="003C30AA" w:rsidRDefault="00736402" w:rsidP="00840D53">
      <w:pPr>
        <w:numPr>
          <w:ilvl w:val="0"/>
          <w:numId w:val="34"/>
        </w:numPr>
        <w:autoSpaceDE w:val="0"/>
        <w:autoSpaceDN w:val="0"/>
        <w:bidi w:val="0"/>
        <w:adjustRightInd w:val="0"/>
        <w:snapToGrid w:val="0"/>
        <w:ind w:left="425" w:hanging="425"/>
        <w:jc w:val="both"/>
        <w:rPr>
          <w:sz w:val="20"/>
          <w:szCs w:val="20"/>
        </w:rPr>
      </w:pPr>
      <w:r w:rsidRPr="003C30AA">
        <w:rPr>
          <w:bCs/>
          <w:sz w:val="20"/>
          <w:szCs w:val="20"/>
        </w:rPr>
        <w:t>Edwards</w:t>
      </w:r>
      <w:r w:rsidR="00840D53" w:rsidRPr="003C30AA">
        <w:rPr>
          <w:bCs/>
          <w:sz w:val="20"/>
          <w:szCs w:val="20"/>
        </w:rPr>
        <w:t xml:space="preserve"> </w:t>
      </w:r>
      <w:r w:rsidRPr="003C30AA">
        <w:rPr>
          <w:bCs/>
          <w:sz w:val="20"/>
          <w:szCs w:val="20"/>
        </w:rPr>
        <w:t>MH,</w:t>
      </w:r>
      <w:r w:rsidR="00840D53" w:rsidRPr="003C30AA">
        <w:rPr>
          <w:bCs/>
          <w:sz w:val="20"/>
          <w:szCs w:val="20"/>
        </w:rPr>
        <w:t xml:space="preserve"> </w:t>
      </w:r>
      <w:proofErr w:type="spellStart"/>
      <w:r w:rsidRPr="003C30AA">
        <w:rPr>
          <w:bCs/>
          <w:sz w:val="20"/>
          <w:szCs w:val="20"/>
        </w:rPr>
        <w:t>Paccou</w:t>
      </w:r>
      <w:proofErr w:type="spellEnd"/>
      <w:r w:rsidR="00840D53" w:rsidRPr="003C30AA">
        <w:rPr>
          <w:bCs/>
          <w:sz w:val="20"/>
          <w:szCs w:val="20"/>
        </w:rPr>
        <w:t xml:space="preserve"> </w:t>
      </w:r>
      <w:r w:rsidRPr="003C30AA">
        <w:rPr>
          <w:bCs/>
          <w:sz w:val="20"/>
          <w:szCs w:val="20"/>
        </w:rPr>
        <w:t>J,</w:t>
      </w:r>
      <w:r w:rsidR="00840D53" w:rsidRPr="003C30AA">
        <w:rPr>
          <w:bCs/>
          <w:sz w:val="20"/>
          <w:szCs w:val="20"/>
        </w:rPr>
        <w:t xml:space="preserve"> </w:t>
      </w:r>
      <w:r w:rsidRPr="003C30AA">
        <w:rPr>
          <w:bCs/>
          <w:sz w:val="20"/>
          <w:szCs w:val="20"/>
        </w:rPr>
        <w:t>Ward</w:t>
      </w:r>
      <w:r w:rsidR="00840D53" w:rsidRPr="003C30AA">
        <w:rPr>
          <w:bCs/>
          <w:sz w:val="20"/>
          <w:szCs w:val="20"/>
        </w:rPr>
        <w:t xml:space="preserve"> </w:t>
      </w:r>
      <w:r w:rsidRPr="003C30AA">
        <w:rPr>
          <w:bCs/>
          <w:sz w:val="20"/>
          <w:szCs w:val="20"/>
        </w:rPr>
        <w:t>KA,</w:t>
      </w:r>
      <w:r w:rsidR="00840D53" w:rsidRPr="003C30AA">
        <w:rPr>
          <w:bCs/>
          <w:sz w:val="20"/>
          <w:szCs w:val="20"/>
        </w:rPr>
        <w:t xml:space="preserve"> </w:t>
      </w:r>
      <w:r w:rsidRPr="003C30AA">
        <w:rPr>
          <w:bCs/>
          <w:sz w:val="20"/>
          <w:szCs w:val="20"/>
        </w:rPr>
        <w:t>Jameson</w:t>
      </w:r>
      <w:r w:rsidR="00840D53" w:rsidRPr="003C30AA">
        <w:rPr>
          <w:bCs/>
          <w:sz w:val="20"/>
          <w:szCs w:val="20"/>
        </w:rPr>
        <w:t xml:space="preserve"> </w:t>
      </w:r>
      <w:r w:rsidRPr="003C30AA">
        <w:rPr>
          <w:bCs/>
          <w:sz w:val="20"/>
          <w:szCs w:val="20"/>
        </w:rPr>
        <w:t>KA,</w:t>
      </w:r>
      <w:r w:rsidR="00840D53" w:rsidRPr="003C30AA">
        <w:rPr>
          <w:bCs/>
          <w:sz w:val="20"/>
          <w:szCs w:val="20"/>
        </w:rPr>
        <w:t xml:space="preserve"> </w:t>
      </w:r>
      <w:r w:rsidRPr="003C30AA">
        <w:rPr>
          <w:bCs/>
          <w:sz w:val="20"/>
          <w:szCs w:val="20"/>
        </w:rPr>
        <w:t>Moss</w:t>
      </w:r>
      <w:r w:rsidR="00840D53" w:rsidRPr="003C30AA">
        <w:rPr>
          <w:bCs/>
          <w:sz w:val="20"/>
          <w:szCs w:val="20"/>
        </w:rPr>
        <w:t xml:space="preserve"> </w:t>
      </w:r>
      <w:r w:rsidRPr="003C30AA">
        <w:rPr>
          <w:bCs/>
          <w:sz w:val="20"/>
          <w:szCs w:val="20"/>
        </w:rPr>
        <w:t>C.</w:t>
      </w:r>
      <w:r w:rsidR="00840D53" w:rsidRPr="003C30AA">
        <w:rPr>
          <w:sz w:val="20"/>
          <w:szCs w:val="20"/>
        </w:rPr>
        <w:t xml:space="preserve"> </w:t>
      </w:r>
      <w:r w:rsidRPr="003C30AA">
        <w:rPr>
          <w:sz w:val="20"/>
          <w:szCs w:val="20"/>
        </w:rPr>
        <w:t>The</w:t>
      </w:r>
      <w:r w:rsidR="00840D53" w:rsidRPr="003C30AA">
        <w:rPr>
          <w:sz w:val="20"/>
          <w:szCs w:val="20"/>
        </w:rPr>
        <w:t xml:space="preserve"> </w:t>
      </w:r>
      <w:r w:rsidRPr="003C30AA">
        <w:rPr>
          <w:sz w:val="20"/>
          <w:szCs w:val="20"/>
        </w:rPr>
        <w:t>relationship</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bone</w:t>
      </w:r>
      <w:r w:rsidR="00840D53" w:rsidRPr="003C30AA">
        <w:rPr>
          <w:sz w:val="20"/>
          <w:szCs w:val="20"/>
        </w:rPr>
        <w:t xml:space="preserve"> </w:t>
      </w:r>
      <w:r w:rsidRPr="003C30AA">
        <w:rPr>
          <w:sz w:val="20"/>
          <w:szCs w:val="20"/>
        </w:rPr>
        <w:t>properties</w:t>
      </w:r>
      <w:r w:rsidR="00840D53" w:rsidRPr="003C30AA">
        <w:rPr>
          <w:sz w:val="20"/>
          <w:szCs w:val="20"/>
        </w:rPr>
        <w:t xml:space="preserve"> </w:t>
      </w:r>
      <w:r w:rsidRPr="003C30AA">
        <w:rPr>
          <w:sz w:val="20"/>
          <w:szCs w:val="20"/>
        </w:rPr>
        <w:t>using</w:t>
      </w:r>
      <w:r w:rsidR="00840D53" w:rsidRPr="003C30AA">
        <w:rPr>
          <w:sz w:val="20"/>
          <w:szCs w:val="20"/>
        </w:rPr>
        <w:t xml:space="preserve"> </w:t>
      </w:r>
      <w:r w:rsidRPr="003C30AA">
        <w:rPr>
          <w:sz w:val="20"/>
          <w:szCs w:val="20"/>
        </w:rPr>
        <w:t>high</w:t>
      </w:r>
      <w:r w:rsidR="00840D53" w:rsidRPr="003C30AA">
        <w:rPr>
          <w:sz w:val="20"/>
          <w:szCs w:val="20"/>
        </w:rPr>
        <w:t xml:space="preserve"> </w:t>
      </w:r>
      <w:r w:rsidRPr="003C30AA">
        <w:rPr>
          <w:sz w:val="20"/>
          <w:szCs w:val="20"/>
        </w:rPr>
        <w:t>resolution</w:t>
      </w:r>
      <w:r w:rsidR="00840D53" w:rsidRPr="003C30AA">
        <w:rPr>
          <w:sz w:val="20"/>
          <w:szCs w:val="20"/>
        </w:rPr>
        <w:t xml:space="preserve"> </w:t>
      </w:r>
      <w:r w:rsidRPr="003C30AA">
        <w:rPr>
          <w:sz w:val="20"/>
          <w:szCs w:val="20"/>
        </w:rPr>
        <w:t>peripheral</w:t>
      </w:r>
      <w:r w:rsidR="00840D53" w:rsidRPr="003C30AA">
        <w:rPr>
          <w:sz w:val="20"/>
          <w:szCs w:val="20"/>
        </w:rPr>
        <w:t xml:space="preserve"> </w:t>
      </w:r>
      <w:r w:rsidRPr="003C30AA">
        <w:rPr>
          <w:sz w:val="20"/>
          <w:szCs w:val="20"/>
        </w:rPr>
        <w:t>quantitative</w:t>
      </w:r>
      <w:r w:rsidR="00840D53" w:rsidRPr="003C30AA">
        <w:rPr>
          <w:sz w:val="20"/>
          <w:szCs w:val="20"/>
        </w:rPr>
        <w:t xml:space="preserve"> </w:t>
      </w:r>
      <w:r w:rsidRPr="003C30AA">
        <w:rPr>
          <w:sz w:val="20"/>
          <w:szCs w:val="20"/>
        </w:rPr>
        <w:t>computed</w:t>
      </w:r>
      <w:r w:rsidR="00840D53" w:rsidRPr="003C30AA">
        <w:rPr>
          <w:sz w:val="20"/>
          <w:szCs w:val="20"/>
        </w:rPr>
        <w:t xml:space="preserve"> </w:t>
      </w:r>
      <w:r w:rsidRPr="003C30AA">
        <w:rPr>
          <w:sz w:val="20"/>
          <w:szCs w:val="20"/>
        </w:rPr>
        <w:t>tomography</w:t>
      </w:r>
      <w:r w:rsidR="00840D53" w:rsidRPr="003C30AA">
        <w:rPr>
          <w:sz w:val="20"/>
          <w:szCs w:val="20"/>
        </w:rPr>
        <w:t xml:space="preserve"> </w:t>
      </w:r>
      <w:r w:rsidRPr="003C30AA">
        <w:rPr>
          <w:sz w:val="20"/>
          <w:szCs w:val="20"/>
        </w:rPr>
        <w:t>to</w:t>
      </w:r>
      <w:r w:rsidR="00840D53" w:rsidRPr="003C30AA">
        <w:rPr>
          <w:sz w:val="20"/>
          <w:szCs w:val="20"/>
        </w:rPr>
        <w:t xml:space="preserve"> </w:t>
      </w:r>
      <w:r w:rsidRPr="003C30AA">
        <w:rPr>
          <w:sz w:val="20"/>
          <w:szCs w:val="20"/>
        </w:rPr>
        <w:t>radiographic</w:t>
      </w:r>
      <w:r w:rsidR="00840D53" w:rsidRPr="003C30AA">
        <w:rPr>
          <w:sz w:val="20"/>
          <w:szCs w:val="20"/>
        </w:rPr>
        <w:t xml:space="preserve"> </w:t>
      </w:r>
      <w:r w:rsidRPr="003C30AA">
        <w:rPr>
          <w:sz w:val="20"/>
          <w:szCs w:val="20"/>
        </w:rPr>
        <w:t>components</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hip</w:t>
      </w:r>
      <w:r w:rsidR="00840D53" w:rsidRPr="003C30AA">
        <w:rPr>
          <w:sz w:val="20"/>
          <w:szCs w:val="20"/>
        </w:rPr>
        <w:t xml:space="preserve"> </w:t>
      </w:r>
      <w:r w:rsidRPr="003C30AA">
        <w:rPr>
          <w:sz w:val="20"/>
          <w:szCs w:val="20"/>
        </w:rPr>
        <w:t>osteoarthritis.</w:t>
      </w:r>
      <w:r w:rsidR="00840D53" w:rsidRPr="003C30AA">
        <w:rPr>
          <w:sz w:val="20"/>
          <w:szCs w:val="20"/>
        </w:rPr>
        <w:t xml:space="preserve"> </w:t>
      </w:r>
      <w:r w:rsidRPr="003C30AA">
        <w:rPr>
          <w:sz w:val="20"/>
          <w:szCs w:val="20"/>
        </w:rPr>
        <w:t>Osteoarthritis</w:t>
      </w:r>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Cartilage.</w:t>
      </w:r>
      <w:r w:rsidR="00840D53" w:rsidRPr="003C30AA">
        <w:rPr>
          <w:sz w:val="20"/>
          <w:szCs w:val="20"/>
        </w:rPr>
        <w:t xml:space="preserve"> </w:t>
      </w:r>
      <w:r w:rsidRPr="003C30AA">
        <w:rPr>
          <w:bCs/>
          <w:sz w:val="20"/>
          <w:szCs w:val="20"/>
        </w:rPr>
        <w:t>2017</w:t>
      </w:r>
      <w:r w:rsidRPr="003C30AA">
        <w:rPr>
          <w:sz w:val="20"/>
          <w:szCs w:val="20"/>
        </w:rPr>
        <w:t>;</w:t>
      </w:r>
      <w:r w:rsidR="00840D53" w:rsidRPr="003C30AA">
        <w:rPr>
          <w:sz w:val="20"/>
          <w:szCs w:val="20"/>
        </w:rPr>
        <w:t xml:space="preserve"> </w:t>
      </w:r>
      <w:r w:rsidRPr="003C30AA">
        <w:rPr>
          <w:sz w:val="20"/>
          <w:szCs w:val="20"/>
        </w:rPr>
        <w:t>1-6</w:t>
      </w:r>
      <w:r w:rsidR="00840D53" w:rsidRPr="003C30AA">
        <w:rPr>
          <w:sz w:val="20"/>
          <w:szCs w:val="20"/>
        </w:rPr>
        <w:t xml:space="preserve"> </w:t>
      </w:r>
      <w:r w:rsidRPr="003C30AA">
        <w:rPr>
          <w:sz w:val="20"/>
          <w:szCs w:val="20"/>
        </w:rPr>
        <w:t>(Article</w:t>
      </w:r>
      <w:r w:rsidR="00840D53" w:rsidRPr="003C30AA">
        <w:rPr>
          <w:sz w:val="20"/>
          <w:szCs w:val="20"/>
        </w:rPr>
        <w:t xml:space="preserve"> </w:t>
      </w:r>
      <w:r w:rsidRPr="003C30AA">
        <w:rPr>
          <w:sz w:val="20"/>
          <w:szCs w:val="20"/>
        </w:rPr>
        <w:t>in</w:t>
      </w:r>
      <w:r w:rsidR="00840D53" w:rsidRPr="003C30AA">
        <w:rPr>
          <w:sz w:val="20"/>
          <w:szCs w:val="20"/>
        </w:rPr>
        <w:t xml:space="preserve"> </w:t>
      </w:r>
      <w:r w:rsidRPr="003C30AA">
        <w:rPr>
          <w:sz w:val="20"/>
          <w:szCs w:val="20"/>
        </w:rPr>
        <w:t>Press).</w:t>
      </w:r>
    </w:p>
    <w:p w:rsidR="00736402" w:rsidRPr="003C30AA" w:rsidRDefault="00736402" w:rsidP="00840D53">
      <w:pPr>
        <w:numPr>
          <w:ilvl w:val="0"/>
          <w:numId w:val="34"/>
        </w:numPr>
        <w:autoSpaceDE w:val="0"/>
        <w:autoSpaceDN w:val="0"/>
        <w:bidi w:val="0"/>
        <w:adjustRightInd w:val="0"/>
        <w:snapToGrid w:val="0"/>
        <w:ind w:left="425" w:hanging="425"/>
        <w:jc w:val="both"/>
        <w:rPr>
          <w:sz w:val="20"/>
          <w:szCs w:val="20"/>
        </w:rPr>
      </w:pPr>
      <w:proofErr w:type="spellStart"/>
      <w:r w:rsidRPr="003C30AA">
        <w:rPr>
          <w:bCs/>
          <w:sz w:val="20"/>
          <w:szCs w:val="20"/>
        </w:rPr>
        <w:t>Felson</w:t>
      </w:r>
      <w:proofErr w:type="spellEnd"/>
      <w:r w:rsidR="00840D53" w:rsidRPr="003C30AA">
        <w:rPr>
          <w:bCs/>
          <w:sz w:val="20"/>
          <w:szCs w:val="20"/>
        </w:rPr>
        <w:t xml:space="preserve"> </w:t>
      </w:r>
      <w:r w:rsidRPr="003C30AA">
        <w:rPr>
          <w:bCs/>
          <w:sz w:val="20"/>
          <w:szCs w:val="20"/>
        </w:rPr>
        <w:t>DT</w:t>
      </w:r>
      <w:r w:rsidR="00840D53" w:rsidRPr="003C30AA">
        <w:rPr>
          <w:bCs/>
          <w:sz w:val="20"/>
          <w:szCs w:val="20"/>
        </w:rPr>
        <w:t xml:space="preserve"> </w:t>
      </w:r>
      <w:r w:rsidRPr="003C30AA">
        <w:rPr>
          <w:bCs/>
          <w:sz w:val="20"/>
          <w:szCs w:val="20"/>
        </w:rPr>
        <w:t>(2005):</w:t>
      </w:r>
      <w:r w:rsidR="00840D53" w:rsidRPr="003C30AA">
        <w:rPr>
          <w:sz w:val="20"/>
          <w:szCs w:val="20"/>
        </w:rPr>
        <w:t xml:space="preserve"> </w:t>
      </w:r>
      <w:r w:rsidRPr="003C30AA">
        <w:rPr>
          <w:sz w:val="20"/>
          <w:szCs w:val="20"/>
        </w:rPr>
        <w:t>The</w:t>
      </w:r>
      <w:r w:rsidR="00840D53" w:rsidRPr="003C30AA">
        <w:rPr>
          <w:sz w:val="20"/>
          <w:szCs w:val="20"/>
        </w:rPr>
        <w:t xml:space="preserve"> </w:t>
      </w:r>
      <w:r w:rsidRPr="003C30AA">
        <w:rPr>
          <w:sz w:val="20"/>
          <w:szCs w:val="20"/>
        </w:rPr>
        <w:t>sources</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pain</w:t>
      </w:r>
      <w:r w:rsidR="00840D53" w:rsidRPr="003C30AA">
        <w:rPr>
          <w:sz w:val="20"/>
          <w:szCs w:val="20"/>
        </w:rPr>
        <w:t xml:space="preserve"> </w:t>
      </w:r>
      <w:r w:rsidRPr="003C30AA">
        <w:rPr>
          <w:sz w:val="20"/>
          <w:szCs w:val="20"/>
        </w:rPr>
        <w:t>in</w:t>
      </w:r>
      <w:r w:rsidR="00840D53" w:rsidRPr="003C30AA">
        <w:rPr>
          <w:sz w:val="20"/>
          <w:szCs w:val="20"/>
        </w:rPr>
        <w:t xml:space="preserve"> </w:t>
      </w:r>
      <w:r w:rsidRPr="003C30AA">
        <w:rPr>
          <w:sz w:val="20"/>
          <w:szCs w:val="20"/>
        </w:rPr>
        <w:t>knee</w:t>
      </w:r>
      <w:r w:rsidR="00840D53" w:rsidRPr="003C30AA">
        <w:rPr>
          <w:sz w:val="20"/>
          <w:szCs w:val="20"/>
        </w:rPr>
        <w:t xml:space="preserve"> </w:t>
      </w:r>
      <w:r w:rsidRPr="003C30AA">
        <w:rPr>
          <w:sz w:val="20"/>
          <w:szCs w:val="20"/>
        </w:rPr>
        <w:t>osteoarthritis.</w:t>
      </w:r>
      <w:r w:rsidR="00840D53" w:rsidRPr="003C30AA">
        <w:rPr>
          <w:sz w:val="20"/>
          <w:szCs w:val="20"/>
        </w:rPr>
        <w:t xml:space="preserve"> </w:t>
      </w:r>
      <w:proofErr w:type="spellStart"/>
      <w:r w:rsidRPr="003C30AA">
        <w:rPr>
          <w:sz w:val="20"/>
          <w:szCs w:val="20"/>
        </w:rPr>
        <w:t>Curr</w:t>
      </w:r>
      <w:proofErr w:type="spellEnd"/>
      <w:r w:rsidR="00840D53" w:rsidRPr="003C30AA">
        <w:rPr>
          <w:sz w:val="20"/>
          <w:szCs w:val="20"/>
        </w:rPr>
        <w:t xml:space="preserve"> </w:t>
      </w:r>
      <w:proofErr w:type="spellStart"/>
      <w:r w:rsidRPr="003C30AA">
        <w:rPr>
          <w:sz w:val="20"/>
          <w:szCs w:val="20"/>
        </w:rPr>
        <w:t>Opin</w:t>
      </w:r>
      <w:proofErr w:type="spellEnd"/>
      <w:r w:rsidR="00840D53" w:rsidRPr="003C30AA">
        <w:rPr>
          <w:sz w:val="20"/>
          <w:szCs w:val="20"/>
        </w:rPr>
        <w:t xml:space="preserve"> </w:t>
      </w:r>
      <w:proofErr w:type="spellStart"/>
      <w:r w:rsidRPr="003C30AA">
        <w:rPr>
          <w:sz w:val="20"/>
          <w:szCs w:val="20"/>
        </w:rPr>
        <w:t>Rheumatol</w:t>
      </w:r>
      <w:proofErr w:type="spellEnd"/>
      <w:r w:rsidRPr="003C30AA">
        <w:rPr>
          <w:sz w:val="20"/>
          <w:szCs w:val="20"/>
        </w:rPr>
        <w:t>.</w:t>
      </w:r>
      <w:r w:rsidR="00840D53" w:rsidRPr="003C30AA">
        <w:rPr>
          <w:sz w:val="20"/>
          <w:szCs w:val="20"/>
        </w:rPr>
        <w:t xml:space="preserve"> </w:t>
      </w:r>
      <w:r w:rsidRPr="003C30AA">
        <w:rPr>
          <w:bCs/>
          <w:sz w:val="20"/>
          <w:szCs w:val="20"/>
        </w:rPr>
        <w:t>2005;</w:t>
      </w:r>
      <w:r w:rsidRPr="003C30AA">
        <w:rPr>
          <w:sz w:val="20"/>
          <w:szCs w:val="20"/>
        </w:rPr>
        <w:t>17:624–628.</w:t>
      </w:r>
    </w:p>
    <w:p w:rsidR="00736402" w:rsidRPr="003C30AA" w:rsidRDefault="00736402" w:rsidP="00840D53">
      <w:pPr>
        <w:numPr>
          <w:ilvl w:val="0"/>
          <w:numId w:val="34"/>
        </w:numPr>
        <w:autoSpaceDE w:val="0"/>
        <w:autoSpaceDN w:val="0"/>
        <w:bidi w:val="0"/>
        <w:adjustRightInd w:val="0"/>
        <w:snapToGrid w:val="0"/>
        <w:ind w:left="425" w:hanging="425"/>
        <w:jc w:val="both"/>
        <w:rPr>
          <w:sz w:val="20"/>
          <w:szCs w:val="20"/>
        </w:rPr>
      </w:pPr>
      <w:r w:rsidRPr="003C30AA">
        <w:rPr>
          <w:bCs/>
          <w:sz w:val="20"/>
          <w:szCs w:val="20"/>
        </w:rPr>
        <w:t>Hart</w:t>
      </w:r>
      <w:r w:rsidR="00840D53" w:rsidRPr="003C30AA">
        <w:rPr>
          <w:bCs/>
          <w:sz w:val="20"/>
          <w:szCs w:val="20"/>
        </w:rPr>
        <w:t xml:space="preserve"> </w:t>
      </w:r>
      <w:r w:rsidRPr="003C30AA">
        <w:rPr>
          <w:bCs/>
          <w:sz w:val="20"/>
          <w:szCs w:val="20"/>
        </w:rPr>
        <w:t>DJ,</w:t>
      </w:r>
      <w:r w:rsidR="00840D53" w:rsidRPr="003C30AA">
        <w:rPr>
          <w:bCs/>
          <w:sz w:val="20"/>
          <w:szCs w:val="20"/>
        </w:rPr>
        <w:t xml:space="preserve"> </w:t>
      </w:r>
      <w:r w:rsidRPr="003C30AA">
        <w:rPr>
          <w:bCs/>
          <w:sz w:val="20"/>
          <w:szCs w:val="20"/>
        </w:rPr>
        <w:t>Cronin</w:t>
      </w:r>
      <w:r w:rsidR="00840D53" w:rsidRPr="003C30AA">
        <w:rPr>
          <w:bCs/>
          <w:sz w:val="20"/>
          <w:szCs w:val="20"/>
        </w:rPr>
        <w:t xml:space="preserve"> </w:t>
      </w:r>
      <w:r w:rsidRPr="003C30AA">
        <w:rPr>
          <w:bCs/>
          <w:sz w:val="20"/>
          <w:szCs w:val="20"/>
        </w:rPr>
        <w:t>C,</w:t>
      </w:r>
      <w:r w:rsidR="00840D53" w:rsidRPr="003C30AA">
        <w:rPr>
          <w:bCs/>
          <w:sz w:val="20"/>
          <w:szCs w:val="20"/>
        </w:rPr>
        <w:t xml:space="preserve"> </w:t>
      </w:r>
      <w:r w:rsidRPr="003C30AA">
        <w:rPr>
          <w:bCs/>
          <w:sz w:val="20"/>
          <w:szCs w:val="20"/>
        </w:rPr>
        <w:t>Daniels</w:t>
      </w:r>
      <w:r w:rsidR="00840D53" w:rsidRPr="003C30AA">
        <w:rPr>
          <w:bCs/>
          <w:sz w:val="20"/>
          <w:szCs w:val="20"/>
        </w:rPr>
        <w:t xml:space="preserve"> </w:t>
      </w:r>
      <w:r w:rsidRPr="003C30AA">
        <w:rPr>
          <w:bCs/>
          <w:sz w:val="20"/>
          <w:szCs w:val="20"/>
        </w:rPr>
        <w:t>M,</w:t>
      </w:r>
      <w:r w:rsidR="00840D53" w:rsidRPr="003C30AA">
        <w:rPr>
          <w:bCs/>
          <w:sz w:val="20"/>
          <w:szCs w:val="20"/>
        </w:rPr>
        <w:t xml:space="preserve"> </w:t>
      </w:r>
      <w:r w:rsidRPr="003C30AA">
        <w:rPr>
          <w:bCs/>
          <w:sz w:val="20"/>
          <w:szCs w:val="20"/>
        </w:rPr>
        <w:t>et</w:t>
      </w:r>
      <w:r w:rsidR="00840D53" w:rsidRPr="003C30AA">
        <w:rPr>
          <w:bCs/>
          <w:sz w:val="20"/>
          <w:szCs w:val="20"/>
        </w:rPr>
        <w:t xml:space="preserve"> </w:t>
      </w:r>
      <w:r w:rsidRPr="003C30AA">
        <w:rPr>
          <w:bCs/>
          <w:sz w:val="20"/>
          <w:szCs w:val="20"/>
        </w:rPr>
        <w:t>al.:</w:t>
      </w:r>
      <w:r w:rsidR="00840D53" w:rsidRPr="003C30AA">
        <w:rPr>
          <w:sz w:val="20"/>
          <w:szCs w:val="20"/>
        </w:rPr>
        <w:t xml:space="preserve"> </w:t>
      </w:r>
      <w:r w:rsidRPr="003C30AA">
        <w:rPr>
          <w:sz w:val="20"/>
          <w:szCs w:val="20"/>
        </w:rPr>
        <w:t>The</w:t>
      </w:r>
      <w:r w:rsidR="00840D53" w:rsidRPr="003C30AA">
        <w:rPr>
          <w:sz w:val="20"/>
          <w:szCs w:val="20"/>
        </w:rPr>
        <w:t xml:space="preserve"> </w:t>
      </w:r>
      <w:r w:rsidRPr="003C30AA">
        <w:rPr>
          <w:sz w:val="20"/>
          <w:szCs w:val="20"/>
        </w:rPr>
        <w:t>relationship</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bone</w:t>
      </w:r>
      <w:r w:rsidR="00840D53" w:rsidRPr="003C30AA">
        <w:rPr>
          <w:sz w:val="20"/>
          <w:szCs w:val="20"/>
        </w:rPr>
        <w:t xml:space="preserve"> </w:t>
      </w:r>
      <w:r w:rsidRPr="003C30AA">
        <w:rPr>
          <w:sz w:val="20"/>
          <w:szCs w:val="20"/>
        </w:rPr>
        <w:t>density</w:t>
      </w:r>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fracture</w:t>
      </w:r>
      <w:r w:rsidR="00840D53" w:rsidRPr="003C30AA">
        <w:rPr>
          <w:sz w:val="20"/>
          <w:szCs w:val="20"/>
        </w:rPr>
        <w:t xml:space="preserve"> </w:t>
      </w:r>
      <w:r w:rsidRPr="003C30AA">
        <w:rPr>
          <w:sz w:val="20"/>
          <w:szCs w:val="20"/>
        </w:rPr>
        <w:t>to</w:t>
      </w:r>
      <w:r w:rsidR="00840D53" w:rsidRPr="003C30AA">
        <w:rPr>
          <w:sz w:val="20"/>
          <w:szCs w:val="20"/>
        </w:rPr>
        <w:t xml:space="preserve"> </w:t>
      </w:r>
      <w:r w:rsidRPr="003C30AA">
        <w:rPr>
          <w:sz w:val="20"/>
          <w:szCs w:val="20"/>
        </w:rPr>
        <w:lastRenderedPageBreak/>
        <w:t>incident</w:t>
      </w:r>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progressive</w:t>
      </w:r>
      <w:r w:rsidR="00840D53" w:rsidRPr="003C30AA">
        <w:rPr>
          <w:sz w:val="20"/>
          <w:szCs w:val="20"/>
        </w:rPr>
        <w:t xml:space="preserve"> </w:t>
      </w:r>
      <w:r w:rsidRPr="003C30AA">
        <w:rPr>
          <w:sz w:val="20"/>
          <w:szCs w:val="20"/>
        </w:rPr>
        <w:t>radiographic</w:t>
      </w:r>
      <w:r w:rsidR="00840D53" w:rsidRPr="003C30AA">
        <w:rPr>
          <w:sz w:val="20"/>
          <w:szCs w:val="20"/>
        </w:rPr>
        <w:t xml:space="preserve"> </w:t>
      </w:r>
      <w:r w:rsidRPr="003C30AA">
        <w:rPr>
          <w:sz w:val="20"/>
          <w:szCs w:val="20"/>
        </w:rPr>
        <w:t>osteoarthritis</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the</w:t>
      </w:r>
      <w:r w:rsidR="00840D53" w:rsidRPr="003C30AA">
        <w:rPr>
          <w:sz w:val="20"/>
          <w:szCs w:val="20"/>
        </w:rPr>
        <w:t xml:space="preserve"> </w:t>
      </w:r>
      <w:r w:rsidRPr="003C30AA">
        <w:rPr>
          <w:sz w:val="20"/>
          <w:szCs w:val="20"/>
        </w:rPr>
        <w:t>knee:</w:t>
      </w:r>
      <w:r w:rsidR="00840D53" w:rsidRPr="003C30AA">
        <w:rPr>
          <w:sz w:val="20"/>
          <w:szCs w:val="20"/>
        </w:rPr>
        <w:t xml:space="preserve"> </w:t>
      </w:r>
      <w:r w:rsidRPr="003C30AA">
        <w:rPr>
          <w:sz w:val="20"/>
          <w:szCs w:val="20"/>
        </w:rPr>
        <w:t>the</w:t>
      </w:r>
      <w:r w:rsidR="00840D53" w:rsidRPr="003C30AA">
        <w:rPr>
          <w:sz w:val="20"/>
          <w:szCs w:val="20"/>
        </w:rPr>
        <w:t xml:space="preserve"> </w:t>
      </w:r>
      <w:r w:rsidRPr="003C30AA">
        <w:rPr>
          <w:sz w:val="20"/>
          <w:szCs w:val="20"/>
        </w:rPr>
        <w:t>Chingford</w:t>
      </w:r>
      <w:r w:rsidR="00840D53" w:rsidRPr="003C30AA">
        <w:rPr>
          <w:sz w:val="20"/>
          <w:szCs w:val="20"/>
        </w:rPr>
        <w:t xml:space="preserve"> </w:t>
      </w:r>
      <w:r w:rsidRPr="003C30AA">
        <w:rPr>
          <w:sz w:val="20"/>
          <w:szCs w:val="20"/>
        </w:rPr>
        <w:t>Study.</w:t>
      </w:r>
      <w:r w:rsidR="00840D53" w:rsidRPr="003C30AA">
        <w:rPr>
          <w:sz w:val="20"/>
          <w:szCs w:val="20"/>
        </w:rPr>
        <w:t xml:space="preserve"> </w:t>
      </w:r>
      <w:r w:rsidRPr="003C30AA">
        <w:rPr>
          <w:sz w:val="20"/>
          <w:szCs w:val="20"/>
        </w:rPr>
        <w:t>Arthritis</w:t>
      </w:r>
      <w:r w:rsidR="00840D53" w:rsidRPr="003C30AA">
        <w:rPr>
          <w:sz w:val="20"/>
          <w:szCs w:val="20"/>
        </w:rPr>
        <w:t xml:space="preserve"> </w:t>
      </w:r>
      <w:r w:rsidRPr="003C30AA">
        <w:rPr>
          <w:sz w:val="20"/>
          <w:szCs w:val="20"/>
        </w:rPr>
        <w:t>Rheum</w:t>
      </w:r>
      <w:r w:rsidR="00840D53" w:rsidRPr="003C30AA">
        <w:rPr>
          <w:sz w:val="20"/>
          <w:szCs w:val="20"/>
        </w:rPr>
        <w:t xml:space="preserve"> </w:t>
      </w:r>
      <w:r w:rsidRPr="003C30AA">
        <w:rPr>
          <w:bCs/>
          <w:sz w:val="20"/>
          <w:szCs w:val="20"/>
        </w:rPr>
        <w:t>2002</w:t>
      </w:r>
      <w:r w:rsidRPr="003C30AA">
        <w:rPr>
          <w:sz w:val="20"/>
          <w:szCs w:val="20"/>
        </w:rPr>
        <w:t>;</w:t>
      </w:r>
      <w:r w:rsidR="00840D53" w:rsidRPr="003C30AA">
        <w:rPr>
          <w:sz w:val="20"/>
          <w:szCs w:val="20"/>
        </w:rPr>
        <w:t xml:space="preserve"> </w:t>
      </w:r>
      <w:r w:rsidRPr="003C30AA">
        <w:rPr>
          <w:sz w:val="20"/>
          <w:szCs w:val="20"/>
        </w:rPr>
        <w:t>46:92–99.</w:t>
      </w:r>
    </w:p>
    <w:p w:rsidR="00736402" w:rsidRPr="003C30AA" w:rsidRDefault="00736402" w:rsidP="00840D53">
      <w:pPr>
        <w:numPr>
          <w:ilvl w:val="0"/>
          <w:numId w:val="34"/>
        </w:numPr>
        <w:autoSpaceDE w:val="0"/>
        <w:autoSpaceDN w:val="0"/>
        <w:bidi w:val="0"/>
        <w:adjustRightInd w:val="0"/>
        <w:snapToGrid w:val="0"/>
        <w:ind w:left="425" w:hanging="425"/>
        <w:jc w:val="both"/>
        <w:rPr>
          <w:sz w:val="20"/>
          <w:szCs w:val="20"/>
        </w:rPr>
      </w:pPr>
      <w:r w:rsidRPr="003C30AA">
        <w:rPr>
          <w:bCs/>
          <w:sz w:val="20"/>
          <w:szCs w:val="20"/>
        </w:rPr>
        <w:t>Hochberg</w:t>
      </w:r>
      <w:r w:rsidR="00840D53" w:rsidRPr="003C30AA">
        <w:rPr>
          <w:bCs/>
          <w:sz w:val="20"/>
          <w:szCs w:val="20"/>
        </w:rPr>
        <w:t xml:space="preserve"> </w:t>
      </w:r>
      <w:r w:rsidRPr="003C30AA">
        <w:rPr>
          <w:bCs/>
          <w:sz w:val="20"/>
          <w:szCs w:val="20"/>
        </w:rPr>
        <w:t>MC,</w:t>
      </w:r>
      <w:r w:rsidR="00840D53" w:rsidRPr="003C30AA">
        <w:rPr>
          <w:bCs/>
          <w:sz w:val="20"/>
          <w:szCs w:val="20"/>
        </w:rPr>
        <w:t xml:space="preserve"> </w:t>
      </w:r>
      <w:proofErr w:type="spellStart"/>
      <w:r w:rsidRPr="003C30AA">
        <w:rPr>
          <w:bCs/>
          <w:sz w:val="20"/>
          <w:szCs w:val="20"/>
        </w:rPr>
        <w:t>Lethbridge-Cejku</w:t>
      </w:r>
      <w:proofErr w:type="spellEnd"/>
      <w:r w:rsidR="00840D53" w:rsidRPr="003C30AA">
        <w:rPr>
          <w:bCs/>
          <w:sz w:val="20"/>
          <w:szCs w:val="20"/>
        </w:rPr>
        <w:t xml:space="preserve"> </w:t>
      </w:r>
      <w:r w:rsidRPr="003C30AA">
        <w:rPr>
          <w:bCs/>
          <w:sz w:val="20"/>
          <w:szCs w:val="20"/>
        </w:rPr>
        <w:t>M,</w:t>
      </w:r>
      <w:r w:rsidR="00840D53" w:rsidRPr="003C30AA">
        <w:rPr>
          <w:bCs/>
          <w:sz w:val="20"/>
          <w:szCs w:val="20"/>
        </w:rPr>
        <w:t xml:space="preserve"> </w:t>
      </w:r>
      <w:r w:rsidRPr="003C30AA">
        <w:rPr>
          <w:bCs/>
          <w:sz w:val="20"/>
          <w:szCs w:val="20"/>
        </w:rPr>
        <w:t>Tobin</w:t>
      </w:r>
      <w:r w:rsidR="00840D53" w:rsidRPr="003C30AA">
        <w:rPr>
          <w:bCs/>
          <w:sz w:val="20"/>
          <w:szCs w:val="20"/>
        </w:rPr>
        <w:t xml:space="preserve"> </w:t>
      </w:r>
      <w:r w:rsidRPr="003C30AA">
        <w:rPr>
          <w:bCs/>
          <w:sz w:val="20"/>
          <w:szCs w:val="20"/>
        </w:rPr>
        <w:t>JD.</w:t>
      </w:r>
      <w:r w:rsidR="00840D53" w:rsidRPr="003C30AA">
        <w:rPr>
          <w:sz w:val="20"/>
          <w:szCs w:val="20"/>
        </w:rPr>
        <w:t xml:space="preserve"> </w:t>
      </w:r>
      <w:r w:rsidRPr="003C30AA">
        <w:rPr>
          <w:sz w:val="20"/>
          <w:szCs w:val="20"/>
        </w:rPr>
        <w:t>Bone</w:t>
      </w:r>
      <w:r w:rsidR="00840D53" w:rsidRPr="003C30AA">
        <w:rPr>
          <w:sz w:val="20"/>
          <w:szCs w:val="20"/>
        </w:rPr>
        <w:t xml:space="preserve"> </w:t>
      </w:r>
      <w:r w:rsidRPr="003C30AA">
        <w:rPr>
          <w:sz w:val="20"/>
          <w:szCs w:val="20"/>
        </w:rPr>
        <w:t>min</w:t>
      </w:r>
      <w:r w:rsidRPr="003C30AA">
        <w:rPr>
          <w:sz w:val="20"/>
          <w:szCs w:val="20"/>
        </w:rPr>
        <w:softHyphen/>
        <w:t>eral</w:t>
      </w:r>
      <w:r w:rsidR="00840D53" w:rsidRPr="003C30AA">
        <w:rPr>
          <w:sz w:val="20"/>
          <w:szCs w:val="20"/>
        </w:rPr>
        <w:t xml:space="preserve"> </w:t>
      </w:r>
      <w:r w:rsidRPr="003C30AA">
        <w:rPr>
          <w:sz w:val="20"/>
          <w:szCs w:val="20"/>
        </w:rPr>
        <w:t>density</w:t>
      </w:r>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osteoarthritis:</w:t>
      </w:r>
      <w:r w:rsidR="00840D53" w:rsidRPr="003C30AA">
        <w:rPr>
          <w:sz w:val="20"/>
          <w:szCs w:val="20"/>
        </w:rPr>
        <w:t xml:space="preserve"> </w:t>
      </w:r>
      <w:r w:rsidRPr="003C30AA">
        <w:rPr>
          <w:sz w:val="20"/>
          <w:szCs w:val="20"/>
        </w:rPr>
        <w:t>data</w:t>
      </w:r>
      <w:r w:rsidR="00840D53" w:rsidRPr="003C30AA">
        <w:rPr>
          <w:sz w:val="20"/>
          <w:szCs w:val="20"/>
        </w:rPr>
        <w:t xml:space="preserve"> </w:t>
      </w:r>
      <w:r w:rsidRPr="003C30AA">
        <w:rPr>
          <w:sz w:val="20"/>
          <w:szCs w:val="20"/>
        </w:rPr>
        <w:t>from</w:t>
      </w:r>
      <w:r w:rsidR="00840D53" w:rsidRPr="003C30AA">
        <w:rPr>
          <w:sz w:val="20"/>
          <w:szCs w:val="20"/>
        </w:rPr>
        <w:t xml:space="preserve"> </w:t>
      </w:r>
      <w:r w:rsidRPr="003C30AA">
        <w:rPr>
          <w:sz w:val="20"/>
          <w:szCs w:val="20"/>
        </w:rPr>
        <w:t>the</w:t>
      </w:r>
      <w:r w:rsidR="00840D53" w:rsidRPr="003C30AA">
        <w:rPr>
          <w:sz w:val="20"/>
          <w:szCs w:val="20"/>
        </w:rPr>
        <w:t xml:space="preserve"> </w:t>
      </w:r>
      <w:r w:rsidRPr="003C30AA">
        <w:rPr>
          <w:sz w:val="20"/>
          <w:szCs w:val="20"/>
        </w:rPr>
        <w:t>Baltimore</w:t>
      </w:r>
      <w:r w:rsidR="00840D53" w:rsidRPr="003C30AA">
        <w:rPr>
          <w:sz w:val="20"/>
          <w:szCs w:val="20"/>
        </w:rPr>
        <w:t xml:space="preserve"> </w:t>
      </w:r>
      <w:r w:rsidRPr="003C30AA">
        <w:rPr>
          <w:sz w:val="20"/>
          <w:szCs w:val="20"/>
        </w:rPr>
        <w:t>Lon</w:t>
      </w:r>
      <w:r w:rsidRPr="003C30AA">
        <w:rPr>
          <w:sz w:val="20"/>
          <w:szCs w:val="20"/>
        </w:rPr>
        <w:softHyphen/>
        <w:t>gitudinal</w:t>
      </w:r>
      <w:r w:rsidR="00840D53" w:rsidRPr="003C30AA">
        <w:rPr>
          <w:sz w:val="20"/>
          <w:szCs w:val="20"/>
        </w:rPr>
        <w:t xml:space="preserve"> </w:t>
      </w:r>
      <w:r w:rsidRPr="003C30AA">
        <w:rPr>
          <w:sz w:val="20"/>
          <w:szCs w:val="20"/>
        </w:rPr>
        <w:t>Study</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Aging.</w:t>
      </w:r>
      <w:r w:rsidR="00840D53" w:rsidRPr="003C30AA">
        <w:rPr>
          <w:sz w:val="20"/>
          <w:szCs w:val="20"/>
        </w:rPr>
        <w:t xml:space="preserve"> </w:t>
      </w:r>
      <w:r w:rsidRPr="003C30AA">
        <w:rPr>
          <w:sz w:val="20"/>
          <w:szCs w:val="20"/>
        </w:rPr>
        <w:t>Osteoarthritis</w:t>
      </w:r>
      <w:r w:rsidR="00840D53" w:rsidRPr="003C30AA">
        <w:rPr>
          <w:sz w:val="20"/>
          <w:szCs w:val="20"/>
        </w:rPr>
        <w:t xml:space="preserve"> </w:t>
      </w:r>
      <w:r w:rsidRPr="003C30AA">
        <w:rPr>
          <w:sz w:val="20"/>
          <w:szCs w:val="20"/>
        </w:rPr>
        <w:t>Cartilage.</w:t>
      </w:r>
      <w:r w:rsidR="00840D53" w:rsidRPr="003C30AA">
        <w:rPr>
          <w:sz w:val="20"/>
          <w:szCs w:val="20"/>
        </w:rPr>
        <w:t xml:space="preserve"> </w:t>
      </w:r>
      <w:r w:rsidRPr="003C30AA">
        <w:rPr>
          <w:bCs/>
          <w:sz w:val="20"/>
          <w:szCs w:val="20"/>
        </w:rPr>
        <w:t>2004</w:t>
      </w:r>
      <w:r w:rsidRPr="003C30AA">
        <w:rPr>
          <w:sz w:val="20"/>
          <w:szCs w:val="20"/>
        </w:rPr>
        <w:t>;12</w:t>
      </w:r>
      <w:r w:rsidR="00840D53" w:rsidRPr="003C30AA">
        <w:rPr>
          <w:sz w:val="20"/>
          <w:szCs w:val="20"/>
        </w:rPr>
        <w:t xml:space="preserve"> </w:t>
      </w:r>
      <w:proofErr w:type="spellStart"/>
      <w:r w:rsidRPr="003C30AA">
        <w:rPr>
          <w:sz w:val="20"/>
          <w:szCs w:val="20"/>
        </w:rPr>
        <w:t>Suppl</w:t>
      </w:r>
      <w:proofErr w:type="spellEnd"/>
      <w:r w:rsidR="00840D53" w:rsidRPr="003C30AA">
        <w:rPr>
          <w:sz w:val="20"/>
          <w:szCs w:val="20"/>
        </w:rPr>
        <w:t xml:space="preserve"> </w:t>
      </w:r>
      <w:r w:rsidRPr="003C30AA">
        <w:rPr>
          <w:sz w:val="20"/>
          <w:szCs w:val="20"/>
        </w:rPr>
        <w:t>A</w:t>
      </w:r>
      <w:r w:rsidR="00840D53" w:rsidRPr="003C30AA">
        <w:rPr>
          <w:sz w:val="20"/>
          <w:szCs w:val="20"/>
        </w:rPr>
        <w:t>: S</w:t>
      </w:r>
      <w:r w:rsidRPr="003C30AA">
        <w:rPr>
          <w:sz w:val="20"/>
          <w:szCs w:val="20"/>
        </w:rPr>
        <w:t>45-8.</w:t>
      </w:r>
    </w:p>
    <w:p w:rsidR="00736402" w:rsidRPr="003C30AA" w:rsidRDefault="00736402" w:rsidP="00840D53">
      <w:pPr>
        <w:numPr>
          <w:ilvl w:val="0"/>
          <w:numId w:val="34"/>
        </w:numPr>
        <w:autoSpaceDE w:val="0"/>
        <w:autoSpaceDN w:val="0"/>
        <w:bidi w:val="0"/>
        <w:adjustRightInd w:val="0"/>
        <w:snapToGrid w:val="0"/>
        <w:ind w:left="425" w:hanging="425"/>
        <w:jc w:val="both"/>
        <w:rPr>
          <w:sz w:val="20"/>
          <w:szCs w:val="20"/>
        </w:rPr>
      </w:pPr>
      <w:proofErr w:type="spellStart"/>
      <w:r w:rsidRPr="003C30AA">
        <w:rPr>
          <w:bCs/>
          <w:sz w:val="20"/>
          <w:szCs w:val="20"/>
        </w:rPr>
        <w:t>Hui</w:t>
      </w:r>
      <w:proofErr w:type="spellEnd"/>
      <w:r w:rsidR="00840D53" w:rsidRPr="003C30AA">
        <w:rPr>
          <w:bCs/>
          <w:sz w:val="20"/>
          <w:szCs w:val="20"/>
        </w:rPr>
        <w:t xml:space="preserve"> </w:t>
      </w:r>
      <w:r w:rsidRPr="003C30AA">
        <w:rPr>
          <w:bCs/>
          <w:sz w:val="20"/>
          <w:szCs w:val="20"/>
        </w:rPr>
        <w:t>W,</w:t>
      </w:r>
      <w:r w:rsidR="00840D53" w:rsidRPr="003C30AA">
        <w:rPr>
          <w:bCs/>
          <w:sz w:val="20"/>
          <w:szCs w:val="20"/>
        </w:rPr>
        <w:t xml:space="preserve"> </w:t>
      </w:r>
      <w:proofErr w:type="spellStart"/>
      <w:r w:rsidRPr="003C30AA">
        <w:rPr>
          <w:bCs/>
          <w:sz w:val="20"/>
          <w:szCs w:val="20"/>
        </w:rPr>
        <w:t>Litherland</w:t>
      </w:r>
      <w:proofErr w:type="spellEnd"/>
      <w:r w:rsidR="00840D53" w:rsidRPr="003C30AA">
        <w:rPr>
          <w:bCs/>
          <w:sz w:val="20"/>
          <w:szCs w:val="20"/>
        </w:rPr>
        <w:t xml:space="preserve"> </w:t>
      </w:r>
      <w:r w:rsidRPr="003C30AA">
        <w:rPr>
          <w:bCs/>
          <w:sz w:val="20"/>
          <w:szCs w:val="20"/>
        </w:rPr>
        <w:t>GJ,</w:t>
      </w:r>
      <w:r w:rsidR="00840D53" w:rsidRPr="003C30AA">
        <w:rPr>
          <w:bCs/>
          <w:sz w:val="20"/>
          <w:szCs w:val="20"/>
        </w:rPr>
        <w:t xml:space="preserve"> </w:t>
      </w:r>
      <w:r w:rsidRPr="003C30AA">
        <w:rPr>
          <w:bCs/>
          <w:sz w:val="20"/>
          <w:szCs w:val="20"/>
        </w:rPr>
        <w:t>Elias</w:t>
      </w:r>
      <w:r w:rsidR="00840D53" w:rsidRPr="003C30AA">
        <w:rPr>
          <w:bCs/>
          <w:sz w:val="20"/>
          <w:szCs w:val="20"/>
        </w:rPr>
        <w:t xml:space="preserve"> </w:t>
      </w:r>
      <w:r w:rsidRPr="003C30AA">
        <w:rPr>
          <w:bCs/>
          <w:sz w:val="20"/>
          <w:szCs w:val="20"/>
        </w:rPr>
        <w:t>MS,</w:t>
      </w:r>
      <w:r w:rsidR="00840D53" w:rsidRPr="003C30AA">
        <w:rPr>
          <w:bCs/>
          <w:sz w:val="20"/>
          <w:szCs w:val="20"/>
        </w:rPr>
        <w:t xml:space="preserve"> </w:t>
      </w:r>
      <w:proofErr w:type="spellStart"/>
      <w:r w:rsidRPr="003C30AA">
        <w:rPr>
          <w:bCs/>
          <w:sz w:val="20"/>
          <w:szCs w:val="20"/>
        </w:rPr>
        <w:t>Kitson</w:t>
      </w:r>
      <w:proofErr w:type="spellEnd"/>
      <w:r w:rsidR="00840D53" w:rsidRPr="003C30AA">
        <w:rPr>
          <w:bCs/>
          <w:sz w:val="20"/>
          <w:szCs w:val="20"/>
        </w:rPr>
        <w:t xml:space="preserve"> </w:t>
      </w:r>
      <w:r w:rsidRPr="003C30AA">
        <w:rPr>
          <w:bCs/>
          <w:sz w:val="20"/>
          <w:szCs w:val="20"/>
        </w:rPr>
        <w:t>GI,</w:t>
      </w:r>
      <w:r w:rsidR="00840D53" w:rsidRPr="003C30AA">
        <w:rPr>
          <w:bCs/>
          <w:sz w:val="20"/>
          <w:szCs w:val="20"/>
        </w:rPr>
        <w:t xml:space="preserve"> </w:t>
      </w:r>
      <w:proofErr w:type="spellStart"/>
      <w:r w:rsidRPr="003C30AA">
        <w:rPr>
          <w:bCs/>
          <w:sz w:val="20"/>
          <w:szCs w:val="20"/>
        </w:rPr>
        <w:t>Cawston</w:t>
      </w:r>
      <w:proofErr w:type="spellEnd"/>
      <w:r w:rsidR="00840D53" w:rsidRPr="003C30AA">
        <w:rPr>
          <w:bCs/>
          <w:sz w:val="20"/>
          <w:szCs w:val="20"/>
        </w:rPr>
        <w:t xml:space="preserve"> </w:t>
      </w:r>
      <w:r w:rsidRPr="003C30AA">
        <w:rPr>
          <w:bCs/>
          <w:sz w:val="20"/>
          <w:szCs w:val="20"/>
        </w:rPr>
        <w:t>TE,</w:t>
      </w:r>
      <w:r w:rsidR="00840D53" w:rsidRPr="003C30AA">
        <w:rPr>
          <w:bCs/>
          <w:sz w:val="20"/>
          <w:szCs w:val="20"/>
        </w:rPr>
        <w:t xml:space="preserve"> </w:t>
      </w:r>
      <w:r w:rsidRPr="003C30AA">
        <w:rPr>
          <w:bCs/>
          <w:sz w:val="20"/>
          <w:szCs w:val="20"/>
        </w:rPr>
        <w:t>Rowan</w:t>
      </w:r>
      <w:r w:rsidR="00840D53" w:rsidRPr="003C30AA">
        <w:rPr>
          <w:bCs/>
          <w:sz w:val="20"/>
          <w:szCs w:val="20"/>
        </w:rPr>
        <w:t xml:space="preserve"> </w:t>
      </w:r>
      <w:r w:rsidRPr="003C30AA">
        <w:rPr>
          <w:bCs/>
          <w:sz w:val="20"/>
          <w:szCs w:val="20"/>
        </w:rPr>
        <w:t>AD,</w:t>
      </w:r>
      <w:r w:rsidR="00840D53" w:rsidRPr="003C30AA">
        <w:rPr>
          <w:bCs/>
          <w:sz w:val="20"/>
          <w:szCs w:val="20"/>
        </w:rPr>
        <w:t xml:space="preserve"> </w:t>
      </w:r>
      <w:r w:rsidRPr="003C30AA">
        <w:rPr>
          <w:bCs/>
          <w:sz w:val="20"/>
          <w:szCs w:val="20"/>
        </w:rPr>
        <w:t>et</w:t>
      </w:r>
      <w:r w:rsidR="00840D53" w:rsidRPr="003C30AA">
        <w:rPr>
          <w:bCs/>
          <w:sz w:val="20"/>
          <w:szCs w:val="20"/>
        </w:rPr>
        <w:t xml:space="preserve"> </w:t>
      </w:r>
      <w:r w:rsidRPr="003C30AA">
        <w:rPr>
          <w:bCs/>
          <w:sz w:val="20"/>
          <w:szCs w:val="20"/>
        </w:rPr>
        <w:t>al.</w:t>
      </w:r>
      <w:r w:rsidR="00840D53" w:rsidRPr="003C30AA">
        <w:rPr>
          <w:bCs/>
          <w:sz w:val="20"/>
          <w:szCs w:val="20"/>
        </w:rPr>
        <w:t xml:space="preserve"> </w:t>
      </w:r>
      <w:proofErr w:type="spellStart"/>
      <w:r w:rsidRPr="003C30AA">
        <w:rPr>
          <w:sz w:val="20"/>
          <w:szCs w:val="20"/>
        </w:rPr>
        <w:t>Leptin</w:t>
      </w:r>
      <w:proofErr w:type="spellEnd"/>
      <w:r w:rsidR="00840D53" w:rsidRPr="003C30AA">
        <w:rPr>
          <w:sz w:val="20"/>
          <w:szCs w:val="20"/>
        </w:rPr>
        <w:t xml:space="preserve"> </w:t>
      </w:r>
      <w:r w:rsidRPr="003C30AA">
        <w:rPr>
          <w:sz w:val="20"/>
          <w:szCs w:val="20"/>
        </w:rPr>
        <w:t>produced</w:t>
      </w:r>
      <w:r w:rsidR="00840D53" w:rsidRPr="003C30AA">
        <w:rPr>
          <w:sz w:val="20"/>
          <w:szCs w:val="20"/>
        </w:rPr>
        <w:t xml:space="preserve"> </w:t>
      </w:r>
      <w:r w:rsidRPr="003C30AA">
        <w:rPr>
          <w:sz w:val="20"/>
          <w:szCs w:val="20"/>
        </w:rPr>
        <w:t>by</w:t>
      </w:r>
      <w:r w:rsidR="00840D53" w:rsidRPr="003C30AA">
        <w:rPr>
          <w:sz w:val="20"/>
          <w:szCs w:val="20"/>
        </w:rPr>
        <w:t xml:space="preserve"> </w:t>
      </w:r>
      <w:r w:rsidRPr="003C30AA">
        <w:rPr>
          <w:sz w:val="20"/>
          <w:szCs w:val="20"/>
        </w:rPr>
        <w:t>joint</w:t>
      </w:r>
      <w:r w:rsidR="00840D53" w:rsidRPr="003C30AA">
        <w:rPr>
          <w:sz w:val="20"/>
          <w:szCs w:val="20"/>
        </w:rPr>
        <w:t xml:space="preserve"> </w:t>
      </w:r>
      <w:r w:rsidRPr="003C30AA">
        <w:rPr>
          <w:sz w:val="20"/>
          <w:szCs w:val="20"/>
        </w:rPr>
        <w:t>white</w:t>
      </w:r>
      <w:r w:rsidR="00840D53" w:rsidRPr="003C30AA">
        <w:rPr>
          <w:sz w:val="20"/>
          <w:szCs w:val="20"/>
        </w:rPr>
        <w:t xml:space="preserve"> </w:t>
      </w:r>
      <w:r w:rsidRPr="003C30AA">
        <w:rPr>
          <w:sz w:val="20"/>
          <w:szCs w:val="20"/>
        </w:rPr>
        <w:t>adipose</w:t>
      </w:r>
      <w:r w:rsidR="00840D53" w:rsidRPr="003C30AA">
        <w:rPr>
          <w:sz w:val="20"/>
          <w:szCs w:val="20"/>
        </w:rPr>
        <w:t xml:space="preserve"> </w:t>
      </w:r>
      <w:r w:rsidRPr="003C30AA">
        <w:rPr>
          <w:sz w:val="20"/>
          <w:szCs w:val="20"/>
        </w:rPr>
        <w:t>tissue</w:t>
      </w:r>
      <w:r w:rsidR="00840D53" w:rsidRPr="003C30AA">
        <w:rPr>
          <w:sz w:val="20"/>
          <w:szCs w:val="20"/>
        </w:rPr>
        <w:t xml:space="preserve"> </w:t>
      </w:r>
      <w:r w:rsidRPr="003C30AA">
        <w:rPr>
          <w:sz w:val="20"/>
          <w:szCs w:val="20"/>
        </w:rPr>
        <w:t>induces</w:t>
      </w:r>
      <w:r w:rsidR="00840D53" w:rsidRPr="003C30AA">
        <w:rPr>
          <w:sz w:val="20"/>
          <w:szCs w:val="20"/>
        </w:rPr>
        <w:t xml:space="preserve"> </w:t>
      </w:r>
      <w:r w:rsidRPr="003C30AA">
        <w:rPr>
          <w:sz w:val="20"/>
          <w:szCs w:val="20"/>
        </w:rPr>
        <w:t>cartilage</w:t>
      </w:r>
      <w:r w:rsidR="00840D53" w:rsidRPr="003C30AA">
        <w:rPr>
          <w:sz w:val="20"/>
          <w:szCs w:val="20"/>
        </w:rPr>
        <w:t xml:space="preserve"> </w:t>
      </w:r>
      <w:r w:rsidRPr="003C30AA">
        <w:rPr>
          <w:sz w:val="20"/>
          <w:szCs w:val="20"/>
        </w:rPr>
        <w:t>degradation</w:t>
      </w:r>
      <w:r w:rsidR="00840D53" w:rsidRPr="003C30AA">
        <w:rPr>
          <w:sz w:val="20"/>
          <w:szCs w:val="20"/>
        </w:rPr>
        <w:t xml:space="preserve"> </w:t>
      </w:r>
      <w:r w:rsidRPr="003C30AA">
        <w:rPr>
          <w:sz w:val="20"/>
          <w:szCs w:val="20"/>
        </w:rPr>
        <w:t>via</w:t>
      </w:r>
      <w:r w:rsidR="00840D53" w:rsidRPr="003C30AA">
        <w:rPr>
          <w:sz w:val="20"/>
          <w:szCs w:val="20"/>
        </w:rPr>
        <w:t xml:space="preserve"> </w:t>
      </w:r>
      <w:proofErr w:type="spellStart"/>
      <w:r w:rsidRPr="003C30AA">
        <w:rPr>
          <w:sz w:val="20"/>
          <w:szCs w:val="20"/>
        </w:rPr>
        <w:t>upregulation</w:t>
      </w:r>
      <w:proofErr w:type="spellEnd"/>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activation</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matrix</w:t>
      </w:r>
      <w:r w:rsidR="00840D53" w:rsidRPr="003C30AA">
        <w:rPr>
          <w:sz w:val="20"/>
          <w:szCs w:val="20"/>
        </w:rPr>
        <w:t xml:space="preserve"> </w:t>
      </w:r>
      <w:proofErr w:type="spellStart"/>
      <w:r w:rsidRPr="003C30AA">
        <w:rPr>
          <w:sz w:val="20"/>
          <w:szCs w:val="20"/>
        </w:rPr>
        <w:t>metalloproteinases</w:t>
      </w:r>
      <w:proofErr w:type="spellEnd"/>
      <w:r w:rsidRPr="003C30AA">
        <w:rPr>
          <w:sz w:val="20"/>
          <w:szCs w:val="20"/>
        </w:rPr>
        <w:t>.</w:t>
      </w:r>
      <w:r w:rsidR="00840D53" w:rsidRPr="003C30AA">
        <w:rPr>
          <w:sz w:val="20"/>
          <w:szCs w:val="20"/>
        </w:rPr>
        <w:t xml:space="preserve"> </w:t>
      </w:r>
      <w:r w:rsidRPr="003C30AA">
        <w:rPr>
          <w:sz w:val="20"/>
          <w:szCs w:val="20"/>
        </w:rPr>
        <w:t>Ann</w:t>
      </w:r>
      <w:r w:rsidR="00840D53" w:rsidRPr="003C30AA">
        <w:rPr>
          <w:sz w:val="20"/>
          <w:szCs w:val="20"/>
        </w:rPr>
        <w:t xml:space="preserve"> </w:t>
      </w:r>
      <w:r w:rsidRPr="003C30AA">
        <w:rPr>
          <w:sz w:val="20"/>
          <w:szCs w:val="20"/>
        </w:rPr>
        <w:t>Rheum</w:t>
      </w:r>
      <w:r w:rsidR="00840D53" w:rsidRPr="003C30AA">
        <w:rPr>
          <w:sz w:val="20"/>
          <w:szCs w:val="20"/>
        </w:rPr>
        <w:t xml:space="preserve"> </w:t>
      </w:r>
      <w:proofErr w:type="spellStart"/>
      <w:r w:rsidRPr="003C30AA">
        <w:rPr>
          <w:sz w:val="20"/>
          <w:szCs w:val="20"/>
        </w:rPr>
        <w:t>Dis</w:t>
      </w:r>
      <w:proofErr w:type="spellEnd"/>
      <w:r w:rsidR="00840D53" w:rsidRPr="003C30AA">
        <w:rPr>
          <w:sz w:val="20"/>
          <w:szCs w:val="20"/>
        </w:rPr>
        <w:t xml:space="preserve"> </w:t>
      </w:r>
      <w:r w:rsidRPr="003C30AA">
        <w:rPr>
          <w:bCs/>
          <w:sz w:val="20"/>
          <w:szCs w:val="20"/>
        </w:rPr>
        <w:t>2012</w:t>
      </w:r>
      <w:r w:rsidRPr="003C30AA">
        <w:rPr>
          <w:sz w:val="20"/>
          <w:szCs w:val="20"/>
        </w:rPr>
        <w:t>;71:</w:t>
      </w:r>
      <w:r w:rsidR="00840D53" w:rsidRPr="003C30AA">
        <w:rPr>
          <w:sz w:val="20"/>
          <w:szCs w:val="20"/>
        </w:rPr>
        <w:t xml:space="preserve"> </w:t>
      </w:r>
      <w:r w:rsidRPr="003C30AA">
        <w:rPr>
          <w:sz w:val="20"/>
          <w:szCs w:val="20"/>
        </w:rPr>
        <w:t>455-62.</w:t>
      </w:r>
    </w:p>
    <w:p w:rsidR="00736402" w:rsidRPr="003C30AA" w:rsidRDefault="00736402" w:rsidP="00840D53">
      <w:pPr>
        <w:widowControl w:val="0"/>
        <w:numPr>
          <w:ilvl w:val="0"/>
          <w:numId w:val="34"/>
        </w:numPr>
        <w:bidi w:val="0"/>
        <w:snapToGrid w:val="0"/>
        <w:ind w:left="425" w:hanging="425"/>
        <w:jc w:val="both"/>
        <w:rPr>
          <w:sz w:val="20"/>
          <w:szCs w:val="20"/>
        </w:rPr>
      </w:pPr>
      <w:proofErr w:type="spellStart"/>
      <w:r w:rsidRPr="003C30AA">
        <w:rPr>
          <w:bCs/>
          <w:sz w:val="20"/>
          <w:szCs w:val="20"/>
        </w:rPr>
        <w:t>Im</w:t>
      </w:r>
      <w:proofErr w:type="spellEnd"/>
      <w:r w:rsidR="00840D53" w:rsidRPr="003C30AA">
        <w:rPr>
          <w:bCs/>
          <w:sz w:val="20"/>
          <w:szCs w:val="20"/>
        </w:rPr>
        <w:t xml:space="preserve"> </w:t>
      </w:r>
      <w:r w:rsidRPr="003C30AA">
        <w:rPr>
          <w:bCs/>
          <w:sz w:val="20"/>
          <w:szCs w:val="20"/>
        </w:rPr>
        <w:t>GI,</w:t>
      </w:r>
      <w:r w:rsidR="00840D53" w:rsidRPr="003C30AA">
        <w:rPr>
          <w:bCs/>
          <w:sz w:val="20"/>
          <w:szCs w:val="20"/>
        </w:rPr>
        <w:t xml:space="preserve"> </w:t>
      </w:r>
      <w:r w:rsidRPr="003C30AA">
        <w:rPr>
          <w:bCs/>
          <w:sz w:val="20"/>
          <w:szCs w:val="20"/>
        </w:rPr>
        <w:t>Kim</w:t>
      </w:r>
      <w:r w:rsidR="00840D53" w:rsidRPr="003C30AA">
        <w:rPr>
          <w:bCs/>
          <w:sz w:val="20"/>
          <w:szCs w:val="20"/>
        </w:rPr>
        <w:t xml:space="preserve"> </w:t>
      </w:r>
      <w:r w:rsidRPr="003C30AA">
        <w:rPr>
          <w:bCs/>
          <w:sz w:val="20"/>
          <w:szCs w:val="20"/>
        </w:rPr>
        <w:t>MK.</w:t>
      </w:r>
      <w:r w:rsidR="00840D53" w:rsidRPr="003C30AA">
        <w:rPr>
          <w:sz w:val="20"/>
          <w:szCs w:val="20"/>
        </w:rPr>
        <w:t xml:space="preserve"> </w:t>
      </w:r>
      <w:r w:rsidRPr="003C30AA">
        <w:rPr>
          <w:sz w:val="20"/>
          <w:szCs w:val="20"/>
        </w:rPr>
        <w:t>The</w:t>
      </w:r>
      <w:r w:rsidR="00840D53" w:rsidRPr="003C30AA">
        <w:rPr>
          <w:sz w:val="20"/>
          <w:szCs w:val="20"/>
        </w:rPr>
        <w:t xml:space="preserve"> </w:t>
      </w:r>
      <w:r w:rsidRPr="003C30AA">
        <w:rPr>
          <w:sz w:val="20"/>
          <w:szCs w:val="20"/>
        </w:rPr>
        <w:t>relationship</w:t>
      </w:r>
      <w:r w:rsidR="00840D53" w:rsidRPr="003C30AA">
        <w:rPr>
          <w:sz w:val="20"/>
          <w:szCs w:val="20"/>
        </w:rPr>
        <w:t xml:space="preserve"> </w:t>
      </w:r>
      <w:r w:rsidRPr="003C30AA">
        <w:rPr>
          <w:sz w:val="20"/>
          <w:szCs w:val="20"/>
        </w:rPr>
        <w:t>between</w:t>
      </w:r>
      <w:r w:rsidR="00840D53" w:rsidRPr="003C30AA">
        <w:rPr>
          <w:sz w:val="20"/>
          <w:szCs w:val="20"/>
        </w:rPr>
        <w:t xml:space="preserve"> </w:t>
      </w:r>
      <w:r w:rsidRPr="003C30AA">
        <w:rPr>
          <w:sz w:val="20"/>
          <w:szCs w:val="20"/>
        </w:rPr>
        <w:t>osteoarthritis</w:t>
      </w:r>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osteoporosis.</w:t>
      </w:r>
      <w:r w:rsidR="00840D53" w:rsidRPr="003C30AA">
        <w:rPr>
          <w:sz w:val="20"/>
          <w:szCs w:val="20"/>
        </w:rPr>
        <w:t xml:space="preserve"> </w:t>
      </w:r>
      <w:r w:rsidRPr="003C30AA">
        <w:rPr>
          <w:sz w:val="20"/>
          <w:szCs w:val="20"/>
        </w:rPr>
        <w:t>J</w:t>
      </w:r>
      <w:r w:rsidR="00840D53" w:rsidRPr="003C30AA">
        <w:rPr>
          <w:sz w:val="20"/>
          <w:szCs w:val="20"/>
        </w:rPr>
        <w:t xml:space="preserve"> </w:t>
      </w:r>
      <w:r w:rsidRPr="003C30AA">
        <w:rPr>
          <w:sz w:val="20"/>
          <w:szCs w:val="20"/>
        </w:rPr>
        <w:t>Bone</w:t>
      </w:r>
      <w:r w:rsidR="00840D53" w:rsidRPr="003C30AA">
        <w:rPr>
          <w:sz w:val="20"/>
          <w:szCs w:val="20"/>
        </w:rPr>
        <w:t xml:space="preserve"> </w:t>
      </w:r>
      <w:r w:rsidRPr="003C30AA">
        <w:rPr>
          <w:sz w:val="20"/>
          <w:szCs w:val="20"/>
        </w:rPr>
        <w:t>Miner</w:t>
      </w:r>
      <w:r w:rsidR="00840D53" w:rsidRPr="003C30AA">
        <w:rPr>
          <w:sz w:val="20"/>
          <w:szCs w:val="20"/>
        </w:rPr>
        <w:t xml:space="preserve"> </w:t>
      </w:r>
      <w:proofErr w:type="spellStart"/>
      <w:r w:rsidRPr="003C30AA">
        <w:rPr>
          <w:sz w:val="20"/>
          <w:szCs w:val="20"/>
        </w:rPr>
        <w:t>Metab</w:t>
      </w:r>
      <w:proofErr w:type="spellEnd"/>
      <w:r w:rsidRPr="003C30AA">
        <w:rPr>
          <w:sz w:val="20"/>
          <w:szCs w:val="20"/>
        </w:rPr>
        <w:t>.</w:t>
      </w:r>
      <w:r w:rsidR="00840D53" w:rsidRPr="003C30AA">
        <w:rPr>
          <w:sz w:val="20"/>
          <w:szCs w:val="20"/>
        </w:rPr>
        <w:t xml:space="preserve"> </w:t>
      </w:r>
      <w:r w:rsidRPr="003C30AA">
        <w:rPr>
          <w:bCs/>
          <w:sz w:val="20"/>
          <w:szCs w:val="20"/>
        </w:rPr>
        <w:t>2014</w:t>
      </w:r>
      <w:r w:rsidRPr="003C30AA">
        <w:rPr>
          <w:sz w:val="20"/>
          <w:szCs w:val="20"/>
        </w:rPr>
        <w:t>;32(2):101-9.</w:t>
      </w:r>
    </w:p>
    <w:p w:rsidR="00840D53" w:rsidRPr="003C30AA" w:rsidRDefault="00736402" w:rsidP="00840D53">
      <w:pPr>
        <w:numPr>
          <w:ilvl w:val="0"/>
          <w:numId w:val="34"/>
        </w:numPr>
        <w:autoSpaceDE w:val="0"/>
        <w:autoSpaceDN w:val="0"/>
        <w:bidi w:val="0"/>
        <w:adjustRightInd w:val="0"/>
        <w:snapToGrid w:val="0"/>
        <w:ind w:left="425" w:hanging="425"/>
        <w:jc w:val="both"/>
        <w:rPr>
          <w:sz w:val="20"/>
          <w:szCs w:val="20"/>
        </w:rPr>
      </w:pPr>
      <w:r w:rsidRPr="003C30AA">
        <w:rPr>
          <w:bCs/>
          <w:sz w:val="20"/>
          <w:szCs w:val="20"/>
        </w:rPr>
        <w:t>Iwamoto</w:t>
      </w:r>
      <w:r w:rsidR="00840D53" w:rsidRPr="003C30AA">
        <w:rPr>
          <w:bCs/>
          <w:sz w:val="20"/>
          <w:szCs w:val="20"/>
        </w:rPr>
        <w:t xml:space="preserve"> </w:t>
      </w:r>
      <w:r w:rsidRPr="003C30AA">
        <w:rPr>
          <w:bCs/>
          <w:sz w:val="20"/>
          <w:szCs w:val="20"/>
        </w:rPr>
        <w:t>J,</w:t>
      </w:r>
      <w:r w:rsidR="00840D53" w:rsidRPr="003C30AA">
        <w:rPr>
          <w:bCs/>
          <w:sz w:val="20"/>
          <w:szCs w:val="20"/>
        </w:rPr>
        <w:t xml:space="preserve"> </w:t>
      </w:r>
      <w:r w:rsidRPr="003C30AA">
        <w:rPr>
          <w:bCs/>
          <w:sz w:val="20"/>
          <w:szCs w:val="20"/>
        </w:rPr>
        <w:t>Takeda</w:t>
      </w:r>
      <w:r w:rsidR="00840D53" w:rsidRPr="003C30AA">
        <w:rPr>
          <w:bCs/>
          <w:sz w:val="20"/>
          <w:szCs w:val="20"/>
        </w:rPr>
        <w:t xml:space="preserve"> </w:t>
      </w:r>
      <w:r w:rsidRPr="003C30AA">
        <w:rPr>
          <w:bCs/>
          <w:sz w:val="20"/>
          <w:szCs w:val="20"/>
        </w:rPr>
        <w:t>T,</w:t>
      </w:r>
      <w:r w:rsidR="00840D53" w:rsidRPr="003C30AA">
        <w:rPr>
          <w:bCs/>
          <w:sz w:val="20"/>
          <w:szCs w:val="20"/>
        </w:rPr>
        <w:t xml:space="preserve"> </w:t>
      </w:r>
      <w:proofErr w:type="spellStart"/>
      <w:r w:rsidRPr="003C30AA">
        <w:rPr>
          <w:bCs/>
          <w:sz w:val="20"/>
          <w:szCs w:val="20"/>
        </w:rPr>
        <w:t>Ichimura</w:t>
      </w:r>
      <w:proofErr w:type="spellEnd"/>
      <w:r w:rsidR="00840D53" w:rsidRPr="003C30AA">
        <w:rPr>
          <w:bCs/>
          <w:sz w:val="20"/>
          <w:szCs w:val="20"/>
        </w:rPr>
        <w:t xml:space="preserve"> </w:t>
      </w:r>
      <w:r w:rsidRPr="003C30AA">
        <w:rPr>
          <w:bCs/>
          <w:sz w:val="20"/>
          <w:szCs w:val="20"/>
        </w:rPr>
        <w:t>S.</w:t>
      </w:r>
      <w:r w:rsidR="00840D53" w:rsidRPr="003C30AA">
        <w:rPr>
          <w:sz w:val="20"/>
          <w:szCs w:val="20"/>
        </w:rPr>
        <w:t xml:space="preserve"> </w:t>
      </w:r>
      <w:r w:rsidRPr="003C30AA">
        <w:rPr>
          <w:sz w:val="20"/>
          <w:szCs w:val="20"/>
        </w:rPr>
        <w:t>Forearm</w:t>
      </w:r>
      <w:r w:rsidR="00840D53" w:rsidRPr="003C30AA">
        <w:rPr>
          <w:sz w:val="20"/>
          <w:szCs w:val="20"/>
        </w:rPr>
        <w:t xml:space="preserve"> </w:t>
      </w:r>
      <w:r w:rsidRPr="003C30AA">
        <w:rPr>
          <w:sz w:val="20"/>
          <w:szCs w:val="20"/>
        </w:rPr>
        <w:t>bone</w:t>
      </w:r>
      <w:r w:rsidR="00840D53" w:rsidRPr="003C30AA">
        <w:rPr>
          <w:sz w:val="20"/>
          <w:szCs w:val="20"/>
        </w:rPr>
        <w:t xml:space="preserve"> </w:t>
      </w:r>
      <w:r w:rsidRPr="003C30AA">
        <w:rPr>
          <w:sz w:val="20"/>
          <w:szCs w:val="20"/>
        </w:rPr>
        <w:t>mineral</w:t>
      </w:r>
      <w:r w:rsidR="00840D53" w:rsidRPr="003C30AA">
        <w:rPr>
          <w:sz w:val="20"/>
          <w:szCs w:val="20"/>
        </w:rPr>
        <w:t xml:space="preserve"> </w:t>
      </w:r>
      <w:r w:rsidRPr="003C30AA">
        <w:rPr>
          <w:sz w:val="20"/>
          <w:szCs w:val="20"/>
        </w:rPr>
        <w:t>density</w:t>
      </w:r>
      <w:r w:rsidR="00840D53" w:rsidRPr="003C30AA">
        <w:rPr>
          <w:sz w:val="20"/>
          <w:szCs w:val="20"/>
        </w:rPr>
        <w:t xml:space="preserve"> </w:t>
      </w:r>
      <w:r w:rsidRPr="003C30AA">
        <w:rPr>
          <w:sz w:val="20"/>
          <w:szCs w:val="20"/>
        </w:rPr>
        <w:t>in</w:t>
      </w:r>
      <w:r w:rsidR="00840D53" w:rsidRPr="003C30AA">
        <w:rPr>
          <w:sz w:val="20"/>
          <w:szCs w:val="20"/>
        </w:rPr>
        <w:t xml:space="preserve"> </w:t>
      </w:r>
      <w:r w:rsidRPr="003C30AA">
        <w:rPr>
          <w:sz w:val="20"/>
          <w:szCs w:val="20"/>
        </w:rPr>
        <w:t>postmenopausal</w:t>
      </w:r>
      <w:r w:rsidR="00840D53" w:rsidRPr="003C30AA">
        <w:rPr>
          <w:sz w:val="20"/>
          <w:szCs w:val="20"/>
        </w:rPr>
        <w:t xml:space="preserve"> </w:t>
      </w:r>
      <w:r w:rsidRPr="003C30AA">
        <w:rPr>
          <w:sz w:val="20"/>
          <w:szCs w:val="20"/>
        </w:rPr>
        <w:t>women</w:t>
      </w:r>
      <w:r w:rsidR="00840D53" w:rsidRPr="003C30AA">
        <w:rPr>
          <w:sz w:val="20"/>
          <w:szCs w:val="20"/>
        </w:rPr>
        <w:t xml:space="preserve"> </w:t>
      </w:r>
      <w:r w:rsidRPr="003C30AA">
        <w:rPr>
          <w:sz w:val="20"/>
          <w:szCs w:val="20"/>
        </w:rPr>
        <w:t>with</w:t>
      </w:r>
      <w:r w:rsidR="00840D53" w:rsidRPr="003C30AA">
        <w:rPr>
          <w:sz w:val="20"/>
          <w:szCs w:val="20"/>
        </w:rPr>
        <w:t xml:space="preserve"> </w:t>
      </w:r>
      <w:r w:rsidRPr="003C30AA">
        <w:rPr>
          <w:sz w:val="20"/>
          <w:szCs w:val="20"/>
        </w:rPr>
        <w:t>osteoarthritis</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the</w:t>
      </w:r>
      <w:r w:rsidR="00840D53" w:rsidRPr="003C30AA">
        <w:rPr>
          <w:sz w:val="20"/>
          <w:szCs w:val="20"/>
        </w:rPr>
        <w:t xml:space="preserve"> </w:t>
      </w:r>
      <w:r w:rsidRPr="003C30AA">
        <w:rPr>
          <w:sz w:val="20"/>
          <w:szCs w:val="20"/>
        </w:rPr>
        <w:t>knee.</w:t>
      </w:r>
      <w:r w:rsidR="00840D53" w:rsidRPr="003C30AA">
        <w:rPr>
          <w:sz w:val="20"/>
          <w:szCs w:val="20"/>
        </w:rPr>
        <w:t xml:space="preserve"> </w:t>
      </w:r>
      <w:r w:rsidRPr="003C30AA">
        <w:rPr>
          <w:sz w:val="20"/>
          <w:szCs w:val="20"/>
        </w:rPr>
        <w:t>J</w:t>
      </w:r>
      <w:r w:rsidR="00840D53" w:rsidRPr="003C30AA">
        <w:rPr>
          <w:sz w:val="20"/>
          <w:szCs w:val="20"/>
        </w:rPr>
        <w:t xml:space="preserve"> </w:t>
      </w:r>
      <w:proofErr w:type="spellStart"/>
      <w:r w:rsidRPr="003C30AA">
        <w:rPr>
          <w:sz w:val="20"/>
          <w:szCs w:val="20"/>
        </w:rPr>
        <w:t>Orthop</w:t>
      </w:r>
      <w:proofErr w:type="spellEnd"/>
      <w:r w:rsidR="00840D53" w:rsidRPr="003C30AA">
        <w:rPr>
          <w:sz w:val="20"/>
          <w:szCs w:val="20"/>
        </w:rPr>
        <w:t xml:space="preserve"> </w:t>
      </w:r>
      <w:proofErr w:type="spellStart"/>
      <w:r w:rsidRPr="003C30AA">
        <w:rPr>
          <w:sz w:val="20"/>
          <w:szCs w:val="20"/>
        </w:rPr>
        <w:t>Sci</w:t>
      </w:r>
      <w:proofErr w:type="spellEnd"/>
      <w:r w:rsidR="00840D53" w:rsidRPr="003C30AA">
        <w:rPr>
          <w:sz w:val="20"/>
          <w:szCs w:val="20"/>
        </w:rPr>
        <w:t xml:space="preserve"> </w:t>
      </w:r>
      <w:r w:rsidRPr="003C30AA">
        <w:rPr>
          <w:bCs/>
          <w:sz w:val="20"/>
          <w:szCs w:val="20"/>
        </w:rPr>
        <w:t>2002</w:t>
      </w:r>
      <w:r w:rsidRPr="003C30AA">
        <w:rPr>
          <w:sz w:val="20"/>
          <w:szCs w:val="20"/>
        </w:rPr>
        <w:t>;</w:t>
      </w:r>
      <w:r w:rsidR="00840D53" w:rsidRPr="003C30AA">
        <w:rPr>
          <w:sz w:val="20"/>
          <w:szCs w:val="20"/>
        </w:rPr>
        <w:t xml:space="preserve"> </w:t>
      </w:r>
      <w:r w:rsidRPr="003C30AA">
        <w:rPr>
          <w:sz w:val="20"/>
          <w:szCs w:val="20"/>
        </w:rPr>
        <w:t>7:19–2</w:t>
      </w:r>
      <w:r w:rsidR="00840D53" w:rsidRPr="003C30AA">
        <w:rPr>
          <w:sz w:val="20"/>
          <w:szCs w:val="20"/>
        </w:rPr>
        <w:t>5.</w:t>
      </w:r>
    </w:p>
    <w:p w:rsidR="00736402" w:rsidRPr="003C30AA" w:rsidRDefault="00736402" w:rsidP="00840D53">
      <w:pPr>
        <w:numPr>
          <w:ilvl w:val="0"/>
          <w:numId w:val="34"/>
        </w:numPr>
        <w:autoSpaceDE w:val="0"/>
        <w:autoSpaceDN w:val="0"/>
        <w:bidi w:val="0"/>
        <w:adjustRightInd w:val="0"/>
        <w:snapToGrid w:val="0"/>
        <w:ind w:left="425" w:hanging="425"/>
        <w:jc w:val="both"/>
        <w:rPr>
          <w:sz w:val="20"/>
          <w:szCs w:val="20"/>
        </w:rPr>
      </w:pPr>
      <w:r w:rsidRPr="003C30AA">
        <w:rPr>
          <w:sz w:val="20"/>
          <w:szCs w:val="20"/>
        </w:rPr>
        <w:t>Inversely</w:t>
      </w:r>
      <w:r w:rsidR="00840D53" w:rsidRPr="003C30AA">
        <w:rPr>
          <w:sz w:val="20"/>
          <w:szCs w:val="20"/>
        </w:rPr>
        <w:t xml:space="preserve"> </w:t>
      </w:r>
      <w:r w:rsidRPr="003C30AA">
        <w:rPr>
          <w:sz w:val="20"/>
          <w:szCs w:val="20"/>
        </w:rPr>
        <w:t>Associated</w:t>
      </w:r>
      <w:r w:rsidR="00840D53" w:rsidRPr="003C30AA">
        <w:rPr>
          <w:sz w:val="20"/>
          <w:szCs w:val="20"/>
        </w:rPr>
        <w:t xml:space="preserve"> </w:t>
      </w:r>
      <w:r w:rsidRPr="003C30AA">
        <w:rPr>
          <w:sz w:val="20"/>
          <w:szCs w:val="20"/>
        </w:rPr>
        <w:t>With</w:t>
      </w:r>
      <w:r w:rsidR="00840D53" w:rsidRPr="003C30AA">
        <w:rPr>
          <w:sz w:val="20"/>
          <w:szCs w:val="20"/>
        </w:rPr>
        <w:t xml:space="preserve"> </w:t>
      </w:r>
      <w:proofErr w:type="spellStart"/>
      <w:r w:rsidRPr="003C30AA">
        <w:rPr>
          <w:sz w:val="20"/>
          <w:szCs w:val="20"/>
        </w:rPr>
        <w:t>Rdiographic</w:t>
      </w:r>
      <w:proofErr w:type="spellEnd"/>
      <w:r w:rsidR="00840D53" w:rsidRPr="003C30AA">
        <w:rPr>
          <w:sz w:val="20"/>
          <w:szCs w:val="20"/>
        </w:rPr>
        <w:t xml:space="preserve"> </w:t>
      </w:r>
      <w:r w:rsidRPr="003C30AA">
        <w:rPr>
          <w:sz w:val="20"/>
          <w:szCs w:val="20"/>
        </w:rPr>
        <w:t>Kne</w:t>
      </w:r>
      <w:r w:rsidR="00840D53" w:rsidRPr="003C30AA">
        <w:rPr>
          <w:sz w:val="20"/>
          <w:szCs w:val="20"/>
        </w:rPr>
        <w:t>e O</w:t>
      </w:r>
      <w:r w:rsidRPr="003C30AA">
        <w:rPr>
          <w:sz w:val="20"/>
          <w:szCs w:val="20"/>
        </w:rPr>
        <w:t>steoarthritis:</w:t>
      </w:r>
      <w:r w:rsidR="00840D53" w:rsidRPr="003C30AA">
        <w:rPr>
          <w:sz w:val="20"/>
          <w:szCs w:val="20"/>
        </w:rPr>
        <w:t xml:space="preserve"> </w:t>
      </w:r>
      <w:r w:rsidRPr="003C30AA">
        <w:rPr>
          <w:sz w:val="20"/>
          <w:szCs w:val="20"/>
        </w:rPr>
        <w:t>A</w:t>
      </w:r>
      <w:r w:rsidR="00840D53" w:rsidRPr="003C30AA">
        <w:rPr>
          <w:sz w:val="20"/>
          <w:szCs w:val="20"/>
        </w:rPr>
        <w:t xml:space="preserve"> </w:t>
      </w:r>
      <w:r w:rsidRPr="003C30AA">
        <w:rPr>
          <w:sz w:val="20"/>
          <w:szCs w:val="20"/>
        </w:rPr>
        <w:t>Cross-Sectional</w:t>
      </w:r>
      <w:r w:rsidR="00840D53" w:rsidRPr="003C30AA">
        <w:rPr>
          <w:sz w:val="20"/>
          <w:szCs w:val="20"/>
        </w:rPr>
        <w:t xml:space="preserve"> </w:t>
      </w:r>
      <w:r w:rsidRPr="003C30AA">
        <w:rPr>
          <w:sz w:val="20"/>
          <w:szCs w:val="20"/>
        </w:rPr>
        <w:t>Study.</w:t>
      </w:r>
      <w:r w:rsidR="00840D53" w:rsidRPr="003C30AA">
        <w:rPr>
          <w:sz w:val="20"/>
          <w:szCs w:val="20"/>
        </w:rPr>
        <w:t xml:space="preserve"> </w:t>
      </w:r>
      <w:hyperlink r:id="rId12" w:tooltip="Medicine." w:history="1">
        <w:r w:rsidRPr="003C30AA">
          <w:rPr>
            <w:sz w:val="20"/>
            <w:szCs w:val="20"/>
          </w:rPr>
          <w:t>Medicine</w:t>
        </w:r>
        <w:r w:rsidR="00840D53" w:rsidRPr="003C30AA">
          <w:rPr>
            <w:sz w:val="20"/>
            <w:szCs w:val="20"/>
          </w:rPr>
          <w:t xml:space="preserve"> </w:t>
        </w:r>
        <w:r w:rsidRPr="003C30AA">
          <w:rPr>
            <w:sz w:val="20"/>
            <w:szCs w:val="20"/>
          </w:rPr>
          <w:t>(Baltimore).</w:t>
        </w:r>
      </w:hyperlink>
      <w:r w:rsidR="00840D53" w:rsidRPr="003C30AA">
        <w:rPr>
          <w:sz w:val="20"/>
          <w:szCs w:val="20"/>
        </w:rPr>
        <w:t xml:space="preserve"> </w:t>
      </w:r>
      <w:r w:rsidRPr="003C30AA">
        <w:rPr>
          <w:bCs/>
          <w:sz w:val="20"/>
          <w:szCs w:val="20"/>
        </w:rPr>
        <w:t>2016</w:t>
      </w:r>
      <w:r w:rsidRPr="003C30AA">
        <w:rPr>
          <w:sz w:val="20"/>
          <w:szCs w:val="20"/>
        </w:rPr>
        <w:t>;95(6)</w:t>
      </w:r>
      <w:r w:rsidR="00840D53" w:rsidRPr="003C30AA">
        <w:rPr>
          <w:sz w:val="20"/>
          <w:szCs w:val="20"/>
        </w:rPr>
        <w:t>: e</w:t>
      </w:r>
      <w:r w:rsidRPr="003C30AA">
        <w:rPr>
          <w:sz w:val="20"/>
          <w:szCs w:val="20"/>
        </w:rPr>
        <w:t>2838.</w:t>
      </w:r>
    </w:p>
    <w:p w:rsidR="00840D53" w:rsidRPr="003C30AA" w:rsidRDefault="00736402" w:rsidP="00840D53">
      <w:pPr>
        <w:numPr>
          <w:ilvl w:val="0"/>
          <w:numId w:val="34"/>
        </w:numPr>
        <w:autoSpaceDE w:val="0"/>
        <w:autoSpaceDN w:val="0"/>
        <w:bidi w:val="0"/>
        <w:adjustRightInd w:val="0"/>
        <w:snapToGrid w:val="0"/>
        <w:ind w:left="425" w:hanging="425"/>
        <w:jc w:val="both"/>
        <w:rPr>
          <w:sz w:val="20"/>
          <w:szCs w:val="20"/>
        </w:rPr>
      </w:pPr>
      <w:proofErr w:type="spellStart"/>
      <w:r w:rsidRPr="003C30AA">
        <w:rPr>
          <w:bCs/>
          <w:sz w:val="20"/>
          <w:szCs w:val="20"/>
        </w:rPr>
        <w:t>Mabilleau</w:t>
      </w:r>
      <w:proofErr w:type="spellEnd"/>
      <w:r w:rsidR="00840D53" w:rsidRPr="003C30AA">
        <w:rPr>
          <w:bCs/>
          <w:sz w:val="20"/>
          <w:szCs w:val="20"/>
        </w:rPr>
        <w:t xml:space="preserve"> </w:t>
      </w:r>
      <w:r w:rsidRPr="003C30AA">
        <w:rPr>
          <w:bCs/>
          <w:sz w:val="20"/>
          <w:szCs w:val="20"/>
        </w:rPr>
        <w:t>G,</w:t>
      </w:r>
      <w:r w:rsidR="00840D53" w:rsidRPr="003C30AA">
        <w:rPr>
          <w:bCs/>
          <w:sz w:val="20"/>
          <w:szCs w:val="20"/>
        </w:rPr>
        <w:t xml:space="preserve"> </w:t>
      </w:r>
      <w:proofErr w:type="spellStart"/>
      <w:r w:rsidRPr="003C30AA">
        <w:rPr>
          <w:bCs/>
          <w:sz w:val="20"/>
          <w:szCs w:val="20"/>
        </w:rPr>
        <w:t>Mieczkowska</w:t>
      </w:r>
      <w:proofErr w:type="spellEnd"/>
      <w:r w:rsidR="00840D53" w:rsidRPr="003C30AA">
        <w:rPr>
          <w:bCs/>
          <w:sz w:val="20"/>
          <w:szCs w:val="20"/>
        </w:rPr>
        <w:t xml:space="preserve"> </w:t>
      </w:r>
      <w:r w:rsidRPr="003C30AA">
        <w:rPr>
          <w:bCs/>
          <w:sz w:val="20"/>
          <w:szCs w:val="20"/>
        </w:rPr>
        <w:t>A,</w:t>
      </w:r>
      <w:r w:rsidR="00840D53" w:rsidRPr="003C30AA">
        <w:rPr>
          <w:bCs/>
          <w:sz w:val="20"/>
          <w:szCs w:val="20"/>
        </w:rPr>
        <w:t xml:space="preserve"> </w:t>
      </w:r>
      <w:proofErr w:type="spellStart"/>
      <w:r w:rsidRPr="003C30AA">
        <w:rPr>
          <w:bCs/>
          <w:sz w:val="20"/>
          <w:szCs w:val="20"/>
        </w:rPr>
        <w:t>Libouban</w:t>
      </w:r>
      <w:proofErr w:type="spellEnd"/>
      <w:r w:rsidR="00840D53" w:rsidRPr="003C30AA">
        <w:rPr>
          <w:bCs/>
          <w:sz w:val="20"/>
          <w:szCs w:val="20"/>
        </w:rPr>
        <w:t xml:space="preserve"> </w:t>
      </w:r>
      <w:r w:rsidRPr="003C30AA">
        <w:rPr>
          <w:bCs/>
          <w:sz w:val="20"/>
          <w:szCs w:val="20"/>
        </w:rPr>
        <w:t>H,</w:t>
      </w:r>
      <w:r w:rsidR="00840D53" w:rsidRPr="003C30AA">
        <w:rPr>
          <w:bCs/>
          <w:sz w:val="20"/>
          <w:szCs w:val="20"/>
        </w:rPr>
        <w:t xml:space="preserve"> </w:t>
      </w:r>
      <w:r w:rsidRPr="003C30AA">
        <w:rPr>
          <w:bCs/>
          <w:sz w:val="20"/>
          <w:szCs w:val="20"/>
        </w:rPr>
        <w:t>Simon</w:t>
      </w:r>
      <w:r w:rsidR="00840D53" w:rsidRPr="003C30AA">
        <w:rPr>
          <w:bCs/>
          <w:sz w:val="20"/>
          <w:szCs w:val="20"/>
        </w:rPr>
        <w:t xml:space="preserve"> </w:t>
      </w:r>
      <w:r w:rsidRPr="003C30AA">
        <w:rPr>
          <w:bCs/>
          <w:sz w:val="20"/>
          <w:szCs w:val="20"/>
        </w:rPr>
        <w:t>Y.</w:t>
      </w:r>
      <w:r w:rsidR="00840D53" w:rsidRPr="003C30AA">
        <w:rPr>
          <w:sz w:val="20"/>
          <w:szCs w:val="20"/>
        </w:rPr>
        <w:t xml:space="preserve"> </w:t>
      </w:r>
      <w:r w:rsidRPr="003C30AA">
        <w:rPr>
          <w:sz w:val="20"/>
          <w:szCs w:val="20"/>
        </w:rPr>
        <w:t>Comparison</w:t>
      </w:r>
      <w:r w:rsidR="00840D53" w:rsidRPr="003C30AA">
        <w:rPr>
          <w:sz w:val="20"/>
          <w:szCs w:val="20"/>
        </w:rPr>
        <w:t xml:space="preserve"> </w:t>
      </w:r>
      <w:r w:rsidRPr="003C30AA">
        <w:rPr>
          <w:sz w:val="20"/>
          <w:szCs w:val="20"/>
        </w:rPr>
        <w:t>between</w:t>
      </w:r>
      <w:r w:rsidR="00840D53" w:rsidRPr="003C30AA">
        <w:rPr>
          <w:sz w:val="20"/>
          <w:szCs w:val="20"/>
        </w:rPr>
        <w:t xml:space="preserve"> </w:t>
      </w:r>
      <w:r w:rsidRPr="003C30AA">
        <w:rPr>
          <w:sz w:val="20"/>
          <w:szCs w:val="20"/>
        </w:rPr>
        <w:t>quantitative</w:t>
      </w:r>
      <w:r w:rsidR="00840D53" w:rsidRPr="003C30AA">
        <w:rPr>
          <w:sz w:val="20"/>
          <w:szCs w:val="20"/>
        </w:rPr>
        <w:t xml:space="preserve"> </w:t>
      </w:r>
      <w:r w:rsidRPr="003C30AA">
        <w:rPr>
          <w:sz w:val="20"/>
          <w:szCs w:val="20"/>
        </w:rPr>
        <w:t>X-ray</w:t>
      </w:r>
      <w:r w:rsidR="00840D53" w:rsidRPr="003C30AA">
        <w:rPr>
          <w:sz w:val="20"/>
          <w:szCs w:val="20"/>
        </w:rPr>
        <w:t xml:space="preserve"> </w:t>
      </w:r>
      <w:r w:rsidRPr="003C30AA">
        <w:rPr>
          <w:sz w:val="20"/>
          <w:szCs w:val="20"/>
        </w:rPr>
        <w:t>imaging,</w:t>
      </w:r>
      <w:r w:rsidR="00840D53" w:rsidRPr="003C30AA">
        <w:rPr>
          <w:sz w:val="20"/>
          <w:szCs w:val="20"/>
        </w:rPr>
        <w:t xml:space="preserve"> </w:t>
      </w:r>
      <w:r w:rsidRPr="003C30AA">
        <w:rPr>
          <w:sz w:val="20"/>
          <w:szCs w:val="20"/>
        </w:rPr>
        <w:t>dual</w:t>
      </w:r>
      <w:r w:rsidR="00840D53" w:rsidRPr="003C30AA">
        <w:rPr>
          <w:sz w:val="20"/>
          <w:szCs w:val="20"/>
        </w:rPr>
        <w:t xml:space="preserve"> </w:t>
      </w:r>
      <w:r w:rsidRPr="003C30AA">
        <w:rPr>
          <w:sz w:val="20"/>
          <w:szCs w:val="20"/>
        </w:rPr>
        <w:t>energy</w:t>
      </w:r>
      <w:r w:rsidR="00840D53" w:rsidRPr="003C30AA">
        <w:rPr>
          <w:sz w:val="20"/>
          <w:szCs w:val="20"/>
        </w:rPr>
        <w:t xml:space="preserve"> </w:t>
      </w:r>
      <w:r w:rsidRPr="003C30AA">
        <w:rPr>
          <w:sz w:val="20"/>
          <w:szCs w:val="20"/>
        </w:rPr>
        <w:t>X-ray</w:t>
      </w:r>
      <w:r w:rsidR="00840D53" w:rsidRPr="003C30AA">
        <w:rPr>
          <w:sz w:val="20"/>
          <w:szCs w:val="20"/>
        </w:rPr>
        <w:t xml:space="preserve"> </w:t>
      </w:r>
      <w:proofErr w:type="spellStart"/>
      <w:r w:rsidRPr="003C30AA">
        <w:rPr>
          <w:sz w:val="20"/>
          <w:szCs w:val="20"/>
        </w:rPr>
        <w:t>absorptiometry</w:t>
      </w:r>
      <w:proofErr w:type="spellEnd"/>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micro</w:t>
      </w:r>
      <w:r w:rsidR="00840D53" w:rsidRPr="003C30AA">
        <w:rPr>
          <w:sz w:val="20"/>
          <w:szCs w:val="20"/>
        </w:rPr>
        <w:t xml:space="preserve"> </w:t>
      </w:r>
      <w:r w:rsidRPr="003C30AA">
        <w:rPr>
          <w:sz w:val="20"/>
          <w:szCs w:val="20"/>
        </w:rPr>
        <w:t>CT</w:t>
      </w:r>
      <w:r w:rsidR="00840D53" w:rsidRPr="003C30AA">
        <w:rPr>
          <w:sz w:val="20"/>
          <w:szCs w:val="20"/>
        </w:rPr>
        <w:t xml:space="preserve"> </w:t>
      </w:r>
      <w:r w:rsidRPr="003C30AA">
        <w:rPr>
          <w:sz w:val="20"/>
          <w:szCs w:val="20"/>
        </w:rPr>
        <w:t>in</w:t>
      </w:r>
      <w:r w:rsidR="00840D53" w:rsidRPr="003C30AA">
        <w:rPr>
          <w:sz w:val="20"/>
          <w:szCs w:val="20"/>
        </w:rPr>
        <w:t xml:space="preserve"> </w:t>
      </w:r>
      <w:r w:rsidRPr="003C30AA">
        <w:rPr>
          <w:sz w:val="20"/>
          <w:szCs w:val="20"/>
        </w:rPr>
        <w:t>the</w:t>
      </w:r>
      <w:r w:rsidR="00840D53" w:rsidRPr="003C30AA">
        <w:rPr>
          <w:sz w:val="20"/>
          <w:szCs w:val="20"/>
        </w:rPr>
        <w:t xml:space="preserve"> </w:t>
      </w:r>
      <w:r w:rsidRPr="003C30AA">
        <w:rPr>
          <w:sz w:val="20"/>
          <w:szCs w:val="20"/>
        </w:rPr>
        <w:t>assessment</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bone</w:t>
      </w:r>
      <w:r w:rsidR="00840D53" w:rsidRPr="003C30AA">
        <w:rPr>
          <w:sz w:val="20"/>
          <w:szCs w:val="20"/>
        </w:rPr>
        <w:t xml:space="preserve"> </w:t>
      </w:r>
      <w:r w:rsidRPr="003C30AA">
        <w:rPr>
          <w:sz w:val="20"/>
          <w:szCs w:val="20"/>
        </w:rPr>
        <w:t>mineral</w:t>
      </w:r>
      <w:r w:rsidR="00840D53" w:rsidRPr="003C30AA">
        <w:rPr>
          <w:sz w:val="20"/>
          <w:szCs w:val="20"/>
        </w:rPr>
        <w:t xml:space="preserve"> </w:t>
      </w:r>
      <w:r w:rsidRPr="003C30AA">
        <w:rPr>
          <w:sz w:val="20"/>
          <w:szCs w:val="20"/>
        </w:rPr>
        <w:t>density</w:t>
      </w:r>
      <w:r w:rsidR="00840D53" w:rsidRPr="003C30AA">
        <w:rPr>
          <w:sz w:val="20"/>
          <w:szCs w:val="20"/>
        </w:rPr>
        <w:t xml:space="preserve"> </w:t>
      </w:r>
      <w:r w:rsidRPr="003C30AA">
        <w:rPr>
          <w:sz w:val="20"/>
          <w:szCs w:val="20"/>
        </w:rPr>
        <w:t>in</w:t>
      </w:r>
      <w:r w:rsidR="00840D53" w:rsidRPr="003C30AA">
        <w:rPr>
          <w:sz w:val="20"/>
          <w:szCs w:val="20"/>
        </w:rPr>
        <w:t xml:space="preserve"> </w:t>
      </w:r>
      <w:r w:rsidRPr="003C30AA">
        <w:rPr>
          <w:sz w:val="20"/>
          <w:szCs w:val="20"/>
        </w:rPr>
        <w:t>disuse-induced</w:t>
      </w:r>
      <w:r w:rsidR="00840D53" w:rsidRPr="003C30AA">
        <w:rPr>
          <w:sz w:val="20"/>
          <w:szCs w:val="20"/>
        </w:rPr>
        <w:t xml:space="preserve"> </w:t>
      </w:r>
      <w:r w:rsidRPr="003C30AA">
        <w:rPr>
          <w:sz w:val="20"/>
          <w:szCs w:val="20"/>
        </w:rPr>
        <w:t>bone</w:t>
      </w:r>
      <w:r w:rsidR="00840D53" w:rsidRPr="003C30AA">
        <w:rPr>
          <w:sz w:val="20"/>
          <w:szCs w:val="20"/>
        </w:rPr>
        <w:t xml:space="preserve"> </w:t>
      </w:r>
      <w:r w:rsidRPr="003C30AA">
        <w:rPr>
          <w:sz w:val="20"/>
          <w:szCs w:val="20"/>
        </w:rPr>
        <w:t>loss.</w:t>
      </w:r>
      <w:r w:rsidR="00840D53" w:rsidRPr="003C30AA">
        <w:rPr>
          <w:sz w:val="20"/>
          <w:szCs w:val="20"/>
        </w:rPr>
        <w:t xml:space="preserve"> </w:t>
      </w:r>
      <w:r w:rsidRPr="003C30AA">
        <w:rPr>
          <w:sz w:val="20"/>
          <w:szCs w:val="20"/>
        </w:rPr>
        <w:t>J</w:t>
      </w:r>
      <w:r w:rsidR="00840D53" w:rsidRPr="003C30AA">
        <w:rPr>
          <w:sz w:val="20"/>
          <w:szCs w:val="20"/>
        </w:rPr>
        <w:t xml:space="preserve"> </w:t>
      </w:r>
      <w:proofErr w:type="spellStart"/>
      <w:r w:rsidRPr="003C30AA">
        <w:rPr>
          <w:sz w:val="20"/>
          <w:szCs w:val="20"/>
        </w:rPr>
        <w:t>Musculoskelet</w:t>
      </w:r>
      <w:proofErr w:type="spellEnd"/>
      <w:r w:rsidR="00840D53" w:rsidRPr="003C30AA">
        <w:rPr>
          <w:sz w:val="20"/>
          <w:szCs w:val="20"/>
        </w:rPr>
        <w:t xml:space="preserve"> </w:t>
      </w:r>
      <w:r w:rsidRPr="003C30AA">
        <w:rPr>
          <w:sz w:val="20"/>
          <w:szCs w:val="20"/>
        </w:rPr>
        <w:t>Neuronal</w:t>
      </w:r>
      <w:r w:rsidR="00840D53" w:rsidRPr="003C30AA">
        <w:rPr>
          <w:sz w:val="20"/>
          <w:szCs w:val="20"/>
        </w:rPr>
        <w:t xml:space="preserve"> </w:t>
      </w:r>
      <w:r w:rsidRPr="003C30AA">
        <w:rPr>
          <w:sz w:val="20"/>
          <w:szCs w:val="20"/>
        </w:rPr>
        <w:t>Interact</w:t>
      </w:r>
      <w:r w:rsidR="00840D53" w:rsidRPr="003C30AA">
        <w:rPr>
          <w:sz w:val="20"/>
          <w:szCs w:val="20"/>
        </w:rPr>
        <w:t xml:space="preserve"> </w:t>
      </w:r>
      <w:r w:rsidRPr="003C30AA">
        <w:rPr>
          <w:bCs/>
          <w:sz w:val="20"/>
          <w:szCs w:val="20"/>
        </w:rPr>
        <w:t>2015</w:t>
      </w:r>
      <w:r w:rsidRPr="003C30AA">
        <w:rPr>
          <w:sz w:val="20"/>
          <w:szCs w:val="20"/>
        </w:rPr>
        <w:t>;</w:t>
      </w:r>
      <w:r w:rsidR="00840D53" w:rsidRPr="003C30AA">
        <w:rPr>
          <w:sz w:val="20"/>
          <w:szCs w:val="20"/>
        </w:rPr>
        <w:t xml:space="preserve"> </w:t>
      </w:r>
      <w:r w:rsidRPr="003C30AA">
        <w:rPr>
          <w:sz w:val="20"/>
          <w:szCs w:val="20"/>
        </w:rPr>
        <w:t>15(1):42-5</w:t>
      </w:r>
      <w:r w:rsidR="00840D53" w:rsidRPr="003C30AA">
        <w:rPr>
          <w:sz w:val="20"/>
          <w:szCs w:val="20"/>
        </w:rPr>
        <w:t>2.</w:t>
      </w:r>
    </w:p>
    <w:p w:rsidR="00840D53" w:rsidRPr="003C30AA" w:rsidRDefault="00736402" w:rsidP="00840D53">
      <w:pPr>
        <w:widowControl w:val="0"/>
        <w:numPr>
          <w:ilvl w:val="0"/>
          <w:numId w:val="34"/>
        </w:numPr>
        <w:bidi w:val="0"/>
        <w:snapToGrid w:val="0"/>
        <w:ind w:left="425" w:hanging="425"/>
        <w:jc w:val="both"/>
        <w:rPr>
          <w:rStyle w:val="mixed-citation"/>
          <w:rFonts w:eastAsia="Calibri"/>
          <w:sz w:val="20"/>
          <w:szCs w:val="20"/>
        </w:rPr>
      </w:pPr>
      <w:r w:rsidRPr="003C30AA">
        <w:rPr>
          <w:rStyle w:val="mixed-citation"/>
          <w:rFonts w:eastAsia="Calibri"/>
          <w:bCs/>
          <w:sz w:val="20"/>
          <w:szCs w:val="20"/>
        </w:rPr>
        <w:t>McConnell</w:t>
      </w:r>
      <w:r w:rsidR="00840D53" w:rsidRPr="003C30AA">
        <w:rPr>
          <w:rStyle w:val="mixed-citation"/>
          <w:rFonts w:eastAsia="Calibri"/>
          <w:bCs/>
          <w:sz w:val="20"/>
          <w:szCs w:val="20"/>
        </w:rPr>
        <w:t xml:space="preserve"> </w:t>
      </w:r>
      <w:r w:rsidRPr="003C30AA">
        <w:rPr>
          <w:rStyle w:val="mixed-citation"/>
          <w:rFonts w:eastAsia="Calibri"/>
          <w:bCs/>
          <w:sz w:val="20"/>
          <w:szCs w:val="20"/>
        </w:rPr>
        <w:t>S.,</w:t>
      </w:r>
      <w:r w:rsidR="00840D53" w:rsidRPr="003C30AA">
        <w:rPr>
          <w:rStyle w:val="mixed-citation"/>
          <w:rFonts w:eastAsia="Calibri"/>
          <w:bCs/>
          <w:sz w:val="20"/>
          <w:szCs w:val="20"/>
        </w:rPr>
        <w:t xml:space="preserve"> </w:t>
      </w:r>
      <w:proofErr w:type="spellStart"/>
      <w:r w:rsidRPr="003C30AA">
        <w:rPr>
          <w:rStyle w:val="mixed-citation"/>
          <w:rFonts w:eastAsia="Calibri"/>
          <w:bCs/>
          <w:sz w:val="20"/>
          <w:szCs w:val="20"/>
        </w:rPr>
        <w:t>Kolopack</w:t>
      </w:r>
      <w:proofErr w:type="spellEnd"/>
      <w:r w:rsidR="00840D53" w:rsidRPr="003C30AA">
        <w:rPr>
          <w:rStyle w:val="mixed-citation"/>
          <w:rFonts w:eastAsia="Calibri"/>
          <w:bCs/>
          <w:sz w:val="20"/>
          <w:szCs w:val="20"/>
        </w:rPr>
        <w:t xml:space="preserve"> </w:t>
      </w:r>
      <w:r w:rsidRPr="003C30AA">
        <w:rPr>
          <w:rStyle w:val="mixed-citation"/>
          <w:rFonts w:eastAsia="Calibri"/>
          <w:bCs/>
          <w:sz w:val="20"/>
          <w:szCs w:val="20"/>
        </w:rPr>
        <w:t>P.,</w:t>
      </w:r>
      <w:r w:rsidR="00840D53" w:rsidRPr="003C30AA">
        <w:rPr>
          <w:rStyle w:val="mixed-citation"/>
          <w:rFonts w:eastAsia="Calibri"/>
          <w:bCs/>
          <w:sz w:val="20"/>
          <w:szCs w:val="20"/>
        </w:rPr>
        <w:t xml:space="preserve"> </w:t>
      </w:r>
      <w:r w:rsidRPr="003C30AA">
        <w:rPr>
          <w:rStyle w:val="mixed-citation"/>
          <w:rFonts w:eastAsia="Calibri"/>
          <w:bCs/>
          <w:sz w:val="20"/>
          <w:szCs w:val="20"/>
        </w:rPr>
        <w:t>Davis</w:t>
      </w:r>
      <w:r w:rsidR="00840D53" w:rsidRPr="003C30AA">
        <w:rPr>
          <w:rStyle w:val="mixed-citation"/>
          <w:rFonts w:eastAsia="Calibri"/>
          <w:bCs/>
          <w:sz w:val="20"/>
          <w:szCs w:val="20"/>
        </w:rPr>
        <w:t xml:space="preserve"> </w:t>
      </w:r>
      <w:r w:rsidRPr="003C30AA">
        <w:rPr>
          <w:rStyle w:val="mixed-citation"/>
          <w:rFonts w:eastAsia="Calibri"/>
          <w:bCs/>
          <w:sz w:val="20"/>
          <w:szCs w:val="20"/>
        </w:rPr>
        <w:t>A</w:t>
      </w:r>
      <w:r w:rsidR="00840D53" w:rsidRPr="003C30AA">
        <w:rPr>
          <w:rStyle w:val="mixed-citation"/>
          <w:rFonts w:eastAsia="Calibri"/>
          <w:bCs/>
          <w:sz w:val="20"/>
          <w:szCs w:val="20"/>
        </w:rPr>
        <w:t xml:space="preserve">. </w:t>
      </w:r>
      <w:r w:rsidR="00840D53" w:rsidRPr="003C30AA">
        <w:rPr>
          <w:rStyle w:val="ref-title"/>
          <w:sz w:val="20"/>
          <w:szCs w:val="20"/>
        </w:rPr>
        <w:t>T</w:t>
      </w:r>
      <w:r w:rsidRPr="003C30AA">
        <w:rPr>
          <w:rStyle w:val="ref-title"/>
          <w:sz w:val="20"/>
          <w:szCs w:val="20"/>
        </w:rPr>
        <w:t>he</w:t>
      </w:r>
      <w:r w:rsidR="00840D53" w:rsidRPr="003C30AA">
        <w:rPr>
          <w:rStyle w:val="ref-title"/>
          <w:sz w:val="20"/>
          <w:szCs w:val="20"/>
        </w:rPr>
        <w:t xml:space="preserve"> </w:t>
      </w:r>
      <w:r w:rsidRPr="003C30AA">
        <w:rPr>
          <w:rStyle w:val="ref-title"/>
          <w:sz w:val="20"/>
          <w:szCs w:val="20"/>
        </w:rPr>
        <w:t>Western</w:t>
      </w:r>
      <w:r w:rsidR="00840D53" w:rsidRPr="003C30AA">
        <w:rPr>
          <w:rStyle w:val="ref-title"/>
          <w:sz w:val="20"/>
          <w:szCs w:val="20"/>
        </w:rPr>
        <w:t xml:space="preserve"> </w:t>
      </w:r>
      <w:r w:rsidRPr="003C30AA">
        <w:rPr>
          <w:rStyle w:val="ref-title"/>
          <w:sz w:val="20"/>
          <w:szCs w:val="20"/>
        </w:rPr>
        <w:t>Ontario</w:t>
      </w:r>
      <w:r w:rsidR="00840D53" w:rsidRPr="003C30AA">
        <w:rPr>
          <w:rStyle w:val="ref-title"/>
          <w:sz w:val="20"/>
          <w:szCs w:val="20"/>
        </w:rPr>
        <w:t xml:space="preserve"> </w:t>
      </w:r>
      <w:r w:rsidRPr="003C30AA">
        <w:rPr>
          <w:rStyle w:val="ref-title"/>
          <w:sz w:val="20"/>
          <w:szCs w:val="20"/>
        </w:rPr>
        <w:t>and</w:t>
      </w:r>
      <w:r w:rsidR="00840D53" w:rsidRPr="003C30AA">
        <w:rPr>
          <w:rStyle w:val="ref-title"/>
          <w:sz w:val="20"/>
          <w:szCs w:val="20"/>
        </w:rPr>
        <w:t xml:space="preserve"> </w:t>
      </w:r>
      <w:r w:rsidRPr="003C30AA">
        <w:rPr>
          <w:rStyle w:val="ref-title"/>
          <w:sz w:val="20"/>
          <w:szCs w:val="20"/>
        </w:rPr>
        <w:t>McMaster</w:t>
      </w:r>
      <w:r w:rsidR="00840D53" w:rsidRPr="003C30AA">
        <w:rPr>
          <w:rStyle w:val="ref-title"/>
          <w:sz w:val="20"/>
          <w:szCs w:val="20"/>
        </w:rPr>
        <w:t xml:space="preserve"> </w:t>
      </w:r>
      <w:r w:rsidRPr="003C30AA">
        <w:rPr>
          <w:rStyle w:val="ref-title"/>
          <w:sz w:val="20"/>
          <w:szCs w:val="20"/>
        </w:rPr>
        <w:t>Universities</w:t>
      </w:r>
      <w:r w:rsidR="00840D53" w:rsidRPr="003C30AA">
        <w:rPr>
          <w:rStyle w:val="ref-title"/>
          <w:sz w:val="20"/>
          <w:szCs w:val="20"/>
        </w:rPr>
        <w:t xml:space="preserve"> </w:t>
      </w:r>
      <w:r w:rsidRPr="003C30AA">
        <w:rPr>
          <w:rStyle w:val="ref-title"/>
          <w:sz w:val="20"/>
          <w:szCs w:val="20"/>
        </w:rPr>
        <w:t>Osteoarthritis</w:t>
      </w:r>
      <w:r w:rsidR="00840D53" w:rsidRPr="003C30AA">
        <w:rPr>
          <w:rStyle w:val="ref-title"/>
          <w:sz w:val="20"/>
          <w:szCs w:val="20"/>
        </w:rPr>
        <w:t xml:space="preserve"> </w:t>
      </w:r>
      <w:r w:rsidRPr="003C30AA">
        <w:rPr>
          <w:rStyle w:val="ref-title"/>
          <w:sz w:val="20"/>
          <w:szCs w:val="20"/>
        </w:rPr>
        <w:t>Index</w:t>
      </w:r>
      <w:r w:rsidR="00840D53" w:rsidRPr="003C30AA">
        <w:rPr>
          <w:rStyle w:val="ref-title"/>
          <w:sz w:val="20"/>
          <w:szCs w:val="20"/>
        </w:rPr>
        <w:t xml:space="preserve"> </w:t>
      </w:r>
      <w:r w:rsidRPr="003C30AA">
        <w:rPr>
          <w:rStyle w:val="ref-title"/>
          <w:sz w:val="20"/>
          <w:szCs w:val="20"/>
        </w:rPr>
        <w:t>(WOMAC):</w:t>
      </w:r>
      <w:r w:rsidR="00840D53" w:rsidRPr="003C30AA">
        <w:rPr>
          <w:rStyle w:val="ref-title"/>
          <w:sz w:val="20"/>
          <w:szCs w:val="20"/>
        </w:rPr>
        <w:t xml:space="preserve"> </w:t>
      </w:r>
      <w:r w:rsidRPr="003C30AA">
        <w:rPr>
          <w:rStyle w:val="ref-title"/>
          <w:sz w:val="20"/>
          <w:szCs w:val="20"/>
        </w:rPr>
        <w:t>a</w:t>
      </w:r>
      <w:r w:rsidR="00840D53" w:rsidRPr="003C30AA">
        <w:rPr>
          <w:rStyle w:val="ref-title"/>
          <w:sz w:val="20"/>
          <w:szCs w:val="20"/>
        </w:rPr>
        <w:t xml:space="preserve"> </w:t>
      </w:r>
      <w:r w:rsidRPr="003C30AA">
        <w:rPr>
          <w:rStyle w:val="ref-title"/>
          <w:sz w:val="20"/>
          <w:szCs w:val="20"/>
        </w:rPr>
        <w:t>review</w:t>
      </w:r>
      <w:r w:rsidR="00840D53" w:rsidRPr="003C30AA">
        <w:rPr>
          <w:rStyle w:val="ref-title"/>
          <w:sz w:val="20"/>
          <w:szCs w:val="20"/>
        </w:rPr>
        <w:t xml:space="preserve"> </w:t>
      </w:r>
      <w:r w:rsidRPr="003C30AA">
        <w:rPr>
          <w:rStyle w:val="ref-title"/>
          <w:sz w:val="20"/>
          <w:szCs w:val="20"/>
        </w:rPr>
        <w:t>of</w:t>
      </w:r>
      <w:r w:rsidR="00840D53" w:rsidRPr="003C30AA">
        <w:rPr>
          <w:rStyle w:val="ref-title"/>
          <w:sz w:val="20"/>
          <w:szCs w:val="20"/>
        </w:rPr>
        <w:t xml:space="preserve"> </w:t>
      </w:r>
      <w:r w:rsidRPr="003C30AA">
        <w:rPr>
          <w:rStyle w:val="ref-title"/>
          <w:sz w:val="20"/>
          <w:szCs w:val="20"/>
        </w:rPr>
        <w:t>its</w:t>
      </w:r>
      <w:r w:rsidR="00840D53" w:rsidRPr="003C30AA">
        <w:rPr>
          <w:rStyle w:val="ref-title"/>
          <w:sz w:val="20"/>
          <w:szCs w:val="20"/>
        </w:rPr>
        <w:t xml:space="preserve"> </w:t>
      </w:r>
      <w:r w:rsidRPr="003C30AA">
        <w:rPr>
          <w:rStyle w:val="ref-title"/>
          <w:sz w:val="20"/>
          <w:szCs w:val="20"/>
        </w:rPr>
        <w:t>utility</w:t>
      </w:r>
      <w:r w:rsidR="00840D53" w:rsidRPr="003C30AA">
        <w:rPr>
          <w:rStyle w:val="ref-title"/>
          <w:sz w:val="20"/>
          <w:szCs w:val="20"/>
        </w:rPr>
        <w:t xml:space="preserve"> </w:t>
      </w:r>
      <w:r w:rsidRPr="003C30AA">
        <w:rPr>
          <w:rStyle w:val="ref-title"/>
          <w:sz w:val="20"/>
          <w:szCs w:val="20"/>
        </w:rPr>
        <w:t>and</w:t>
      </w:r>
      <w:r w:rsidR="00840D53" w:rsidRPr="003C30AA">
        <w:rPr>
          <w:rStyle w:val="ref-title"/>
          <w:sz w:val="20"/>
          <w:szCs w:val="20"/>
        </w:rPr>
        <w:t xml:space="preserve"> </w:t>
      </w:r>
      <w:r w:rsidRPr="003C30AA">
        <w:rPr>
          <w:rStyle w:val="ref-title"/>
          <w:sz w:val="20"/>
          <w:szCs w:val="20"/>
        </w:rPr>
        <w:t>measurement</w:t>
      </w:r>
      <w:r w:rsidR="00840D53" w:rsidRPr="003C30AA">
        <w:rPr>
          <w:rStyle w:val="ref-title"/>
          <w:sz w:val="20"/>
          <w:szCs w:val="20"/>
        </w:rPr>
        <w:t xml:space="preserve"> </w:t>
      </w:r>
      <w:r w:rsidRPr="003C30AA">
        <w:rPr>
          <w:rStyle w:val="ref-title"/>
          <w:sz w:val="20"/>
          <w:szCs w:val="20"/>
        </w:rPr>
        <w:t>properties</w:t>
      </w:r>
      <w:r w:rsidRPr="003C30AA">
        <w:rPr>
          <w:rStyle w:val="mixed-citation"/>
          <w:rFonts w:eastAsia="Calibri"/>
          <w:sz w:val="20"/>
          <w:szCs w:val="20"/>
        </w:rPr>
        <w:t>.</w:t>
      </w:r>
      <w:r w:rsidR="00840D53" w:rsidRPr="003C30AA">
        <w:rPr>
          <w:rStyle w:val="mixed-citation"/>
          <w:rFonts w:eastAsia="Calibri"/>
          <w:sz w:val="20"/>
          <w:szCs w:val="20"/>
        </w:rPr>
        <w:t xml:space="preserve"> </w:t>
      </w:r>
      <w:r w:rsidRPr="003C30AA">
        <w:rPr>
          <w:rStyle w:val="ref-journal"/>
          <w:sz w:val="20"/>
          <w:szCs w:val="20"/>
        </w:rPr>
        <w:t>Arthritis</w:t>
      </w:r>
      <w:r w:rsidR="00840D53" w:rsidRPr="003C30AA">
        <w:rPr>
          <w:rStyle w:val="ref-journal"/>
          <w:sz w:val="20"/>
          <w:szCs w:val="20"/>
        </w:rPr>
        <w:t xml:space="preserve"> </w:t>
      </w:r>
      <w:r w:rsidRPr="003C30AA">
        <w:rPr>
          <w:rStyle w:val="ref-journal"/>
          <w:sz w:val="20"/>
          <w:szCs w:val="20"/>
        </w:rPr>
        <w:t>Care</w:t>
      </w:r>
      <w:r w:rsidR="00840D53" w:rsidRPr="003C30AA">
        <w:rPr>
          <w:rStyle w:val="ref-journal"/>
          <w:sz w:val="20"/>
          <w:szCs w:val="20"/>
        </w:rPr>
        <w:t xml:space="preserve"> </w:t>
      </w:r>
      <w:r w:rsidRPr="003C30AA">
        <w:rPr>
          <w:rStyle w:val="ref-journal"/>
          <w:sz w:val="20"/>
          <w:szCs w:val="20"/>
        </w:rPr>
        <w:t>Res</w:t>
      </w:r>
      <w:r w:rsidR="00840D53" w:rsidRPr="003C30AA">
        <w:rPr>
          <w:rStyle w:val="ref-journal"/>
          <w:sz w:val="20"/>
          <w:szCs w:val="20"/>
        </w:rPr>
        <w:t xml:space="preserve"> </w:t>
      </w:r>
      <w:r w:rsidRPr="003C30AA">
        <w:rPr>
          <w:rStyle w:val="ref-journal"/>
          <w:bCs/>
          <w:sz w:val="20"/>
          <w:szCs w:val="20"/>
        </w:rPr>
        <w:t>2001</w:t>
      </w:r>
      <w:r w:rsidRPr="003C30AA">
        <w:rPr>
          <w:rStyle w:val="ref-journal"/>
          <w:sz w:val="20"/>
          <w:szCs w:val="20"/>
        </w:rPr>
        <w:t>;</w:t>
      </w:r>
      <w:r w:rsidR="00840D53" w:rsidRPr="003C30AA">
        <w:rPr>
          <w:rStyle w:val="ref-journal"/>
          <w:sz w:val="20"/>
          <w:szCs w:val="20"/>
        </w:rPr>
        <w:t xml:space="preserve"> </w:t>
      </w:r>
      <w:r w:rsidRPr="003C30AA">
        <w:rPr>
          <w:rStyle w:val="ref-vol"/>
          <w:sz w:val="20"/>
          <w:szCs w:val="20"/>
        </w:rPr>
        <w:t>45</w:t>
      </w:r>
      <w:r w:rsidRPr="003C30AA">
        <w:rPr>
          <w:rStyle w:val="mixed-citation"/>
          <w:rFonts w:eastAsia="Calibri"/>
          <w:sz w:val="20"/>
          <w:szCs w:val="20"/>
        </w:rPr>
        <w:t>:</w:t>
      </w:r>
      <w:r w:rsidR="00840D53" w:rsidRPr="003C30AA">
        <w:rPr>
          <w:rStyle w:val="mixed-citation"/>
          <w:rFonts w:eastAsia="Calibri"/>
          <w:sz w:val="20"/>
          <w:szCs w:val="20"/>
        </w:rPr>
        <w:t xml:space="preserve"> </w:t>
      </w:r>
      <w:r w:rsidRPr="003C30AA">
        <w:rPr>
          <w:rStyle w:val="mixed-citation"/>
          <w:rFonts w:eastAsia="Calibri"/>
          <w:sz w:val="20"/>
          <w:szCs w:val="20"/>
        </w:rPr>
        <w:t>453–46</w:t>
      </w:r>
      <w:r w:rsidR="00840D53" w:rsidRPr="003C30AA">
        <w:rPr>
          <w:rStyle w:val="mixed-citation"/>
          <w:rFonts w:eastAsia="Calibri"/>
          <w:sz w:val="20"/>
          <w:szCs w:val="20"/>
        </w:rPr>
        <w:t>1.</w:t>
      </w:r>
    </w:p>
    <w:p w:rsidR="00736402" w:rsidRPr="003C30AA" w:rsidRDefault="00736402" w:rsidP="00840D53">
      <w:pPr>
        <w:widowControl w:val="0"/>
        <w:numPr>
          <w:ilvl w:val="0"/>
          <w:numId w:val="34"/>
        </w:numPr>
        <w:bidi w:val="0"/>
        <w:snapToGrid w:val="0"/>
        <w:ind w:left="425" w:hanging="425"/>
        <w:jc w:val="both"/>
        <w:rPr>
          <w:bCs/>
          <w:sz w:val="20"/>
          <w:szCs w:val="20"/>
        </w:rPr>
      </w:pPr>
      <w:proofErr w:type="spellStart"/>
      <w:r w:rsidRPr="003C30AA">
        <w:rPr>
          <w:bCs/>
          <w:sz w:val="20"/>
          <w:szCs w:val="20"/>
        </w:rPr>
        <w:t>Meulenbelt</w:t>
      </w:r>
      <w:proofErr w:type="spellEnd"/>
      <w:r w:rsidR="00840D53" w:rsidRPr="003C30AA">
        <w:rPr>
          <w:bCs/>
          <w:sz w:val="20"/>
          <w:szCs w:val="20"/>
        </w:rPr>
        <w:t xml:space="preserve"> </w:t>
      </w:r>
      <w:r w:rsidRPr="003C30AA">
        <w:rPr>
          <w:bCs/>
          <w:sz w:val="20"/>
          <w:szCs w:val="20"/>
        </w:rPr>
        <w:t>I.</w:t>
      </w:r>
      <w:r w:rsidR="00840D53" w:rsidRPr="003C30AA">
        <w:rPr>
          <w:sz w:val="20"/>
          <w:szCs w:val="20"/>
        </w:rPr>
        <w:t xml:space="preserve"> </w:t>
      </w:r>
      <w:r w:rsidRPr="003C30AA">
        <w:rPr>
          <w:sz w:val="20"/>
          <w:szCs w:val="20"/>
        </w:rPr>
        <w:t>Osteoarthritis</w:t>
      </w:r>
      <w:r w:rsidR="00840D53" w:rsidRPr="003C30AA">
        <w:rPr>
          <w:sz w:val="20"/>
          <w:szCs w:val="20"/>
        </w:rPr>
        <w:t xml:space="preserve"> </w:t>
      </w:r>
      <w:r w:rsidRPr="003C30AA">
        <w:rPr>
          <w:sz w:val="20"/>
          <w:szCs w:val="20"/>
        </w:rPr>
        <w:t>year</w:t>
      </w:r>
      <w:r w:rsidR="00840D53" w:rsidRPr="003C30AA">
        <w:rPr>
          <w:sz w:val="20"/>
          <w:szCs w:val="20"/>
        </w:rPr>
        <w:t xml:space="preserve"> </w:t>
      </w:r>
      <w:r w:rsidRPr="003C30AA">
        <w:rPr>
          <w:sz w:val="20"/>
          <w:szCs w:val="20"/>
        </w:rPr>
        <w:t>2011</w:t>
      </w:r>
      <w:r w:rsidR="00840D53" w:rsidRPr="003C30AA">
        <w:rPr>
          <w:sz w:val="20"/>
          <w:szCs w:val="20"/>
        </w:rPr>
        <w:t xml:space="preserve"> </w:t>
      </w:r>
      <w:r w:rsidRPr="003C30AA">
        <w:rPr>
          <w:sz w:val="20"/>
          <w:szCs w:val="20"/>
        </w:rPr>
        <w:t>in</w:t>
      </w:r>
      <w:r w:rsidR="00840D53" w:rsidRPr="003C30AA">
        <w:rPr>
          <w:sz w:val="20"/>
          <w:szCs w:val="20"/>
        </w:rPr>
        <w:t xml:space="preserve"> </w:t>
      </w:r>
      <w:r w:rsidRPr="003C30AA">
        <w:rPr>
          <w:sz w:val="20"/>
          <w:szCs w:val="20"/>
        </w:rPr>
        <w:t>review:</w:t>
      </w:r>
      <w:r w:rsidR="00840D53" w:rsidRPr="003C30AA">
        <w:rPr>
          <w:sz w:val="20"/>
          <w:szCs w:val="20"/>
        </w:rPr>
        <w:t xml:space="preserve"> </w:t>
      </w:r>
      <w:r w:rsidRPr="003C30AA">
        <w:rPr>
          <w:sz w:val="20"/>
          <w:szCs w:val="20"/>
        </w:rPr>
        <w:t>genetics.</w:t>
      </w:r>
      <w:r w:rsidR="00840D53" w:rsidRPr="003C30AA">
        <w:rPr>
          <w:sz w:val="20"/>
          <w:szCs w:val="20"/>
        </w:rPr>
        <w:t xml:space="preserve"> </w:t>
      </w:r>
      <w:r w:rsidRPr="003C30AA">
        <w:rPr>
          <w:sz w:val="20"/>
          <w:szCs w:val="20"/>
        </w:rPr>
        <w:t>Osteoarthritis</w:t>
      </w:r>
      <w:r w:rsidR="00840D53" w:rsidRPr="003C30AA">
        <w:rPr>
          <w:sz w:val="20"/>
          <w:szCs w:val="20"/>
        </w:rPr>
        <w:t xml:space="preserve"> </w:t>
      </w:r>
      <w:r w:rsidRPr="003C30AA">
        <w:rPr>
          <w:sz w:val="20"/>
          <w:szCs w:val="20"/>
        </w:rPr>
        <w:t>Cartilage</w:t>
      </w:r>
      <w:r w:rsidR="00840D53" w:rsidRPr="003C30AA">
        <w:rPr>
          <w:sz w:val="20"/>
          <w:szCs w:val="20"/>
        </w:rPr>
        <w:t xml:space="preserve"> </w:t>
      </w:r>
      <w:r w:rsidRPr="003C30AA">
        <w:rPr>
          <w:bCs/>
          <w:sz w:val="20"/>
          <w:szCs w:val="20"/>
        </w:rPr>
        <w:t>2012</w:t>
      </w:r>
      <w:r w:rsidRPr="003C30AA">
        <w:rPr>
          <w:sz w:val="20"/>
          <w:szCs w:val="20"/>
        </w:rPr>
        <w:t>;</w:t>
      </w:r>
      <w:r w:rsidR="00840D53" w:rsidRPr="003C30AA">
        <w:rPr>
          <w:sz w:val="20"/>
          <w:szCs w:val="20"/>
        </w:rPr>
        <w:t xml:space="preserve"> </w:t>
      </w:r>
      <w:r w:rsidRPr="003C30AA">
        <w:rPr>
          <w:sz w:val="20"/>
          <w:szCs w:val="20"/>
        </w:rPr>
        <w:t>20(3):</w:t>
      </w:r>
      <w:r w:rsidR="00840D53" w:rsidRPr="003C30AA">
        <w:rPr>
          <w:sz w:val="20"/>
          <w:szCs w:val="20"/>
        </w:rPr>
        <w:t xml:space="preserve"> </w:t>
      </w:r>
      <w:r w:rsidRPr="003C30AA">
        <w:rPr>
          <w:sz w:val="20"/>
          <w:szCs w:val="20"/>
        </w:rPr>
        <w:t>218-22.</w:t>
      </w:r>
    </w:p>
    <w:p w:rsidR="00736402" w:rsidRPr="003C30AA" w:rsidRDefault="00736402" w:rsidP="00840D53">
      <w:pPr>
        <w:widowControl w:val="0"/>
        <w:numPr>
          <w:ilvl w:val="0"/>
          <w:numId w:val="34"/>
        </w:numPr>
        <w:bidi w:val="0"/>
        <w:snapToGrid w:val="0"/>
        <w:ind w:left="425" w:hanging="425"/>
        <w:jc w:val="both"/>
        <w:rPr>
          <w:rStyle w:val="element-citation"/>
          <w:sz w:val="20"/>
          <w:szCs w:val="20"/>
        </w:rPr>
      </w:pPr>
      <w:proofErr w:type="spellStart"/>
      <w:r w:rsidRPr="003C30AA">
        <w:rPr>
          <w:bCs/>
          <w:sz w:val="20"/>
          <w:szCs w:val="20"/>
        </w:rPr>
        <w:t>Peláez-Ballestas</w:t>
      </w:r>
      <w:proofErr w:type="spellEnd"/>
      <w:r w:rsidR="00840D53" w:rsidRPr="003C30AA">
        <w:rPr>
          <w:bCs/>
          <w:sz w:val="20"/>
          <w:szCs w:val="20"/>
        </w:rPr>
        <w:t xml:space="preserve"> </w:t>
      </w:r>
      <w:r w:rsidRPr="003C30AA">
        <w:rPr>
          <w:bCs/>
          <w:sz w:val="20"/>
          <w:szCs w:val="20"/>
        </w:rPr>
        <w:t>I,</w:t>
      </w:r>
      <w:r w:rsidR="00840D53" w:rsidRPr="003C30AA">
        <w:rPr>
          <w:bCs/>
          <w:sz w:val="20"/>
          <w:szCs w:val="20"/>
        </w:rPr>
        <w:t xml:space="preserve"> </w:t>
      </w:r>
      <w:r w:rsidRPr="003C30AA">
        <w:rPr>
          <w:bCs/>
          <w:sz w:val="20"/>
          <w:szCs w:val="20"/>
        </w:rPr>
        <w:t>Sanin</w:t>
      </w:r>
      <w:r w:rsidR="00840D53" w:rsidRPr="003C30AA">
        <w:rPr>
          <w:bCs/>
          <w:sz w:val="20"/>
          <w:szCs w:val="20"/>
        </w:rPr>
        <w:t xml:space="preserve"> </w:t>
      </w:r>
      <w:r w:rsidRPr="003C30AA">
        <w:rPr>
          <w:bCs/>
          <w:sz w:val="20"/>
          <w:szCs w:val="20"/>
        </w:rPr>
        <w:t>LH,</w:t>
      </w:r>
      <w:r w:rsidR="00840D53" w:rsidRPr="003C30AA">
        <w:rPr>
          <w:bCs/>
          <w:sz w:val="20"/>
          <w:szCs w:val="20"/>
        </w:rPr>
        <w:t xml:space="preserve"> </w:t>
      </w:r>
      <w:r w:rsidRPr="003C30AA">
        <w:rPr>
          <w:bCs/>
          <w:sz w:val="20"/>
          <w:szCs w:val="20"/>
        </w:rPr>
        <w:t>Moreno-Montoya</w:t>
      </w:r>
      <w:r w:rsidR="00840D53" w:rsidRPr="003C30AA">
        <w:rPr>
          <w:bCs/>
          <w:sz w:val="20"/>
          <w:szCs w:val="20"/>
        </w:rPr>
        <w:t xml:space="preserve"> </w:t>
      </w:r>
      <w:r w:rsidRPr="003C30AA">
        <w:rPr>
          <w:bCs/>
          <w:sz w:val="20"/>
          <w:szCs w:val="20"/>
        </w:rPr>
        <w:t>J,</w:t>
      </w:r>
      <w:r w:rsidR="00840D53" w:rsidRPr="003C30AA">
        <w:rPr>
          <w:bCs/>
          <w:sz w:val="20"/>
          <w:szCs w:val="20"/>
        </w:rPr>
        <w:t xml:space="preserve"> </w:t>
      </w:r>
      <w:r w:rsidRPr="003C30AA">
        <w:rPr>
          <w:bCs/>
          <w:sz w:val="20"/>
          <w:szCs w:val="20"/>
        </w:rPr>
        <w:t>Garza-</w:t>
      </w:r>
      <w:proofErr w:type="spellStart"/>
      <w:r w:rsidRPr="003C30AA">
        <w:rPr>
          <w:bCs/>
          <w:sz w:val="20"/>
          <w:szCs w:val="20"/>
        </w:rPr>
        <w:t>Elizondo</w:t>
      </w:r>
      <w:proofErr w:type="spellEnd"/>
      <w:r w:rsidR="00840D53" w:rsidRPr="003C30AA">
        <w:rPr>
          <w:bCs/>
          <w:sz w:val="20"/>
          <w:szCs w:val="20"/>
        </w:rPr>
        <w:t xml:space="preserve"> </w:t>
      </w:r>
      <w:r w:rsidRPr="003C30AA">
        <w:rPr>
          <w:bCs/>
          <w:sz w:val="20"/>
          <w:szCs w:val="20"/>
        </w:rPr>
        <w:t>M.</w:t>
      </w:r>
      <w:r w:rsidR="00840D53" w:rsidRPr="003C30AA">
        <w:rPr>
          <w:sz w:val="20"/>
          <w:szCs w:val="20"/>
        </w:rPr>
        <w:t xml:space="preserve"> </w:t>
      </w:r>
      <w:r w:rsidRPr="003C30AA">
        <w:rPr>
          <w:sz w:val="20"/>
          <w:szCs w:val="20"/>
        </w:rPr>
        <w:t>Epidemiology</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the</w:t>
      </w:r>
      <w:r w:rsidR="00840D53" w:rsidRPr="003C30AA">
        <w:rPr>
          <w:sz w:val="20"/>
          <w:szCs w:val="20"/>
        </w:rPr>
        <w:t xml:space="preserve"> </w:t>
      </w:r>
      <w:r w:rsidRPr="003C30AA">
        <w:rPr>
          <w:sz w:val="20"/>
          <w:szCs w:val="20"/>
        </w:rPr>
        <w:t>Rheumatic</w:t>
      </w:r>
      <w:r w:rsidR="00840D53" w:rsidRPr="003C30AA">
        <w:rPr>
          <w:sz w:val="20"/>
          <w:szCs w:val="20"/>
        </w:rPr>
        <w:t xml:space="preserve"> </w:t>
      </w:r>
      <w:r w:rsidRPr="003C30AA">
        <w:rPr>
          <w:sz w:val="20"/>
          <w:szCs w:val="20"/>
        </w:rPr>
        <w:t>Disease</w:t>
      </w:r>
      <w:r w:rsidR="00840D53" w:rsidRPr="003C30AA">
        <w:rPr>
          <w:sz w:val="20"/>
          <w:szCs w:val="20"/>
        </w:rPr>
        <w:t xml:space="preserve"> </w:t>
      </w:r>
      <w:r w:rsidRPr="003C30AA">
        <w:rPr>
          <w:sz w:val="20"/>
          <w:szCs w:val="20"/>
        </w:rPr>
        <w:t>in</w:t>
      </w:r>
      <w:r w:rsidR="00840D53" w:rsidRPr="003C30AA">
        <w:rPr>
          <w:sz w:val="20"/>
          <w:szCs w:val="20"/>
        </w:rPr>
        <w:t xml:space="preserve"> </w:t>
      </w:r>
      <w:r w:rsidRPr="003C30AA">
        <w:rPr>
          <w:sz w:val="20"/>
          <w:szCs w:val="20"/>
        </w:rPr>
        <w:t>Mexico.</w:t>
      </w:r>
      <w:r w:rsidR="00840D53" w:rsidRPr="003C30AA">
        <w:rPr>
          <w:sz w:val="20"/>
          <w:szCs w:val="20"/>
        </w:rPr>
        <w:t xml:space="preserve"> </w:t>
      </w:r>
      <w:r w:rsidRPr="003C30AA">
        <w:rPr>
          <w:sz w:val="20"/>
          <w:szCs w:val="20"/>
        </w:rPr>
        <w:t>A</w:t>
      </w:r>
      <w:r w:rsidR="00840D53" w:rsidRPr="003C30AA">
        <w:rPr>
          <w:sz w:val="20"/>
          <w:szCs w:val="20"/>
        </w:rPr>
        <w:t xml:space="preserve"> </w:t>
      </w:r>
      <w:r w:rsidRPr="003C30AA">
        <w:rPr>
          <w:sz w:val="20"/>
          <w:szCs w:val="20"/>
        </w:rPr>
        <w:t>Study</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5</w:t>
      </w:r>
      <w:r w:rsidR="00840D53" w:rsidRPr="003C30AA">
        <w:rPr>
          <w:sz w:val="20"/>
          <w:szCs w:val="20"/>
        </w:rPr>
        <w:t xml:space="preserve"> </w:t>
      </w:r>
      <w:r w:rsidRPr="003C30AA">
        <w:rPr>
          <w:sz w:val="20"/>
          <w:szCs w:val="20"/>
        </w:rPr>
        <w:t>regions</w:t>
      </w:r>
      <w:r w:rsidR="00840D53" w:rsidRPr="003C30AA">
        <w:rPr>
          <w:sz w:val="20"/>
          <w:szCs w:val="20"/>
        </w:rPr>
        <w:t xml:space="preserve"> </w:t>
      </w:r>
      <w:r w:rsidRPr="003C30AA">
        <w:rPr>
          <w:sz w:val="20"/>
          <w:szCs w:val="20"/>
        </w:rPr>
        <w:t>based</w:t>
      </w:r>
      <w:r w:rsidR="00840D53" w:rsidRPr="003C30AA">
        <w:rPr>
          <w:sz w:val="20"/>
          <w:szCs w:val="20"/>
        </w:rPr>
        <w:t xml:space="preserve"> </w:t>
      </w:r>
      <w:r w:rsidRPr="003C30AA">
        <w:rPr>
          <w:sz w:val="20"/>
          <w:szCs w:val="20"/>
        </w:rPr>
        <w:t>on</w:t>
      </w:r>
      <w:r w:rsidR="00840D53" w:rsidRPr="003C30AA">
        <w:rPr>
          <w:sz w:val="20"/>
          <w:szCs w:val="20"/>
        </w:rPr>
        <w:t xml:space="preserve"> </w:t>
      </w:r>
      <w:r w:rsidRPr="003C30AA">
        <w:rPr>
          <w:sz w:val="20"/>
          <w:szCs w:val="20"/>
        </w:rPr>
        <w:t>the</w:t>
      </w:r>
      <w:r w:rsidR="00840D53" w:rsidRPr="003C30AA">
        <w:rPr>
          <w:sz w:val="20"/>
          <w:szCs w:val="20"/>
        </w:rPr>
        <w:t xml:space="preserve"> </w:t>
      </w:r>
      <w:r w:rsidRPr="003C30AA">
        <w:rPr>
          <w:sz w:val="20"/>
          <w:szCs w:val="20"/>
        </w:rPr>
        <w:t>COPCORD</w:t>
      </w:r>
      <w:r w:rsidR="00840D53" w:rsidRPr="003C30AA">
        <w:rPr>
          <w:sz w:val="20"/>
          <w:szCs w:val="20"/>
        </w:rPr>
        <w:t xml:space="preserve"> </w:t>
      </w:r>
      <w:r w:rsidRPr="003C30AA">
        <w:rPr>
          <w:sz w:val="20"/>
          <w:szCs w:val="20"/>
        </w:rPr>
        <w:t>Methodology.</w:t>
      </w:r>
      <w:r w:rsidR="00840D53" w:rsidRPr="003C30AA">
        <w:rPr>
          <w:sz w:val="20"/>
          <w:szCs w:val="20"/>
        </w:rPr>
        <w:t xml:space="preserve"> </w:t>
      </w:r>
      <w:r w:rsidRPr="003C30AA">
        <w:rPr>
          <w:sz w:val="20"/>
          <w:szCs w:val="20"/>
        </w:rPr>
        <w:t>J</w:t>
      </w:r>
      <w:r w:rsidR="00840D53" w:rsidRPr="003C30AA">
        <w:rPr>
          <w:sz w:val="20"/>
          <w:szCs w:val="20"/>
        </w:rPr>
        <w:t xml:space="preserve"> </w:t>
      </w:r>
      <w:r w:rsidRPr="003C30AA">
        <w:rPr>
          <w:sz w:val="20"/>
          <w:szCs w:val="20"/>
        </w:rPr>
        <w:t>Rheum</w:t>
      </w:r>
      <w:r w:rsidR="00840D53" w:rsidRPr="003C30AA">
        <w:rPr>
          <w:sz w:val="20"/>
          <w:szCs w:val="20"/>
        </w:rPr>
        <w:t xml:space="preserve"> </w:t>
      </w:r>
      <w:proofErr w:type="spellStart"/>
      <w:r w:rsidRPr="003C30AA">
        <w:rPr>
          <w:sz w:val="20"/>
          <w:szCs w:val="20"/>
        </w:rPr>
        <w:t>Suppl</w:t>
      </w:r>
      <w:proofErr w:type="spellEnd"/>
      <w:r w:rsidR="00840D53" w:rsidRPr="003C30AA">
        <w:rPr>
          <w:sz w:val="20"/>
          <w:szCs w:val="20"/>
        </w:rPr>
        <w:t xml:space="preserve"> </w:t>
      </w:r>
      <w:r w:rsidRPr="003C30AA">
        <w:rPr>
          <w:bCs/>
          <w:sz w:val="20"/>
          <w:szCs w:val="20"/>
        </w:rPr>
        <w:t>2011</w:t>
      </w:r>
      <w:r w:rsidRPr="003C30AA">
        <w:rPr>
          <w:sz w:val="20"/>
          <w:szCs w:val="20"/>
        </w:rPr>
        <w:t>;</w:t>
      </w:r>
      <w:r w:rsidR="00840D53" w:rsidRPr="003C30AA">
        <w:rPr>
          <w:sz w:val="20"/>
          <w:szCs w:val="20"/>
        </w:rPr>
        <w:t xml:space="preserve"> </w:t>
      </w:r>
      <w:r w:rsidRPr="003C30AA">
        <w:rPr>
          <w:sz w:val="20"/>
          <w:szCs w:val="20"/>
        </w:rPr>
        <w:t>86:3–8.</w:t>
      </w:r>
    </w:p>
    <w:p w:rsidR="00736402" w:rsidRPr="003C30AA" w:rsidRDefault="00736402" w:rsidP="00840D53">
      <w:pPr>
        <w:numPr>
          <w:ilvl w:val="0"/>
          <w:numId w:val="34"/>
        </w:numPr>
        <w:bidi w:val="0"/>
        <w:snapToGrid w:val="0"/>
        <w:ind w:left="425" w:hanging="425"/>
        <w:jc w:val="both"/>
        <w:rPr>
          <w:sz w:val="20"/>
          <w:szCs w:val="20"/>
        </w:rPr>
      </w:pPr>
      <w:proofErr w:type="spellStart"/>
      <w:r w:rsidRPr="003C30AA">
        <w:rPr>
          <w:bCs/>
          <w:sz w:val="20"/>
          <w:szCs w:val="20"/>
        </w:rPr>
        <w:t>Sanghi</w:t>
      </w:r>
      <w:proofErr w:type="spellEnd"/>
      <w:r w:rsidR="00840D53" w:rsidRPr="003C30AA">
        <w:rPr>
          <w:bCs/>
          <w:sz w:val="20"/>
          <w:szCs w:val="20"/>
        </w:rPr>
        <w:t xml:space="preserve"> </w:t>
      </w:r>
      <w:r w:rsidRPr="003C30AA">
        <w:rPr>
          <w:bCs/>
          <w:sz w:val="20"/>
          <w:szCs w:val="20"/>
        </w:rPr>
        <w:t>D,</w:t>
      </w:r>
      <w:r w:rsidR="00840D53" w:rsidRPr="003C30AA">
        <w:rPr>
          <w:bCs/>
          <w:sz w:val="20"/>
          <w:szCs w:val="20"/>
        </w:rPr>
        <w:t xml:space="preserve"> </w:t>
      </w:r>
      <w:proofErr w:type="spellStart"/>
      <w:r w:rsidRPr="003C30AA">
        <w:rPr>
          <w:bCs/>
          <w:sz w:val="20"/>
          <w:szCs w:val="20"/>
        </w:rPr>
        <w:t>Mishra</w:t>
      </w:r>
      <w:proofErr w:type="spellEnd"/>
      <w:r w:rsidR="00840D53" w:rsidRPr="003C30AA">
        <w:rPr>
          <w:bCs/>
          <w:sz w:val="20"/>
          <w:szCs w:val="20"/>
        </w:rPr>
        <w:t xml:space="preserve"> </w:t>
      </w:r>
      <w:r w:rsidRPr="003C30AA">
        <w:rPr>
          <w:bCs/>
          <w:sz w:val="20"/>
          <w:szCs w:val="20"/>
        </w:rPr>
        <w:t>A,</w:t>
      </w:r>
      <w:r w:rsidR="00840D53" w:rsidRPr="003C30AA">
        <w:rPr>
          <w:bCs/>
          <w:sz w:val="20"/>
          <w:szCs w:val="20"/>
        </w:rPr>
        <w:t xml:space="preserve"> </w:t>
      </w:r>
      <w:r w:rsidRPr="003C30AA">
        <w:rPr>
          <w:bCs/>
          <w:sz w:val="20"/>
          <w:szCs w:val="20"/>
        </w:rPr>
        <w:t>Sharma</w:t>
      </w:r>
      <w:r w:rsidR="00840D53" w:rsidRPr="003C30AA">
        <w:rPr>
          <w:bCs/>
          <w:sz w:val="20"/>
          <w:szCs w:val="20"/>
        </w:rPr>
        <w:t xml:space="preserve"> </w:t>
      </w:r>
      <w:r w:rsidRPr="003C30AA">
        <w:rPr>
          <w:bCs/>
          <w:sz w:val="20"/>
          <w:szCs w:val="20"/>
        </w:rPr>
        <w:t>AC,</w:t>
      </w:r>
      <w:r w:rsidR="00840D53" w:rsidRPr="003C30AA">
        <w:rPr>
          <w:bCs/>
          <w:sz w:val="20"/>
          <w:szCs w:val="20"/>
        </w:rPr>
        <w:t xml:space="preserve"> </w:t>
      </w:r>
      <w:proofErr w:type="spellStart"/>
      <w:r w:rsidRPr="003C30AA">
        <w:rPr>
          <w:bCs/>
          <w:sz w:val="20"/>
          <w:szCs w:val="20"/>
        </w:rPr>
        <w:t>Natu</w:t>
      </w:r>
      <w:proofErr w:type="spellEnd"/>
      <w:r w:rsidR="00840D53" w:rsidRPr="003C30AA">
        <w:rPr>
          <w:bCs/>
          <w:sz w:val="20"/>
          <w:szCs w:val="20"/>
        </w:rPr>
        <w:t xml:space="preserve"> </w:t>
      </w:r>
      <w:r w:rsidRPr="003C30AA">
        <w:rPr>
          <w:bCs/>
          <w:sz w:val="20"/>
          <w:szCs w:val="20"/>
        </w:rPr>
        <w:t>SM.</w:t>
      </w:r>
      <w:r w:rsidR="00840D53" w:rsidRPr="003C30AA">
        <w:rPr>
          <w:sz w:val="20"/>
          <w:szCs w:val="20"/>
        </w:rPr>
        <w:t xml:space="preserve"> </w:t>
      </w:r>
      <w:r w:rsidRPr="003C30AA">
        <w:rPr>
          <w:sz w:val="20"/>
          <w:szCs w:val="20"/>
        </w:rPr>
        <w:t>Does</w:t>
      </w:r>
      <w:r w:rsidR="00840D53" w:rsidRPr="003C30AA">
        <w:rPr>
          <w:sz w:val="20"/>
          <w:szCs w:val="20"/>
        </w:rPr>
        <w:t xml:space="preserve"> </w:t>
      </w:r>
      <w:r w:rsidRPr="003C30AA">
        <w:rPr>
          <w:sz w:val="20"/>
          <w:szCs w:val="20"/>
        </w:rPr>
        <w:t>vitamin</w:t>
      </w:r>
      <w:r w:rsidR="00840D53" w:rsidRPr="003C30AA">
        <w:rPr>
          <w:sz w:val="20"/>
          <w:szCs w:val="20"/>
        </w:rPr>
        <w:t xml:space="preserve"> </w:t>
      </w:r>
      <w:r w:rsidRPr="003C30AA">
        <w:rPr>
          <w:sz w:val="20"/>
          <w:szCs w:val="20"/>
        </w:rPr>
        <w:t>D</w:t>
      </w:r>
      <w:r w:rsidR="00840D53" w:rsidRPr="003C30AA">
        <w:rPr>
          <w:sz w:val="20"/>
          <w:szCs w:val="20"/>
        </w:rPr>
        <w:t xml:space="preserve"> </w:t>
      </w:r>
      <w:r w:rsidRPr="003C30AA">
        <w:rPr>
          <w:sz w:val="20"/>
          <w:szCs w:val="20"/>
        </w:rPr>
        <w:t>improve</w:t>
      </w:r>
      <w:r w:rsidR="00840D53" w:rsidRPr="003C30AA">
        <w:rPr>
          <w:sz w:val="20"/>
          <w:szCs w:val="20"/>
        </w:rPr>
        <w:t xml:space="preserve"> </w:t>
      </w:r>
      <w:r w:rsidRPr="003C30AA">
        <w:rPr>
          <w:sz w:val="20"/>
          <w:szCs w:val="20"/>
        </w:rPr>
        <w:t>osteoarthritis</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the</w:t>
      </w:r>
      <w:r w:rsidR="00840D53" w:rsidRPr="003C30AA">
        <w:rPr>
          <w:sz w:val="20"/>
          <w:szCs w:val="20"/>
        </w:rPr>
        <w:t xml:space="preserve"> </w:t>
      </w:r>
      <w:r w:rsidRPr="003C30AA">
        <w:rPr>
          <w:sz w:val="20"/>
          <w:szCs w:val="20"/>
        </w:rPr>
        <w:lastRenderedPageBreak/>
        <w:t>knee:</w:t>
      </w:r>
      <w:r w:rsidR="00840D53" w:rsidRPr="003C30AA">
        <w:rPr>
          <w:sz w:val="20"/>
          <w:szCs w:val="20"/>
        </w:rPr>
        <w:t xml:space="preserve"> </w:t>
      </w:r>
      <w:r w:rsidRPr="003C30AA">
        <w:rPr>
          <w:sz w:val="20"/>
          <w:szCs w:val="20"/>
        </w:rPr>
        <w:t>a</w:t>
      </w:r>
      <w:r w:rsidR="00840D53" w:rsidRPr="003C30AA">
        <w:rPr>
          <w:sz w:val="20"/>
          <w:szCs w:val="20"/>
        </w:rPr>
        <w:t xml:space="preserve"> </w:t>
      </w:r>
      <w:r w:rsidRPr="003C30AA">
        <w:rPr>
          <w:sz w:val="20"/>
          <w:szCs w:val="20"/>
        </w:rPr>
        <w:t>randomized</w:t>
      </w:r>
      <w:r w:rsidR="00840D53" w:rsidRPr="003C30AA">
        <w:rPr>
          <w:sz w:val="20"/>
          <w:szCs w:val="20"/>
        </w:rPr>
        <w:t xml:space="preserve"> </w:t>
      </w:r>
      <w:r w:rsidRPr="003C30AA">
        <w:rPr>
          <w:sz w:val="20"/>
          <w:szCs w:val="20"/>
        </w:rPr>
        <w:t>controlled</w:t>
      </w:r>
      <w:r w:rsidR="00840D53" w:rsidRPr="003C30AA">
        <w:rPr>
          <w:sz w:val="20"/>
          <w:szCs w:val="20"/>
        </w:rPr>
        <w:t xml:space="preserve"> </w:t>
      </w:r>
      <w:r w:rsidRPr="003C30AA">
        <w:rPr>
          <w:sz w:val="20"/>
          <w:szCs w:val="20"/>
        </w:rPr>
        <w:t>pilot</w:t>
      </w:r>
      <w:r w:rsidR="00840D53" w:rsidRPr="003C30AA">
        <w:rPr>
          <w:sz w:val="20"/>
          <w:szCs w:val="20"/>
        </w:rPr>
        <w:t xml:space="preserve"> </w:t>
      </w:r>
      <w:r w:rsidRPr="003C30AA">
        <w:rPr>
          <w:sz w:val="20"/>
          <w:szCs w:val="20"/>
        </w:rPr>
        <w:t>trial</w:t>
      </w:r>
      <w:r w:rsidR="00840D53" w:rsidRPr="003C30AA">
        <w:rPr>
          <w:sz w:val="20"/>
          <w:szCs w:val="20"/>
        </w:rPr>
        <w:t xml:space="preserve">. </w:t>
      </w:r>
      <w:proofErr w:type="spellStart"/>
      <w:r w:rsidR="00840D53" w:rsidRPr="003C30AA">
        <w:rPr>
          <w:sz w:val="20"/>
          <w:szCs w:val="20"/>
        </w:rPr>
        <w:t>C</w:t>
      </w:r>
      <w:r w:rsidRPr="003C30AA">
        <w:rPr>
          <w:sz w:val="20"/>
          <w:szCs w:val="20"/>
        </w:rPr>
        <w:t>li</w:t>
      </w:r>
      <w:r w:rsidR="00840D53" w:rsidRPr="003C30AA">
        <w:rPr>
          <w:sz w:val="20"/>
          <w:szCs w:val="20"/>
        </w:rPr>
        <w:t>n</w:t>
      </w:r>
      <w:proofErr w:type="spellEnd"/>
      <w:r w:rsidR="00840D53" w:rsidRPr="003C30AA">
        <w:rPr>
          <w:sz w:val="20"/>
          <w:szCs w:val="20"/>
        </w:rPr>
        <w:t xml:space="preserve"> </w:t>
      </w:r>
      <w:proofErr w:type="spellStart"/>
      <w:r w:rsidR="00840D53" w:rsidRPr="003C30AA">
        <w:rPr>
          <w:sz w:val="20"/>
          <w:szCs w:val="20"/>
        </w:rPr>
        <w:t>O</w:t>
      </w:r>
      <w:r w:rsidRPr="003C30AA">
        <w:rPr>
          <w:sz w:val="20"/>
          <w:szCs w:val="20"/>
        </w:rPr>
        <w:t>rtho</w:t>
      </w:r>
      <w:r w:rsidR="00840D53" w:rsidRPr="003C30AA">
        <w:rPr>
          <w:sz w:val="20"/>
          <w:szCs w:val="20"/>
        </w:rPr>
        <w:t>p</w:t>
      </w:r>
      <w:proofErr w:type="spellEnd"/>
      <w:r w:rsidR="00840D53" w:rsidRPr="003C30AA">
        <w:rPr>
          <w:sz w:val="20"/>
          <w:szCs w:val="20"/>
        </w:rPr>
        <w:t xml:space="preserve"> </w:t>
      </w:r>
      <w:proofErr w:type="spellStart"/>
      <w:r w:rsidR="00840D53" w:rsidRPr="003C30AA">
        <w:rPr>
          <w:sz w:val="20"/>
          <w:szCs w:val="20"/>
        </w:rPr>
        <w:t>R</w:t>
      </w:r>
      <w:r w:rsidRPr="003C30AA">
        <w:rPr>
          <w:sz w:val="20"/>
          <w:szCs w:val="20"/>
        </w:rPr>
        <w:t>elat</w:t>
      </w:r>
      <w:proofErr w:type="spellEnd"/>
      <w:r w:rsidR="00840D53" w:rsidRPr="003C30AA">
        <w:rPr>
          <w:sz w:val="20"/>
          <w:szCs w:val="20"/>
        </w:rPr>
        <w:t xml:space="preserve"> </w:t>
      </w:r>
      <w:r w:rsidRPr="003C30AA">
        <w:rPr>
          <w:sz w:val="20"/>
          <w:szCs w:val="20"/>
        </w:rPr>
        <w:t>Res.</w:t>
      </w:r>
      <w:r w:rsidR="00840D53" w:rsidRPr="003C30AA">
        <w:rPr>
          <w:sz w:val="20"/>
          <w:szCs w:val="20"/>
        </w:rPr>
        <w:t xml:space="preserve"> </w:t>
      </w:r>
      <w:r w:rsidRPr="003C30AA">
        <w:rPr>
          <w:bCs/>
          <w:sz w:val="20"/>
          <w:szCs w:val="20"/>
        </w:rPr>
        <w:t>2013</w:t>
      </w:r>
      <w:r w:rsidRPr="003C30AA">
        <w:rPr>
          <w:sz w:val="20"/>
          <w:szCs w:val="20"/>
        </w:rPr>
        <w:t>;</w:t>
      </w:r>
      <w:r w:rsidR="00840D53" w:rsidRPr="003C30AA">
        <w:rPr>
          <w:sz w:val="20"/>
          <w:szCs w:val="20"/>
        </w:rPr>
        <w:t xml:space="preserve"> </w:t>
      </w:r>
      <w:r w:rsidRPr="003C30AA">
        <w:rPr>
          <w:sz w:val="20"/>
          <w:szCs w:val="20"/>
        </w:rPr>
        <w:t>471(11):3556-62.</w:t>
      </w:r>
    </w:p>
    <w:p w:rsidR="00736402" w:rsidRPr="003C30AA" w:rsidRDefault="00736402" w:rsidP="00840D53">
      <w:pPr>
        <w:numPr>
          <w:ilvl w:val="0"/>
          <w:numId w:val="34"/>
        </w:numPr>
        <w:autoSpaceDE w:val="0"/>
        <w:autoSpaceDN w:val="0"/>
        <w:bidi w:val="0"/>
        <w:adjustRightInd w:val="0"/>
        <w:snapToGrid w:val="0"/>
        <w:ind w:left="425" w:hanging="425"/>
        <w:jc w:val="both"/>
        <w:rPr>
          <w:sz w:val="20"/>
          <w:szCs w:val="20"/>
        </w:rPr>
      </w:pPr>
      <w:proofErr w:type="spellStart"/>
      <w:r w:rsidRPr="003C30AA">
        <w:rPr>
          <w:bCs/>
          <w:sz w:val="20"/>
          <w:szCs w:val="20"/>
        </w:rPr>
        <w:t>Tehranzadeh</w:t>
      </w:r>
      <w:proofErr w:type="spellEnd"/>
      <w:r w:rsidR="00840D53" w:rsidRPr="003C30AA">
        <w:rPr>
          <w:bCs/>
          <w:sz w:val="20"/>
          <w:szCs w:val="20"/>
        </w:rPr>
        <w:t xml:space="preserve"> </w:t>
      </w:r>
      <w:r w:rsidRPr="003C30AA">
        <w:rPr>
          <w:bCs/>
          <w:sz w:val="20"/>
          <w:szCs w:val="20"/>
        </w:rPr>
        <w:t>J,</w:t>
      </w:r>
      <w:r w:rsidR="00840D53" w:rsidRPr="003C30AA">
        <w:rPr>
          <w:bCs/>
          <w:sz w:val="20"/>
          <w:szCs w:val="20"/>
        </w:rPr>
        <w:t xml:space="preserve"> </w:t>
      </w:r>
      <w:proofErr w:type="spellStart"/>
      <w:r w:rsidRPr="003C30AA">
        <w:rPr>
          <w:bCs/>
          <w:sz w:val="20"/>
          <w:szCs w:val="20"/>
        </w:rPr>
        <w:t>Booya</w:t>
      </w:r>
      <w:proofErr w:type="spellEnd"/>
      <w:r w:rsidR="00840D53" w:rsidRPr="003C30AA">
        <w:rPr>
          <w:bCs/>
          <w:sz w:val="20"/>
          <w:szCs w:val="20"/>
        </w:rPr>
        <w:t xml:space="preserve"> </w:t>
      </w:r>
      <w:r w:rsidRPr="003C30AA">
        <w:rPr>
          <w:bCs/>
          <w:sz w:val="20"/>
          <w:szCs w:val="20"/>
        </w:rPr>
        <w:t>F,</w:t>
      </w:r>
      <w:r w:rsidR="00840D53" w:rsidRPr="003C30AA">
        <w:rPr>
          <w:bCs/>
          <w:sz w:val="20"/>
          <w:szCs w:val="20"/>
        </w:rPr>
        <w:t xml:space="preserve"> </w:t>
      </w:r>
      <w:r w:rsidRPr="003C30AA">
        <w:rPr>
          <w:bCs/>
          <w:sz w:val="20"/>
          <w:szCs w:val="20"/>
        </w:rPr>
        <w:t>Root</w:t>
      </w:r>
      <w:r w:rsidR="00840D53" w:rsidRPr="003C30AA">
        <w:rPr>
          <w:bCs/>
          <w:sz w:val="20"/>
          <w:szCs w:val="20"/>
        </w:rPr>
        <w:t xml:space="preserve"> </w:t>
      </w:r>
      <w:r w:rsidRPr="003C30AA">
        <w:rPr>
          <w:bCs/>
          <w:sz w:val="20"/>
          <w:szCs w:val="20"/>
        </w:rPr>
        <w:t>J</w:t>
      </w:r>
      <w:r w:rsidR="00840D53" w:rsidRPr="003C30AA">
        <w:rPr>
          <w:bCs/>
          <w:sz w:val="20"/>
          <w:szCs w:val="20"/>
        </w:rPr>
        <w:t xml:space="preserve"> </w:t>
      </w:r>
      <w:r w:rsidRPr="003C30AA">
        <w:rPr>
          <w:bCs/>
          <w:sz w:val="20"/>
          <w:szCs w:val="20"/>
        </w:rPr>
        <w:t>(:</w:t>
      </w:r>
      <w:r w:rsidR="00840D53" w:rsidRPr="003C30AA">
        <w:rPr>
          <w:sz w:val="20"/>
          <w:szCs w:val="20"/>
        </w:rPr>
        <w:t xml:space="preserve"> </w:t>
      </w:r>
      <w:r w:rsidRPr="003C30AA">
        <w:rPr>
          <w:sz w:val="20"/>
          <w:szCs w:val="20"/>
        </w:rPr>
        <w:t>Cartilage</w:t>
      </w:r>
      <w:r w:rsidR="00840D53" w:rsidRPr="003C30AA">
        <w:rPr>
          <w:sz w:val="20"/>
          <w:szCs w:val="20"/>
        </w:rPr>
        <w:t xml:space="preserve"> </w:t>
      </w:r>
      <w:r w:rsidRPr="003C30AA">
        <w:rPr>
          <w:sz w:val="20"/>
          <w:szCs w:val="20"/>
        </w:rPr>
        <w:t>metabolism</w:t>
      </w:r>
      <w:r w:rsidR="00840D53" w:rsidRPr="003C30AA">
        <w:rPr>
          <w:sz w:val="20"/>
          <w:szCs w:val="20"/>
        </w:rPr>
        <w:t xml:space="preserve"> </w:t>
      </w:r>
      <w:r w:rsidRPr="003C30AA">
        <w:rPr>
          <w:sz w:val="20"/>
          <w:szCs w:val="20"/>
        </w:rPr>
        <w:t>in</w:t>
      </w:r>
      <w:r w:rsidR="00840D53" w:rsidRPr="003C30AA">
        <w:rPr>
          <w:sz w:val="20"/>
          <w:szCs w:val="20"/>
        </w:rPr>
        <w:t xml:space="preserve"> </w:t>
      </w:r>
      <w:r w:rsidRPr="003C30AA">
        <w:rPr>
          <w:sz w:val="20"/>
          <w:szCs w:val="20"/>
        </w:rPr>
        <w:t>osteoarthritis</w:t>
      </w:r>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the</w:t>
      </w:r>
      <w:r w:rsidR="00840D53" w:rsidRPr="003C30AA">
        <w:rPr>
          <w:sz w:val="20"/>
          <w:szCs w:val="20"/>
        </w:rPr>
        <w:t xml:space="preserve"> </w:t>
      </w:r>
      <w:r w:rsidRPr="003C30AA">
        <w:rPr>
          <w:sz w:val="20"/>
          <w:szCs w:val="20"/>
        </w:rPr>
        <w:t>influence</w:t>
      </w:r>
      <w:r w:rsidR="00840D53" w:rsidRPr="003C30AA">
        <w:rPr>
          <w:sz w:val="20"/>
          <w:szCs w:val="20"/>
        </w:rPr>
        <w:t xml:space="preserve"> </w:t>
      </w:r>
      <w:r w:rsidRPr="003C30AA">
        <w:rPr>
          <w:sz w:val="20"/>
          <w:szCs w:val="20"/>
        </w:rPr>
        <w:t>of</w:t>
      </w:r>
      <w:r w:rsidR="00840D53" w:rsidRPr="003C30AA">
        <w:rPr>
          <w:sz w:val="20"/>
          <w:szCs w:val="20"/>
        </w:rPr>
        <w:t xml:space="preserve"> </w:t>
      </w:r>
      <w:proofErr w:type="spellStart"/>
      <w:r w:rsidRPr="003C30AA">
        <w:rPr>
          <w:sz w:val="20"/>
          <w:szCs w:val="20"/>
        </w:rPr>
        <w:t>viscosupplementation</w:t>
      </w:r>
      <w:proofErr w:type="spellEnd"/>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steroid:</w:t>
      </w:r>
      <w:r w:rsidR="00840D53" w:rsidRPr="003C30AA">
        <w:rPr>
          <w:sz w:val="20"/>
          <w:szCs w:val="20"/>
        </w:rPr>
        <w:t xml:space="preserve"> </w:t>
      </w:r>
      <w:r w:rsidRPr="003C30AA">
        <w:rPr>
          <w:sz w:val="20"/>
          <w:szCs w:val="20"/>
        </w:rPr>
        <w:t>a</w:t>
      </w:r>
      <w:r w:rsidR="00840D53" w:rsidRPr="003C30AA">
        <w:rPr>
          <w:sz w:val="20"/>
          <w:szCs w:val="20"/>
        </w:rPr>
        <w:t xml:space="preserve"> </w:t>
      </w:r>
      <w:r w:rsidRPr="003C30AA">
        <w:rPr>
          <w:sz w:val="20"/>
          <w:szCs w:val="20"/>
        </w:rPr>
        <w:t>review.</w:t>
      </w:r>
      <w:r w:rsidR="00840D53" w:rsidRPr="003C30AA">
        <w:rPr>
          <w:sz w:val="20"/>
          <w:szCs w:val="20"/>
        </w:rPr>
        <w:t xml:space="preserve"> </w:t>
      </w:r>
      <w:proofErr w:type="spellStart"/>
      <w:r w:rsidRPr="003C30AA">
        <w:rPr>
          <w:sz w:val="20"/>
          <w:szCs w:val="20"/>
        </w:rPr>
        <w:t>Acta</w:t>
      </w:r>
      <w:proofErr w:type="spellEnd"/>
      <w:r w:rsidR="00840D53" w:rsidRPr="003C30AA">
        <w:rPr>
          <w:sz w:val="20"/>
          <w:szCs w:val="20"/>
        </w:rPr>
        <w:t xml:space="preserve"> </w:t>
      </w:r>
      <w:r w:rsidRPr="003C30AA">
        <w:rPr>
          <w:sz w:val="20"/>
          <w:szCs w:val="20"/>
        </w:rPr>
        <w:t>Radio.</w:t>
      </w:r>
      <w:r w:rsidR="00840D53" w:rsidRPr="003C30AA">
        <w:rPr>
          <w:sz w:val="20"/>
          <w:szCs w:val="20"/>
        </w:rPr>
        <w:t xml:space="preserve"> </w:t>
      </w:r>
      <w:r w:rsidRPr="003C30AA">
        <w:rPr>
          <w:bCs/>
          <w:sz w:val="20"/>
          <w:szCs w:val="20"/>
        </w:rPr>
        <w:t>2005;</w:t>
      </w:r>
      <w:r w:rsidR="00840D53" w:rsidRPr="003C30AA">
        <w:rPr>
          <w:sz w:val="20"/>
          <w:szCs w:val="20"/>
        </w:rPr>
        <w:t xml:space="preserve"> </w:t>
      </w:r>
      <w:r w:rsidRPr="003C30AA">
        <w:rPr>
          <w:sz w:val="20"/>
          <w:szCs w:val="20"/>
        </w:rPr>
        <w:t>46:288–296.</w:t>
      </w:r>
    </w:p>
    <w:p w:rsidR="00736402" w:rsidRPr="003C30AA" w:rsidRDefault="00736402" w:rsidP="00840D53">
      <w:pPr>
        <w:numPr>
          <w:ilvl w:val="0"/>
          <w:numId w:val="34"/>
        </w:numPr>
        <w:autoSpaceDE w:val="0"/>
        <w:autoSpaceDN w:val="0"/>
        <w:bidi w:val="0"/>
        <w:adjustRightInd w:val="0"/>
        <w:snapToGrid w:val="0"/>
        <w:ind w:left="425" w:hanging="425"/>
        <w:jc w:val="both"/>
        <w:rPr>
          <w:sz w:val="20"/>
          <w:szCs w:val="20"/>
        </w:rPr>
      </w:pPr>
      <w:proofErr w:type="spellStart"/>
      <w:r w:rsidRPr="003C30AA">
        <w:rPr>
          <w:bCs/>
          <w:sz w:val="20"/>
          <w:szCs w:val="20"/>
        </w:rPr>
        <w:t>Tuncer</w:t>
      </w:r>
      <w:proofErr w:type="spellEnd"/>
      <w:r w:rsidR="00840D53" w:rsidRPr="003C30AA">
        <w:rPr>
          <w:bCs/>
          <w:sz w:val="20"/>
          <w:szCs w:val="20"/>
        </w:rPr>
        <w:t xml:space="preserve"> </w:t>
      </w:r>
      <w:r w:rsidRPr="003C30AA">
        <w:rPr>
          <w:bCs/>
          <w:sz w:val="20"/>
          <w:szCs w:val="20"/>
        </w:rPr>
        <w:t>T,</w:t>
      </w:r>
      <w:r w:rsidR="00840D53" w:rsidRPr="003C30AA">
        <w:rPr>
          <w:bCs/>
          <w:sz w:val="20"/>
          <w:szCs w:val="20"/>
        </w:rPr>
        <w:t xml:space="preserve"> </w:t>
      </w:r>
      <w:r w:rsidRPr="003C30AA">
        <w:rPr>
          <w:sz w:val="20"/>
          <w:szCs w:val="20"/>
        </w:rPr>
        <w:t>The</w:t>
      </w:r>
      <w:r w:rsidR="00840D53" w:rsidRPr="003C30AA">
        <w:rPr>
          <w:sz w:val="20"/>
          <w:szCs w:val="20"/>
        </w:rPr>
        <w:t xml:space="preserve"> </w:t>
      </w:r>
      <w:r w:rsidRPr="003C30AA">
        <w:rPr>
          <w:sz w:val="20"/>
          <w:szCs w:val="20"/>
        </w:rPr>
        <w:t>relationship</w:t>
      </w:r>
      <w:r w:rsidR="00840D53" w:rsidRPr="003C30AA">
        <w:rPr>
          <w:sz w:val="20"/>
          <w:szCs w:val="20"/>
        </w:rPr>
        <w:t xml:space="preserve"> </w:t>
      </w:r>
      <w:r w:rsidRPr="003C30AA">
        <w:rPr>
          <w:sz w:val="20"/>
          <w:szCs w:val="20"/>
        </w:rPr>
        <w:t>between</w:t>
      </w:r>
      <w:r w:rsidR="00840D53" w:rsidRPr="003C30AA">
        <w:rPr>
          <w:sz w:val="20"/>
          <w:szCs w:val="20"/>
        </w:rPr>
        <w:t xml:space="preserve"> </w:t>
      </w:r>
      <w:r w:rsidRPr="003C30AA">
        <w:rPr>
          <w:sz w:val="20"/>
          <w:szCs w:val="20"/>
        </w:rPr>
        <w:t>osteoarthritis</w:t>
      </w:r>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osteoporosis.</w:t>
      </w:r>
      <w:r w:rsidR="00840D53" w:rsidRPr="003C30AA">
        <w:rPr>
          <w:sz w:val="20"/>
          <w:szCs w:val="20"/>
        </w:rPr>
        <w:t xml:space="preserve"> </w:t>
      </w:r>
      <w:r w:rsidRPr="003C30AA">
        <w:rPr>
          <w:sz w:val="20"/>
          <w:szCs w:val="20"/>
        </w:rPr>
        <w:t>Review</w:t>
      </w:r>
      <w:r w:rsidR="00840D53" w:rsidRPr="003C30AA">
        <w:rPr>
          <w:sz w:val="20"/>
          <w:szCs w:val="20"/>
        </w:rPr>
        <w:t xml:space="preserve"> </w:t>
      </w:r>
      <w:r w:rsidRPr="003C30AA">
        <w:rPr>
          <w:sz w:val="20"/>
          <w:szCs w:val="20"/>
        </w:rPr>
        <w:t>Article.</w:t>
      </w:r>
      <w:r w:rsidR="00840D53" w:rsidRPr="003C30AA">
        <w:rPr>
          <w:sz w:val="20"/>
          <w:szCs w:val="20"/>
        </w:rPr>
        <w:t xml:space="preserve"> </w:t>
      </w:r>
      <w:r w:rsidRPr="003C30AA">
        <w:rPr>
          <w:sz w:val="20"/>
          <w:szCs w:val="20"/>
        </w:rPr>
        <w:t>Turkish</w:t>
      </w:r>
      <w:r w:rsidR="00840D53" w:rsidRPr="003C30AA">
        <w:rPr>
          <w:sz w:val="20"/>
          <w:szCs w:val="20"/>
        </w:rPr>
        <w:t xml:space="preserve"> </w:t>
      </w:r>
      <w:r w:rsidRPr="003C30AA">
        <w:rPr>
          <w:sz w:val="20"/>
          <w:szCs w:val="20"/>
        </w:rPr>
        <w:t>Journal</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Geriatrics.</w:t>
      </w:r>
      <w:r w:rsidR="00840D53" w:rsidRPr="003C30AA">
        <w:rPr>
          <w:sz w:val="20"/>
          <w:szCs w:val="20"/>
        </w:rPr>
        <w:t xml:space="preserve"> </w:t>
      </w:r>
      <w:r w:rsidRPr="003C30AA">
        <w:rPr>
          <w:sz w:val="20"/>
          <w:szCs w:val="20"/>
        </w:rPr>
        <w:t>Supplement</w:t>
      </w:r>
      <w:r w:rsidR="00840D53" w:rsidRPr="003C30AA">
        <w:rPr>
          <w:sz w:val="20"/>
          <w:szCs w:val="20"/>
        </w:rPr>
        <w:t xml:space="preserve"> </w:t>
      </w:r>
      <w:r w:rsidRPr="003C30AA">
        <w:rPr>
          <w:bCs/>
          <w:sz w:val="20"/>
          <w:szCs w:val="20"/>
        </w:rPr>
        <w:t>2011</w:t>
      </w:r>
      <w:r w:rsidRPr="003C30AA">
        <w:rPr>
          <w:sz w:val="20"/>
          <w:szCs w:val="20"/>
        </w:rPr>
        <w:t>;</w:t>
      </w:r>
      <w:r w:rsidR="00840D53" w:rsidRPr="003C30AA">
        <w:rPr>
          <w:sz w:val="20"/>
          <w:szCs w:val="20"/>
        </w:rPr>
        <w:t xml:space="preserve"> </w:t>
      </w:r>
      <w:r w:rsidRPr="003C30AA">
        <w:rPr>
          <w:sz w:val="20"/>
          <w:szCs w:val="20"/>
        </w:rPr>
        <w:t>4:69-71.</w:t>
      </w:r>
    </w:p>
    <w:p w:rsidR="00736402" w:rsidRPr="003C30AA" w:rsidRDefault="00736402" w:rsidP="00840D53">
      <w:pPr>
        <w:widowControl w:val="0"/>
        <w:numPr>
          <w:ilvl w:val="0"/>
          <w:numId w:val="34"/>
        </w:numPr>
        <w:bidi w:val="0"/>
        <w:snapToGrid w:val="0"/>
        <w:ind w:left="425" w:hanging="425"/>
        <w:jc w:val="both"/>
        <w:rPr>
          <w:sz w:val="20"/>
          <w:szCs w:val="20"/>
        </w:rPr>
      </w:pPr>
      <w:r w:rsidRPr="003C30AA">
        <w:rPr>
          <w:bCs/>
          <w:sz w:val="20"/>
          <w:szCs w:val="20"/>
        </w:rPr>
        <w:t>Wu</w:t>
      </w:r>
      <w:r w:rsidR="00840D53" w:rsidRPr="003C30AA">
        <w:rPr>
          <w:bCs/>
          <w:sz w:val="20"/>
          <w:szCs w:val="20"/>
        </w:rPr>
        <w:t xml:space="preserve"> </w:t>
      </w:r>
      <w:r w:rsidRPr="003C30AA">
        <w:rPr>
          <w:bCs/>
          <w:sz w:val="20"/>
          <w:szCs w:val="20"/>
        </w:rPr>
        <w:t>CW,</w:t>
      </w:r>
      <w:r w:rsidR="00840D53" w:rsidRPr="003C30AA">
        <w:rPr>
          <w:bCs/>
          <w:sz w:val="20"/>
          <w:szCs w:val="20"/>
        </w:rPr>
        <w:t xml:space="preserve"> </w:t>
      </w:r>
      <w:r w:rsidRPr="003C30AA">
        <w:rPr>
          <w:bCs/>
          <w:sz w:val="20"/>
          <w:szCs w:val="20"/>
        </w:rPr>
        <w:t>Morrell</w:t>
      </w:r>
      <w:r w:rsidR="00840D53" w:rsidRPr="003C30AA">
        <w:rPr>
          <w:bCs/>
          <w:sz w:val="20"/>
          <w:szCs w:val="20"/>
        </w:rPr>
        <w:t xml:space="preserve"> </w:t>
      </w:r>
      <w:r w:rsidRPr="003C30AA">
        <w:rPr>
          <w:bCs/>
          <w:sz w:val="20"/>
          <w:szCs w:val="20"/>
        </w:rPr>
        <w:t>MR,</w:t>
      </w:r>
      <w:r w:rsidR="00840D53" w:rsidRPr="003C30AA">
        <w:rPr>
          <w:bCs/>
          <w:sz w:val="20"/>
          <w:szCs w:val="20"/>
        </w:rPr>
        <w:t xml:space="preserve"> </w:t>
      </w:r>
      <w:proofErr w:type="spellStart"/>
      <w:r w:rsidRPr="003C30AA">
        <w:rPr>
          <w:bCs/>
          <w:sz w:val="20"/>
          <w:szCs w:val="20"/>
        </w:rPr>
        <w:t>Heinze</w:t>
      </w:r>
      <w:proofErr w:type="spellEnd"/>
      <w:r w:rsidR="00840D53" w:rsidRPr="003C30AA">
        <w:rPr>
          <w:bCs/>
          <w:sz w:val="20"/>
          <w:szCs w:val="20"/>
        </w:rPr>
        <w:t xml:space="preserve"> </w:t>
      </w:r>
      <w:r w:rsidRPr="003C30AA">
        <w:rPr>
          <w:bCs/>
          <w:sz w:val="20"/>
          <w:szCs w:val="20"/>
        </w:rPr>
        <w:t>E,</w:t>
      </w:r>
      <w:r w:rsidR="00840D53" w:rsidRPr="003C30AA">
        <w:rPr>
          <w:bCs/>
          <w:sz w:val="20"/>
          <w:szCs w:val="20"/>
        </w:rPr>
        <w:t xml:space="preserve"> </w:t>
      </w:r>
      <w:r w:rsidRPr="003C30AA">
        <w:rPr>
          <w:bCs/>
          <w:sz w:val="20"/>
          <w:szCs w:val="20"/>
        </w:rPr>
        <w:t>et</w:t>
      </w:r>
      <w:r w:rsidR="00840D53" w:rsidRPr="003C30AA">
        <w:rPr>
          <w:bCs/>
          <w:sz w:val="20"/>
          <w:szCs w:val="20"/>
        </w:rPr>
        <w:t xml:space="preserve"> </w:t>
      </w:r>
      <w:r w:rsidRPr="003C30AA">
        <w:rPr>
          <w:bCs/>
          <w:sz w:val="20"/>
          <w:szCs w:val="20"/>
        </w:rPr>
        <w:t>al.</w:t>
      </w:r>
      <w:r w:rsidR="00840D53" w:rsidRPr="003C30AA">
        <w:rPr>
          <w:sz w:val="20"/>
          <w:szCs w:val="20"/>
        </w:rPr>
        <w:t xml:space="preserve"> </w:t>
      </w:r>
      <w:r w:rsidRPr="003C30AA">
        <w:rPr>
          <w:sz w:val="20"/>
          <w:szCs w:val="20"/>
        </w:rPr>
        <w:t>Validation</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American</w:t>
      </w:r>
      <w:r w:rsidR="00840D53" w:rsidRPr="003C30AA">
        <w:rPr>
          <w:sz w:val="20"/>
          <w:szCs w:val="20"/>
        </w:rPr>
        <w:t xml:space="preserve"> </w:t>
      </w:r>
      <w:r w:rsidRPr="003C30AA">
        <w:rPr>
          <w:sz w:val="20"/>
          <w:szCs w:val="20"/>
        </w:rPr>
        <w:t>College</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Rheumatology</w:t>
      </w:r>
      <w:r w:rsidR="00840D53" w:rsidRPr="003C30AA">
        <w:rPr>
          <w:sz w:val="20"/>
          <w:szCs w:val="20"/>
        </w:rPr>
        <w:t xml:space="preserve"> </w:t>
      </w:r>
      <w:r w:rsidRPr="003C30AA">
        <w:rPr>
          <w:sz w:val="20"/>
          <w:szCs w:val="20"/>
        </w:rPr>
        <w:t>classification</w:t>
      </w:r>
      <w:r w:rsidR="00840D53" w:rsidRPr="003C30AA">
        <w:rPr>
          <w:sz w:val="20"/>
          <w:szCs w:val="20"/>
        </w:rPr>
        <w:t xml:space="preserve"> </w:t>
      </w:r>
      <w:r w:rsidRPr="003C30AA">
        <w:rPr>
          <w:sz w:val="20"/>
          <w:szCs w:val="20"/>
        </w:rPr>
        <w:t>criteria</w:t>
      </w:r>
      <w:r w:rsidR="00840D53" w:rsidRPr="003C30AA">
        <w:rPr>
          <w:sz w:val="20"/>
          <w:szCs w:val="20"/>
        </w:rPr>
        <w:t xml:space="preserve"> </w:t>
      </w:r>
      <w:r w:rsidRPr="003C30AA">
        <w:rPr>
          <w:sz w:val="20"/>
          <w:szCs w:val="20"/>
        </w:rPr>
        <w:t>for</w:t>
      </w:r>
      <w:r w:rsidR="00840D53" w:rsidRPr="003C30AA">
        <w:rPr>
          <w:sz w:val="20"/>
          <w:szCs w:val="20"/>
        </w:rPr>
        <w:t xml:space="preserve"> </w:t>
      </w:r>
      <w:r w:rsidRPr="003C30AA">
        <w:rPr>
          <w:sz w:val="20"/>
          <w:szCs w:val="20"/>
        </w:rPr>
        <w:t>knee</w:t>
      </w:r>
      <w:r w:rsidR="00840D53" w:rsidRPr="003C30AA">
        <w:rPr>
          <w:sz w:val="20"/>
          <w:szCs w:val="20"/>
        </w:rPr>
        <w:t xml:space="preserve"> </w:t>
      </w:r>
      <w:r w:rsidRPr="003C30AA">
        <w:rPr>
          <w:sz w:val="20"/>
          <w:szCs w:val="20"/>
        </w:rPr>
        <w:t>osteoarthritis</w:t>
      </w:r>
      <w:r w:rsidR="00840D53" w:rsidRPr="003C30AA">
        <w:rPr>
          <w:sz w:val="20"/>
          <w:szCs w:val="20"/>
        </w:rPr>
        <w:t xml:space="preserve"> </w:t>
      </w:r>
      <w:r w:rsidRPr="003C30AA">
        <w:rPr>
          <w:sz w:val="20"/>
          <w:szCs w:val="20"/>
        </w:rPr>
        <w:t>using</w:t>
      </w:r>
      <w:r w:rsidR="00840D53" w:rsidRPr="003C30AA">
        <w:rPr>
          <w:sz w:val="20"/>
          <w:szCs w:val="20"/>
        </w:rPr>
        <w:t xml:space="preserve"> </w:t>
      </w:r>
      <w:proofErr w:type="spellStart"/>
      <w:r w:rsidRPr="003C30AA">
        <w:rPr>
          <w:sz w:val="20"/>
          <w:szCs w:val="20"/>
        </w:rPr>
        <w:t>arthroscopically</w:t>
      </w:r>
      <w:proofErr w:type="spellEnd"/>
      <w:r w:rsidR="00840D53" w:rsidRPr="003C30AA">
        <w:rPr>
          <w:sz w:val="20"/>
          <w:szCs w:val="20"/>
        </w:rPr>
        <w:t xml:space="preserve"> </w:t>
      </w:r>
      <w:r w:rsidRPr="003C30AA">
        <w:rPr>
          <w:sz w:val="20"/>
          <w:szCs w:val="20"/>
        </w:rPr>
        <w:t>defined</w:t>
      </w:r>
      <w:r w:rsidR="00840D53" w:rsidRPr="003C30AA">
        <w:rPr>
          <w:sz w:val="20"/>
          <w:szCs w:val="20"/>
        </w:rPr>
        <w:t xml:space="preserve"> </w:t>
      </w:r>
      <w:r w:rsidRPr="003C30AA">
        <w:rPr>
          <w:sz w:val="20"/>
          <w:szCs w:val="20"/>
        </w:rPr>
        <w:t>cartilage</w:t>
      </w:r>
      <w:r w:rsidR="00840D53" w:rsidRPr="003C30AA">
        <w:rPr>
          <w:sz w:val="20"/>
          <w:szCs w:val="20"/>
        </w:rPr>
        <w:t xml:space="preserve"> </w:t>
      </w:r>
      <w:r w:rsidRPr="003C30AA">
        <w:rPr>
          <w:sz w:val="20"/>
          <w:szCs w:val="20"/>
        </w:rPr>
        <w:t>damage</w:t>
      </w:r>
      <w:r w:rsidR="00840D53" w:rsidRPr="003C30AA">
        <w:rPr>
          <w:sz w:val="20"/>
          <w:szCs w:val="20"/>
        </w:rPr>
        <w:t xml:space="preserve"> </w:t>
      </w:r>
      <w:r w:rsidRPr="003C30AA">
        <w:rPr>
          <w:sz w:val="20"/>
          <w:szCs w:val="20"/>
        </w:rPr>
        <w:t>scores.</w:t>
      </w:r>
      <w:r w:rsidR="00840D53" w:rsidRPr="003C30AA">
        <w:rPr>
          <w:sz w:val="20"/>
          <w:szCs w:val="20"/>
        </w:rPr>
        <w:t xml:space="preserve"> </w:t>
      </w:r>
      <w:proofErr w:type="spellStart"/>
      <w:r w:rsidRPr="003C30AA">
        <w:rPr>
          <w:sz w:val="20"/>
          <w:szCs w:val="20"/>
        </w:rPr>
        <w:t>Semin</w:t>
      </w:r>
      <w:proofErr w:type="spellEnd"/>
      <w:r w:rsidR="00840D53" w:rsidRPr="003C30AA">
        <w:rPr>
          <w:sz w:val="20"/>
          <w:szCs w:val="20"/>
        </w:rPr>
        <w:t xml:space="preserve"> </w:t>
      </w:r>
      <w:r w:rsidRPr="003C30AA">
        <w:rPr>
          <w:sz w:val="20"/>
          <w:szCs w:val="20"/>
        </w:rPr>
        <w:t>Arthritis</w:t>
      </w:r>
      <w:r w:rsidR="00840D53" w:rsidRPr="003C30AA">
        <w:rPr>
          <w:sz w:val="20"/>
          <w:szCs w:val="20"/>
        </w:rPr>
        <w:t xml:space="preserve"> </w:t>
      </w:r>
      <w:r w:rsidRPr="003C30AA">
        <w:rPr>
          <w:sz w:val="20"/>
          <w:szCs w:val="20"/>
        </w:rPr>
        <w:t>Rheum</w:t>
      </w:r>
      <w:r w:rsidR="00840D53" w:rsidRPr="003C30AA">
        <w:rPr>
          <w:sz w:val="20"/>
          <w:szCs w:val="20"/>
        </w:rPr>
        <w:t xml:space="preserve"> </w:t>
      </w:r>
      <w:r w:rsidRPr="003C30AA">
        <w:rPr>
          <w:bCs/>
          <w:sz w:val="20"/>
          <w:szCs w:val="20"/>
        </w:rPr>
        <w:t>2005</w:t>
      </w:r>
      <w:r w:rsidRPr="003C30AA">
        <w:rPr>
          <w:sz w:val="20"/>
          <w:szCs w:val="20"/>
        </w:rPr>
        <w:t>;</w:t>
      </w:r>
      <w:r w:rsidR="00840D53" w:rsidRPr="003C30AA">
        <w:rPr>
          <w:sz w:val="20"/>
          <w:szCs w:val="20"/>
        </w:rPr>
        <w:t xml:space="preserve"> </w:t>
      </w:r>
      <w:r w:rsidRPr="003C30AA">
        <w:rPr>
          <w:sz w:val="20"/>
          <w:szCs w:val="20"/>
        </w:rPr>
        <w:t>35</w:t>
      </w:r>
      <w:r w:rsidR="00840D53" w:rsidRPr="003C30AA">
        <w:rPr>
          <w:sz w:val="20"/>
          <w:szCs w:val="20"/>
        </w:rPr>
        <w:t xml:space="preserve"> </w:t>
      </w:r>
      <w:r w:rsidRPr="003C30AA">
        <w:rPr>
          <w:sz w:val="20"/>
          <w:szCs w:val="20"/>
        </w:rPr>
        <w:t>(3):</w:t>
      </w:r>
      <w:r w:rsidR="00840D53" w:rsidRPr="003C30AA">
        <w:rPr>
          <w:sz w:val="20"/>
          <w:szCs w:val="20"/>
        </w:rPr>
        <w:t xml:space="preserve"> </w:t>
      </w:r>
      <w:r w:rsidRPr="003C30AA">
        <w:rPr>
          <w:sz w:val="20"/>
          <w:szCs w:val="20"/>
        </w:rPr>
        <w:t>197-201.</w:t>
      </w:r>
    </w:p>
    <w:p w:rsidR="00736402" w:rsidRPr="003C30AA" w:rsidRDefault="00736402" w:rsidP="00840D53">
      <w:pPr>
        <w:numPr>
          <w:ilvl w:val="0"/>
          <w:numId w:val="34"/>
        </w:numPr>
        <w:autoSpaceDE w:val="0"/>
        <w:autoSpaceDN w:val="0"/>
        <w:bidi w:val="0"/>
        <w:adjustRightInd w:val="0"/>
        <w:snapToGrid w:val="0"/>
        <w:ind w:left="425" w:hanging="425"/>
        <w:jc w:val="both"/>
        <w:rPr>
          <w:sz w:val="20"/>
          <w:szCs w:val="20"/>
        </w:rPr>
      </w:pPr>
      <w:proofErr w:type="spellStart"/>
      <w:r w:rsidRPr="003C30AA">
        <w:rPr>
          <w:bCs/>
          <w:sz w:val="20"/>
          <w:szCs w:val="20"/>
        </w:rPr>
        <w:t>Yazmalar</w:t>
      </w:r>
      <w:proofErr w:type="spellEnd"/>
      <w:r w:rsidR="00840D53" w:rsidRPr="003C30AA">
        <w:rPr>
          <w:bCs/>
          <w:sz w:val="20"/>
          <w:szCs w:val="20"/>
        </w:rPr>
        <w:t xml:space="preserve"> </w:t>
      </w:r>
      <w:r w:rsidRPr="003C30AA">
        <w:rPr>
          <w:bCs/>
          <w:sz w:val="20"/>
          <w:szCs w:val="20"/>
        </w:rPr>
        <w:t>L,</w:t>
      </w:r>
      <w:r w:rsidR="00840D53" w:rsidRPr="003C30AA">
        <w:rPr>
          <w:bCs/>
          <w:sz w:val="20"/>
          <w:szCs w:val="20"/>
        </w:rPr>
        <w:t xml:space="preserve"> </w:t>
      </w:r>
      <w:proofErr w:type="spellStart"/>
      <w:r w:rsidRPr="003C30AA">
        <w:rPr>
          <w:bCs/>
          <w:sz w:val="20"/>
          <w:szCs w:val="20"/>
        </w:rPr>
        <w:t>Ediz</w:t>
      </w:r>
      <w:proofErr w:type="spellEnd"/>
      <w:r w:rsidR="00840D53" w:rsidRPr="003C30AA">
        <w:rPr>
          <w:bCs/>
          <w:sz w:val="20"/>
          <w:szCs w:val="20"/>
        </w:rPr>
        <w:t xml:space="preserve"> </w:t>
      </w:r>
      <w:r w:rsidRPr="003C30AA">
        <w:rPr>
          <w:bCs/>
          <w:sz w:val="20"/>
          <w:szCs w:val="20"/>
        </w:rPr>
        <w:t>L,</w:t>
      </w:r>
      <w:r w:rsidR="00840D53" w:rsidRPr="003C30AA">
        <w:rPr>
          <w:bCs/>
          <w:sz w:val="20"/>
          <w:szCs w:val="20"/>
        </w:rPr>
        <w:t xml:space="preserve"> </w:t>
      </w:r>
      <w:proofErr w:type="spellStart"/>
      <w:r w:rsidRPr="003C30AA">
        <w:rPr>
          <w:bCs/>
          <w:sz w:val="20"/>
          <w:szCs w:val="20"/>
        </w:rPr>
        <w:t>Alpayci</w:t>
      </w:r>
      <w:proofErr w:type="spellEnd"/>
      <w:r w:rsidR="00840D53" w:rsidRPr="003C30AA">
        <w:rPr>
          <w:bCs/>
          <w:sz w:val="20"/>
          <w:szCs w:val="20"/>
        </w:rPr>
        <w:t xml:space="preserve"> </w:t>
      </w:r>
      <w:r w:rsidRPr="003C30AA">
        <w:rPr>
          <w:bCs/>
          <w:sz w:val="20"/>
          <w:szCs w:val="20"/>
        </w:rPr>
        <w:t>M,</w:t>
      </w:r>
      <w:r w:rsidR="00840D53" w:rsidRPr="003C30AA">
        <w:rPr>
          <w:bCs/>
          <w:sz w:val="20"/>
          <w:szCs w:val="20"/>
        </w:rPr>
        <w:t xml:space="preserve"> </w:t>
      </w:r>
      <w:r w:rsidRPr="003C30AA">
        <w:rPr>
          <w:bCs/>
          <w:sz w:val="20"/>
          <w:szCs w:val="20"/>
        </w:rPr>
        <w:t>et</w:t>
      </w:r>
      <w:r w:rsidR="00840D53" w:rsidRPr="003C30AA">
        <w:rPr>
          <w:bCs/>
          <w:sz w:val="20"/>
          <w:szCs w:val="20"/>
        </w:rPr>
        <w:t xml:space="preserve"> </w:t>
      </w:r>
      <w:r w:rsidRPr="003C30AA">
        <w:rPr>
          <w:bCs/>
          <w:sz w:val="20"/>
          <w:szCs w:val="20"/>
        </w:rPr>
        <w:t>al.</w:t>
      </w:r>
      <w:r w:rsidR="00840D53" w:rsidRPr="003C30AA">
        <w:rPr>
          <w:sz w:val="20"/>
          <w:szCs w:val="20"/>
        </w:rPr>
        <w:t xml:space="preserve"> </w:t>
      </w:r>
      <w:r w:rsidRPr="003C30AA">
        <w:rPr>
          <w:sz w:val="20"/>
          <w:szCs w:val="20"/>
        </w:rPr>
        <w:t>Seasonal</w:t>
      </w:r>
      <w:r w:rsidR="00840D53" w:rsidRPr="003C30AA">
        <w:rPr>
          <w:sz w:val="20"/>
          <w:szCs w:val="20"/>
        </w:rPr>
        <w:t xml:space="preserve"> </w:t>
      </w:r>
      <w:r w:rsidRPr="003C30AA">
        <w:rPr>
          <w:sz w:val="20"/>
          <w:szCs w:val="20"/>
        </w:rPr>
        <w:t>disease</w:t>
      </w:r>
      <w:r w:rsidR="00840D53" w:rsidRPr="003C30AA">
        <w:rPr>
          <w:sz w:val="20"/>
          <w:szCs w:val="20"/>
        </w:rPr>
        <w:t xml:space="preserve"> </w:t>
      </w:r>
      <w:r w:rsidRPr="003C30AA">
        <w:rPr>
          <w:sz w:val="20"/>
          <w:szCs w:val="20"/>
        </w:rPr>
        <w:t>activity</w:t>
      </w:r>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serum</w:t>
      </w:r>
      <w:r w:rsidR="00840D53" w:rsidRPr="003C30AA">
        <w:rPr>
          <w:sz w:val="20"/>
          <w:szCs w:val="20"/>
        </w:rPr>
        <w:t xml:space="preserve"> </w:t>
      </w:r>
      <w:r w:rsidRPr="003C30AA">
        <w:rPr>
          <w:sz w:val="20"/>
          <w:szCs w:val="20"/>
        </w:rPr>
        <w:t>vitamin</w:t>
      </w:r>
      <w:r w:rsidR="00840D53" w:rsidRPr="003C30AA">
        <w:rPr>
          <w:sz w:val="20"/>
          <w:szCs w:val="20"/>
        </w:rPr>
        <w:t xml:space="preserve"> </w:t>
      </w:r>
      <w:r w:rsidRPr="003C30AA">
        <w:rPr>
          <w:sz w:val="20"/>
          <w:szCs w:val="20"/>
        </w:rPr>
        <w:t>D</w:t>
      </w:r>
      <w:r w:rsidR="00840D53" w:rsidRPr="003C30AA">
        <w:rPr>
          <w:sz w:val="20"/>
          <w:szCs w:val="20"/>
        </w:rPr>
        <w:t xml:space="preserve"> </w:t>
      </w:r>
      <w:r w:rsidRPr="003C30AA">
        <w:rPr>
          <w:sz w:val="20"/>
          <w:szCs w:val="20"/>
        </w:rPr>
        <w:t>levels</w:t>
      </w:r>
      <w:r w:rsidR="00840D53" w:rsidRPr="003C30AA">
        <w:rPr>
          <w:sz w:val="20"/>
          <w:szCs w:val="20"/>
        </w:rPr>
        <w:t xml:space="preserve"> </w:t>
      </w:r>
      <w:r w:rsidRPr="003C30AA">
        <w:rPr>
          <w:sz w:val="20"/>
          <w:szCs w:val="20"/>
        </w:rPr>
        <w:t>in</w:t>
      </w:r>
      <w:r w:rsidR="00840D53" w:rsidRPr="003C30AA">
        <w:rPr>
          <w:sz w:val="20"/>
          <w:szCs w:val="20"/>
        </w:rPr>
        <w:t xml:space="preserve"> </w:t>
      </w:r>
      <w:r w:rsidRPr="003C30AA">
        <w:rPr>
          <w:sz w:val="20"/>
          <w:szCs w:val="20"/>
        </w:rPr>
        <w:t>rheumatoid</w:t>
      </w:r>
      <w:r w:rsidR="00840D53" w:rsidRPr="003C30AA">
        <w:rPr>
          <w:sz w:val="20"/>
          <w:szCs w:val="20"/>
        </w:rPr>
        <w:t xml:space="preserve"> </w:t>
      </w:r>
      <w:r w:rsidRPr="003C30AA">
        <w:rPr>
          <w:sz w:val="20"/>
          <w:szCs w:val="20"/>
        </w:rPr>
        <w:t>arthritis,</w:t>
      </w:r>
      <w:r w:rsidR="00840D53" w:rsidRPr="003C30AA">
        <w:rPr>
          <w:sz w:val="20"/>
          <w:szCs w:val="20"/>
        </w:rPr>
        <w:t xml:space="preserve"> </w:t>
      </w:r>
      <w:proofErr w:type="spellStart"/>
      <w:r w:rsidRPr="003C30AA">
        <w:rPr>
          <w:sz w:val="20"/>
          <w:szCs w:val="20"/>
        </w:rPr>
        <w:t>ankylosing</w:t>
      </w:r>
      <w:proofErr w:type="spellEnd"/>
      <w:r w:rsidR="00840D53" w:rsidRPr="003C30AA">
        <w:rPr>
          <w:sz w:val="20"/>
          <w:szCs w:val="20"/>
        </w:rPr>
        <w:t xml:space="preserve"> </w:t>
      </w:r>
      <w:proofErr w:type="spellStart"/>
      <w:r w:rsidRPr="003C30AA">
        <w:rPr>
          <w:sz w:val="20"/>
          <w:szCs w:val="20"/>
        </w:rPr>
        <w:t>spondylitis</w:t>
      </w:r>
      <w:proofErr w:type="spellEnd"/>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osteoarthritis.</w:t>
      </w:r>
      <w:r w:rsidR="00840D53" w:rsidRPr="003C30AA">
        <w:rPr>
          <w:sz w:val="20"/>
          <w:szCs w:val="20"/>
        </w:rPr>
        <w:t xml:space="preserve"> </w:t>
      </w:r>
      <w:proofErr w:type="spellStart"/>
      <w:r w:rsidRPr="003C30AA">
        <w:rPr>
          <w:sz w:val="20"/>
          <w:szCs w:val="20"/>
        </w:rPr>
        <w:t>Afr</w:t>
      </w:r>
      <w:proofErr w:type="spellEnd"/>
      <w:r w:rsidR="00840D53" w:rsidRPr="003C30AA">
        <w:rPr>
          <w:sz w:val="20"/>
          <w:szCs w:val="20"/>
        </w:rPr>
        <w:t xml:space="preserve"> </w:t>
      </w:r>
      <w:r w:rsidRPr="003C30AA">
        <w:rPr>
          <w:sz w:val="20"/>
          <w:szCs w:val="20"/>
        </w:rPr>
        <w:t>Health</w:t>
      </w:r>
      <w:r w:rsidR="00840D53" w:rsidRPr="003C30AA">
        <w:rPr>
          <w:sz w:val="20"/>
          <w:szCs w:val="20"/>
        </w:rPr>
        <w:t xml:space="preserve"> </w:t>
      </w:r>
      <w:proofErr w:type="spellStart"/>
      <w:r w:rsidRPr="003C30AA">
        <w:rPr>
          <w:sz w:val="20"/>
          <w:szCs w:val="20"/>
        </w:rPr>
        <w:t>Sci</w:t>
      </w:r>
      <w:proofErr w:type="spellEnd"/>
      <w:r w:rsidR="00840D53" w:rsidRPr="003C30AA">
        <w:rPr>
          <w:sz w:val="20"/>
          <w:szCs w:val="20"/>
        </w:rPr>
        <w:t xml:space="preserve"> </w:t>
      </w:r>
      <w:r w:rsidRPr="003C30AA">
        <w:rPr>
          <w:bCs/>
          <w:sz w:val="20"/>
          <w:szCs w:val="20"/>
        </w:rPr>
        <w:t>2013</w:t>
      </w:r>
      <w:r w:rsidRPr="003C30AA">
        <w:rPr>
          <w:sz w:val="20"/>
          <w:szCs w:val="20"/>
        </w:rPr>
        <w:t>;</w:t>
      </w:r>
      <w:r w:rsidR="00840D53" w:rsidRPr="003C30AA">
        <w:rPr>
          <w:sz w:val="20"/>
          <w:szCs w:val="20"/>
        </w:rPr>
        <w:t xml:space="preserve"> </w:t>
      </w:r>
      <w:r w:rsidRPr="003C30AA">
        <w:rPr>
          <w:sz w:val="20"/>
          <w:szCs w:val="20"/>
        </w:rPr>
        <w:t>13:47–55.</w:t>
      </w:r>
    </w:p>
    <w:p w:rsidR="00736402" w:rsidRPr="003C30AA" w:rsidRDefault="00736402" w:rsidP="00840D53">
      <w:pPr>
        <w:numPr>
          <w:ilvl w:val="0"/>
          <w:numId w:val="34"/>
        </w:numPr>
        <w:autoSpaceDE w:val="0"/>
        <w:autoSpaceDN w:val="0"/>
        <w:bidi w:val="0"/>
        <w:adjustRightInd w:val="0"/>
        <w:snapToGrid w:val="0"/>
        <w:ind w:left="425" w:hanging="425"/>
        <w:jc w:val="both"/>
        <w:rPr>
          <w:sz w:val="20"/>
          <w:szCs w:val="20"/>
        </w:rPr>
      </w:pPr>
      <w:r w:rsidRPr="003C30AA">
        <w:rPr>
          <w:bCs/>
          <w:sz w:val="20"/>
          <w:szCs w:val="20"/>
        </w:rPr>
        <w:t>Zhang</w:t>
      </w:r>
      <w:r w:rsidR="00840D53" w:rsidRPr="003C30AA">
        <w:rPr>
          <w:bCs/>
          <w:sz w:val="20"/>
          <w:szCs w:val="20"/>
        </w:rPr>
        <w:t xml:space="preserve"> </w:t>
      </w:r>
      <w:r w:rsidRPr="003C30AA">
        <w:rPr>
          <w:bCs/>
          <w:sz w:val="20"/>
          <w:szCs w:val="20"/>
        </w:rPr>
        <w:t>Y,</w:t>
      </w:r>
      <w:r w:rsidR="00840D53" w:rsidRPr="003C30AA">
        <w:rPr>
          <w:bCs/>
          <w:sz w:val="20"/>
          <w:szCs w:val="20"/>
        </w:rPr>
        <w:t xml:space="preserve"> </w:t>
      </w:r>
      <w:proofErr w:type="spellStart"/>
      <w:r w:rsidRPr="003C30AA">
        <w:rPr>
          <w:bCs/>
          <w:sz w:val="20"/>
          <w:szCs w:val="20"/>
        </w:rPr>
        <w:t>Hannan</w:t>
      </w:r>
      <w:proofErr w:type="spellEnd"/>
      <w:r w:rsidR="00840D53" w:rsidRPr="003C30AA">
        <w:rPr>
          <w:bCs/>
          <w:sz w:val="20"/>
          <w:szCs w:val="20"/>
        </w:rPr>
        <w:t xml:space="preserve"> </w:t>
      </w:r>
      <w:r w:rsidRPr="003C30AA">
        <w:rPr>
          <w:bCs/>
          <w:sz w:val="20"/>
          <w:szCs w:val="20"/>
        </w:rPr>
        <w:t>MT,</w:t>
      </w:r>
      <w:r w:rsidR="00840D53" w:rsidRPr="003C30AA">
        <w:rPr>
          <w:bCs/>
          <w:sz w:val="20"/>
          <w:szCs w:val="20"/>
        </w:rPr>
        <w:t xml:space="preserve"> </w:t>
      </w:r>
      <w:proofErr w:type="spellStart"/>
      <w:r w:rsidRPr="003C30AA">
        <w:rPr>
          <w:bCs/>
          <w:sz w:val="20"/>
          <w:szCs w:val="20"/>
        </w:rPr>
        <w:t>Chaisson</w:t>
      </w:r>
      <w:proofErr w:type="spellEnd"/>
      <w:r w:rsidR="00840D53" w:rsidRPr="003C30AA">
        <w:rPr>
          <w:bCs/>
          <w:sz w:val="20"/>
          <w:szCs w:val="20"/>
        </w:rPr>
        <w:t xml:space="preserve"> </w:t>
      </w:r>
      <w:r w:rsidRPr="003C30AA">
        <w:rPr>
          <w:bCs/>
          <w:sz w:val="20"/>
          <w:szCs w:val="20"/>
        </w:rPr>
        <w:t>CE,</w:t>
      </w:r>
      <w:r w:rsidR="00840D53" w:rsidRPr="003C30AA">
        <w:rPr>
          <w:bCs/>
          <w:sz w:val="20"/>
          <w:szCs w:val="20"/>
        </w:rPr>
        <w:t xml:space="preserve"> </w:t>
      </w:r>
      <w:r w:rsidRPr="003C30AA">
        <w:rPr>
          <w:bCs/>
          <w:sz w:val="20"/>
          <w:szCs w:val="20"/>
        </w:rPr>
        <w:t>et</w:t>
      </w:r>
      <w:r w:rsidR="00840D53" w:rsidRPr="003C30AA">
        <w:rPr>
          <w:bCs/>
          <w:sz w:val="20"/>
          <w:szCs w:val="20"/>
        </w:rPr>
        <w:t xml:space="preserve"> </w:t>
      </w:r>
      <w:r w:rsidRPr="003C30AA">
        <w:rPr>
          <w:bCs/>
          <w:sz w:val="20"/>
          <w:szCs w:val="20"/>
        </w:rPr>
        <w:t>al.</w:t>
      </w:r>
      <w:r w:rsidR="00840D53" w:rsidRPr="003C30AA">
        <w:rPr>
          <w:sz w:val="20"/>
          <w:szCs w:val="20"/>
        </w:rPr>
        <w:t xml:space="preserve"> </w:t>
      </w:r>
      <w:r w:rsidRPr="003C30AA">
        <w:rPr>
          <w:sz w:val="20"/>
          <w:szCs w:val="20"/>
        </w:rPr>
        <w:t>Bone</w:t>
      </w:r>
      <w:r w:rsidR="00840D53" w:rsidRPr="003C30AA">
        <w:rPr>
          <w:sz w:val="20"/>
          <w:szCs w:val="20"/>
        </w:rPr>
        <w:t xml:space="preserve"> </w:t>
      </w:r>
      <w:r w:rsidRPr="003C30AA">
        <w:rPr>
          <w:sz w:val="20"/>
          <w:szCs w:val="20"/>
        </w:rPr>
        <w:t>mineral</w:t>
      </w:r>
      <w:r w:rsidR="00840D53" w:rsidRPr="003C30AA">
        <w:rPr>
          <w:sz w:val="20"/>
          <w:szCs w:val="20"/>
        </w:rPr>
        <w:t xml:space="preserve"> </w:t>
      </w:r>
      <w:r w:rsidRPr="003C30AA">
        <w:rPr>
          <w:sz w:val="20"/>
          <w:szCs w:val="20"/>
        </w:rPr>
        <w:t>density</w:t>
      </w:r>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risk</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incident</w:t>
      </w:r>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progressive</w:t>
      </w:r>
      <w:r w:rsidR="00840D53" w:rsidRPr="003C30AA">
        <w:rPr>
          <w:sz w:val="20"/>
          <w:szCs w:val="20"/>
        </w:rPr>
        <w:t xml:space="preserve"> </w:t>
      </w:r>
      <w:r w:rsidRPr="003C30AA">
        <w:rPr>
          <w:sz w:val="20"/>
          <w:szCs w:val="20"/>
        </w:rPr>
        <w:t>radiographic</w:t>
      </w:r>
      <w:r w:rsidR="00840D53" w:rsidRPr="003C30AA">
        <w:rPr>
          <w:sz w:val="20"/>
          <w:szCs w:val="20"/>
        </w:rPr>
        <w:t xml:space="preserve"> </w:t>
      </w:r>
      <w:r w:rsidRPr="003C30AA">
        <w:rPr>
          <w:sz w:val="20"/>
          <w:szCs w:val="20"/>
        </w:rPr>
        <w:t>knee</w:t>
      </w:r>
      <w:r w:rsidR="00840D53" w:rsidRPr="003C30AA">
        <w:rPr>
          <w:sz w:val="20"/>
          <w:szCs w:val="20"/>
        </w:rPr>
        <w:t xml:space="preserve"> </w:t>
      </w:r>
      <w:r w:rsidRPr="003C30AA">
        <w:rPr>
          <w:sz w:val="20"/>
          <w:szCs w:val="20"/>
        </w:rPr>
        <w:t>osteoarthritis</w:t>
      </w:r>
      <w:r w:rsidR="00840D53" w:rsidRPr="003C30AA">
        <w:rPr>
          <w:sz w:val="20"/>
          <w:szCs w:val="20"/>
        </w:rPr>
        <w:t xml:space="preserve"> </w:t>
      </w:r>
      <w:r w:rsidRPr="003C30AA">
        <w:rPr>
          <w:sz w:val="20"/>
          <w:szCs w:val="20"/>
        </w:rPr>
        <w:t>in</w:t>
      </w:r>
      <w:r w:rsidR="00840D53" w:rsidRPr="003C30AA">
        <w:rPr>
          <w:sz w:val="20"/>
          <w:szCs w:val="20"/>
        </w:rPr>
        <w:t xml:space="preserve"> </w:t>
      </w:r>
      <w:r w:rsidRPr="003C30AA">
        <w:rPr>
          <w:sz w:val="20"/>
          <w:szCs w:val="20"/>
        </w:rPr>
        <w:t>women:</w:t>
      </w:r>
      <w:r w:rsidR="00840D53" w:rsidRPr="003C30AA">
        <w:rPr>
          <w:sz w:val="20"/>
          <w:szCs w:val="20"/>
        </w:rPr>
        <w:t xml:space="preserve"> </w:t>
      </w:r>
      <w:r w:rsidRPr="003C30AA">
        <w:rPr>
          <w:sz w:val="20"/>
          <w:szCs w:val="20"/>
        </w:rPr>
        <w:t>the</w:t>
      </w:r>
      <w:r w:rsidR="00840D53" w:rsidRPr="003C30AA">
        <w:rPr>
          <w:sz w:val="20"/>
          <w:szCs w:val="20"/>
        </w:rPr>
        <w:t xml:space="preserve"> </w:t>
      </w:r>
      <w:r w:rsidRPr="003C30AA">
        <w:rPr>
          <w:sz w:val="20"/>
          <w:szCs w:val="20"/>
        </w:rPr>
        <w:t>Framingham</w:t>
      </w:r>
      <w:r w:rsidR="00840D53" w:rsidRPr="003C30AA">
        <w:rPr>
          <w:sz w:val="20"/>
          <w:szCs w:val="20"/>
        </w:rPr>
        <w:t xml:space="preserve"> </w:t>
      </w:r>
      <w:r w:rsidRPr="003C30AA">
        <w:rPr>
          <w:sz w:val="20"/>
          <w:szCs w:val="20"/>
        </w:rPr>
        <w:t>study.</w:t>
      </w:r>
      <w:r w:rsidR="00840D53" w:rsidRPr="003C30AA">
        <w:rPr>
          <w:sz w:val="20"/>
          <w:szCs w:val="20"/>
        </w:rPr>
        <w:t xml:space="preserve"> </w:t>
      </w:r>
      <w:r w:rsidRPr="003C30AA">
        <w:rPr>
          <w:sz w:val="20"/>
          <w:szCs w:val="20"/>
        </w:rPr>
        <w:t>J</w:t>
      </w:r>
      <w:r w:rsidR="00840D53" w:rsidRPr="003C30AA">
        <w:rPr>
          <w:sz w:val="20"/>
          <w:szCs w:val="20"/>
        </w:rPr>
        <w:t xml:space="preserve"> </w:t>
      </w:r>
      <w:proofErr w:type="spellStart"/>
      <w:r w:rsidRPr="003C30AA">
        <w:rPr>
          <w:sz w:val="20"/>
          <w:szCs w:val="20"/>
        </w:rPr>
        <w:t>Rheumatol</w:t>
      </w:r>
      <w:proofErr w:type="spellEnd"/>
      <w:r w:rsidR="00840D53" w:rsidRPr="003C30AA">
        <w:rPr>
          <w:sz w:val="20"/>
          <w:szCs w:val="20"/>
        </w:rPr>
        <w:t xml:space="preserve"> </w:t>
      </w:r>
      <w:r w:rsidRPr="003C30AA">
        <w:rPr>
          <w:bCs/>
          <w:sz w:val="20"/>
          <w:szCs w:val="20"/>
        </w:rPr>
        <w:t>2000</w:t>
      </w:r>
      <w:r w:rsidRPr="003C30AA">
        <w:rPr>
          <w:sz w:val="20"/>
          <w:szCs w:val="20"/>
        </w:rPr>
        <w:t>;</w:t>
      </w:r>
      <w:r w:rsidR="00840D53" w:rsidRPr="003C30AA">
        <w:rPr>
          <w:sz w:val="20"/>
          <w:szCs w:val="20"/>
        </w:rPr>
        <w:t xml:space="preserve"> </w:t>
      </w:r>
      <w:r w:rsidRPr="003C30AA">
        <w:rPr>
          <w:sz w:val="20"/>
          <w:szCs w:val="20"/>
        </w:rPr>
        <w:t>27:1032–7.</w:t>
      </w:r>
    </w:p>
    <w:p w:rsidR="00840D53" w:rsidRPr="003C30AA" w:rsidRDefault="00736402" w:rsidP="00840D53">
      <w:pPr>
        <w:numPr>
          <w:ilvl w:val="0"/>
          <w:numId w:val="34"/>
        </w:numPr>
        <w:autoSpaceDE w:val="0"/>
        <w:autoSpaceDN w:val="0"/>
        <w:bidi w:val="0"/>
        <w:adjustRightInd w:val="0"/>
        <w:snapToGrid w:val="0"/>
        <w:ind w:left="425" w:hanging="425"/>
        <w:jc w:val="both"/>
        <w:rPr>
          <w:sz w:val="20"/>
          <w:szCs w:val="20"/>
        </w:rPr>
      </w:pPr>
      <w:proofErr w:type="spellStart"/>
      <w:r w:rsidRPr="003C30AA">
        <w:rPr>
          <w:bCs/>
          <w:sz w:val="20"/>
          <w:szCs w:val="20"/>
        </w:rPr>
        <w:t>Zholdoshova</w:t>
      </w:r>
      <w:proofErr w:type="spellEnd"/>
      <w:r w:rsidR="00840D53" w:rsidRPr="003C30AA">
        <w:rPr>
          <w:bCs/>
          <w:sz w:val="20"/>
          <w:szCs w:val="20"/>
        </w:rPr>
        <w:t xml:space="preserve"> </w:t>
      </w:r>
      <w:r w:rsidRPr="003C30AA">
        <w:rPr>
          <w:bCs/>
          <w:sz w:val="20"/>
          <w:szCs w:val="20"/>
        </w:rPr>
        <w:t>A,</w:t>
      </w:r>
      <w:r w:rsidR="00840D53" w:rsidRPr="003C30AA">
        <w:rPr>
          <w:bCs/>
          <w:sz w:val="20"/>
          <w:szCs w:val="20"/>
        </w:rPr>
        <w:t xml:space="preserve"> </w:t>
      </w:r>
      <w:proofErr w:type="spellStart"/>
      <w:r w:rsidRPr="003C30AA">
        <w:rPr>
          <w:bCs/>
          <w:sz w:val="20"/>
          <w:szCs w:val="20"/>
        </w:rPr>
        <w:t>Yalcin</w:t>
      </w:r>
      <w:proofErr w:type="spellEnd"/>
      <w:r w:rsidR="00840D53" w:rsidRPr="003C30AA">
        <w:rPr>
          <w:bCs/>
          <w:sz w:val="20"/>
          <w:szCs w:val="20"/>
        </w:rPr>
        <w:t xml:space="preserve"> </w:t>
      </w:r>
      <w:r w:rsidRPr="003C30AA">
        <w:rPr>
          <w:bCs/>
          <w:sz w:val="20"/>
          <w:szCs w:val="20"/>
        </w:rPr>
        <w:t>P.</w:t>
      </w:r>
      <w:r w:rsidR="00840D53" w:rsidRPr="003C30AA">
        <w:rPr>
          <w:sz w:val="20"/>
          <w:szCs w:val="20"/>
        </w:rPr>
        <w:t xml:space="preserve"> </w:t>
      </w:r>
      <w:r w:rsidRPr="003C30AA">
        <w:rPr>
          <w:sz w:val="20"/>
          <w:szCs w:val="20"/>
        </w:rPr>
        <w:t>The</w:t>
      </w:r>
      <w:r w:rsidR="00840D53" w:rsidRPr="003C30AA">
        <w:rPr>
          <w:sz w:val="20"/>
          <w:szCs w:val="20"/>
        </w:rPr>
        <w:t xml:space="preserve"> </w:t>
      </w:r>
      <w:r w:rsidRPr="003C30AA">
        <w:rPr>
          <w:sz w:val="20"/>
          <w:szCs w:val="20"/>
        </w:rPr>
        <w:t>Relationship</w:t>
      </w:r>
      <w:r w:rsidR="00840D53" w:rsidRPr="003C30AA">
        <w:rPr>
          <w:sz w:val="20"/>
          <w:szCs w:val="20"/>
        </w:rPr>
        <w:t xml:space="preserve"> </w:t>
      </w:r>
      <w:r w:rsidRPr="003C30AA">
        <w:rPr>
          <w:sz w:val="20"/>
          <w:szCs w:val="20"/>
        </w:rPr>
        <w:t>between</w:t>
      </w:r>
      <w:r w:rsidR="00840D53" w:rsidRPr="003C30AA">
        <w:rPr>
          <w:sz w:val="20"/>
          <w:szCs w:val="20"/>
        </w:rPr>
        <w:t xml:space="preserve"> </w:t>
      </w:r>
      <w:r w:rsidRPr="003C30AA">
        <w:rPr>
          <w:sz w:val="20"/>
          <w:szCs w:val="20"/>
        </w:rPr>
        <w:t>Osteoarthritis</w:t>
      </w:r>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Osteoporosis</w:t>
      </w:r>
      <w:r w:rsidR="00840D53" w:rsidRPr="003C30AA">
        <w:rPr>
          <w:sz w:val="20"/>
          <w:szCs w:val="20"/>
        </w:rPr>
        <w:t xml:space="preserve"> </w:t>
      </w:r>
      <w:r w:rsidRPr="003C30AA">
        <w:rPr>
          <w:sz w:val="20"/>
          <w:szCs w:val="20"/>
        </w:rPr>
        <w:t>in</w:t>
      </w:r>
      <w:r w:rsidR="00840D53" w:rsidRPr="003C30AA">
        <w:rPr>
          <w:sz w:val="20"/>
          <w:szCs w:val="20"/>
        </w:rPr>
        <w:t xml:space="preserve"> </w:t>
      </w:r>
      <w:r w:rsidRPr="003C30AA">
        <w:rPr>
          <w:sz w:val="20"/>
          <w:szCs w:val="20"/>
        </w:rPr>
        <w:t>Patients</w:t>
      </w:r>
      <w:r w:rsidR="00840D53" w:rsidRPr="003C30AA">
        <w:rPr>
          <w:sz w:val="20"/>
          <w:szCs w:val="20"/>
        </w:rPr>
        <w:t xml:space="preserve"> </w:t>
      </w:r>
      <w:r w:rsidRPr="003C30AA">
        <w:rPr>
          <w:sz w:val="20"/>
          <w:szCs w:val="20"/>
        </w:rPr>
        <w:t>with</w:t>
      </w:r>
      <w:r w:rsidR="00840D53" w:rsidRPr="003C30AA">
        <w:rPr>
          <w:sz w:val="20"/>
          <w:szCs w:val="20"/>
        </w:rPr>
        <w:t xml:space="preserve"> </w:t>
      </w:r>
      <w:r w:rsidRPr="003C30AA">
        <w:rPr>
          <w:sz w:val="20"/>
          <w:szCs w:val="20"/>
        </w:rPr>
        <w:t>Primary</w:t>
      </w:r>
      <w:r w:rsidR="00840D53" w:rsidRPr="003C30AA">
        <w:rPr>
          <w:sz w:val="20"/>
          <w:szCs w:val="20"/>
        </w:rPr>
        <w:t xml:space="preserve"> </w:t>
      </w:r>
      <w:r w:rsidRPr="003C30AA">
        <w:rPr>
          <w:sz w:val="20"/>
          <w:szCs w:val="20"/>
        </w:rPr>
        <w:t>Generalized</w:t>
      </w:r>
      <w:r w:rsidR="00840D53" w:rsidRPr="003C30AA">
        <w:rPr>
          <w:sz w:val="20"/>
          <w:szCs w:val="20"/>
        </w:rPr>
        <w:t xml:space="preserve"> </w:t>
      </w:r>
      <w:proofErr w:type="spellStart"/>
      <w:r w:rsidRPr="003C30AA">
        <w:rPr>
          <w:sz w:val="20"/>
          <w:szCs w:val="20"/>
        </w:rPr>
        <w:t>Osteo</w:t>
      </w:r>
      <w:proofErr w:type="spellEnd"/>
      <w:r w:rsidRPr="003C30AA">
        <w:rPr>
          <w:sz w:val="20"/>
          <w:szCs w:val="20"/>
        </w:rPr>
        <w:t>-arthritis.</w:t>
      </w:r>
      <w:r w:rsidR="00840D53" w:rsidRPr="003C30AA">
        <w:rPr>
          <w:sz w:val="20"/>
          <w:szCs w:val="20"/>
        </w:rPr>
        <w:t xml:space="preserve"> </w:t>
      </w:r>
      <w:r w:rsidRPr="003C30AA">
        <w:rPr>
          <w:sz w:val="20"/>
          <w:szCs w:val="20"/>
        </w:rPr>
        <w:t>Turk</w:t>
      </w:r>
      <w:r w:rsidR="00840D53" w:rsidRPr="003C30AA">
        <w:rPr>
          <w:sz w:val="20"/>
          <w:szCs w:val="20"/>
        </w:rPr>
        <w:t xml:space="preserve"> </w:t>
      </w:r>
      <w:r w:rsidRPr="003C30AA">
        <w:rPr>
          <w:sz w:val="20"/>
          <w:szCs w:val="20"/>
        </w:rPr>
        <w:t>J</w:t>
      </w:r>
      <w:r w:rsidR="00840D53" w:rsidRPr="003C30AA">
        <w:rPr>
          <w:sz w:val="20"/>
          <w:szCs w:val="20"/>
        </w:rPr>
        <w:t xml:space="preserve"> </w:t>
      </w:r>
      <w:proofErr w:type="spellStart"/>
      <w:r w:rsidRPr="003C30AA">
        <w:rPr>
          <w:sz w:val="20"/>
          <w:szCs w:val="20"/>
        </w:rPr>
        <w:t>Rheumatol</w:t>
      </w:r>
      <w:proofErr w:type="spellEnd"/>
      <w:r w:rsidR="00840D53" w:rsidRPr="003C30AA">
        <w:rPr>
          <w:sz w:val="20"/>
          <w:szCs w:val="20"/>
        </w:rPr>
        <w:t xml:space="preserve"> </w:t>
      </w:r>
      <w:r w:rsidRPr="003C30AA">
        <w:rPr>
          <w:bCs/>
          <w:sz w:val="20"/>
          <w:szCs w:val="20"/>
        </w:rPr>
        <w:t>2013</w:t>
      </w:r>
      <w:r w:rsidRPr="003C30AA">
        <w:rPr>
          <w:sz w:val="20"/>
          <w:szCs w:val="20"/>
        </w:rPr>
        <w:t>;28(3):163-17</w:t>
      </w:r>
      <w:r w:rsidR="00840D53" w:rsidRPr="003C30AA">
        <w:rPr>
          <w:sz w:val="20"/>
          <w:szCs w:val="20"/>
        </w:rPr>
        <w:t>2.</w:t>
      </w:r>
    </w:p>
    <w:p w:rsidR="00736402" w:rsidRPr="003C30AA" w:rsidRDefault="00736402" w:rsidP="00840D53">
      <w:pPr>
        <w:numPr>
          <w:ilvl w:val="0"/>
          <w:numId w:val="34"/>
        </w:numPr>
        <w:autoSpaceDE w:val="0"/>
        <w:autoSpaceDN w:val="0"/>
        <w:bidi w:val="0"/>
        <w:adjustRightInd w:val="0"/>
        <w:snapToGrid w:val="0"/>
        <w:ind w:left="425" w:hanging="425"/>
        <w:jc w:val="both"/>
        <w:rPr>
          <w:sz w:val="20"/>
          <w:szCs w:val="20"/>
        </w:rPr>
      </w:pPr>
      <w:r w:rsidRPr="003C30AA">
        <w:rPr>
          <w:bCs/>
          <w:sz w:val="20"/>
          <w:szCs w:val="20"/>
        </w:rPr>
        <w:t>O'Connor</w:t>
      </w:r>
      <w:r w:rsidR="00840D53" w:rsidRPr="003C30AA">
        <w:rPr>
          <w:bCs/>
          <w:sz w:val="20"/>
          <w:szCs w:val="20"/>
        </w:rPr>
        <w:t xml:space="preserve"> </w:t>
      </w:r>
      <w:r w:rsidRPr="003C30AA">
        <w:rPr>
          <w:bCs/>
          <w:sz w:val="20"/>
          <w:szCs w:val="20"/>
        </w:rPr>
        <w:t>MI.</w:t>
      </w:r>
      <w:r w:rsidR="00840D53" w:rsidRPr="003C30AA">
        <w:rPr>
          <w:sz w:val="20"/>
          <w:szCs w:val="20"/>
        </w:rPr>
        <w:t xml:space="preserve"> </w:t>
      </w:r>
      <w:hyperlink r:id="rId13" w:history="1">
        <w:r w:rsidRPr="003C30AA">
          <w:rPr>
            <w:sz w:val="20"/>
            <w:szCs w:val="20"/>
          </w:rPr>
          <w:t>Osteoarthritis</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the</w:t>
        </w:r>
        <w:r w:rsidR="00840D53" w:rsidRPr="003C30AA">
          <w:rPr>
            <w:sz w:val="20"/>
            <w:szCs w:val="20"/>
          </w:rPr>
          <w:t xml:space="preserve"> </w:t>
        </w:r>
        <w:r w:rsidRPr="003C30AA">
          <w:rPr>
            <w:sz w:val="20"/>
            <w:szCs w:val="20"/>
          </w:rPr>
          <w:t>hip</w:t>
        </w:r>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knee:</w:t>
        </w:r>
        <w:r w:rsidR="00840D53" w:rsidRPr="003C30AA">
          <w:rPr>
            <w:sz w:val="20"/>
            <w:szCs w:val="20"/>
          </w:rPr>
          <w:t xml:space="preserve"> </w:t>
        </w:r>
        <w:r w:rsidRPr="003C30AA">
          <w:rPr>
            <w:sz w:val="20"/>
            <w:szCs w:val="20"/>
          </w:rPr>
          <w:t>sex</w:t>
        </w:r>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gender</w:t>
        </w:r>
        <w:r w:rsidR="00840D53" w:rsidRPr="003C30AA">
          <w:rPr>
            <w:sz w:val="20"/>
            <w:szCs w:val="20"/>
          </w:rPr>
          <w:t xml:space="preserve"> </w:t>
        </w:r>
        <w:r w:rsidRPr="003C30AA">
          <w:rPr>
            <w:sz w:val="20"/>
            <w:szCs w:val="20"/>
          </w:rPr>
          <w:t>differences.</w:t>
        </w:r>
      </w:hyperlink>
      <w:r w:rsidR="00840D53" w:rsidRPr="003C30AA">
        <w:rPr>
          <w:sz w:val="20"/>
          <w:szCs w:val="20"/>
        </w:rPr>
        <w:t xml:space="preserve"> </w:t>
      </w:r>
      <w:proofErr w:type="spellStart"/>
      <w:r w:rsidRPr="003C30AA">
        <w:rPr>
          <w:sz w:val="20"/>
          <w:szCs w:val="20"/>
        </w:rPr>
        <w:t>Orthop</w:t>
      </w:r>
      <w:proofErr w:type="spellEnd"/>
      <w:r w:rsidR="00840D53" w:rsidRPr="003C30AA">
        <w:rPr>
          <w:sz w:val="20"/>
          <w:szCs w:val="20"/>
        </w:rPr>
        <w:t xml:space="preserve"> </w:t>
      </w:r>
      <w:proofErr w:type="spellStart"/>
      <w:r w:rsidRPr="003C30AA">
        <w:rPr>
          <w:sz w:val="20"/>
          <w:szCs w:val="20"/>
        </w:rPr>
        <w:t>Clin</w:t>
      </w:r>
      <w:proofErr w:type="spellEnd"/>
      <w:r w:rsidR="00840D53" w:rsidRPr="003C30AA">
        <w:rPr>
          <w:sz w:val="20"/>
          <w:szCs w:val="20"/>
        </w:rPr>
        <w:t xml:space="preserve"> </w:t>
      </w:r>
      <w:r w:rsidRPr="003C30AA">
        <w:rPr>
          <w:sz w:val="20"/>
          <w:szCs w:val="20"/>
        </w:rPr>
        <w:t>North</w:t>
      </w:r>
      <w:r w:rsidR="00840D53" w:rsidRPr="003C30AA">
        <w:rPr>
          <w:sz w:val="20"/>
          <w:szCs w:val="20"/>
        </w:rPr>
        <w:t xml:space="preserve"> </w:t>
      </w:r>
      <w:r w:rsidRPr="003C30AA">
        <w:rPr>
          <w:sz w:val="20"/>
          <w:szCs w:val="20"/>
        </w:rPr>
        <w:t>Am.</w:t>
      </w:r>
      <w:r w:rsidR="00840D53" w:rsidRPr="003C30AA">
        <w:rPr>
          <w:sz w:val="20"/>
          <w:szCs w:val="20"/>
        </w:rPr>
        <w:t xml:space="preserve"> </w:t>
      </w:r>
      <w:r w:rsidRPr="003C30AA">
        <w:rPr>
          <w:bCs/>
          <w:sz w:val="20"/>
          <w:szCs w:val="20"/>
        </w:rPr>
        <w:t>2006</w:t>
      </w:r>
      <w:r w:rsidRPr="003C30AA">
        <w:rPr>
          <w:sz w:val="20"/>
          <w:szCs w:val="20"/>
        </w:rPr>
        <w:t>;</w:t>
      </w:r>
      <w:r w:rsidR="00840D53" w:rsidRPr="003C30AA">
        <w:rPr>
          <w:sz w:val="20"/>
          <w:szCs w:val="20"/>
        </w:rPr>
        <w:t xml:space="preserve"> </w:t>
      </w:r>
      <w:r w:rsidRPr="003C30AA">
        <w:rPr>
          <w:sz w:val="20"/>
          <w:szCs w:val="20"/>
        </w:rPr>
        <w:t>37(4):559-68.</w:t>
      </w:r>
    </w:p>
    <w:p w:rsidR="00736402" w:rsidRPr="003C30AA" w:rsidRDefault="00736402" w:rsidP="00840D53">
      <w:pPr>
        <w:numPr>
          <w:ilvl w:val="0"/>
          <w:numId w:val="34"/>
        </w:numPr>
        <w:autoSpaceDE w:val="0"/>
        <w:autoSpaceDN w:val="0"/>
        <w:bidi w:val="0"/>
        <w:adjustRightInd w:val="0"/>
        <w:snapToGrid w:val="0"/>
        <w:ind w:left="425" w:hanging="425"/>
        <w:jc w:val="both"/>
        <w:rPr>
          <w:sz w:val="20"/>
          <w:szCs w:val="20"/>
        </w:rPr>
      </w:pPr>
      <w:r w:rsidRPr="003C30AA">
        <w:rPr>
          <w:bCs/>
          <w:sz w:val="20"/>
          <w:szCs w:val="20"/>
        </w:rPr>
        <w:t>Cooper</w:t>
      </w:r>
      <w:r w:rsidR="00840D53" w:rsidRPr="003C30AA">
        <w:rPr>
          <w:bCs/>
          <w:sz w:val="20"/>
          <w:szCs w:val="20"/>
        </w:rPr>
        <w:t xml:space="preserve"> </w:t>
      </w:r>
      <w:r w:rsidRPr="003C30AA">
        <w:rPr>
          <w:bCs/>
          <w:sz w:val="20"/>
          <w:szCs w:val="20"/>
        </w:rPr>
        <w:t>C,</w:t>
      </w:r>
      <w:r w:rsidR="00840D53" w:rsidRPr="003C30AA">
        <w:rPr>
          <w:bCs/>
          <w:sz w:val="20"/>
          <w:szCs w:val="20"/>
        </w:rPr>
        <w:t xml:space="preserve"> </w:t>
      </w:r>
      <w:r w:rsidRPr="003C30AA">
        <w:rPr>
          <w:bCs/>
          <w:sz w:val="20"/>
          <w:szCs w:val="20"/>
        </w:rPr>
        <w:t>Snow</w:t>
      </w:r>
      <w:r w:rsidR="00840D53" w:rsidRPr="003C30AA">
        <w:rPr>
          <w:bCs/>
          <w:sz w:val="20"/>
          <w:szCs w:val="20"/>
        </w:rPr>
        <w:t xml:space="preserve"> </w:t>
      </w:r>
      <w:r w:rsidRPr="003C30AA">
        <w:rPr>
          <w:bCs/>
          <w:sz w:val="20"/>
          <w:szCs w:val="20"/>
        </w:rPr>
        <w:t>S,</w:t>
      </w:r>
      <w:r w:rsidR="00840D53" w:rsidRPr="003C30AA">
        <w:rPr>
          <w:bCs/>
          <w:sz w:val="20"/>
          <w:szCs w:val="20"/>
        </w:rPr>
        <w:t xml:space="preserve"> </w:t>
      </w:r>
      <w:proofErr w:type="spellStart"/>
      <w:r w:rsidRPr="003C30AA">
        <w:rPr>
          <w:bCs/>
          <w:sz w:val="20"/>
          <w:szCs w:val="20"/>
        </w:rPr>
        <w:t>McAlindon</w:t>
      </w:r>
      <w:proofErr w:type="spellEnd"/>
      <w:r w:rsidR="00840D53" w:rsidRPr="003C30AA">
        <w:rPr>
          <w:bCs/>
          <w:sz w:val="20"/>
          <w:szCs w:val="20"/>
        </w:rPr>
        <w:t xml:space="preserve"> </w:t>
      </w:r>
      <w:r w:rsidRPr="003C30AA">
        <w:rPr>
          <w:bCs/>
          <w:sz w:val="20"/>
          <w:szCs w:val="20"/>
        </w:rPr>
        <w:t>TE,</w:t>
      </w:r>
      <w:r w:rsidR="00840D53" w:rsidRPr="003C30AA">
        <w:rPr>
          <w:bCs/>
          <w:sz w:val="20"/>
          <w:szCs w:val="20"/>
        </w:rPr>
        <w:t xml:space="preserve"> </w:t>
      </w:r>
      <w:proofErr w:type="spellStart"/>
      <w:r w:rsidRPr="003C30AA">
        <w:rPr>
          <w:bCs/>
          <w:sz w:val="20"/>
          <w:szCs w:val="20"/>
        </w:rPr>
        <w:t>Kellingray</w:t>
      </w:r>
      <w:proofErr w:type="spellEnd"/>
      <w:r w:rsidR="00840D53" w:rsidRPr="003C30AA">
        <w:rPr>
          <w:bCs/>
          <w:sz w:val="20"/>
          <w:szCs w:val="20"/>
        </w:rPr>
        <w:t xml:space="preserve"> </w:t>
      </w:r>
      <w:r w:rsidRPr="003C30AA">
        <w:rPr>
          <w:bCs/>
          <w:sz w:val="20"/>
          <w:szCs w:val="20"/>
        </w:rPr>
        <w:t>S,</w:t>
      </w:r>
      <w:r w:rsidR="00840D53" w:rsidRPr="003C30AA">
        <w:rPr>
          <w:bCs/>
          <w:sz w:val="20"/>
          <w:szCs w:val="20"/>
        </w:rPr>
        <w:t xml:space="preserve"> </w:t>
      </w:r>
      <w:r w:rsidRPr="003C30AA">
        <w:rPr>
          <w:bCs/>
          <w:sz w:val="20"/>
          <w:szCs w:val="20"/>
        </w:rPr>
        <w:t>Stuart</w:t>
      </w:r>
      <w:r w:rsidR="00840D53" w:rsidRPr="003C30AA">
        <w:rPr>
          <w:bCs/>
          <w:sz w:val="20"/>
          <w:szCs w:val="20"/>
        </w:rPr>
        <w:t xml:space="preserve"> </w:t>
      </w:r>
      <w:r w:rsidRPr="003C30AA">
        <w:rPr>
          <w:bCs/>
          <w:sz w:val="20"/>
          <w:szCs w:val="20"/>
        </w:rPr>
        <w:t>B,</w:t>
      </w:r>
      <w:r w:rsidR="00840D53" w:rsidRPr="003C30AA">
        <w:rPr>
          <w:bCs/>
          <w:sz w:val="20"/>
          <w:szCs w:val="20"/>
        </w:rPr>
        <w:t xml:space="preserve"> </w:t>
      </w:r>
      <w:r w:rsidRPr="003C30AA">
        <w:rPr>
          <w:bCs/>
          <w:sz w:val="20"/>
          <w:szCs w:val="20"/>
        </w:rPr>
        <w:t>Coggon</w:t>
      </w:r>
      <w:r w:rsidR="00840D53" w:rsidRPr="003C30AA">
        <w:rPr>
          <w:bCs/>
          <w:sz w:val="20"/>
          <w:szCs w:val="20"/>
        </w:rPr>
        <w:t xml:space="preserve"> </w:t>
      </w:r>
      <w:r w:rsidRPr="003C30AA">
        <w:rPr>
          <w:bCs/>
          <w:sz w:val="20"/>
          <w:szCs w:val="20"/>
        </w:rPr>
        <w:t>D,</w:t>
      </w:r>
      <w:r w:rsidR="00840D53" w:rsidRPr="003C30AA">
        <w:rPr>
          <w:bCs/>
          <w:sz w:val="20"/>
          <w:szCs w:val="20"/>
        </w:rPr>
        <w:t xml:space="preserve"> </w:t>
      </w:r>
      <w:r w:rsidRPr="003C30AA">
        <w:rPr>
          <w:bCs/>
          <w:sz w:val="20"/>
          <w:szCs w:val="20"/>
        </w:rPr>
        <w:t>Dieppe</w:t>
      </w:r>
      <w:r w:rsidR="00840D53" w:rsidRPr="003C30AA">
        <w:rPr>
          <w:bCs/>
          <w:sz w:val="20"/>
          <w:szCs w:val="20"/>
        </w:rPr>
        <w:t xml:space="preserve"> </w:t>
      </w:r>
      <w:r w:rsidRPr="003C30AA">
        <w:rPr>
          <w:bCs/>
          <w:sz w:val="20"/>
          <w:szCs w:val="20"/>
        </w:rPr>
        <w:t>PA</w:t>
      </w:r>
      <w:r w:rsidRPr="003C30AA">
        <w:rPr>
          <w:sz w:val="20"/>
          <w:szCs w:val="20"/>
        </w:rPr>
        <w:t>.</w:t>
      </w:r>
      <w:r w:rsidR="00840D53" w:rsidRPr="003C30AA">
        <w:rPr>
          <w:sz w:val="20"/>
          <w:szCs w:val="20"/>
        </w:rPr>
        <w:t xml:space="preserve"> </w:t>
      </w:r>
      <w:hyperlink r:id="rId14" w:history="1">
        <w:r w:rsidRPr="003C30AA">
          <w:rPr>
            <w:sz w:val="20"/>
            <w:szCs w:val="20"/>
          </w:rPr>
          <w:t>Risk</w:t>
        </w:r>
        <w:r w:rsidR="00840D53" w:rsidRPr="003C30AA">
          <w:rPr>
            <w:sz w:val="20"/>
            <w:szCs w:val="20"/>
          </w:rPr>
          <w:t xml:space="preserve"> </w:t>
        </w:r>
        <w:r w:rsidRPr="003C30AA">
          <w:rPr>
            <w:sz w:val="20"/>
            <w:szCs w:val="20"/>
          </w:rPr>
          <w:t>factors</w:t>
        </w:r>
        <w:r w:rsidR="00840D53" w:rsidRPr="003C30AA">
          <w:rPr>
            <w:sz w:val="20"/>
            <w:szCs w:val="20"/>
          </w:rPr>
          <w:t xml:space="preserve"> </w:t>
        </w:r>
        <w:r w:rsidRPr="003C30AA">
          <w:rPr>
            <w:sz w:val="20"/>
            <w:szCs w:val="20"/>
          </w:rPr>
          <w:t>for</w:t>
        </w:r>
        <w:r w:rsidR="00840D53" w:rsidRPr="003C30AA">
          <w:rPr>
            <w:sz w:val="20"/>
            <w:szCs w:val="20"/>
          </w:rPr>
          <w:t xml:space="preserve"> </w:t>
        </w:r>
        <w:r w:rsidRPr="003C30AA">
          <w:rPr>
            <w:sz w:val="20"/>
            <w:szCs w:val="20"/>
          </w:rPr>
          <w:t>the</w:t>
        </w:r>
        <w:r w:rsidR="00840D53" w:rsidRPr="003C30AA">
          <w:rPr>
            <w:sz w:val="20"/>
            <w:szCs w:val="20"/>
          </w:rPr>
          <w:t xml:space="preserve"> </w:t>
        </w:r>
        <w:r w:rsidRPr="003C30AA">
          <w:rPr>
            <w:sz w:val="20"/>
            <w:szCs w:val="20"/>
          </w:rPr>
          <w:t>incidence</w:t>
        </w:r>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progression</w:t>
        </w:r>
        <w:r w:rsidR="00840D53" w:rsidRPr="003C30AA">
          <w:rPr>
            <w:sz w:val="20"/>
            <w:szCs w:val="20"/>
          </w:rPr>
          <w:t xml:space="preserve"> </w:t>
        </w:r>
        <w:r w:rsidRPr="003C30AA">
          <w:rPr>
            <w:sz w:val="20"/>
            <w:szCs w:val="20"/>
          </w:rPr>
          <w:t>of</w:t>
        </w:r>
        <w:r w:rsidR="00840D53" w:rsidRPr="003C30AA">
          <w:rPr>
            <w:sz w:val="20"/>
            <w:szCs w:val="20"/>
          </w:rPr>
          <w:t xml:space="preserve"> </w:t>
        </w:r>
        <w:r w:rsidRPr="003C30AA">
          <w:rPr>
            <w:sz w:val="20"/>
            <w:szCs w:val="20"/>
          </w:rPr>
          <w:t>radiographic</w:t>
        </w:r>
        <w:r w:rsidR="00840D53" w:rsidRPr="003C30AA">
          <w:rPr>
            <w:sz w:val="20"/>
            <w:szCs w:val="20"/>
          </w:rPr>
          <w:t xml:space="preserve"> </w:t>
        </w:r>
        <w:r w:rsidRPr="003C30AA">
          <w:rPr>
            <w:sz w:val="20"/>
            <w:szCs w:val="20"/>
          </w:rPr>
          <w:t>knee</w:t>
        </w:r>
        <w:r w:rsidR="00840D53" w:rsidRPr="003C30AA">
          <w:rPr>
            <w:sz w:val="20"/>
            <w:szCs w:val="20"/>
          </w:rPr>
          <w:t xml:space="preserve"> </w:t>
        </w:r>
        <w:r w:rsidRPr="003C30AA">
          <w:rPr>
            <w:sz w:val="20"/>
            <w:szCs w:val="20"/>
          </w:rPr>
          <w:t>osteoarthritis.</w:t>
        </w:r>
      </w:hyperlink>
      <w:r w:rsidR="00840D53" w:rsidRPr="003C30AA">
        <w:rPr>
          <w:sz w:val="20"/>
          <w:szCs w:val="20"/>
        </w:rPr>
        <w:t xml:space="preserve"> </w:t>
      </w:r>
      <w:r w:rsidRPr="003C30AA">
        <w:rPr>
          <w:sz w:val="20"/>
          <w:szCs w:val="20"/>
        </w:rPr>
        <w:t>Arthritis</w:t>
      </w:r>
      <w:r w:rsidR="00840D53" w:rsidRPr="003C30AA">
        <w:rPr>
          <w:sz w:val="20"/>
          <w:szCs w:val="20"/>
        </w:rPr>
        <w:t xml:space="preserve"> </w:t>
      </w:r>
      <w:r w:rsidRPr="003C30AA">
        <w:rPr>
          <w:sz w:val="20"/>
          <w:szCs w:val="20"/>
        </w:rPr>
        <w:t>Rheum</w:t>
      </w:r>
      <w:r w:rsidR="00840D53" w:rsidRPr="003C30AA">
        <w:rPr>
          <w:sz w:val="20"/>
          <w:szCs w:val="20"/>
        </w:rPr>
        <w:t xml:space="preserve"> </w:t>
      </w:r>
      <w:r w:rsidRPr="003C30AA">
        <w:rPr>
          <w:bCs/>
          <w:sz w:val="20"/>
          <w:szCs w:val="20"/>
        </w:rPr>
        <w:t>2000</w:t>
      </w:r>
      <w:r w:rsidRPr="003C30AA">
        <w:rPr>
          <w:sz w:val="20"/>
          <w:szCs w:val="20"/>
        </w:rPr>
        <w:t>;</w:t>
      </w:r>
      <w:r w:rsidR="00840D53" w:rsidRPr="003C30AA">
        <w:rPr>
          <w:sz w:val="20"/>
          <w:szCs w:val="20"/>
        </w:rPr>
        <w:t xml:space="preserve"> </w:t>
      </w:r>
      <w:r w:rsidRPr="003C30AA">
        <w:rPr>
          <w:sz w:val="20"/>
          <w:szCs w:val="20"/>
        </w:rPr>
        <w:t>43(5):995-1000.</w:t>
      </w:r>
    </w:p>
    <w:p w:rsidR="00736402" w:rsidRPr="003C30AA" w:rsidRDefault="00736402" w:rsidP="00840D53">
      <w:pPr>
        <w:numPr>
          <w:ilvl w:val="0"/>
          <w:numId w:val="34"/>
        </w:numPr>
        <w:autoSpaceDE w:val="0"/>
        <w:autoSpaceDN w:val="0"/>
        <w:bidi w:val="0"/>
        <w:adjustRightInd w:val="0"/>
        <w:snapToGrid w:val="0"/>
        <w:ind w:left="425" w:hanging="425"/>
        <w:jc w:val="both"/>
        <w:rPr>
          <w:sz w:val="20"/>
          <w:szCs w:val="20"/>
        </w:rPr>
      </w:pPr>
      <w:proofErr w:type="spellStart"/>
      <w:r w:rsidRPr="003C30AA">
        <w:rPr>
          <w:bCs/>
          <w:sz w:val="20"/>
          <w:szCs w:val="20"/>
        </w:rPr>
        <w:t>Schett</w:t>
      </w:r>
      <w:proofErr w:type="spellEnd"/>
      <w:r w:rsidR="00840D53" w:rsidRPr="003C30AA">
        <w:rPr>
          <w:bCs/>
          <w:sz w:val="20"/>
          <w:szCs w:val="20"/>
        </w:rPr>
        <w:t xml:space="preserve"> </w:t>
      </w:r>
      <w:r w:rsidRPr="003C30AA">
        <w:rPr>
          <w:bCs/>
          <w:sz w:val="20"/>
          <w:szCs w:val="20"/>
        </w:rPr>
        <w:t>G,</w:t>
      </w:r>
      <w:r w:rsidR="00840D53" w:rsidRPr="003C30AA">
        <w:rPr>
          <w:bCs/>
          <w:sz w:val="20"/>
          <w:szCs w:val="20"/>
        </w:rPr>
        <w:t xml:space="preserve"> </w:t>
      </w:r>
      <w:proofErr w:type="spellStart"/>
      <w:r w:rsidRPr="003C30AA">
        <w:rPr>
          <w:bCs/>
          <w:sz w:val="20"/>
          <w:szCs w:val="20"/>
        </w:rPr>
        <w:t>Kiechl</w:t>
      </w:r>
      <w:proofErr w:type="spellEnd"/>
      <w:r w:rsidR="00840D53" w:rsidRPr="003C30AA">
        <w:rPr>
          <w:bCs/>
          <w:sz w:val="20"/>
          <w:szCs w:val="20"/>
        </w:rPr>
        <w:t xml:space="preserve"> </w:t>
      </w:r>
      <w:r w:rsidRPr="003C30AA">
        <w:rPr>
          <w:bCs/>
          <w:sz w:val="20"/>
          <w:szCs w:val="20"/>
        </w:rPr>
        <w:t>S,</w:t>
      </w:r>
      <w:r w:rsidR="00840D53" w:rsidRPr="003C30AA">
        <w:rPr>
          <w:bCs/>
          <w:sz w:val="20"/>
          <w:szCs w:val="20"/>
        </w:rPr>
        <w:t xml:space="preserve"> </w:t>
      </w:r>
      <w:proofErr w:type="spellStart"/>
      <w:r w:rsidRPr="003C30AA">
        <w:rPr>
          <w:bCs/>
          <w:sz w:val="20"/>
          <w:szCs w:val="20"/>
        </w:rPr>
        <w:t>Weger</w:t>
      </w:r>
      <w:proofErr w:type="spellEnd"/>
      <w:r w:rsidR="00840D53" w:rsidRPr="003C30AA">
        <w:rPr>
          <w:bCs/>
          <w:sz w:val="20"/>
          <w:szCs w:val="20"/>
        </w:rPr>
        <w:t xml:space="preserve"> </w:t>
      </w:r>
      <w:r w:rsidRPr="003C30AA">
        <w:rPr>
          <w:bCs/>
          <w:sz w:val="20"/>
          <w:szCs w:val="20"/>
        </w:rPr>
        <w:t>S,</w:t>
      </w:r>
      <w:r w:rsidR="00840D53" w:rsidRPr="003C30AA">
        <w:rPr>
          <w:bCs/>
          <w:sz w:val="20"/>
          <w:szCs w:val="20"/>
        </w:rPr>
        <w:t xml:space="preserve"> </w:t>
      </w:r>
      <w:proofErr w:type="spellStart"/>
      <w:r w:rsidRPr="003C30AA">
        <w:rPr>
          <w:bCs/>
          <w:sz w:val="20"/>
          <w:szCs w:val="20"/>
        </w:rPr>
        <w:t>Pederiva</w:t>
      </w:r>
      <w:proofErr w:type="spellEnd"/>
      <w:r w:rsidR="00840D53" w:rsidRPr="003C30AA">
        <w:rPr>
          <w:bCs/>
          <w:sz w:val="20"/>
          <w:szCs w:val="20"/>
        </w:rPr>
        <w:t xml:space="preserve"> </w:t>
      </w:r>
      <w:r w:rsidRPr="003C30AA">
        <w:rPr>
          <w:bCs/>
          <w:sz w:val="20"/>
          <w:szCs w:val="20"/>
        </w:rPr>
        <w:t>A,</w:t>
      </w:r>
      <w:r w:rsidR="00840D53" w:rsidRPr="003C30AA">
        <w:rPr>
          <w:bCs/>
          <w:sz w:val="20"/>
          <w:szCs w:val="20"/>
        </w:rPr>
        <w:t xml:space="preserve"> </w:t>
      </w:r>
      <w:proofErr w:type="spellStart"/>
      <w:r w:rsidRPr="003C30AA">
        <w:rPr>
          <w:bCs/>
          <w:sz w:val="20"/>
          <w:szCs w:val="20"/>
        </w:rPr>
        <w:t>Mayr</w:t>
      </w:r>
      <w:proofErr w:type="spellEnd"/>
      <w:r w:rsidR="00840D53" w:rsidRPr="003C30AA">
        <w:rPr>
          <w:bCs/>
          <w:sz w:val="20"/>
          <w:szCs w:val="20"/>
        </w:rPr>
        <w:t xml:space="preserve"> </w:t>
      </w:r>
      <w:r w:rsidRPr="003C30AA">
        <w:rPr>
          <w:bCs/>
          <w:sz w:val="20"/>
          <w:szCs w:val="20"/>
        </w:rPr>
        <w:t>A,</w:t>
      </w:r>
      <w:r w:rsidR="00840D53" w:rsidRPr="003C30AA">
        <w:rPr>
          <w:bCs/>
          <w:sz w:val="20"/>
          <w:szCs w:val="20"/>
        </w:rPr>
        <w:t xml:space="preserve"> </w:t>
      </w:r>
      <w:proofErr w:type="spellStart"/>
      <w:r w:rsidRPr="003C30AA">
        <w:rPr>
          <w:bCs/>
          <w:sz w:val="20"/>
          <w:szCs w:val="20"/>
        </w:rPr>
        <w:t>Petrangeli</w:t>
      </w:r>
      <w:proofErr w:type="spellEnd"/>
      <w:r w:rsidR="00840D53" w:rsidRPr="003C30AA">
        <w:rPr>
          <w:bCs/>
          <w:sz w:val="20"/>
          <w:szCs w:val="20"/>
        </w:rPr>
        <w:t xml:space="preserve"> </w:t>
      </w:r>
      <w:r w:rsidRPr="003C30AA">
        <w:rPr>
          <w:bCs/>
          <w:sz w:val="20"/>
          <w:szCs w:val="20"/>
        </w:rPr>
        <w:t>M,</w:t>
      </w:r>
      <w:r w:rsidR="00840D53" w:rsidRPr="003C30AA">
        <w:rPr>
          <w:bCs/>
          <w:sz w:val="20"/>
          <w:szCs w:val="20"/>
        </w:rPr>
        <w:t xml:space="preserve"> </w:t>
      </w:r>
      <w:proofErr w:type="spellStart"/>
      <w:r w:rsidRPr="003C30AA">
        <w:rPr>
          <w:bCs/>
          <w:sz w:val="20"/>
          <w:szCs w:val="20"/>
        </w:rPr>
        <w:t>Oberhollenzer</w:t>
      </w:r>
      <w:proofErr w:type="spellEnd"/>
      <w:r w:rsidR="00840D53" w:rsidRPr="003C30AA">
        <w:rPr>
          <w:bCs/>
          <w:sz w:val="20"/>
          <w:szCs w:val="20"/>
        </w:rPr>
        <w:t xml:space="preserve"> </w:t>
      </w:r>
      <w:r w:rsidRPr="003C30AA">
        <w:rPr>
          <w:bCs/>
          <w:sz w:val="20"/>
          <w:szCs w:val="20"/>
        </w:rPr>
        <w:t>F,</w:t>
      </w:r>
      <w:r w:rsidR="00840D53" w:rsidRPr="003C30AA">
        <w:rPr>
          <w:bCs/>
          <w:sz w:val="20"/>
          <w:szCs w:val="20"/>
        </w:rPr>
        <w:t xml:space="preserve"> </w:t>
      </w:r>
      <w:proofErr w:type="spellStart"/>
      <w:r w:rsidRPr="003C30AA">
        <w:rPr>
          <w:bCs/>
          <w:sz w:val="20"/>
          <w:szCs w:val="20"/>
        </w:rPr>
        <w:t>Lorenzini</w:t>
      </w:r>
      <w:proofErr w:type="spellEnd"/>
      <w:r w:rsidR="00840D53" w:rsidRPr="003C30AA">
        <w:rPr>
          <w:bCs/>
          <w:sz w:val="20"/>
          <w:szCs w:val="20"/>
        </w:rPr>
        <w:t xml:space="preserve"> </w:t>
      </w:r>
      <w:r w:rsidRPr="003C30AA">
        <w:rPr>
          <w:bCs/>
          <w:sz w:val="20"/>
          <w:szCs w:val="20"/>
        </w:rPr>
        <w:t>R,</w:t>
      </w:r>
      <w:r w:rsidR="00840D53" w:rsidRPr="003C30AA">
        <w:rPr>
          <w:bCs/>
          <w:sz w:val="20"/>
          <w:szCs w:val="20"/>
        </w:rPr>
        <w:t xml:space="preserve"> </w:t>
      </w:r>
      <w:proofErr w:type="spellStart"/>
      <w:r w:rsidRPr="003C30AA">
        <w:rPr>
          <w:bCs/>
          <w:sz w:val="20"/>
          <w:szCs w:val="20"/>
        </w:rPr>
        <w:t>Redlich</w:t>
      </w:r>
      <w:proofErr w:type="spellEnd"/>
      <w:r w:rsidR="00840D53" w:rsidRPr="003C30AA">
        <w:rPr>
          <w:bCs/>
          <w:sz w:val="20"/>
          <w:szCs w:val="20"/>
        </w:rPr>
        <w:t xml:space="preserve"> </w:t>
      </w:r>
      <w:r w:rsidRPr="003C30AA">
        <w:rPr>
          <w:bCs/>
          <w:sz w:val="20"/>
          <w:szCs w:val="20"/>
        </w:rPr>
        <w:t>K,</w:t>
      </w:r>
      <w:r w:rsidR="00840D53" w:rsidRPr="003C30AA">
        <w:rPr>
          <w:bCs/>
          <w:sz w:val="20"/>
          <w:szCs w:val="20"/>
        </w:rPr>
        <w:t xml:space="preserve"> </w:t>
      </w:r>
      <w:proofErr w:type="spellStart"/>
      <w:r w:rsidRPr="003C30AA">
        <w:rPr>
          <w:bCs/>
          <w:sz w:val="20"/>
          <w:szCs w:val="20"/>
        </w:rPr>
        <w:t>Axmann</w:t>
      </w:r>
      <w:proofErr w:type="spellEnd"/>
      <w:r w:rsidR="00840D53" w:rsidRPr="003C30AA">
        <w:rPr>
          <w:bCs/>
          <w:sz w:val="20"/>
          <w:szCs w:val="20"/>
        </w:rPr>
        <w:t xml:space="preserve"> </w:t>
      </w:r>
      <w:r w:rsidRPr="003C30AA">
        <w:rPr>
          <w:bCs/>
          <w:sz w:val="20"/>
          <w:szCs w:val="20"/>
        </w:rPr>
        <w:t>R,</w:t>
      </w:r>
      <w:r w:rsidR="00840D53" w:rsidRPr="003C30AA">
        <w:rPr>
          <w:bCs/>
          <w:sz w:val="20"/>
          <w:szCs w:val="20"/>
        </w:rPr>
        <w:t xml:space="preserve"> </w:t>
      </w:r>
      <w:proofErr w:type="spellStart"/>
      <w:r w:rsidRPr="003C30AA">
        <w:rPr>
          <w:bCs/>
          <w:sz w:val="20"/>
          <w:szCs w:val="20"/>
        </w:rPr>
        <w:t>Zwerina</w:t>
      </w:r>
      <w:proofErr w:type="spellEnd"/>
      <w:r w:rsidR="00840D53" w:rsidRPr="003C30AA">
        <w:rPr>
          <w:bCs/>
          <w:sz w:val="20"/>
          <w:szCs w:val="20"/>
        </w:rPr>
        <w:t xml:space="preserve"> </w:t>
      </w:r>
      <w:r w:rsidRPr="003C30AA">
        <w:rPr>
          <w:bCs/>
          <w:sz w:val="20"/>
          <w:szCs w:val="20"/>
        </w:rPr>
        <w:t>J,</w:t>
      </w:r>
      <w:r w:rsidR="00840D53" w:rsidRPr="003C30AA">
        <w:rPr>
          <w:bCs/>
          <w:sz w:val="20"/>
          <w:szCs w:val="20"/>
        </w:rPr>
        <w:t xml:space="preserve"> </w:t>
      </w:r>
      <w:proofErr w:type="spellStart"/>
      <w:r w:rsidRPr="003C30AA">
        <w:rPr>
          <w:bCs/>
          <w:sz w:val="20"/>
          <w:szCs w:val="20"/>
        </w:rPr>
        <w:t>Willeit</w:t>
      </w:r>
      <w:proofErr w:type="spellEnd"/>
      <w:r w:rsidR="00840D53" w:rsidRPr="003C30AA">
        <w:rPr>
          <w:bCs/>
          <w:sz w:val="20"/>
          <w:szCs w:val="20"/>
        </w:rPr>
        <w:t xml:space="preserve"> </w:t>
      </w:r>
      <w:r w:rsidRPr="003C30AA">
        <w:rPr>
          <w:bCs/>
          <w:sz w:val="20"/>
          <w:szCs w:val="20"/>
        </w:rPr>
        <w:t>J.</w:t>
      </w:r>
      <w:r w:rsidR="00840D53" w:rsidRPr="003C30AA">
        <w:rPr>
          <w:sz w:val="20"/>
          <w:szCs w:val="20"/>
        </w:rPr>
        <w:t xml:space="preserve"> </w:t>
      </w:r>
      <w:hyperlink r:id="rId15" w:history="1">
        <w:r w:rsidRPr="003C30AA">
          <w:rPr>
            <w:sz w:val="20"/>
            <w:szCs w:val="20"/>
          </w:rPr>
          <w:t>High-sensitivity</w:t>
        </w:r>
        <w:r w:rsidR="00840D53" w:rsidRPr="003C30AA">
          <w:rPr>
            <w:sz w:val="20"/>
            <w:szCs w:val="20"/>
          </w:rPr>
          <w:t xml:space="preserve"> </w:t>
        </w:r>
        <w:r w:rsidRPr="003C30AA">
          <w:rPr>
            <w:sz w:val="20"/>
            <w:szCs w:val="20"/>
          </w:rPr>
          <w:t>C-reactive</w:t>
        </w:r>
        <w:r w:rsidR="00840D53" w:rsidRPr="003C30AA">
          <w:rPr>
            <w:sz w:val="20"/>
            <w:szCs w:val="20"/>
          </w:rPr>
          <w:t xml:space="preserve"> </w:t>
        </w:r>
        <w:r w:rsidRPr="003C30AA">
          <w:rPr>
            <w:sz w:val="20"/>
            <w:szCs w:val="20"/>
          </w:rPr>
          <w:t>protein</w:t>
        </w:r>
        <w:r w:rsidR="00840D53" w:rsidRPr="003C30AA">
          <w:rPr>
            <w:sz w:val="20"/>
            <w:szCs w:val="20"/>
          </w:rPr>
          <w:t xml:space="preserve"> </w:t>
        </w:r>
        <w:r w:rsidRPr="003C30AA">
          <w:rPr>
            <w:sz w:val="20"/>
            <w:szCs w:val="20"/>
          </w:rPr>
          <w:t>and</w:t>
        </w:r>
        <w:r w:rsidR="00840D53" w:rsidRPr="003C30AA">
          <w:rPr>
            <w:sz w:val="20"/>
            <w:szCs w:val="20"/>
          </w:rPr>
          <w:t xml:space="preserve"> </w:t>
        </w:r>
        <w:r w:rsidRPr="003C30AA">
          <w:rPr>
            <w:sz w:val="20"/>
            <w:szCs w:val="20"/>
          </w:rPr>
          <w:t>risk</w:t>
        </w:r>
        <w:r w:rsidR="00840D53" w:rsidRPr="003C30AA">
          <w:rPr>
            <w:sz w:val="20"/>
            <w:szCs w:val="20"/>
          </w:rPr>
          <w:t xml:space="preserve"> </w:t>
        </w:r>
        <w:r w:rsidRPr="003C30AA">
          <w:rPr>
            <w:sz w:val="20"/>
            <w:szCs w:val="20"/>
          </w:rPr>
          <w:t>of</w:t>
        </w:r>
        <w:r w:rsidR="00840D53" w:rsidRPr="003C30AA">
          <w:rPr>
            <w:sz w:val="20"/>
            <w:szCs w:val="20"/>
          </w:rPr>
          <w:t xml:space="preserve"> </w:t>
        </w:r>
        <w:proofErr w:type="spellStart"/>
        <w:r w:rsidRPr="003C30AA">
          <w:rPr>
            <w:sz w:val="20"/>
            <w:szCs w:val="20"/>
          </w:rPr>
          <w:t>nontraumatic</w:t>
        </w:r>
        <w:proofErr w:type="spellEnd"/>
        <w:r w:rsidR="00840D53" w:rsidRPr="003C30AA">
          <w:rPr>
            <w:sz w:val="20"/>
            <w:szCs w:val="20"/>
          </w:rPr>
          <w:t xml:space="preserve"> </w:t>
        </w:r>
        <w:r w:rsidRPr="003C30AA">
          <w:rPr>
            <w:sz w:val="20"/>
            <w:szCs w:val="20"/>
          </w:rPr>
          <w:t>fractures</w:t>
        </w:r>
        <w:r w:rsidR="00840D53" w:rsidRPr="003C30AA">
          <w:rPr>
            <w:sz w:val="20"/>
            <w:szCs w:val="20"/>
          </w:rPr>
          <w:t xml:space="preserve"> </w:t>
        </w:r>
        <w:r w:rsidRPr="003C30AA">
          <w:rPr>
            <w:sz w:val="20"/>
            <w:szCs w:val="20"/>
          </w:rPr>
          <w:t>in</w:t>
        </w:r>
        <w:r w:rsidR="00840D53" w:rsidRPr="003C30AA">
          <w:rPr>
            <w:sz w:val="20"/>
            <w:szCs w:val="20"/>
          </w:rPr>
          <w:t xml:space="preserve"> </w:t>
        </w:r>
        <w:r w:rsidRPr="003C30AA">
          <w:rPr>
            <w:sz w:val="20"/>
            <w:szCs w:val="20"/>
          </w:rPr>
          <w:t>the</w:t>
        </w:r>
        <w:r w:rsidR="00840D53" w:rsidRPr="003C30AA">
          <w:rPr>
            <w:sz w:val="20"/>
            <w:szCs w:val="20"/>
          </w:rPr>
          <w:t xml:space="preserve"> </w:t>
        </w:r>
        <w:proofErr w:type="spellStart"/>
        <w:r w:rsidRPr="003C30AA">
          <w:rPr>
            <w:sz w:val="20"/>
            <w:szCs w:val="20"/>
          </w:rPr>
          <w:t>Bruneck</w:t>
        </w:r>
        <w:proofErr w:type="spellEnd"/>
        <w:r w:rsidR="00840D53" w:rsidRPr="003C30AA">
          <w:rPr>
            <w:sz w:val="20"/>
            <w:szCs w:val="20"/>
          </w:rPr>
          <w:t xml:space="preserve"> </w:t>
        </w:r>
        <w:r w:rsidRPr="003C30AA">
          <w:rPr>
            <w:sz w:val="20"/>
            <w:szCs w:val="20"/>
          </w:rPr>
          <w:t>study.</w:t>
        </w:r>
      </w:hyperlink>
      <w:r w:rsidR="00840D53" w:rsidRPr="003C30AA">
        <w:rPr>
          <w:sz w:val="20"/>
          <w:szCs w:val="20"/>
        </w:rPr>
        <w:t xml:space="preserve"> </w:t>
      </w:r>
      <w:r w:rsidRPr="003C30AA">
        <w:rPr>
          <w:sz w:val="20"/>
          <w:szCs w:val="20"/>
        </w:rPr>
        <w:t>Arch</w:t>
      </w:r>
      <w:r w:rsidR="00840D53" w:rsidRPr="003C30AA">
        <w:rPr>
          <w:sz w:val="20"/>
          <w:szCs w:val="20"/>
        </w:rPr>
        <w:t xml:space="preserve"> </w:t>
      </w:r>
      <w:r w:rsidRPr="003C30AA">
        <w:rPr>
          <w:sz w:val="20"/>
          <w:szCs w:val="20"/>
        </w:rPr>
        <w:t>Intern</w:t>
      </w:r>
      <w:r w:rsidR="00840D53" w:rsidRPr="003C30AA">
        <w:rPr>
          <w:sz w:val="20"/>
          <w:szCs w:val="20"/>
        </w:rPr>
        <w:t xml:space="preserve"> </w:t>
      </w:r>
      <w:r w:rsidRPr="003C30AA">
        <w:rPr>
          <w:sz w:val="20"/>
          <w:szCs w:val="20"/>
        </w:rPr>
        <w:t>Med.</w:t>
      </w:r>
      <w:r w:rsidR="00840D53" w:rsidRPr="003C30AA">
        <w:rPr>
          <w:sz w:val="20"/>
          <w:szCs w:val="20"/>
        </w:rPr>
        <w:t xml:space="preserve"> </w:t>
      </w:r>
      <w:r w:rsidRPr="003C30AA">
        <w:rPr>
          <w:bCs/>
          <w:sz w:val="20"/>
          <w:szCs w:val="20"/>
        </w:rPr>
        <w:t>2006</w:t>
      </w:r>
      <w:r w:rsidRPr="003C30AA">
        <w:rPr>
          <w:sz w:val="20"/>
          <w:szCs w:val="20"/>
        </w:rPr>
        <w:t>;</w:t>
      </w:r>
      <w:r w:rsidR="00840D53" w:rsidRPr="003C30AA">
        <w:rPr>
          <w:sz w:val="20"/>
          <w:szCs w:val="20"/>
        </w:rPr>
        <w:t xml:space="preserve"> </w:t>
      </w:r>
      <w:r w:rsidRPr="003C30AA">
        <w:rPr>
          <w:sz w:val="20"/>
          <w:szCs w:val="20"/>
        </w:rPr>
        <w:t>166(22):2495-501.</w:t>
      </w:r>
    </w:p>
    <w:p w:rsidR="00736402" w:rsidRPr="003C30AA" w:rsidRDefault="008C152B" w:rsidP="00840D53">
      <w:pPr>
        <w:numPr>
          <w:ilvl w:val="0"/>
          <w:numId w:val="34"/>
        </w:numPr>
        <w:autoSpaceDE w:val="0"/>
        <w:autoSpaceDN w:val="0"/>
        <w:bidi w:val="0"/>
        <w:adjustRightInd w:val="0"/>
        <w:snapToGrid w:val="0"/>
        <w:ind w:left="425" w:hanging="425"/>
        <w:jc w:val="both"/>
        <w:rPr>
          <w:sz w:val="20"/>
          <w:szCs w:val="20"/>
        </w:rPr>
      </w:pPr>
      <w:hyperlink r:id="rId16" w:history="1">
        <w:r w:rsidR="00736402" w:rsidRPr="003C30AA">
          <w:rPr>
            <w:bCs/>
            <w:sz w:val="20"/>
            <w:szCs w:val="20"/>
          </w:rPr>
          <w:t>Bonnet</w:t>
        </w:r>
        <w:r w:rsidR="00840D53" w:rsidRPr="003C30AA">
          <w:rPr>
            <w:bCs/>
            <w:sz w:val="20"/>
            <w:szCs w:val="20"/>
          </w:rPr>
          <w:t xml:space="preserve"> </w:t>
        </w:r>
        <w:r w:rsidR="00736402" w:rsidRPr="003C30AA">
          <w:rPr>
            <w:bCs/>
            <w:sz w:val="20"/>
            <w:szCs w:val="20"/>
          </w:rPr>
          <w:t>CS</w:t>
        </w:r>
      </w:hyperlink>
      <w:r w:rsidR="00736402" w:rsidRPr="003C30AA">
        <w:rPr>
          <w:bCs/>
          <w:sz w:val="20"/>
          <w:szCs w:val="20"/>
        </w:rPr>
        <w:t>,</w:t>
      </w:r>
      <w:r w:rsidR="00840D53" w:rsidRPr="003C30AA">
        <w:rPr>
          <w:bCs/>
          <w:sz w:val="20"/>
          <w:szCs w:val="20"/>
        </w:rPr>
        <w:t xml:space="preserve"> </w:t>
      </w:r>
      <w:hyperlink r:id="rId17" w:history="1">
        <w:r w:rsidR="00736402" w:rsidRPr="003C30AA">
          <w:rPr>
            <w:bCs/>
            <w:sz w:val="20"/>
            <w:szCs w:val="20"/>
          </w:rPr>
          <w:t>Walsh</w:t>
        </w:r>
        <w:r w:rsidR="00840D53" w:rsidRPr="003C30AA">
          <w:rPr>
            <w:bCs/>
            <w:sz w:val="20"/>
            <w:szCs w:val="20"/>
          </w:rPr>
          <w:t xml:space="preserve"> </w:t>
        </w:r>
        <w:r w:rsidR="00736402" w:rsidRPr="003C30AA">
          <w:rPr>
            <w:bCs/>
            <w:sz w:val="20"/>
            <w:szCs w:val="20"/>
          </w:rPr>
          <w:t>DA</w:t>
        </w:r>
      </w:hyperlink>
      <w:r w:rsidR="00736402" w:rsidRPr="003C30AA">
        <w:rPr>
          <w:bCs/>
          <w:sz w:val="20"/>
          <w:szCs w:val="20"/>
        </w:rPr>
        <w:t>.</w:t>
      </w:r>
      <w:r w:rsidR="00840D53" w:rsidRPr="003C30AA">
        <w:rPr>
          <w:bCs/>
          <w:sz w:val="20"/>
          <w:szCs w:val="20"/>
        </w:rPr>
        <w:t xml:space="preserve"> </w:t>
      </w:r>
      <w:r w:rsidR="00736402" w:rsidRPr="003C30AA">
        <w:rPr>
          <w:sz w:val="20"/>
          <w:szCs w:val="20"/>
        </w:rPr>
        <w:t>Osteoarthritis,</w:t>
      </w:r>
      <w:r w:rsidR="00840D53" w:rsidRPr="003C30AA">
        <w:rPr>
          <w:sz w:val="20"/>
          <w:szCs w:val="20"/>
        </w:rPr>
        <w:t xml:space="preserve"> </w:t>
      </w:r>
      <w:r w:rsidR="00736402" w:rsidRPr="003C30AA">
        <w:rPr>
          <w:sz w:val="20"/>
          <w:szCs w:val="20"/>
        </w:rPr>
        <w:t>angiogenesis</w:t>
      </w:r>
      <w:r w:rsidR="00840D53" w:rsidRPr="003C30AA">
        <w:rPr>
          <w:sz w:val="20"/>
          <w:szCs w:val="20"/>
        </w:rPr>
        <w:t xml:space="preserve"> </w:t>
      </w:r>
      <w:r w:rsidR="00736402" w:rsidRPr="003C30AA">
        <w:rPr>
          <w:sz w:val="20"/>
          <w:szCs w:val="20"/>
        </w:rPr>
        <w:t>and</w:t>
      </w:r>
      <w:r w:rsidR="00840D53" w:rsidRPr="003C30AA">
        <w:rPr>
          <w:sz w:val="20"/>
          <w:szCs w:val="20"/>
        </w:rPr>
        <w:t xml:space="preserve"> </w:t>
      </w:r>
      <w:r w:rsidR="00736402" w:rsidRPr="003C30AA">
        <w:rPr>
          <w:sz w:val="20"/>
          <w:szCs w:val="20"/>
        </w:rPr>
        <w:t>inflammation.</w:t>
      </w:r>
      <w:r w:rsidR="00840D53" w:rsidRPr="003C30AA">
        <w:rPr>
          <w:sz w:val="20"/>
          <w:szCs w:val="20"/>
        </w:rPr>
        <w:t xml:space="preserve"> </w:t>
      </w:r>
      <w:hyperlink r:id="rId18" w:tooltip="Rheumatology (Oxford, England)." w:history="1">
        <w:r w:rsidR="00736402" w:rsidRPr="003C30AA">
          <w:rPr>
            <w:sz w:val="20"/>
            <w:szCs w:val="20"/>
          </w:rPr>
          <w:t>Rheumatology</w:t>
        </w:r>
        <w:r w:rsidR="00840D53" w:rsidRPr="003C30AA">
          <w:rPr>
            <w:sz w:val="20"/>
            <w:szCs w:val="20"/>
          </w:rPr>
          <w:t xml:space="preserve"> </w:t>
        </w:r>
        <w:r w:rsidR="00736402" w:rsidRPr="003C30AA">
          <w:rPr>
            <w:sz w:val="20"/>
            <w:szCs w:val="20"/>
          </w:rPr>
          <w:t>(Oxford).</w:t>
        </w:r>
      </w:hyperlink>
      <w:r w:rsidR="00840D53" w:rsidRPr="003C30AA">
        <w:rPr>
          <w:sz w:val="20"/>
          <w:szCs w:val="20"/>
        </w:rPr>
        <w:t xml:space="preserve"> </w:t>
      </w:r>
      <w:r w:rsidR="00736402" w:rsidRPr="003C30AA">
        <w:rPr>
          <w:bCs/>
          <w:sz w:val="20"/>
          <w:szCs w:val="20"/>
        </w:rPr>
        <w:t>2005</w:t>
      </w:r>
      <w:r w:rsidR="00840D53" w:rsidRPr="003C30AA">
        <w:rPr>
          <w:sz w:val="20"/>
          <w:szCs w:val="20"/>
        </w:rPr>
        <w:t xml:space="preserve">; </w:t>
      </w:r>
      <w:r w:rsidR="00736402" w:rsidRPr="003C30AA">
        <w:rPr>
          <w:sz w:val="20"/>
          <w:szCs w:val="20"/>
        </w:rPr>
        <w:t>44(1):7-16.</w:t>
      </w:r>
    </w:p>
    <w:p w:rsidR="00840D53" w:rsidRPr="003C30AA" w:rsidRDefault="00840D53" w:rsidP="00840D53">
      <w:pPr>
        <w:autoSpaceDE w:val="0"/>
        <w:autoSpaceDN w:val="0"/>
        <w:bidi w:val="0"/>
        <w:adjustRightInd w:val="0"/>
        <w:snapToGrid w:val="0"/>
        <w:ind w:left="425" w:hanging="425"/>
        <w:jc w:val="both"/>
        <w:rPr>
          <w:sz w:val="20"/>
          <w:szCs w:val="20"/>
          <w:lang w:eastAsia="zh-CN"/>
        </w:rPr>
        <w:sectPr w:rsidR="00840D53" w:rsidRPr="003C30AA" w:rsidSect="00840D53">
          <w:type w:val="continuous"/>
          <w:pgSz w:w="12240" w:h="15840" w:code="1"/>
          <w:pgMar w:top="1440" w:right="1440" w:bottom="1440" w:left="1440" w:header="720" w:footer="720" w:gutter="0"/>
          <w:cols w:num="2" w:space="600"/>
          <w:noEndnote/>
          <w:docGrid w:linePitch="326"/>
        </w:sectPr>
      </w:pPr>
    </w:p>
    <w:p w:rsidR="004130E8" w:rsidRPr="003C30AA" w:rsidRDefault="004130E8" w:rsidP="00840D53">
      <w:pPr>
        <w:autoSpaceDE w:val="0"/>
        <w:autoSpaceDN w:val="0"/>
        <w:bidi w:val="0"/>
        <w:adjustRightInd w:val="0"/>
        <w:snapToGrid w:val="0"/>
        <w:ind w:left="425" w:hanging="425"/>
        <w:jc w:val="both"/>
        <w:rPr>
          <w:sz w:val="20"/>
          <w:szCs w:val="20"/>
          <w:lang w:eastAsia="zh-CN"/>
        </w:rPr>
      </w:pPr>
    </w:p>
    <w:p w:rsidR="00A26007" w:rsidRPr="003C30AA" w:rsidRDefault="004130E8" w:rsidP="00840D53">
      <w:pPr>
        <w:autoSpaceDE w:val="0"/>
        <w:autoSpaceDN w:val="0"/>
        <w:bidi w:val="0"/>
        <w:adjustRightInd w:val="0"/>
        <w:snapToGrid w:val="0"/>
        <w:ind w:left="425" w:hanging="425"/>
        <w:jc w:val="both"/>
        <w:rPr>
          <w:sz w:val="20"/>
          <w:szCs w:val="20"/>
        </w:rPr>
      </w:pPr>
      <w:r w:rsidRPr="003C30AA">
        <w:rPr>
          <w:sz w:val="20"/>
          <w:szCs w:val="20"/>
        </w:rPr>
        <w:t>7/2</w:t>
      </w:r>
      <w:r w:rsidR="00840D53" w:rsidRPr="003C30AA">
        <w:rPr>
          <w:rFonts w:hint="eastAsia"/>
          <w:sz w:val="20"/>
          <w:szCs w:val="20"/>
          <w:lang w:eastAsia="zh-CN"/>
        </w:rPr>
        <w:t>5</w:t>
      </w:r>
      <w:r w:rsidRPr="003C30AA">
        <w:rPr>
          <w:sz w:val="20"/>
          <w:szCs w:val="20"/>
        </w:rPr>
        <w:t>/2017</w:t>
      </w:r>
    </w:p>
    <w:sectPr w:rsidR="00A26007" w:rsidRPr="003C30AA" w:rsidSect="004130E8">
      <w:type w:val="continuous"/>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172" w:rsidRDefault="00D32172" w:rsidP="00F84C82">
      <w:r>
        <w:separator/>
      </w:r>
    </w:p>
  </w:endnote>
  <w:endnote w:type="continuationSeparator" w:id="0">
    <w:p w:rsidR="00D32172" w:rsidRDefault="00D32172" w:rsidP="00F84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Arno Pro Display">
    <w:altName w:val="Arno Pro Display"/>
    <w:panose1 w:val="00000000000000000000"/>
    <w:charset w:val="00"/>
    <w:family w:val="roman"/>
    <w:notTrueType/>
    <w:pitch w:val="default"/>
    <w:sig w:usb0="00000003" w:usb1="00000000" w:usb2="00000000" w:usb3="00000000" w:csb0="00000001" w:csb1="00000000"/>
  </w:font>
  <w:font w:name="Optima LT Std">
    <w:altName w:val="Optima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D53" w:rsidRPr="009D3EA1" w:rsidRDefault="008C152B" w:rsidP="009D3EA1">
    <w:pPr>
      <w:bidi w:val="0"/>
      <w:jc w:val="center"/>
      <w:rPr>
        <w:sz w:val="20"/>
      </w:rPr>
    </w:pPr>
    <w:r w:rsidRPr="009D3EA1">
      <w:rPr>
        <w:sz w:val="20"/>
      </w:rPr>
      <w:fldChar w:fldCharType="begin"/>
    </w:r>
    <w:r w:rsidR="009D3EA1" w:rsidRPr="009D3EA1">
      <w:rPr>
        <w:sz w:val="20"/>
      </w:rPr>
      <w:instrText xml:space="preserve"> page </w:instrText>
    </w:r>
    <w:r w:rsidRPr="009D3EA1">
      <w:rPr>
        <w:sz w:val="20"/>
      </w:rPr>
      <w:fldChar w:fldCharType="separate"/>
    </w:r>
    <w:r w:rsidR="003C30AA">
      <w:rPr>
        <w:noProof/>
        <w:sz w:val="20"/>
      </w:rPr>
      <w:t>110</w:t>
    </w:r>
    <w:r w:rsidRPr="009D3EA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172" w:rsidRDefault="00D32172" w:rsidP="00F84C82">
      <w:r>
        <w:separator/>
      </w:r>
    </w:p>
  </w:footnote>
  <w:footnote w:type="continuationSeparator" w:id="0">
    <w:p w:rsidR="00D32172" w:rsidRDefault="00D32172" w:rsidP="00F84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A1" w:rsidRPr="009D3EA1" w:rsidRDefault="009D3EA1" w:rsidP="009D3EA1">
    <w:pPr>
      <w:pBdr>
        <w:bottom w:val="thinThickMediumGap" w:sz="12" w:space="1" w:color="auto"/>
      </w:pBdr>
      <w:tabs>
        <w:tab w:val="left" w:pos="851"/>
        <w:tab w:val="right" w:pos="8364"/>
      </w:tabs>
      <w:bidi w:val="0"/>
      <w:adjustRightInd w:val="0"/>
      <w:snapToGrid w:val="0"/>
      <w:jc w:val="both"/>
      <w:rPr>
        <w:iCs/>
        <w:sz w:val="20"/>
        <w:szCs w:val="20"/>
      </w:rPr>
    </w:pPr>
    <w:r w:rsidRPr="009D3EA1">
      <w:rPr>
        <w:rFonts w:hint="eastAsia"/>
        <w:iCs/>
        <w:color w:val="000000"/>
        <w:sz w:val="20"/>
        <w:szCs w:val="20"/>
      </w:rPr>
      <w:tab/>
    </w:r>
    <w:r w:rsidRPr="009D3EA1">
      <w:rPr>
        <w:iCs/>
        <w:color w:val="000000"/>
        <w:sz w:val="20"/>
        <w:szCs w:val="20"/>
      </w:rPr>
      <w:t xml:space="preserve">Researcher </w:t>
    </w:r>
    <w:r w:rsidRPr="009D3EA1">
      <w:rPr>
        <w:iCs/>
        <w:sz w:val="20"/>
        <w:szCs w:val="20"/>
      </w:rPr>
      <w:t>201</w:t>
    </w:r>
    <w:r w:rsidRPr="009D3EA1">
      <w:rPr>
        <w:rFonts w:hint="eastAsia"/>
        <w:iCs/>
        <w:sz w:val="20"/>
        <w:szCs w:val="20"/>
      </w:rPr>
      <w:t>7</w:t>
    </w:r>
    <w:r w:rsidRPr="009D3EA1">
      <w:rPr>
        <w:iCs/>
        <w:sz w:val="20"/>
        <w:szCs w:val="20"/>
      </w:rPr>
      <w:t>;</w:t>
    </w:r>
    <w:r w:rsidRPr="009D3EA1">
      <w:rPr>
        <w:rFonts w:hint="eastAsia"/>
        <w:iCs/>
        <w:sz w:val="20"/>
        <w:szCs w:val="20"/>
      </w:rPr>
      <w:t>9</w:t>
    </w:r>
    <w:r w:rsidRPr="009D3EA1">
      <w:rPr>
        <w:iCs/>
        <w:sz w:val="20"/>
        <w:szCs w:val="20"/>
      </w:rPr>
      <w:t>(</w:t>
    </w:r>
    <w:r w:rsidRPr="009D3EA1">
      <w:rPr>
        <w:rFonts w:hint="eastAsia"/>
        <w:iCs/>
        <w:sz w:val="20"/>
        <w:szCs w:val="20"/>
      </w:rPr>
      <w:t>7</w:t>
    </w:r>
    <w:r w:rsidRPr="009D3EA1">
      <w:rPr>
        <w:iCs/>
        <w:sz w:val="20"/>
        <w:szCs w:val="20"/>
      </w:rPr>
      <w:t xml:space="preserve">)  </w:t>
    </w:r>
    <w:r w:rsidRPr="009D3EA1">
      <w:rPr>
        <w:rFonts w:hint="eastAsia"/>
        <w:iCs/>
        <w:sz w:val="20"/>
        <w:szCs w:val="20"/>
      </w:rPr>
      <w:t xml:space="preserve"> </w:t>
    </w:r>
    <w:r w:rsidRPr="009D3EA1">
      <w:rPr>
        <w:iCs/>
        <w:sz w:val="20"/>
        <w:szCs w:val="20"/>
      </w:rPr>
      <w:t xml:space="preserve"> </w:t>
    </w:r>
    <w:r w:rsidRPr="009D3EA1">
      <w:rPr>
        <w:rFonts w:hint="eastAsia"/>
        <w:iCs/>
        <w:sz w:val="20"/>
        <w:szCs w:val="20"/>
      </w:rPr>
      <w:tab/>
    </w:r>
    <w:r w:rsidRPr="009D3EA1">
      <w:rPr>
        <w:iCs/>
        <w:sz w:val="20"/>
        <w:szCs w:val="20"/>
      </w:rPr>
      <w:t xml:space="preserve">    </w:t>
    </w:r>
    <w:r w:rsidRPr="009D3EA1">
      <w:rPr>
        <w:sz w:val="20"/>
        <w:szCs w:val="20"/>
      </w:rPr>
      <w:t xml:space="preserve"> </w:t>
    </w:r>
    <w:hyperlink r:id="rId1" w:history="1">
      <w:r w:rsidRPr="009D3EA1">
        <w:rPr>
          <w:rStyle w:val="Hyperlink"/>
          <w:sz w:val="20"/>
          <w:szCs w:val="20"/>
        </w:rPr>
        <w:t>http://www.sciencepub.net/researcher</w:t>
      </w:r>
    </w:hyperlink>
  </w:p>
  <w:p w:rsidR="009D3EA1" w:rsidRPr="009D3EA1" w:rsidRDefault="009D3EA1" w:rsidP="009D3EA1">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038ED7"/>
    <w:multiLevelType w:val="hybridMultilevel"/>
    <w:tmpl w:val="3CC78A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106A417"/>
    <w:multiLevelType w:val="hybridMultilevel"/>
    <w:tmpl w:val="DEC73A8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D40EAA6"/>
    <w:multiLevelType w:val="hybridMultilevel"/>
    <w:tmpl w:val="2FDFEA5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D45B4D6"/>
    <w:multiLevelType w:val="hybridMultilevel"/>
    <w:tmpl w:val="E2505F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5257068"/>
    <w:multiLevelType w:val="hybridMultilevel"/>
    <w:tmpl w:val="701FB90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4C029B"/>
    <w:multiLevelType w:val="hybridMultilevel"/>
    <w:tmpl w:val="E230061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005618D0"/>
    <w:multiLevelType w:val="hybridMultilevel"/>
    <w:tmpl w:val="FDBCB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02AE6DAA"/>
    <w:multiLevelType w:val="hybridMultilevel"/>
    <w:tmpl w:val="CE984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55E22E4"/>
    <w:multiLevelType w:val="hybridMultilevel"/>
    <w:tmpl w:val="E230061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nsid w:val="096814FF"/>
    <w:multiLevelType w:val="hybridMultilevel"/>
    <w:tmpl w:val="53789702"/>
    <w:lvl w:ilvl="0" w:tplc="2CBCB00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CC6BBE"/>
    <w:multiLevelType w:val="hybridMultilevel"/>
    <w:tmpl w:val="7348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DD020D"/>
    <w:multiLevelType w:val="multilevel"/>
    <w:tmpl w:val="CA4C6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0F68B5"/>
    <w:multiLevelType w:val="hybridMultilevel"/>
    <w:tmpl w:val="5D026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66D7D45"/>
    <w:multiLevelType w:val="hybridMultilevel"/>
    <w:tmpl w:val="B418B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4">
    <w:nsid w:val="19FE58FC"/>
    <w:multiLevelType w:val="hybridMultilevel"/>
    <w:tmpl w:val="E376B320"/>
    <w:lvl w:ilvl="0" w:tplc="0E622154">
      <w:start w:val="1"/>
      <w:numFmt w:val="upperLetter"/>
      <w:lvlText w:val="%1)"/>
      <w:lvlJc w:val="left"/>
      <w:pPr>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nsid w:val="1BC21384"/>
    <w:multiLevelType w:val="hybridMultilevel"/>
    <w:tmpl w:val="DA9892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4071B"/>
    <w:multiLevelType w:val="hybridMultilevel"/>
    <w:tmpl w:val="3EDCD934"/>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297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7">
    <w:nsid w:val="2849381D"/>
    <w:multiLevelType w:val="hybridMultilevel"/>
    <w:tmpl w:val="0A9AF08C"/>
    <w:lvl w:ilvl="0" w:tplc="B7F245E0">
      <w:start w:val="1"/>
      <w:numFmt w:val="upperLetter"/>
      <w:lvlText w:val="(%1)"/>
      <w:lvlJc w:val="left"/>
      <w:pPr>
        <w:ind w:left="109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AD038B"/>
    <w:multiLevelType w:val="hybridMultilevel"/>
    <w:tmpl w:val="7586F39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nsid w:val="49FA502C"/>
    <w:multiLevelType w:val="hybridMultilevel"/>
    <w:tmpl w:val="CE981826"/>
    <w:lvl w:ilvl="0" w:tplc="04090003">
      <w:start w:val="1"/>
      <w:numFmt w:val="bullet"/>
      <w:lvlText w:val="o"/>
      <w:lvlJc w:val="left"/>
      <w:pPr>
        <w:ind w:left="2880" w:hanging="360"/>
      </w:pPr>
      <w:rPr>
        <w:rFonts w:ascii="Courier New" w:hAnsi="Courier New"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20">
    <w:nsid w:val="54CE2554"/>
    <w:multiLevelType w:val="hybridMultilevel"/>
    <w:tmpl w:val="8F44AB6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56C453C3"/>
    <w:multiLevelType w:val="hybridMultilevel"/>
    <w:tmpl w:val="7A8A9924"/>
    <w:lvl w:ilvl="0" w:tplc="EEB08D2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6BD4EF"/>
    <w:multiLevelType w:val="hybridMultilevel"/>
    <w:tmpl w:val="8374937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8946FBA"/>
    <w:multiLevelType w:val="hybridMultilevel"/>
    <w:tmpl w:val="7B0AB432"/>
    <w:lvl w:ilvl="0" w:tplc="0409000D">
      <w:start w:val="1"/>
      <w:numFmt w:val="bullet"/>
      <w:lvlText w:val=""/>
      <w:lvlJc w:val="left"/>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746813"/>
    <w:multiLevelType w:val="hybridMultilevel"/>
    <w:tmpl w:val="E21035D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nsid w:val="5BBE5409"/>
    <w:multiLevelType w:val="hybridMultilevel"/>
    <w:tmpl w:val="84A08E9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2B45A63"/>
    <w:multiLevelType w:val="hybridMultilevel"/>
    <w:tmpl w:val="A0F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582D59"/>
    <w:multiLevelType w:val="hybridMultilevel"/>
    <w:tmpl w:val="BEE6FA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D62397"/>
    <w:multiLevelType w:val="hybridMultilevel"/>
    <w:tmpl w:val="FE7C9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F9212EC"/>
    <w:multiLevelType w:val="hybridMultilevel"/>
    <w:tmpl w:val="DC322D84"/>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5F93636"/>
    <w:multiLevelType w:val="hybridMultilevel"/>
    <w:tmpl w:val="E230061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nsid w:val="77AB3ED8"/>
    <w:multiLevelType w:val="hybridMultilevel"/>
    <w:tmpl w:val="4E5238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BAD74C6"/>
    <w:multiLevelType w:val="hybridMultilevel"/>
    <w:tmpl w:val="75F6C0A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nsid w:val="7ED62454"/>
    <w:multiLevelType w:val="hybridMultilevel"/>
    <w:tmpl w:val="19009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17"/>
  </w:num>
  <w:num w:numId="4">
    <w:abstractNumId w:val="21"/>
  </w:num>
  <w:num w:numId="5">
    <w:abstractNumId w:val="6"/>
  </w:num>
  <w:num w:numId="6">
    <w:abstractNumId w:val="11"/>
  </w:num>
  <w:num w:numId="7">
    <w:abstractNumId w:val="30"/>
  </w:num>
  <w:num w:numId="8">
    <w:abstractNumId w:val="19"/>
  </w:num>
  <w:num w:numId="9">
    <w:abstractNumId w:val="16"/>
  </w:num>
  <w:num w:numId="10">
    <w:abstractNumId w:val="26"/>
  </w:num>
  <w:num w:numId="11">
    <w:abstractNumId w:val="31"/>
  </w:num>
  <w:num w:numId="12">
    <w:abstractNumId w:val="14"/>
  </w:num>
  <w:num w:numId="13">
    <w:abstractNumId w:val="2"/>
  </w:num>
  <w:num w:numId="14">
    <w:abstractNumId w:val="22"/>
  </w:num>
  <w:num w:numId="15">
    <w:abstractNumId w:val="4"/>
  </w:num>
  <w:num w:numId="16">
    <w:abstractNumId w:val="1"/>
  </w:num>
  <w:num w:numId="17">
    <w:abstractNumId w:val="3"/>
  </w:num>
  <w:num w:numId="18">
    <w:abstractNumId w:val="0"/>
  </w:num>
  <w:num w:numId="19">
    <w:abstractNumId w:val="18"/>
  </w:num>
  <w:num w:numId="20">
    <w:abstractNumId w:val="20"/>
  </w:num>
  <w:num w:numId="21">
    <w:abstractNumId w:val="23"/>
  </w:num>
  <w:num w:numId="22">
    <w:abstractNumId w:val="15"/>
  </w:num>
  <w:num w:numId="23">
    <w:abstractNumId w:val="24"/>
  </w:num>
  <w:num w:numId="24">
    <w:abstractNumId w:val="32"/>
  </w:num>
  <w:num w:numId="25">
    <w:abstractNumId w:val="33"/>
  </w:num>
  <w:num w:numId="26">
    <w:abstractNumId w:val="29"/>
  </w:num>
  <w:num w:numId="27">
    <w:abstractNumId w:val="13"/>
  </w:num>
  <w:num w:numId="28">
    <w:abstractNumId w:val="25"/>
  </w:num>
  <w:num w:numId="29">
    <w:abstractNumId w:val="10"/>
  </w:num>
  <w:num w:numId="30">
    <w:abstractNumId w:val="8"/>
  </w:num>
  <w:num w:numId="31">
    <w:abstractNumId w:val="5"/>
  </w:num>
  <w:num w:numId="32">
    <w:abstractNumId w:val="9"/>
  </w:num>
  <w:num w:numId="33">
    <w:abstractNumId w:val="28"/>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657F"/>
    <w:rsid w:val="00072822"/>
    <w:rsid w:val="000C657F"/>
    <w:rsid w:val="000E6444"/>
    <w:rsid w:val="00156063"/>
    <w:rsid w:val="00171E47"/>
    <w:rsid w:val="001A7526"/>
    <w:rsid w:val="001C1987"/>
    <w:rsid w:val="001C5FD9"/>
    <w:rsid w:val="001E55C6"/>
    <w:rsid w:val="001E5F61"/>
    <w:rsid w:val="001F0BE3"/>
    <w:rsid w:val="001F5336"/>
    <w:rsid w:val="00246BE7"/>
    <w:rsid w:val="0029197D"/>
    <w:rsid w:val="00300B66"/>
    <w:rsid w:val="00317BB6"/>
    <w:rsid w:val="003330F1"/>
    <w:rsid w:val="00376A46"/>
    <w:rsid w:val="003C0D12"/>
    <w:rsid w:val="003C30AA"/>
    <w:rsid w:val="003E65F6"/>
    <w:rsid w:val="004130E8"/>
    <w:rsid w:val="004B0AAA"/>
    <w:rsid w:val="004D03EF"/>
    <w:rsid w:val="004E79F6"/>
    <w:rsid w:val="004F0681"/>
    <w:rsid w:val="00563A1F"/>
    <w:rsid w:val="00590D1A"/>
    <w:rsid w:val="005B6583"/>
    <w:rsid w:val="005B7710"/>
    <w:rsid w:val="005D6340"/>
    <w:rsid w:val="005F3542"/>
    <w:rsid w:val="006318D2"/>
    <w:rsid w:val="006417F3"/>
    <w:rsid w:val="00644F80"/>
    <w:rsid w:val="006530D6"/>
    <w:rsid w:val="006E3D35"/>
    <w:rsid w:val="00721232"/>
    <w:rsid w:val="00726D26"/>
    <w:rsid w:val="00736402"/>
    <w:rsid w:val="007412E8"/>
    <w:rsid w:val="007539AE"/>
    <w:rsid w:val="007C7D54"/>
    <w:rsid w:val="007E2156"/>
    <w:rsid w:val="007E2D9F"/>
    <w:rsid w:val="007E79B9"/>
    <w:rsid w:val="0083623B"/>
    <w:rsid w:val="00840D53"/>
    <w:rsid w:val="008601DF"/>
    <w:rsid w:val="008C0DE9"/>
    <w:rsid w:val="008C152B"/>
    <w:rsid w:val="008E03FA"/>
    <w:rsid w:val="0093174F"/>
    <w:rsid w:val="009570C8"/>
    <w:rsid w:val="00973317"/>
    <w:rsid w:val="00984D6D"/>
    <w:rsid w:val="009B47B0"/>
    <w:rsid w:val="009D3EA1"/>
    <w:rsid w:val="009E55CE"/>
    <w:rsid w:val="00A04757"/>
    <w:rsid w:val="00A26007"/>
    <w:rsid w:val="00A419E4"/>
    <w:rsid w:val="00A71306"/>
    <w:rsid w:val="00AD4957"/>
    <w:rsid w:val="00B43ED5"/>
    <w:rsid w:val="00B52376"/>
    <w:rsid w:val="00B8722E"/>
    <w:rsid w:val="00C10E28"/>
    <w:rsid w:val="00C341E3"/>
    <w:rsid w:val="00C4141E"/>
    <w:rsid w:val="00C807AB"/>
    <w:rsid w:val="00CB44C7"/>
    <w:rsid w:val="00CD0CDD"/>
    <w:rsid w:val="00CD7954"/>
    <w:rsid w:val="00D32172"/>
    <w:rsid w:val="00D74F95"/>
    <w:rsid w:val="00E24266"/>
    <w:rsid w:val="00E262B4"/>
    <w:rsid w:val="00E36C3D"/>
    <w:rsid w:val="00E573C9"/>
    <w:rsid w:val="00EB0AE4"/>
    <w:rsid w:val="00EC7844"/>
    <w:rsid w:val="00EE1BA1"/>
    <w:rsid w:val="00F24499"/>
    <w:rsid w:val="00F35090"/>
    <w:rsid w:val="00F500A0"/>
    <w:rsid w:val="00F52C56"/>
    <w:rsid w:val="00F739C0"/>
    <w:rsid w:val="00F84C82"/>
    <w:rsid w:val="00FE1A9E"/>
    <w:rsid w:val="00FE47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57F"/>
    <w:pPr>
      <w:bidi/>
    </w:pPr>
    <w:rPr>
      <w:sz w:val="24"/>
      <w:szCs w:val="24"/>
      <w:lang w:eastAsia="en-US"/>
    </w:rPr>
  </w:style>
  <w:style w:type="paragraph" w:styleId="Heading1">
    <w:name w:val="heading 1"/>
    <w:basedOn w:val="Normal"/>
    <w:link w:val="Heading1Char"/>
    <w:uiPriority w:val="9"/>
    <w:qFormat/>
    <w:rsid w:val="00F84C82"/>
    <w:pPr>
      <w:bidi w:val="0"/>
      <w:spacing w:before="100" w:beforeAutospacing="1" w:after="100" w:afterAutospacing="1"/>
      <w:outlineLvl w:val="0"/>
    </w:pPr>
    <w:rPr>
      <w:b/>
      <w:bCs/>
      <w:kern w:val="36"/>
      <w:sz w:val="48"/>
      <w:szCs w:val="4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C82"/>
    <w:pPr>
      <w:tabs>
        <w:tab w:val="center" w:pos="4320"/>
        <w:tab w:val="right" w:pos="8640"/>
      </w:tabs>
      <w:bidi w:val="0"/>
    </w:pPr>
    <w:rPr>
      <w:rFonts w:ascii="Calibri" w:eastAsia="Calibri" w:hAnsi="Calibri"/>
      <w:sz w:val="22"/>
      <w:szCs w:val="22"/>
      <w:lang/>
    </w:rPr>
  </w:style>
  <w:style w:type="character" w:customStyle="1" w:styleId="HeaderChar">
    <w:name w:val="Header Char"/>
    <w:link w:val="Header"/>
    <w:uiPriority w:val="99"/>
    <w:rsid w:val="00F84C82"/>
    <w:rPr>
      <w:rFonts w:ascii="Calibri" w:eastAsia="Calibri" w:hAnsi="Calibri" w:cs="Arial"/>
      <w:sz w:val="22"/>
      <w:szCs w:val="22"/>
    </w:rPr>
  </w:style>
  <w:style w:type="paragraph" w:styleId="Footer">
    <w:name w:val="footer"/>
    <w:basedOn w:val="Normal"/>
    <w:link w:val="FooterChar"/>
    <w:uiPriority w:val="99"/>
    <w:unhideWhenUsed/>
    <w:rsid w:val="00F84C82"/>
    <w:pPr>
      <w:tabs>
        <w:tab w:val="center" w:pos="4320"/>
        <w:tab w:val="right" w:pos="8640"/>
      </w:tabs>
      <w:bidi w:val="0"/>
    </w:pPr>
    <w:rPr>
      <w:rFonts w:ascii="Calibri" w:eastAsia="Calibri" w:hAnsi="Calibri"/>
      <w:sz w:val="22"/>
      <w:szCs w:val="22"/>
      <w:lang/>
    </w:rPr>
  </w:style>
  <w:style w:type="character" w:customStyle="1" w:styleId="FooterChar">
    <w:name w:val="Footer Char"/>
    <w:link w:val="Footer"/>
    <w:uiPriority w:val="99"/>
    <w:rsid w:val="00F84C82"/>
    <w:rPr>
      <w:rFonts w:ascii="Calibri" w:eastAsia="Calibri" w:hAnsi="Calibri" w:cs="Arial"/>
      <w:sz w:val="22"/>
      <w:szCs w:val="22"/>
    </w:rPr>
  </w:style>
  <w:style w:type="paragraph" w:customStyle="1" w:styleId="p">
    <w:name w:val="p"/>
    <w:basedOn w:val="Normal"/>
    <w:uiPriority w:val="99"/>
    <w:rsid w:val="00F84C82"/>
    <w:pPr>
      <w:bidi w:val="0"/>
      <w:spacing w:before="100" w:beforeAutospacing="1" w:after="100" w:afterAutospacing="1"/>
    </w:pPr>
  </w:style>
  <w:style w:type="character" w:customStyle="1" w:styleId="Heading1Char">
    <w:name w:val="Heading 1 Char"/>
    <w:link w:val="Heading1"/>
    <w:uiPriority w:val="9"/>
    <w:rsid w:val="00F84C82"/>
    <w:rPr>
      <w:b/>
      <w:bCs/>
      <w:kern w:val="36"/>
      <w:sz w:val="48"/>
      <w:szCs w:val="48"/>
    </w:rPr>
  </w:style>
  <w:style w:type="paragraph" w:styleId="ListParagraph">
    <w:name w:val="List Paragraph"/>
    <w:basedOn w:val="Normal"/>
    <w:uiPriority w:val="34"/>
    <w:qFormat/>
    <w:rsid w:val="00F84C82"/>
    <w:pPr>
      <w:bidi w:val="0"/>
      <w:spacing w:after="200" w:line="276" w:lineRule="auto"/>
      <w:ind w:left="720"/>
      <w:contextualSpacing/>
    </w:pPr>
    <w:rPr>
      <w:rFonts w:ascii="Calibri" w:eastAsia="Calibri" w:hAnsi="Calibri" w:cs="Arial"/>
      <w:sz w:val="22"/>
      <w:szCs w:val="22"/>
    </w:rPr>
  </w:style>
  <w:style w:type="character" w:styleId="Hyperlink">
    <w:name w:val="Hyperlink"/>
    <w:uiPriority w:val="99"/>
    <w:unhideWhenUsed/>
    <w:rsid w:val="00F84C82"/>
    <w:rPr>
      <w:color w:val="0000FF"/>
      <w:u w:val="single"/>
    </w:rPr>
  </w:style>
  <w:style w:type="paragraph" w:styleId="BalloonText">
    <w:name w:val="Balloon Text"/>
    <w:basedOn w:val="Normal"/>
    <w:link w:val="BalloonTextChar"/>
    <w:uiPriority w:val="99"/>
    <w:unhideWhenUsed/>
    <w:rsid w:val="00F84C82"/>
    <w:pPr>
      <w:bidi w:val="0"/>
    </w:pPr>
    <w:rPr>
      <w:rFonts w:ascii="Tahoma" w:eastAsia="Calibri" w:hAnsi="Tahoma"/>
      <w:sz w:val="16"/>
      <w:szCs w:val="16"/>
      <w:lang/>
    </w:rPr>
  </w:style>
  <w:style w:type="character" w:customStyle="1" w:styleId="BalloonTextChar">
    <w:name w:val="Balloon Text Char"/>
    <w:link w:val="BalloonText"/>
    <w:uiPriority w:val="99"/>
    <w:rsid w:val="00F84C82"/>
    <w:rPr>
      <w:rFonts w:ascii="Tahoma" w:eastAsia="Calibri" w:hAnsi="Tahoma" w:cs="Tahoma"/>
      <w:sz w:val="16"/>
      <w:szCs w:val="16"/>
    </w:rPr>
  </w:style>
  <w:style w:type="character" w:customStyle="1" w:styleId="mixed-citation">
    <w:name w:val="mixed-citation"/>
    <w:uiPriority w:val="99"/>
    <w:rsid w:val="00F84C82"/>
    <w:rPr>
      <w:rFonts w:cs="Times New Roman"/>
    </w:rPr>
  </w:style>
  <w:style w:type="paragraph" w:customStyle="1" w:styleId="Default">
    <w:name w:val="Default"/>
    <w:rsid w:val="00F84C82"/>
    <w:pPr>
      <w:autoSpaceDE w:val="0"/>
      <w:autoSpaceDN w:val="0"/>
      <w:adjustRightInd w:val="0"/>
    </w:pPr>
    <w:rPr>
      <w:rFonts w:ascii="Georgia" w:eastAsia="Calibri" w:hAnsi="Georgia" w:cs="Georgia"/>
      <w:color w:val="000000"/>
      <w:sz w:val="24"/>
      <w:szCs w:val="24"/>
      <w:lang w:eastAsia="en-US"/>
    </w:rPr>
  </w:style>
  <w:style w:type="character" w:customStyle="1" w:styleId="element-citation">
    <w:name w:val="element-citation"/>
    <w:uiPriority w:val="99"/>
    <w:rsid w:val="00F84C82"/>
    <w:rPr>
      <w:rFonts w:cs="Times New Roman"/>
    </w:rPr>
  </w:style>
  <w:style w:type="character" w:customStyle="1" w:styleId="ref-journal">
    <w:name w:val="ref-journal"/>
    <w:uiPriority w:val="99"/>
    <w:rsid w:val="00F84C82"/>
    <w:rPr>
      <w:rFonts w:cs="Times New Roman"/>
    </w:rPr>
  </w:style>
  <w:style w:type="character" w:customStyle="1" w:styleId="ref-vol">
    <w:name w:val="ref-vol"/>
    <w:rsid w:val="00F84C82"/>
    <w:rPr>
      <w:rFonts w:cs="Times New Roman"/>
    </w:rPr>
  </w:style>
  <w:style w:type="character" w:customStyle="1" w:styleId="ref-title">
    <w:name w:val="ref-title"/>
    <w:rsid w:val="00F84C82"/>
    <w:rPr>
      <w:rFonts w:cs="Times New Roman"/>
    </w:rPr>
  </w:style>
  <w:style w:type="paragraph" w:styleId="NormalWeb">
    <w:name w:val="Normal (Web)"/>
    <w:basedOn w:val="Normal"/>
    <w:uiPriority w:val="99"/>
    <w:rsid w:val="00F84C82"/>
    <w:pPr>
      <w:bidi w:val="0"/>
      <w:spacing w:before="100" w:beforeAutospacing="1" w:after="100" w:afterAutospacing="1"/>
    </w:pPr>
  </w:style>
  <w:style w:type="table" w:styleId="TableGrid">
    <w:name w:val="Table Grid"/>
    <w:basedOn w:val="TableNormal"/>
    <w:uiPriority w:val="59"/>
    <w:rsid w:val="00F84C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Default"/>
    <w:next w:val="Default"/>
    <w:uiPriority w:val="99"/>
    <w:rsid w:val="00F84C82"/>
    <w:pPr>
      <w:spacing w:line="211" w:lineRule="atLeast"/>
    </w:pPr>
    <w:rPr>
      <w:rFonts w:ascii="Minion Pro" w:hAnsi="Minion Pro" w:cs="Arial"/>
      <w:color w:val="auto"/>
    </w:rPr>
  </w:style>
  <w:style w:type="character" w:customStyle="1" w:styleId="A14">
    <w:name w:val="A14"/>
    <w:uiPriority w:val="99"/>
    <w:rsid w:val="00F84C82"/>
    <w:rPr>
      <w:rFonts w:cs="Minion Pro"/>
      <w:color w:val="000000"/>
      <w:sz w:val="12"/>
      <w:szCs w:val="12"/>
    </w:rPr>
  </w:style>
  <w:style w:type="paragraph" w:customStyle="1" w:styleId="Pa31">
    <w:name w:val="Pa31"/>
    <w:basedOn w:val="Default"/>
    <w:next w:val="Default"/>
    <w:uiPriority w:val="99"/>
    <w:rsid w:val="00F84C82"/>
    <w:pPr>
      <w:spacing w:line="191" w:lineRule="atLeast"/>
    </w:pPr>
    <w:rPr>
      <w:rFonts w:ascii="Minion Pro" w:hAnsi="Minion Pro" w:cs="Arial"/>
      <w:color w:val="auto"/>
    </w:rPr>
  </w:style>
  <w:style w:type="character" w:customStyle="1" w:styleId="A19">
    <w:name w:val="A19"/>
    <w:uiPriority w:val="99"/>
    <w:rsid w:val="00F84C82"/>
    <w:rPr>
      <w:rFonts w:cs="Minion Pro"/>
      <w:color w:val="000000"/>
      <w:sz w:val="19"/>
      <w:szCs w:val="19"/>
    </w:rPr>
  </w:style>
  <w:style w:type="character" w:customStyle="1" w:styleId="A15">
    <w:name w:val="A15"/>
    <w:uiPriority w:val="99"/>
    <w:rsid w:val="00F84C82"/>
    <w:rPr>
      <w:rFonts w:cs="Arno Pro Display"/>
      <w:color w:val="000000"/>
      <w:sz w:val="16"/>
      <w:szCs w:val="16"/>
    </w:rPr>
  </w:style>
  <w:style w:type="character" w:customStyle="1" w:styleId="A16">
    <w:name w:val="A16"/>
    <w:uiPriority w:val="99"/>
    <w:rsid w:val="00F84C82"/>
    <w:rPr>
      <w:rFonts w:ascii="Optima LT Std" w:hAnsi="Optima LT Std" w:cs="Optima LT Std"/>
      <w:color w:val="000000"/>
      <w:sz w:val="12"/>
      <w:szCs w:val="12"/>
    </w:rPr>
  </w:style>
  <w:style w:type="character" w:customStyle="1" w:styleId="apple-converted-space">
    <w:name w:val="apple-converted-space"/>
    <w:rsid w:val="00F84C82"/>
  </w:style>
  <w:style w:type="character" w:styleId="Emphasis">
    <w:name w:val="Emphasis"/>
    <w:uiPriority w:val="20"/>
    <w:qFormat/>
    <w:rsid w:val="00F84C82"/>
    <w:rPr>
      <w:i/>
      <w:iCs/>
    </w:rPr>
  </w:style>
  <w:style w:type="character" w:customStyle="1" w:styleId="ref-iss">
    <w:name w:val="ref-iss"/>
    <w:rsid w:val="00F84C82"/>
  </w:style>
  <w:style w:type="character" w:customStyle="1" w:styleId="highlight">
    <w:name w:val="highlight"/>
    <w:rsid w:val="00F84C82"/>
  </w:style>
  <w:style w:type="character" w:customStyle="1" w:styleId="jrnl">
    <w:name w:val="jrnl"/>
    <w:rsid w:val="00A26007"/>
  </w:style>
</w:styles>
</file>

<file path=word/webSettings.xml><?xml version="1.0" encoding="utf-8"?>
<w:webSettings xmlns:r="http://schemas.openxmlformats.org/officeDocument/2006/relationships" xmlns:w="http://schemas.openxmlformats.org/wordprocessingml/2006/main">
  <w:divs>
    <w:div w:id="618491275">
      <w:bodyDiv w:val="1"/>
      <w:marLeft w:val="0"/>
      <w:marRight w:val="0"/>
      <w:marTop w:val="0"/>
      <w:marBottom w:val="0"/>
      <w:divBdr>
        <w:top w:val="none" w:sz="0" w:space="0" w:color="auto"/>
        <w:left w:val="none" w:sz="0" w:space="0" w:color="auto"/>
        <w:bottom w:val="none" w:sz="0" w:space="0" w:color="auto"/>
        <w:right w:val="none" w:sz="0" w:space="0" w:color="auto"/>
      </w:divBdr>
    </w:div>
    <w:div w:id="121412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s://www.ncbi.nlm.nih.gov/pubmed/17141013" TargetMode="External"/><Relationship Id="rId18" Type="http://schemas.openxmlformats.org/officeDocument/2006/relationships/hyperlink" Target="https://www.ncbi.nlm.nih.gov/pubmed/?term=Bonnet+and+Walsh%2C+2005" TargetMode="External"/><Relationship Id="rId3" Type="http://schemas.openxmlformats.org/officeDocument/2006/relationships/settings" Target="settings.xml"/><Relationship Id="rId7" Type="http://schemas.openxmlformats.org/officeDocument/2006/relationships/hyperlink" Target="mailto:drezzstar84@gmail.com" TargetMode="External"/><Relationship Id="rId12" Type="http://schemas.openxmlformats.org/officeDocument/2006/relationships/hyperlink" Target="https://www.ncbi.nlm.nih.gov/pubmed/?term=Serum+Calcium+Concentration+Is+Inversely+Associated+With+Radiographic+Knee+Osteoarthritis" TargetMode="External"/><Relationship Id="rId17" Type="http://schemas.openxmlformats.org/officeDocument/2006/relationships/hyperlink" Target="https://www.ncbi.nlm.nih.gov/pubmed/?term=Walsh%20DA%5BAuthor%5D&amp;cauthor=true&amp;cauthor_uid=15292527" TargetMode="External"/><Relationship Id="rId2" Type="http://schemas.openxmlformats.org/officeDocument/2006/relationships/styles" Target="styles.xml"/><Relationship Id="rId16" Type="http://schemas.openxmlformats.org/officeDocument/2006/relationships/hyperlink" Target="https://www.ncbi.nlm.nih.gov/pubmed/?term=Bonnet%20CS%5BAuthor%5D&amp;cauthor=true&amp;cauthor_uid=1529252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cbi.nlm.nih.gov/pubmed/17159016"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rsj090717.16" TargetMode="External"/><Relationship Id="rId14" Type="http://schemas.openxmlformats.org/officeDocument/2006/relationships/hyperlink" Target="https://www.ncbi.nlm.nih.gov/pubmed/1081755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4598</Words>
  <Characters>26211</Characters>
  <Application>Microsoft Office Word</Application>
  <DocSecurity>0</DocSecurity>
  <Lines>218</Lines>
  <Paragraphs>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The Masterz</Company>
  <LinksUpToDate>false</LinksUpToDate>
  <CharactersWithSpaces>30748</CharactersWithSpaces>
  <SharedDoc>false</SharedDoc>
  <HLinks>
    <vt:vector size="48" baseType="variant">
      <vt:variant>
        <vt:i4>2752573</vt:i4>
      </vt:variant>
      <vt:variant>
        <vt:i4>21</vt:i4>
      </vt:variant>
      <vt:variant>
        <vt:i4>0</vt:i4>
      </vt:variant>
      <vt:variant>
        <vt:i4>5</vt:i4>
      </vt:variant>
      <vt:variant>
        <vt:lpwstr>https://www.ncbi.nlm.nih.gov/pubmed/?term=Bonnet+and+Walsh%2C+2005</vt:lpwstr>
      </vt:variant>
      <vt:variant>
        <vt:lpwstr/>
      </vt:variant>
      <vt:variant>
        <vt:i4>589884</vt:i4>
      </vt:variant>
      <vt:variant>
        <vt:i4>18</vt:i4>
      </vt:variant>
      <vt:variant>
        <vt:i4>0</vt:i4>
      </vt:variant>
      <vt:variant>
        <vt:i4>5</vt:i4>
      </vt:variant>
      <vt:variant>
        <vt:lpwstr>https://www.ncbi.nlm.nih.gov/pubmed/?term=Walsh%20DA%5BAuthor%5D&amp;cauthor=true&amp;cauthor_uid=15292527</vt:lpwstr>
      </vt:variant>
      <vt:variant>
        <vt:lpwstr/>
      </vt:variant>
      <vt:variant>
        <vt:i4>6553614</vt:i4>
      </vt:variant>
      <vt:variant>
        <vt:i4>15</vt:i4>
      </vt:variant>
      <vt:variant>
        <vt:i4>0</vt:i4>
      </vt:variant>
      <vt:variant>
        <vt:i4>5</vt:i4>
      </vt:variant>
      <vt:variant>
        <vt:lpwstr>https://www.ncbi.nlm.nih.gov/pubmed/?term=Bonnet%20CS%5BAuthor%5D&amp;cauthor=true&amp;cauthor_uid=15292527</vt:lpwstr>
      </vt:variant>
      <vt:variant>
        <vt:lpwstr/>
      </vt:variant>
      <vt:variant>
        <vt:i4>655443</vt:i4>
      </vt:variant>
      <vt:variant>
        <vt:i4>12</vt:i4>
      </vt:variant>
      <vt:variant>
        <vt:i4>0</vt:i4>
      </vt:variant>
      <vt:variant>
        <vt:i4>5</vt:i4>
      </vt:variant>
      <vt:variant>
        <vt:lpwstr>https://www.ncbi.nlm.nih.gov/pubmed/17159016</vt:lpwstr>
      </vt:variant>
      <vt:variant>
        <vt:lpwstr/>
      </vt:variant>
      <vt:variant>
        <vt:i4>720976</vt:i4>
      </vt:variant>
      <vt:variant>
        <vt:i4>9</vt:i4>
      </vt:variant>
      <vt:variant>
        <vt:i4>0</vt:i4>
      </vt:variant>
      <vt:variant>
        <vt:i4>5</vt:i4>
      </vt:variant>
      <vt:variant>
        <vt:lpwstr>https://www.ncbi.nlm.nih.gov/pubmed/10817551</vt:lpwstr>
      </vt:variant>
      <vt:variant>
        <vt:lpwstr/>
      </vt:variant>
      <vt:variant>
        <vt:i4>917595</vt:i4>
      </vt:variant>
      <vt:variant>
        <vt:i4>6</vt:i4>
      </vt:variant>
      <vt:variant>
        <vt:i4>0</vt:i4>
      </vt:variant>
      <vt:variant>
        <vt:i4>5</vt:i4>
      </vt:variant>
      <vt:variant>
        <vt:lpwstr>https://www.ncbi.nlm.nih.gov/pubmed/17141013</vt:lpwstr>
      </vt:variant>
      <vt:variant>
        <vt:lpwstr/>
      </vt:variant>
      <vt:variant>
        <vt:i4>7536740</vt:i4>
      </vt:variant>
      <vt:variant>
        <vt:i4>3</vt:i4>
      </vt:variant>
      <vt:variant>
        <vt:i4>0</vt:i4>
      </vt:variant>
      <vt:variant>
        <vt:i4>5</vt:i4>
      </vt:variant>
      <vt:variant>
        <vt:lpwstr>https://www.ncbi.nlm.nih.gov/pubmed/?term=Serum+Calcium+Concentration+Is+Inversely+Associated+With+Radiographic+Knee+Osteoarthritis</vt:lpwstr>
      </vt:variant>
      <vt:variant>
        <vt:lpwstr/>
      </vt:variant>
      <vt:variant>
        <vt:i4>5177453</vt:i4>
      </vt:variant>
      <vt:variant>
        <vt:i4>0</vt:i4>
      </vt:variant>
      <vt:variant>
        <vt:i4>0</vt:i4>
      </vt:variant>
      <vt:variant>
        <vt:i4>5</vt:i4>
      </vt:variant>
      <vt:variant>
        <vt:lpwstr>mailto:drezzstar84@gmail.com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Shamrookh</dc:creator>
  <cp:lastModifiedBy>Administrator</cp:lastModifiedBy>
  <cp:revision>3</cp:revision>
  <cp:lastPrinted>2017-07-11T18:08:00Z</cp:lastPrinted>
  <dcterms:created xsi:type="dcterms:W3CDTF">2017-07-31T07:44:00Z</dcterms:created>
  <dcterms:modified xsi:type="dcterms:W3CDTF">2017-08-01T01:43:00Z</dcterms:modified>
</cp:coreProperties>
</file>