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41" w:rsidRPr="00E37322" w:rsidRDefault="007D405B" w:rsidP="005B53F8">
      <w:pPr>
        <w:bidi w:val="0"/>
        <w:snapToGrid w:val="0"/>
        <w:spacing w:after="0" w:line="240" w:lineRule="auto"/>
        <w:jc w:val="center"/>
        <w:rPr>
          <w:rFonts w:ascii="Times New Roman" w:eastAsia="Times New Roman" w:hAnsi="Times New Roman" w:cs="Times New Roman"/>
          <w:b/>
          <w:bCs/>
          <w:sz w:val="20"/>
          <w:szCs w:val="20"/>
        </w:rPr>
      </w:pPr>
      <w:r w:rsidRPr="00E37322">
        <w:rPr>
          <w:rFonts w:ascii="Times New Roman" w:eastAsia="Times New Roman" w:hAnsi="Times New Roman" w:cs="Times New Roman"/>
          <w:b/>
          <w:bCs/>
          <w:sz w:val="20"/>
          <w:szCs w:val="20"/>
        </w:rPr>
        <w:t>Research Relationship Between Internal Audit And Tax Gap</w:t>
      </w:r>
    </w:p>
    <w:p w:rsidR="00BE2241" w:rsidRPr="00E37322" w:rsidRDefault="00BE2241" w:rsidP="005B53F8">
      <w:pPr>
        <w:bidi w:val="0"/>
        <w:snapToGrid w:val="0"/>
        <w:spacing w:after="0" w:line="240" w:lineRule="auto"/>
        <w:jc w:val="center"/>
        <w:rPr>
          <w:rFonts w:ascii="Times New Roman" w:eastAsia="Times New Roman" w:hAnsi="Times New Roman" w:cs="Times New Roman"/>
          <w:b/>
          <w:bCs/>
          <w:sz w:val="20"/>
          <w:szCs w:val="20"/>
        </w:rPr>
      </w:pPr>
    </w:p>
    <w:p w:rsidR="00BE2241" w:rsidRPr="00E37322" w:rsidRDefault="007D405B" w:rsidP="005B53F8">
      <w:pPr>
        <w:tabs>
          <w:tab w:val="left" w:pos="9072"/>
        </w:tabs>
        <w:autoSpaceDE w:val="0"/>
        <w:autoSpaceDN w:val="0"/>
        <w:bidi w:val="0"/>
        <w:adjustRightInd w:val="0"/>
        <w:snapToGrid w:val="0"/>
        <w:spacing w:after="0" w:line="240" w:lineRule="auto"/>
        <w:jc w:val="center"/>
        <w:rPr>
          <w:rFonts w:ascii="Times New Roman" w:hAnsi="Times New Roman" w:cs="Times New Roman"/>
          <w:bCs/>
          <w:sz w:val="20"/>
          <w:szCs w:val="20"/>
          <w:lang w:eastAsia="zh-CN"/>
        </w:rPr>
      </w:pPr>
      <w:r w:rsidRPr="00E37322">
        <w:rPr>
          <w:rFonts w:ascii="Times New Roman" w:eastAsia="Times New Roman" w:hAnsi="Times New Roman" w:cs="Times New Roman"/>
          <w:bCs/>
          <w:sz w:val="20"/>
          <w:szCs w:val="20"/>
          <w:vertAlign w:val="superscript"/>
        </w:rPr>
        <w:t>1-</w:t>
      </w:r>
      <w:r w:rsidR="00CB1411" w:rsidRPr="00E37322">
        <w:rPr>
          <w:rFonts w:ascii="Times New Roman" w:eastAsia="Times New Roman" w:hAnsi="Times New Roman" w:cs="Times New Roman"/>
          <w:bCs/>
          <w:sz w:val="20"/>
          <w:szCs w:val="20"/>
        </w:rPr>
        <w:t xml:space="preserve">Hamid </w:t>
      </w:r>
      <w:proofErr w:type="spellStart"/>
      <w:r w:rsidR="00CB1411" w:rsidRPr="00E37322">
        <w:rPr>
          <w:rFonts w:ascii="Times New Roman" w:eastAsia="Times New Roman" w:hAnsi="Times New Roman" w:cs="Times New Roman"/>
          <w:bCs/>
          <w:sz w:val="20"/>
          <w:szCs w:val="20"/>
        </w:rPr>
        <w:t>Ranjbar</w:t>
      </w:r>
      <w:proofErr w:type="spellEnd"/>
      <w:r w:rsidR="00CB1411" w:rsidRPr="00E37322">
        <w:rPr>
          <w:rFonts w:ascii="Times New Roman" w:eastAsia="Times New Roman" w:hAnsi="Times New Roman" w:cs="Times New Roman"/>
          <w:bCs/>
          <w:sz w:val="20"/>
          <w:szCs w:val="20"/>
        </w:rPr>
        <w:t xml:space="preserve"> </w:t>
      </w:r>
      <w:proofErr w:type="spellStart"/>
      <w:r w:rsidR="00CB1411" w:rsidRPr="00E37322">
        <w:rPr>
          <w:rFonts w:ascii="Times New Roman" w:eastAsia="Times New Roman" w:hAnsi="Times New Roman" w:cs="Times New Roman"/>
          <w:bCs/>
          <w:sz w:val="20"/>
          <w:szCs w:val="20"/>
        </w:rPr>
        <w:t>Jamalabadi</w:t>
      </w:r>
      <w:proofErr w:type="spellEnd"/>
      <w:r w:rsidR="00CB1411" w:rsidRPr="00E37322">
        <w:rPr>
          <w:rFonts w:ascii="Times New Roman" w:eastAsia="Times New Roman" w:hAnsi="Times New Roman" w:cs="Times New Roman"/>
          <w:bCs/>
          <w:sz w:val="20"/>
          <w:szCs w:val="20"/>
        </w:rPr>
        <w:t xml:space="preserve"> </w:t>
      </w:r>
      <w:r w:rsidR="00B61988" w:rsidRPr="00E37322">
        <w:rPr>
          <w:rFonts w:ascii="Times New Roman" w:eastAsia="Times New Roman" w:hAnsi="Times New Roman" w:cs="Times New Roman"/>
          <w:bCs/>
          <w:sz w:val="20"/>
          <w:szCs w:val="20"/>
        </w:rPr>
        <w:t>(corresponding author)</w:t>
      </w:r>
    </w:p>
    <w:p w:rsidR="00BE2241" w:rsidRPr="00E37322" w:rsidRDefault="00BE2241" w:rsidP="005B53F8">
      <w:pPr>
        <w:tabs>
          <w:tab w:val="left" w:pos="9072"/>
        </w:tabs>
        <w:autoSpaceDE w:val="0"/>
        <w:autoSpaceDN w:val="0"/>
        <w:bidi w:val="0"/>
        <w:adjustRightInd w:val="0"/>
        <w:snapToGrid w:val="0"/>
        <w:spacing w:after="0" w:line="240" w:lineRule="auto"/>
        <w:jc w:val="center"/>
        <w:rPr>
          <w:rFonts w:ascii="Times New Roman" w:hAnsi="Times New Roman" w:cs="Times New Roman"/>
          <w:bCs/>
          <w:sz w:val="20"/>
          <w:szCs w:val="20"/>
          <w:lang w:eastAsia="zh-CN"/>
        </w:rPr>
      </w:pPr>
    </w:p>
    <w:p w:rsidR="00CB1411" w:rsidRPr="00E37322" w:rsidRDefault="00CB1411" w:rsidP="005B53F8">
      <w:pPr>
        <w:bidi w:val="0"/>
        <w:snapToGrid w:val="0"/>
        <w:spacing w:after="0" w:line="240" w:lineRule="auto"/>
        <w:jc w:val="center"/>
        <w:rPr>
          <w:rFonts w:ascii="Times New Roman" w:eastAsia="Times New Roman" w:hAnsi="Times New Roman" w:cs="Times New Roman"/>
          <w:bCs/>
          <w:sz w:val="20"/>
          <w:szCs w:val="20"/>
        </w:rPr>
      </w:pPr>
      <w:r w:rsidRPr="00E37322">
        <w:rPr>
          <w:rFonts w:ascii="Times New Roman" w:eastAsia="Times New Roman" w:hAnsi="Times New Roman" w:cs="Times New Roman"/>
          <w:bCs/>
          <w:sz w:val="20"/>
          <w:szCs w:val="20"/>
        </w:rPr>
        <w:t>Depart</w:t>
      </w:r>
      <w:r w:rsidR="00D70F76" w:rsidRPr="00E37322">
        <w:rPr>
          <w:rFonts w:ascii="Times New Roman" w:eastAsia="Times New Roman" w:hAnsi="Times New Roman" w:cs="Times New Roman"/>
          <w:bCs/>
          <w:sz w:val="20"/>
          <w:szCs w:val="20"/>
        </w:rPr>
        <w:t xml:space="preserve">ment of Accounting, Yazd </w:t>
      </w:r>
      <w:proofErr w:type="spellStart"/>
      <w:r w:rsidR="00D70F76" w:rsidRPr="00E37322">
        <w:rPr>
          <w:rFonts w:ascii="Times New Roman" w:eastAsia="Times New Roman" w:hAnsi="Times New Roman" w:cs="Times New Roman"/>
          <w:bCs/>
          <w:sz w:val="20"/>
          <w:szCs w:val="20"/>
        </w:rPr>
        <w:t>Shahid</w:t>
      </w:r>
      <w:proofErr w:type="spellEnd"/>
      <w:r w:rsidR="00D70F76" w:rsidRPr="00E37322">
        <w:rPr>
          <w:rFonts w:ascii="Times New Roman" w:hAnsi="Times New Roman" w:cs="Times New Roman"/>
          <w:bCs/>
          <w:sz w:val="20"/>
          <w:szCs w:val="20"/>
          <w:lang w:eastAsia="zh-CN"/>
        </w:rPr>
        <w:t xml:space="preserve"> </w:t>
      </w:r>
      <w:proofErr w:type="spellStart"/>
      <w:r w:rsidRPr="00E37322">
        <w:rPr>
          <w:rFonts w:ascii="Times New Roman" w:eastAsia="Times New Roman" w:hAnsi="Times New Roman" w:cs="Times New Roman"/>
          <w:bCs/>
          <w:sz w:val="20"/>
          <w:szCs w:val="20"/>
        </w:rPr>
        <w:t>Sadoughi</w:t>
      </w:r>
      <w:proofErr w:type="spellEnd"/>
      <w:r w:rsidRPr="00E37322">
        <w:rPr>
          <w:rFonts w:ascii="Times New Roman" w:eastAsia="Times New Roman" w:hAnsi="Times New Roman" w:cs="Times New Roman"/>
          <w:bCs/>
          <w:sz w:val="20"/>
          <w:szCs w:val="20"/>
        </w:rPr>
        <w:t xml:space="preserve"> University of Medical Sciences,</w:t>
      </w:r>
      <w:r w:rsidR="00D70F76" w:rsidRPr="00E37322">
        <w:rPr>
          <w:rFonts w:ascii="Times New Roman" w:hAnsi="Times New Roman" w:cs="Times New Roman"/>
          <w:bCs/>
          <w:sz w:val="20"/>
          <w:szCs w:val="20"/>
          <w:lang w:eastAsia="zh-CN"/>
        </w:rPr>
        <w:t xml:space="preserve"> </w:t>
      </w:r>
      <w:r w:rsidRPr="00E37322">
        <w:rPr>
          <w:rFonts w:ascii="Times New Roman" w:eastAsia="Times New Roman" w:hAnsi="Times New Roman" w:cs="Times New Roman"/>
          <w:bCs/>
          <w:sz w:val="20"/>
          <w:szCs w:val="20"/>
        </w:rPr>
        <w:t>Yazd, Iran.</w:t>
      </w:r>
    </w:p>
    <w:p w:rsidR="00CB1411" w:rsidRPr="00E37322" w:rsidRDefault="00CB1411" w:rsidP="005B53F8">
      <w:pPr>
        <w:bidi w:val="0"/>
        <w:snapToGrid w:val="0"/>
        <w:spacing w:after="0" w:line="240" w:lineRule="auto"/>
        <w:jc w:val="center"/>
        <w:rPr>
          <w:rFonts w:ascii="Times New Roman" w:eastAsia="Times New Roman" w:hAnsi="Times New Roman" w:cs="Times New Roman"/>
          <w:bCs/>
          <w:sz w:val="20"/>
          <w:szCs w:val="20"/>
        </w:rPr>
      </w:pPr>
      <w:r w:rsidRPr="00E37322">
        <w:rPr>
          <w:rFonts w:ascii="Times New Roman" w:eastAsia="Times New Roman" w:hAnsi="Times New Roman" w:cs="Times New Roman"/>
          <w:bCs/>
          <w:sz w:val="20"/>
          <w:szCs w:val="20"/>
        </w:rPr>
        <w:t>Department of</w:t>
      </w:r>
      <w:r w:rsidR="00BE2241" w:rsidRPr="00E37322">
        <w:rPr>
          <w:rFonts w:ascii="Times New Roman" w:eastAsia="Times New Roman" w:hAnsi="Times New Roman" w:cs="Times New Roman"/>
          <w:bCs/>
          <w:sz w:val="20"/>
          <w:szCs w:val="20"/>
        </w:rPr>
        <w:t xml:space="preserve"> </w:t>
      </w:r>
      <w:r w:rsidRPr="00E37322">
        <w:rPr>
          <w:rFonts w:ascii="Times New Roman" w:eastAsia="Times New Roman" w:hAnsi="Times New Roman" w:cs="Times New Roman"/>
          <w:bCs/>
          <w:sz w:val="20"/>
          <w:szCs w:val="20"/>
        </w:rPr>
        <w:t>accounting</w:t>
      </w:r>
      <w:r w:rsidR="00BE2241" w:rsidRPr="00E37322">
        <w:rPr>
          <w:rFonts w:ascii="Times New Roman" w:eastAsia="Times New Roman" w:hAnsi="Times New Roman" w:cs="Times New Roman"/>
          <w:bCs/>
          <w:sz w:val="20"/>
          <w:szCs w:val="20"/>
        </w:rPr>
        <w:t>,</w:t>
      </w:r>
      <w:r w:rsidRPr="00E37322">
        <w:rPr>
          <w:rFonts w:ascii="Times New Roman" w:eastAsia="Times New Roman" w:hAnsi="Times New Roman" w:cs="Times New Roman"/>
          <w:bCs/>
          <w:sz w:val="20"/>
          <w:szCs w:val="20"/>
        </w:rPr>
        <w:t xml:space="preserve"> Science and Research Branch, Islamic Azad University, Yazd, Iran.</w:t>
      </w:r>
    </w:p>
    <w:p w:rsidR="00CB1411" w:rsidRPr="00E37322" w:rsidRDefault="007D405B" w:rsidP="005B53F8">
      <w:pPr>
        <w:bidi w:val="0"/>
        <w:snapToGrid w:val="0"/>
        <w:spacing w:after="0" w:line="240" w:lineRule="auto"/>
        <w:jc w:val="center"/>
        <w:rPr>
          <w:rFonts w:ascii="Times New Roman" w:eastAsia="Times New Roman" w:hAnsi="Times New Roman" w:cs="Times New Roman"/>
          <w:bCs/>
          <w:sz w:val="20"/>
          <w:szCs w:val="20"/>
        </w:rPr>
      </w:pPr>
      <w:r w:rsidRPr="00E37322">
        <w:rPr>
          <w:rFonts w:ascii="Times New Roman" w:eastAsia="Times New Roman" w:hAnsi="Times New Roman" w:cs="Times New Roman"/>
          <w:bCs/>
          <w:sz w:val="20"/>
          <w:szCs w:val="20"/>
          <w:vertAlign w:val="superscript"/>
        </w:rPr>
        <w:t>2-</w:t>
      </w:r>
      <w:r w:rsidR="00CB1411" w:rsidRPr="00E37322">
        <w:rPr>
          <w:rFonts w:ascii="Times New Roman" w:eastAsia="Times New Roman" w:hAnsi="Times New Roman" w:cs="Times New Roman"/>
          <w:bCs/>
          <w:sz w:val="20"/>
          <w:szCs w:val="20"/>
        </w:rPr>
        <w:t xml:space="preserve">Alireza </w:t>
      </w:r>
      <w:proofErr w:type="spellStart"/>
      <w:r w:rsidR="00CB1411" w:rsidRPr="00E37322">
        <w:rPr>
          <w:rFonts w:ascii="Times New Roman" w:eastAsia="Times New Roman" w:hAnsi="Times New Roman" w:cs="Times New Roman"/>
          <w:bCs/>
          <w:sz w:val="20"/>
          <w:szCs w:val="20"/>
        </w:rPr>
        <w:t>Pahlavan</w:t>
      </w:r>
      <w:proofErr w:type="spellEnd"/>
      <w:r w:rsidR="00CB1411" w:rsidRPr="00E37322">
        <w:rPr>
          <w:rFonts w:ascii="Times New Roman" w:eastAsia="Times New Roman" w:hAnsi="Times New Roman" w:cs="Times New Roman"/>
          <w:bCs/>
          <w:sz w:val="20"/>
          <w:szCs w:val="20"/>
        </w:rPr>
        <w:t xml:space="preserve"> </w:t>
      </w:r>
      <w:proofErr w:type="spellStart"/>
      <w:r w:rsidR="00CB1411" w:rsidRPr="00E37322">
        <w:rPr>
          <w:rFonts w:ascii="Times New Roman" w:eastAsia="Times New Roman" w:hAnsi="Times New Roman" w:cs="Times New Roman"/>
          <w:bCs/>
          <w:sz w:val="20"/>
          <w:szCs w:val="20"/>
        </w:rPr>
        <w:t>Hanzaee</w:t>
      </w:r>
      <w:proofErr w:type="spellEnd"/>
      <w:r w:rsidR="00CB1411" w:rsidRPr="00E37322">
        <w:rPr>
          <w:rFonts w:ascii="Times New Roman" w:eastAsia="Times New Roman" w:hAnsi="Times New Roman" w:cs="Times New Roman"/>
          <w:bCs/>
          <w:sz w:val="20"/>
          <w:szCs w:val="20"/>
        </w:rPr>
        <w:t>,</w:t>
      </w:r>
      <w:r w:rsidR="00D70F76" w:rsidRPr="00E37322">
        <w:rPr>
          <w:rFonts w:ascii="Times New Roman" w:hAnsi="Times New Roman" w:cs="Times New Roman"/>
          <w:bCs/>
          <w:sz w:val="20"/>
          <w:szCs w:val="20"/>
          <w:lang w:eastAsia="zh-CN"/>
        </w:rPr>
        <w:t xml:space="preserve"> </w:t>
      </w:r>
      <w:r w:rsidR="00CB1411" w:rsidRPr="00E37322">
        <w:rPr>
          <w:rFonts w:ascii="Times New Roman" w:eastAsia="Times New Roman" w:hAnsi="Times New Roman" w:cs="Times New Roman"/>
          <w:bCs/>
          <w:sz w:val="20"/>
          <w:szCs w:val="20"/>
        </w:rPr>
        <w:t xml:space="preserve">Department of accounting ،science and research </w:t>
      </w:r>
      <w:proofErr w:type="spellStart"/>
      <w:r w:rsidR="00CB1411" w:rsidRPr="00E37322">
        <w:rPr>
          <w:rFonts w:ascii="Times New Roman" w:eastAsia="Times New Roman" w:hAnsi="Times New Roman" w:cs="Times New Roman"/>
          <w:bCs/>
          <w:sz w:val="20"/>
          <w:szCs w:val="20"/>
        </w:rPr>
        <w:t>branch،islamic</w:t>
      </w:r>
      <w:proofErr w:type="spellEnd"/>
      <w:r w:rsidR="00CB1411" w:rsidRPr="00E37322">
        <w:rPr>
          <w:rFonts w:ascii="Times New Roman" w:eastAsia="Times New Roman" w:hAnsi="Times New Roman" w:cs="Times New Roman"/>
          <w:bCs/>
          <w:sz w:val="20"/>
          <w:szCs w:val="20"/>
        </w:rPr>
        <w:t xml:space="preserve"> </w:t>
      </w:r>
      <w:proofErr w:type="spellStart"/>
      <w:r w:rsidR="00CB1411" w:rsidRPr="00E37322">
        <w:rPr>
          <w:rFonts w:ascii="Times New Roman" w:eastAsia="Times New Roman" w:hAnsi="Times New Roman" w:cs="Times New Roman"/>
          <w:bCs/>
          <w:sz w:val="20"/>
          <w:szCs w:val="20"/>
        </w:rPr>
        <w:t>azad</w:t>
      </w:r>
      <w:proofErr w:type="spellEnd"/>
      <w:r w:rsidR="00CB1411" w:rsidRPr="00E37322">
        <w:rPr>
          <w:rFonts w:ascii="Times New Roman" w:eastAsia="Times New Roman" w:hAnsi="Times New Roman" w:cs="Times New Roman"/>
          <w:bCs/>
          <w:sz w:val="20"/>
          <w:szCs w:val="20"/>
        </w:rPr>
        <w:t xml:space="preserve"> university </w:t>
      </w:r>
      <w:proofErr w:type="spellStart"/>
      <w:r w:rsidR="00CB1411" w:rsidRPr="00E37322">
        <w:rPr>
          <w:rFonts w:ascii="Times New Roman" w:eastAsia="Times New Roman" w:hAnsi="Times New Roman" w:cs="Times New Roman"/>
          <w:bCs/>
          <w:sz w:val="20"/>
          <w:szCs w:val="20"/>
        </w:rPr>
        <w:t>yazd</w:t>
      </w:r>
      <w:proofErr w:type="spellEnd"/>
      <w:r w:rsidR="00CB1411" w:rsidRPr="00E37322">
        <w:rPr>
          <w:rFonts w:ascii="Times New Roman" w:eastAsia="Times New Roman" w:hAnsi="Times New Roman" w:cs="Times New Roman"/>
          <w:bCs/>
          <w:sz w:val="20"/>
          <w:szCs w:val="20"/>
        </w:rPr>
        <w:t xml:space="preserve">، </w:t>
      </w:r>
      <w:proofErr w:type="spellStart"/>
      <w:r w:rsidR="00CB1411" w:rsidRPr="00E37322">
        <w:rPr>
          <w:rFonts w:ascii="Times New Roman" w:eastAsia="Times New Roman" w:hAnsi="Times New Roman" w:cs="Times New Roman"/>
          <w:bCs/>
          <w:sz w:val="20"/>
          <w:szCs w:val="20"/>
        </w:rPr>
        <w:t>iran</w:t>
      </w:r>
      <w:proofErr w:type="spellEnd"/>
      <w:r w:rsidRPr="00E37322">
        <w:rPr>
          <w:rFonts w:ascii="Times New Roman" w:eastAsia="Times New Roman" w:hAnsi="Times New Roman" w:cs="Times New Roman"/>
          <w:bCs/>
          <w:sz w:val="20"/>
          <w:szCs w:val="20"/>
        </w:rPr>
        <w:t>.</w:t>
      </w:r>
      <w:bookmarkStart w:id="0" w:name="_GoBack"/>
      <w:bookmarkEnd w:id="0"/>
    </w:p>
    <w:p w:rsidR="00D70F76" w:rsidRPr="00E37322" w:rsidRDefault="007D405B" w:rsidP="005B53F8">
      <w:pPr>
        <w:bidi w:val="0"/>
        <w:snapToGrid w:val="0"/>
        <w:spacing w:after="0" w:line="240" w:lineRule="auto"/>
        <w:jc w:val="center"/>
        <w:rPr>
          <w:rFonts w:ascii="Times New Roman" w:hAnsi="Times New Roman" w:cs="Times New Roman"/>
          <w:bCs/>
          <w:sz w:val="20"/>
          <w:szCs w:val="20"/>
          <w:lang w:eastAsia="zh-CN"/>
        </w:rPr>
      </w:pPr>
      <w:r w:rsidRPr="00E37322">
        <w:rPr>
          <w:rFonts w:ascii="Times New Roman" w:eastAsia="Times New Roman" w:hAnsi="Times New Roman" w:cs="Times New Roman"/>
          <w:bCs/>
          <w:sz w:val="20"/>
          <w:szCs w:val="20"/>
          <w:vertAlign w:val="superscript"/>
        </w:rPr>
        <w:t>3-</w:t>
      </w:r>
      <w:r w:rsidR="00CB1411" w:rsidRPr="00E37322">
        <w:rPr>
          <w:rFonts w:ascii="Times New Roman" w:eastAsia="Times New Roman" w:hAnsi="Times New Roman" w:cs="Times New Roman"/>
          <w:bCs/>
          <w:sz w:val="20"/>
          <w:szCs w:val="20"/>
        </w:rPr>
        <w:t xml:space="preserve">Fakhroddin </w:t>
      </w:r>
      <w:proofErr w:type="spellStart"/>
      <w:r w:rsidR="00CB1411" w:rsidRPr="00E37322">
        <w:rPr>
          <w:rFonts w:ascii="Times New Roman" w:eastAsia="Times New Roman" w:hAnsi="Times New Roman" w:cs="Times New Roman"/>
          <w:bCs/>
          <w:sz w:val="20"/>
          <w:szCs w:val="20"/>
        </w:rPr>
        <w:t>Khamesi</w:t>
      </w:r>
      <w:proofErr w:type="spellEnd"/>
      <w:r w:rsidR="00CB1411" w:rsidRPr="00E37322">
        <w:rPr>
          <w:rFonts w:ascii="Times New Roman" w:eastAsia="Times New Roman" w:hAnsi="Times New Roman" w:cs="Times New Roman"/>
          <w:bCs/>
          <w:sz w:val="20"/>
          <w:szCs w:val="20"/>
        </w:rPr>
        <w:t xml:space="preserve"> </w:t>
      </w:r>
      <w:proofErr w:type="spellStart"/>
      <w:r w:rsidR="00CB1411" w:rsidRPr="00E37322">
        <w:rPr>
          <w:rFonts w:ascii="Times New Roman" w:eastAsia="Times New Roman" w:hAnsi="Times New Roman" w:cs="Times New Roman"/>
          <w:bCs/>
          <w:sz w:val="20"/>
          <w:szCs w:val="20"/>
        </w:rPr>
        <w:t>Hamaneh</w:t>
      </w:r>
      <w:proofErr w:type="spellEnd"/>
      <w:r w:rsidR="00317CEA" w:rsidRPr="00E37322">
        <w:rPr>
          <w:rFonts w:ascii="Times New Roman" w:eastAsia="Times New Roman" w:hAnsi="Times New Roman" w:cs="Times New Roman"/>
          <w:bCs/>
          <w:sz w:val="20"/>
          <w:szCs w:val="20"/>
        </w:rPr>
        <w:t>,</w:t>
      </w:r>
      <w:r w:rsidR="00D70F76" w:rsidRPr="00E37322">
        <w:rPr>
          <w:rFonts w:ascii="Times New Roman" w:hAnsi="Times New Roman" w:cs="Times New Roman"/>
          <w:bCs/>
          <w:sz w:val="20"/>
          <w:szCs w:val="20"/>
          <w:lang w:eastAsia="zh-CN"/>
        </w:rPr>
        <w:t xml:space="preserve"> </w:t>
      </w:r>
      <w:r w:rsidR="00317CEA" w:rsidRPr="00E37322">
        <w:rPr>
          <w:rFonts w:ascii="Times New Roman" w:eastAsia="Times New Roman" w:hAnsi="Times New Roman" w:cs="Times New Roman"/>
          <w:bCs/>
          <w:sz w:val="20"/>
          <w:szCs w:val="20"/>
        </w:rPr>
        <w:t xml:space="preserve">Department of accounting ،science and research </w:t>
      </w:r>
      <w:proofErr w:type="spellStart"/>
      <w:r w:rsidR="00317CEA" w:rsidRPr="00E37322">
        <w:rPr>
          <w:rFonts w:ascii="Times New Roman" w:eastAsia="Times New Roman" w:hAnsi="Times New Roman" w:cs="Times New Roman"/>
          <w:bCs/>
          <w:sz w:val="20"/>
          <w:szCs w:val="20"/>
        </w:rPr>
        <w:t>branch،islamic</w:t>
      </w:r>
      <w:proofErr w:type="spellEnd"/>
      <w:r w:rsidR="00317CEA" w:rsidRPr="00E37322">
        <w:rPr>
          <w:rFonts w:ascii="Times New Roman" w:eastAsia="Times New Roman" w:hAnsi="Times New Roman" w:cs="Times New Roman"/>
          <w:bCs/>
          <w:sz w:val="20"/>
          <w:szCs w:val="20"/>
        </w:rPr>
        <w:t xml:space="preserve"> </w:t>
      </w:r>
      <w:proofErr w:type="spellStart"/>
      <w:r w:rsidR="00317CEA" w:rsidRPr="00E37322">
        <w:rPr>
          <w:rFonts w:ascii="Times New Roman" w:eastAsia="Times New Roman" w:hAnsi="Times New Roman" w:cs="Times New Roman"/>
          <w:bCs/>
          <w:sz w:val="20"/>
          <w:szCs w:val="20"/>
        </w:rPr>
        <w:t>azad</w:t>
      </w:r>
      <w:proofErr w:type="spellEnd"/>
      <w:r w:rsidR="00317CEA" w:rsidRPr="00E37322">
        <w:rPr>
          <w:rFonts w:ascii="Times New Roman" w:eastAsia="Times New Roman" w:hAnsi="Times New Roman" w:cs="Times New Roman"/>
          <w:bCs/>
          <w:sz w:val="20"/>
          <w:szCs w:val="20"/>
        </w:rPr>
        <w:t xml:space="preserve"> university </w:t>
      </w:r>
      <w:proofErr w:type="spellStart"/>
      <w:r w:rsidR="00317CEA" w:rsidRPr="00E37322">
        <w:rPr>
          <w:rFonts w:ascii="Times New Roman" w:eastAsia="Times New Roman" w:hAnsi="Times New Roman" w:cs="Times New Roman"/>
          <w:bCs/>
          <w:sz w:val="20"/>
          <w:szCs w:val="20"/>
        </w:rPr>
        <w:t>yazd</w:t>
      </w:r>
      <w:proofErr w:type="spellEnd"/>
      <w:r w:rsidR="00317CEA" w:rsidRPr="00E37322">
        <w:rPr>
          <w:rFonts w:ascii="Times New Roman" w:eastAsia="Times New Roman" w:hAnsi="Times New Roman" w:cs="Times New Roman"/>
          <w:bCs/>
          <w:sz w:val="20"/>
          <w:szCs w:val="20"/>
        </w:rPr>
        <w:t xml:space="preserve">، </w:t>
      </w:r>
      <w:proofErr w:type="spellStart"/>
      <w:r w:rsidR="00317CEA" w:rsidRPr="00E37322">
        <w:rPr>
          <w:rFonts w:ascii="Times New Roman" w:eastAsia="Times New Roman" w:hAnsi="Times New Roman" w:cs="Times New Roman"/>
          <w:bCs/>
          <w:sz w:val="20"/>
          <w:szCs w:val="20"/>
        </w:rPr>
        <w:t>iran</w:t>
      </w:r>
      <w:proofErr w:type="spellEnd"/>
      <w:r w:rsidRPr="00E37322">
        <w:rPr>
          <w:rFonts w:ascii="Times New Roman" w:eastAsia="Times New Roman" w:hAnsi="Times New Roman" w:cs="Times New Roman"/>
          <w:bCs/>
          <w:sz w:val="20"/>
          <w:szCs w:val="20"/>
        </w:rPr>
        <w:t>.</w:t>
      </w:r>
    </w:p>
    <w:p w:rsidR="00BE2241" w:rsidRPr="00E37322" w:rsidRDefault="004C0692" w:rsidP="005B53F8">
      <w:pPr>
        <w:bidi w:val="0"/>
        <w:snapToGrid w:val="0"/>
        <w:spacing w:after="0" w:line="240" w:lineRule="auto"/>
        <w:jc w:val="center"/>
        <w:rPr>
          <w:rFonts w:ascii="Times New Roman" w:hAnsi="Times New Roman" w:cs="Times New Roman"/>
          <w:bCs/>
          <w:sz w:val="20"/>
          <w:szCs w:val="20"/>
          <w:lang w:eastAsia="zh-CN"/>
        </w:rPr>
      </w:pPr>
      <w:hyperlink r:id="rId8" w:history="1">
        <w:r w:rsidR="00D70F76" w:rsidRPr="00E37322">
          <w:rPr>
            <w:rStyle w:val="Hyperlink"/>
            <w:rFonts w:ascii="Times New Roman" w:hAnsi="Times New Roman" w:cs="Times New Roman"/>
            <w:sz w:val="20"/>
            <w:szCs w:val="20"/>
            <w:shd w:val="clear" w:color="auto" w:fill="FFFFFF"/>
          </w:rPr>
          <w:t>mohsen8203934@yahoo.com</w:t>
        </w:r>
      </w:hyperlink>
      <w:r w:rsidR="00D70F76" w:rsidRPr="00E37322">
        <w:rPr>
          <w:rFonts w:ascii="Times New Roman" w:hAnsi="Times New Roman" w:cs="Times New Roman"/>
          <w:color w:val="555555"/>
          <w:sz w:val="20"/>
          <w:szCs w:val="20"/>
          <w:shd w:val="clear" w:color="auto" w:fill="FFFFFF"/>
          <w:lang w:eastAsia="zh-CN"/>
        </w:rPr>
        <w:t xml:space="preserve"> </w:t>
      </w:r>
    </w:p>
    <w:p w:rsidR="00BE2241" w:rsidRPr="00E37322" w:rsidRDefault="00BE2241" w:rsidP="005B53F8">
      <w:pPr>
        <w:bidi w:val="0"/>
        <w:snapToGrid w:val="0"/>
        <w:spacing w:after="0" w:line="240" w:lineRule="auto"/>
        <w:jc w:val="center"/>
        <w:rPr>
          <w:rFonts w:ascii="Times New Roman" w:hAnsi="Times New Roman" w:cs="Times New Roman"/>
          <w:bCs/>
          <w:sz w:val="20"/>
          <w:szCs w:val="20"/>
          <w:lang w:eastAsia="zh-CN"/>
        </w:rPr>
      </w:pPr>
    </w:p>
    <w:p w:rsidR="00D70F76" w:rsidRPr="00E37322" w:rsidRDefault="001F00CB" w:rsidP="005B53F8">
      <w:pPr>
        <w:bidi w:val="0"/>
        <w:snapToGrid w:val="0"/>
        <w:spacing w:after="0" w:line="240" w:lineRule="auto"/>
        <w:jc w:val="both"/>
        <w:rPr>
          <w:rFonts w:ascii="Times New Roman" w:hAnsi="Times New Roman" w:cs="Times New Roman"/>
          <w:sz w:val="20"/>
          <w:szCs w:val="20"/>
          <w:lang w:eastAsia="zh-CN"/>
        </w:rPr>
      </w:pPr>
      <w:r w:rsidRPr="00E37322">
        <w:rPr>
          <w:rFonts w:ascii="Times New Roman" w:hAnsi="Times New Roman" w:cs="Times New Roman"/>
          <w:b/>
          <w:bCs/>
          <w:sz w:val="20"/>
          <w:szCs w:val="20"/>
        </w:rPr>
        <w:t>Abstract</w:t>
      </w:r>
      <w:r w:rsidR="005B53F8" w:rsidRPr="00E37322">
        <w:rPr>
          <w:rFonts w:ascii="Times New Roman" w:hAnsi="Times New Roman" w:cs="Times New Roman"/>
          <w:b/>
          <w:bCs/>
          <w:sz w:val="20"/>
          <w:szCs w:val="20"/>
          <w:lang w:eastAsia="zh-CN"/>
        </w:rPr>
        <w:t xml:space="preserve">: </w:t>
      </w:r>
      <w:r w:rsidR="00CB1411" w:rsidRPr="00E37322">
        <w:rPr>
          <w:rFonts w:ascii="Times New Roman" w:hAnsi="Times New Roman" w:cs="Times New Roman"/>
          <w:sz w:val="20"/>
          <w:szCs w:val="20"/>
        </w:rPr>
        <w:t xml:space="preserve">The historical background of the corporate governance dates back to the 1990s when major financial corruptions occurred in some of the largest enterprises. </w:t>
      </w:r>
      <w:r w:rsidRPr="00E37322">
        <w:rPr>
          <w:rFonts w:ascii="Times New Roman" w:hAnsi="Times New Roman" w:cs="Times New Roman"/>
          <w:sz w:val="20"/>
          <w:szCs w:val="20"/>
        </w:rPr>
        <w:t xml:space="preserve">Corporate governance is a set of functions, mechanisms and policies </w:t>
      </w:r>
      <w:r w:rsidR="003B0A88" w:rsidRPr="00E37322">
        <w:rPr>
          <w:rFonts w:ascii="Times New Roman" w:hAnsi="Times New Roman" w:cs="Times New Roman"/>
          <w:sz w:val="20"/>
          <w:szCs w:val="20"/>
        </w:rPr>
        <w:t xml:space="preserve">seeking for the better direction of the managers and achievement </w:t>
      </w:r>
      <w:r w:rsidR="00994CE0" w:rsidRPr="00E37322">
        <w:rPr>
          <w:rFonts w:ascii="Times New Roman" w:hAnsi="Times New Roman" w:cs="Times New Roman"/>
          <w:sz w:val="20"/>
          <w:szCs w:val="20"/>
        </w:rPr>
        <w:t xml:space="preserve">of responsiveness, transparency, justice and stakeholders’ right (including government). </w:t>
      </w:r>
      <w:r w:rsidR="003B0A88" w:rsidRPr="00E37322">
        <w:rPr>
          <w:rFonts w:ascii="Times New Roman" w:hAnsi="Times New Roman" w:cs="Times New Roman"/>
          <w:sz w:val="20"/>
          <w:szCs w:val="20"/>
        </w:rPr>
        <w:t>The present study</w:t>
      </w:r>
      <w:r w:rsidR="00994CE0" w:rsidRPr="00E37322">
        <w:rPr>
          <w:rFonts w:ascii="Times New Roman" w:hAnsi="Times New Roman" w:cs="Times New Roman"/>
          <w:sz w:val="20"/>
          <w:szCs w:val="20"/>
        </w:rPr>
        <w:t xml:space="preserve"> is classified as a correlation-descriptive study and the theoretical </w:t>
      </w:r>
      <w:r w:rsidR="003B0A88" w:rsidRPr="00E37322">
        <w:rPr>
          <w:rFonts w:ascii="Times New Roman" w:hAnsi="Times New Roman" w:cs="Times New Roman"/>
          <w:sz w:val="20"/>
          <w:szCs w:val="20"/>
        </w:rPr>
        <w:t xml:space="preserve">data </w:t>
      </w:r>
      <w:r w:rsidR="00C006F6" w:rsidRPr="00E37322">
        <w:rPr>
          <w:rFonts w:ascii="Times New Roman" w:hAnsi="Times New Roman" w:cs="Times New Roman"/>
          <w:sz w:val="20"/>
          <w:szCs w:val="20"/>
        </w:rPr>
        <w:t>are gathered</w:t>
      </w:r>
      <w:r w:rsidR="00994CE0" w:rsidRPr="00E37322">
        <w:rPr>
          <w:rFonts w:ascii="Times New Roman" w:hAnsi="Times New Roman" w:cs="Times New Roman"/>
          <w:sz w:val="20"/>
          <w:szCs w:val="20"/>
        </w:rPr>
        <w:t xml:space="preserve"> from the library studies. The required data is </w:t>
      </w:r>
      <w:r w:rsidR="003B0A88" w:rsidRPr="00E37322">
        <w:rPr>
          <w:rFonts w:ascii="Times New Roman" w:hAnsi="Times New Roman" w:cs="Times New Roman"/>
          <w:sz w:val="20"/>
          <w:szCs w:val="20"/>
        </w:rPr>
        <w:t>collected</w:t>
      </w:r>
      <w:r w:rsidR="00994CE0" w:rsidRPr="00E37322">
        <w:rPr>
          <w:rFonts w:ascii="Times New Roman" w:hAnsi="Times New Roman" w:cs="Times New Roman"/>
          <w:sz w:val="20"/>
          <w:szCs w:val="20"/>
        </w:rPr>
        <w:t xml:space="preserve"> from the stock exchange and the</w:t>
      </w:r>
      <w:r w:rsidR="00D83170" w:rsidRPr="00E37322">
        <w:rPr>
          <w:rFonts w:ascii="Times New Roman" w:hAnsi="Times New Roman" w:cs="Times New Roman"/>
          <w:sz w:val="20"/>
          <w:szCs w:val="20"/>
        </w:rPr>
        <w:t xml:space="preserve"> related</w:t>
      </w:r>
      <w:r w:rsidR="00994CE0" w:rsidRPr="00E37322">
        <w:rPr>
          <w:rFonts w:ascii="Times New Roman" w:hAnsi="Times New Roman" w:cs="Times New Roman"/>
          <w:sz w:val="20"/>
          <w:szCs w:val="20"/>
        </w:rPr>
        <w:t xml:space="preserve"> </w:t>
      </w:r>
      <w:r w:rsidR="003B0A88" w:rsidRPr="00E37322">
        <w:rPr>
          <w:rFonts w:ascii="Times New Roman" w:hAnsi="Times New Roman" w:cs="Times New Roman"/>
          <w:sz w:val="20"/>
          <w:szCs w:val="20"/>
        </w:rPr>
        <w:t>financial</w:t>
      </w:r>
      <w:r w:rsidR="00994CE0" w:rsidRPr="00E37322">
        <w:rPr>
          <w:rFonts w:ascii="Times New Roman" w:hAnsi="Times New Roman" w:cs="Times New Roman"/>
          <w:sz w:val="20"/>
          <w:szCs w:val="20"/>
        </w:rPr>
        <w:t xml:space="preserve"> reports. The sample is composed of 58 listed firms on the Tehran Stock Exchange during a period covering the years from 2006 to 2010. The findings revealed that the percentage of the non</w:t>
      </w:r>
      <w:r w:rsidR="00C006F6" w:rsidRPr="00E37322">
        <w:rPr>
          <w:rFonts w:ascii="Times New Roman" w:hAnsi="Times New Roman" w:cs="Times New Roman"/>
          <w:sz w:val="20"/>
          <w:szCs w:val="20"/>
        </w:rPr>
        <w:t>-</w:t>
      </w:r>
      <w:r w:rsidR="00994CE0" w:rsidRPr="00E37322">
        <w:rPr>
          <w:rFonts w:ascii="Times New Roman" w:hAnsi="Times New Roman" w:cs="Times New Roman"/>
          <w:sz w:val="20"/>
          <w:szCs w:val="20"/>
        </w:rPr>
        <w:t xml:space="preserve">executive board members </w:t>
      </w:r>
      <w:r w:rsidR="00DC6A3C" w:rsidRPr="00E37322">
        <w:rPr>
          <w:rFonts w:ascii="Times New Roman" w:hAnsi="Times New Roman" w:cs="Times New Roman"/>
          <w:sz w:val="20"/>
          <w:szCs w:val="20"/>
        </w:rPr>
        <w:t>has</w:t>
      </w:r>
      <w:r w:rsidR="00994CE0" w:rsidRPr="00E37322">
        <w:rPr>
          <w:rFonts w:ascii="Times New Roman" w:hAnsi="Times New Roman" w:cs="Times New Roman"/>
          <w:sz w:val="20"/>
          <w:szCs w:val="20"/>
        </w:rPr>
        <w:t xml:space="preserve"> no impact on reducing the tax gap.</w:t>
      </w:r>
    </w:p>
    <w:p w:rsidR="005B53F8" w:rsidRPr="00E37322" w:rsidRDefault="005B53F8" w:rsidP="005B53F8">
      <w:pPr>
        <w:tabs>
          <w:tab w:val="left" w:pos="9072"/>
        </w:tabs>
        <w:autoSpaceDE w:val="0"/>
        <w:autoSpaceDN w:val="0"/>
        <w:bidi w:val="0"/>
        <w:adjustRightInd w:val="0"/>
        <w:snapToGrid w:val="0"/>
        <w:spacing w:after="0" w:line="240" w:lineRule="auto"/>
        <w:jc w:val="both"/>
        <w:rPr>
          <w:rFonts w:ascii="Times New Roman" w:hAnsi="Times New Roman" w:cs="Times New Roman"/>
          <w:bCs/>
          <w:sz w:val="20"/>
          <w:szCs w:val="20"/>
          <w:lang w:eastAsia="zh-CN"/>
        </w:rPr>
      </w:pPr>
      <w:r w:rsidRPr="00E37322">
        <w:rPr>
          <w:rFonts w:ascii="Times New Roman" w:hAnsi="Times New Roman" w:cs="Times New Roman"/>
          <w:sz w:val="20"/>
          <w:szCs w:val="20"/>
        </w:rPr>
        <w:t>[</w:t>
      </w:r>
      <w:proofErr w:type="spellStart"/>
      <w:r w:rsidRPr="00E37322">
        <w:rPr>
          <w:rFonts w:ascii="Times New Roman" w:eastAsia="Times New Roman" w:hAnsi="Times New Roman" w:cs="Times New Roman"/>
          <w:bCs/>
          <w:sz w:val="20"/>
          <w:szCs w:val="20"/>
        </w:rPr>
        <w:t>Hamid</w:t>
      </w:r>
      <w:proofErr w:type="spellEnd"/>
      <w:r w:rsidRPr="00E37322">
        <w:rPr>
          <w:rFonts w:ascii="Times New Roman" w:eastAsia="Times New Roman" w:hAnsi="Times New Roman" w:cs="Times New Roman"/>
          <w:bCs/>
          <w:sz w:val="20"/>
          <w:szCs w:val="20"/>
        </w:rPr>
        <w:t xml:space="preserve"> </w:t>
      </w:r>
      <w:proofErr w:type="spellStart"/>
      <w:r w:rsidRPr="00E37322">
        <w:rPr>
          <w:rFonts w:ascii="Times New Roman" w:eastAsia="Times New Roman" w:hAnsi="Times New Roman" w:cs="Times New Roman"/>
          <w:bCs/>
          <w:sz w:val="20"/>
          <w:szCs w:val="20"/>
        </w:rPr>
        <w:t>Ranjbar</w:t>
      </w:r>
      <w:proofErr w:type="spellEnd"/>
      <w:r w:rsidRPr="00E37322">
        <w:rPr>
          <w:rFonts w:ascii="Times New Roman" w:eastAsia="Times New Roman" w:hAnsi="Times New Roman" w:cs="Times New Roman"/>
          <w:bCs/>
          <w:sz w:val="20"/>
          <w:szCs w:val="20"/>
        </w:rPr>
        <w:t xml:space="preserve"> </w:t>
      </w:r>
      <w:proofErr w:type="spellStart"/>
      <w:r w:rsidRPr="00E37322">
        <w:rPr>
          <w:rFonts w:ascii="Times New Roman" w:eastAsia="Times New Roman" w:hAnsi="Times New Roman" w:cs="Times New Roman"/>
          <w:bCs/>
          <w:sz w:val="20"/>
          <w:szCs w:val="20"/>
        </w:rPr>
        <w:t>Jamalabadi</w:t>
      </w:r>
      <w:proofErr w:type="spellEnd"/>
      <w:r w:rsidRPr="00E37322">
        <w:rPr>
          <w:rFonts w:ascii="Times New Roman" w:hAnsi="Times New Roman" w:cs="Times New Roman"/>
          <w:sz w:val="20"/>
          <w:szCs w:val="20"/>
        </w:rPr>
        <w:t>.</w:t>
      </w:r>
      <w:r w:rsidRPr="00E37322">
        <w:rPr>
          <w:rFonts w:ascii="Times New Roman" w:hAnsi="Times New Roman" w:cs="Times New Roman"/>
          <w:b/>
          <w:bCs/>
          <w:sz w:val="20"/>
          <w:szCs w:val="20"/>
        </w:rPr>
        <w:t xml:space="preserve"> </w:t>
      </w:r>
      <w:r w:rsidRPr="00E37322">
        <w:rPr>
          <w:rFonts w:ascii="Times New Roman" w:eastAsia="Times New Roman" w:hAnsi="Times New Roman" w:cs="Times New Roman"/>
          <w:b/>
          <w:bCs/>
          <w:sz w:val="20"/>
          <w:szCs w:val="20"/>
        </w:rPr>
        <w:t>Research Relationship Between Internal Audit And Tax Gap.</w:t>
      </w:r>
      <w:r w:rsidRPr="00E37322">
        <w:rPr>
          <w:rFonts w:ascii="Times New Roman" w:hAnsi="Times New Roman" w:cs="Times New Roman"/>
          <w:bCs/>
          <w:i/>
          <w:sz w:val="20"/>
          <w:szCs w:val="20"/>
        </w:rPr>
        <w:t xml:space="preserve"> Researcher</w:t>
      </w:r>
      <w:r w:rsidRPr="00E37322">
        <w:rPr>
          <w:rFonts w:ascii="Times New Roman" w:hAnsi="Times New Roman" w:cs="Times New Roman"/>
          <w:bCs/>
          <w:sz w:val="20"/>
          <w:szCs w:val="20"/>
        </w:rPr>
        <w:t xml:space="preserve"> 2017;9(9):</w:t>
      </w:r>
      <w:r w:rsidR="002A3C9D" w:rsidRPr="00E37322">
        <w:rPr>
          <w:rFonts w:ascii="Times New Roman" w:hAnsi="Times New Roman" w:cs="Times New Roman"/>
          <w:noProof/>
          <w:color w:val="000000"/>
          <w:sz w:val="20"/>
          <w:szCs w:val="20"/>
        </w:rPr>
        <w:t>86-89</w:t>
      </w:r>
      <w:r w:rsidRPr="00E37322">
        <w:rPr>
          <w:rFonts w:ascii="Times New Roman" w:hAnsi="Times New Roman" w:cs="Times New Roman"/>
          <w:bCs/>
          <w:sz w:val="20"/>
          <w:szCs w:val="20"/>
        </w:rPr>
        <w:t xml:space="preserve">]. </w:t>
      </w:r>
      <w:r w:rsidRPr="00E37322">
        <w:rPr>
          <w:rFonts w:ascii="Times New Roman" w:hAnsi="Times New Roman" w:cs="Times New Roman"/>
          <w:sz w:val="20"/>
          <w:szCs w:val="20"/>
        </w:rPr>
        <w:t>ISSN 1553-9865 (print); ISSN 2163-8950 (online)</w:t>
      </w:r>
      <w:r w:rsidRPr="00E37322">
        <w:rPr>
          <w:rFonts w:ascii="Times New Roman" w:hAnsi="Times New Roman" w:cs="Times New Roman"/>
          <w:bCs/>
          <w:sz w:val="20"/>
          <w:szCs w:val="20"/>
        </w:rPr>
        <w:t xml:space="preserve">. </w:t>
      </w:r>
      <w:hyperlink r:id="rId9" w:history="1">
        <w:r w:rsidRPr="00E37322">
          <w:rPr>
            <w:rStyle w:val="Hyperlink"/>
            <w:rFonts w:ascii="Times New Roman" w:hAnsi="Times New Roman" w:cs="Times New Roman"/>
            <w:color w:val="0000FF"/>
            <w:sz w:val="20"/>
            <w:szCs w:val="20"/>
          </w:rPr>
          <w:t>http://www.sciencepub.net/researcher</w:t>
        </w:r>
      </w:hyperlink>
      <w:r w:rsidRPr="00E37322">
        <w:rPr>
          <w:rFonts w:ascii="Times New Roman" w:hAnsi="Times New Roman" w:cs="Times New Roman"/>
          <w:bCs/>
          <w:sz w:val="20"/>
          <w:szCs w:val="20"/>
        </w:rPr>
        <w:t xml:space="preserve">. </w:t>
      </w:r>
      <w:r w:rsidRPr="00E37322">
        <w:rPr>
          <w:rFonts w:ascii="Times New Roman" w:hAnsi="Times New Roman" w:cs="Times New Roman"/>
          <w:bCs/>
          <w:sz w:val="20"/>
          <w:szCs w:val="20"/>
          <w:lang w:eastAsia="zh-CN"/>
        </w:rPr>
        <w:t>12</w:t>
      </w:r>
      <w:r w:rsidRPr="00E37322">
        <w:rPr>
          <w:rFonts w:ascii="Times New Roman" w:hAnsi="Times New Roman" w:cs="Times New Roman"/>
          <w:bCs/>
          <w:sz w:val="20"/>
          <w:szCs w:val="20"/>
        </w:rPr>
        <w:t xml:space="preserve">. </w:t>
      </w:r>
      <w:r w:rsidRPr="00E37322">
        <w:rPr>
          <w:rFonts w:ascii="Times New Roman" w:hAnsi="Times New Roman" w:cs="Times New Roman"/>
          <w:color w:val="000000"/>
          <w:sz w:val="20"/>
          <w:szCs w:val="20"/>
          <w:shd w:val="clear" w:color="auto" w:fill="FFFFFF"/>
        </w:rPr>
        <w:t>doi:</w:t>
      </w:r>
      <w:hyperlink r:id="rId10" w:history="1">
        <w:r w:rsidRPr="00E37322">
          <w:rPr>
            <w:rStyle w:val="Hyperlink"/>
            <w:rFonts w:ascii="Times New Roman" w:hAnsi="Times New Roman" w:cs="Times New Roman"/>
            <w:color w:val="0000FF"/>
            <w:sz w:val="20"/>
            <w:szCs w:val="20"/>
            <w:shd w:val="clear" w:color="auto" w:fill="FFFFFF"/>
          </w:rPr>
          <w:t>10.7537/marsrsj090917.</w:t>
        </w:r>
        <w:r w:rsidRPr="00E37322">
          <w:rPr>
            <w:rStyle w:val="Hyperlink"/>
            <w:rFonts w:ascii="Times New Roman" w:hAnsi="Times New Roman" w:cs="Times New Roman"/>
            <w:color w:val="0000FF"/>
            <w:sz w:val="20"/>
            <w:szCs w:val="20"/>
            <w:shd w:val="clear" w:color="auto" w:fill="FFFFFF"/>
            <w:lang w:eastAsia="zh-CN"/>
          </w:rPr>
          <w:t>12</w:t>
        </w:r>
      </w:hyperlink>
      <w:r w:rsidRPr="00E37322">
        <w:rPr>
          <w:rFonts w:ascii="Times New Roman" w:hAnsi="Times New Roman" w:cs="Times New Roman"/>
          <w:color w:val="000000"/>
          <w:sz w:val="20"/>
          <w:szCs w:val="20"/>
          <w:shd w:val="clear" w:color="auto" w:fill="FFFFFF"/>
        </w:rPr>
        <w:t>.</w:t>
      </w:r>
    </w:p>
    <w:p w:rsidR="00D70F76" w:rsidRPr="00E37322" w:rsidRDefault="00D70F76" w:rsidP="005B53F8">
      <w:pPr>
        <w:bidi w:val="0"/>
        <w:snapToGrid w:val="0"/>
        <w:spacing w:after="0" w:line="240" w:lineRule="auto"/>
        <w:jc w:val="both"/>
        <w:rPr>
          <w:rFonts w:ascii="Times New Roman" w:hAnsi="Times New Roman" w:cs="Times New Roman"/>
          <w:sz w:val="20"/>
          <w:szCs w:val="20"/>
          <w:lang w:eastAsia="zh-CN"/>
        </w:rPr>
      </w:pPr>
    </w:p>
    <w:p w:rsidR="00994CE0" w:rsidRPr="00E37322" w:rsidRDefault="00994CE0"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b/>
          <w:bCs/>
          <w:sz w:val="20"/>
          <w:szCs w:val="20"/>
        </w:rPr>
        <w:t xml:space="preserve">Keywords: </w:t>
      </w:r>
      <w:r w:rsidR="00CB1411" w:rsidRPr="00E37322">
        <w:rPr>
          <w:rFonts w:ascii="Times New Roman" w:hAnsi="Times New Roman" w:cs="Times New Roman"/>
          <w:sz w:val="20"/>
          <w:szCs w:val="20"/>
        </w:rPr>
        <w:t xml:space="preserve">Tehran Stock Exchange, </w:t>
      </w:r>
      <w:r w:rsidRPr="00E37322">
        <w:rPr>
          <w:rFonts w:ascii="Times New Roman" w:hAnsi="Times New Roman" w:cs="Times New Roman"/>
          <w:sz w:val="20"/>
          <w:szCs w:val="20"/>
        </w:rPr>
        <w:t xml:space="preserve">Final Tax, </w:t>
      </w:r>
      <w:r w:rsidR="00C006F6" w:rsidRPr="00E37322">
        <w:rPr>
          <w:rFonts w:ascii="Times New Roman" w:hAnsi="Times New Roman" w:cs="Times New Roman"/>
          <w:sz w:val="20"/>
          <w:szCs w:val="20"/>
        </w:rPr>
        <w:t>Non Executive</w:t>
      </w:r>
      <w:r w:rsidRPr="00E37322">
        <w:rPr>
          <w:rFonts w:ascii="Times New Roman" w:hAnsi="Times New Roman" w:cs="Times New Roman"/>
          <w:sz w:val="20"/>
          <w:szCs w:val="20"/>
        </w:rPr>
        <w:t xml:space="preserve"> Members of the Board, Tax Gap</w:t>
      </w:r>
    </w:p>
    <w:p w:rsidR="00756669" w:rsidRPr="00E37322" w:rsidRDefault="00756669" w:rsidP="005B53F8">
      <w:pPr>
        <w:bidi w:val="0"/>
        <w:snapToGrid w:val="0"/>
        <w:spacing w:after="0" w:line="240" w:lineRule="auto"/>
        <w:ind w:firstLine="425"/>
        <w:jc w:val="both"/>
        <w:rPr>
          <w:rFonts w:ascii="Times New Roman" w:hAnsi="Times New Roman" w:cs="Times New Roman"/>
          <w:sz w:val="20"/>
          <w:szCs w:val="20"/>
        </w:rPr>
      </w:pPr>
    </w:p>
    <w:p w:rsidR="005B53F8" w:rsidRPr="00E37322" w:rsidRDefault="005B53F8" w:rsidP="005B53F8">
      <w:pPr>
        <w:bidi w:val="0"/>
        <w:snapToGrid w:val="0"/>
        <w:spacing w:after="0" w:line="240" w:lineRule="auto"/>
        <w:jc w:val="both"/>
        <w:rPr>
          <w:rFonts w:ascii="Times New Roman" w:hAnsi="Times New Roman" w:cs="Times New Roman"/>
          <w:b/>
          <w:bCs/>
          <w:sz w:val="20"/>
          <w:szCs w:val="20"/>
        </w:rPr>
        <w:sectPr w:rsidR="005B53F8" w:rsidRPr="00E37322" w:rsidSect="002A3C9D">
          <w:headerReference w:type="default" r:id="rId11"/>
          <w:footerReference w:type="default" r:id="rId12"/>
          <w:type w:val="continuous"/>
          <w:pgSz w:w="12242" w:h="15842" w:code="1"/>
          <w:pgMar w:top="1440" w:right="1440" w:bottom="1440" w:left="1440" w:header="720" w:footer="720" w:gutter="0"/>
          <w:pgNumType w:start="86"/>
          <w:cols w:space="708"/>
          <w:bidi/>
          <w:docGrid w:linePitch="360"/>
        </w:sectPr>
      </w:pPr>
    </w:p>
    <w:p w:rsidR="00994CE0" w:rsidRPr="00E37322" w:rsidRDefault="00994CE0"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lastRenderedPageBreak/>
        <w:t>Introduction</w:t>
      </w:r>
    </w:p>
    <w:p w:rsidR="00994CE0" w:rsidRPr="00E37322" w:rsidRDefault="003B0A88"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The historical background </w:t>
      </w:r>
      <w:r w:rsidR="00860389" w:rsidRPr="00E37322">
        <w:rPr>
          <w:rFonts w:ascii="Times New Roman" w:hAnsi="Times New Roman" w:cs="Times New Roman"/>
          <w:sz w:val="20"/>
          <w:szCs w:val="20"/>
        </w:rPr>
        <w:t xml:space="preserve">of </w:t>
      </w:r>
      <w:r w:rsidRPr="00E37322">
        <w:rPr>
          <w:rFonts w:ascii="Times New Roman" w:hAnsi="Times New Roman" w:cs="Times New Roman"/>
          <w:sz w:val="20"/>
          <w:szCs w:val="20"/>
        </w:rPr>
        <w:t xml:space="preserve">the </w:t>
      </w:r>
      <w:r w:rsidR="00860389" w:rsidRPr="00E37322">
        <w:rPr>
          <w:rFonts w:ascii="Times New Roman" w:hAnsi="Times New Roman" w:cs="Times New Roman"/>
          <w:sz w:val="20"/>
          <w:szCs w:val="20"/>
        </w:rPr>
        <w:t xml:space="preserve">corporate governance </w:t>
      </w:r>
      <w:r w:rsidRPr="00E37322">
        <w:rPr>
          <w:rFonts w:ascii="Times New Roman" w:hAnsi="Times New Roman" w:cs="Times New Roman"/>
          <w:sz w:val="20"/>
          <w:szCs w:val="20"/>
        </w:rPr>
        <w:t>dates</w:t>
      </w:r>
      <w:r w:rsidR="00860389" w:rsidRPr="00E37322">
        <w:rPr>
          <w:rFonts w:ascii="Times New Roman" w:hAnsi="Times New Roman" w:cs="Times New Roman"/>
          <w:sz w:val="20"/>
          <w:szCs w:val="20"/>
        </w:rPr>
        <w:t xml:space="preserve"> back to the 1990s</w:t>
      </w:r>
      <w:r w:rsidRPr="00E37322">
        <w:rPr>
          <w:rFonts w:ascii="Times New Roman" w:hAnsi="Times New Roman" w:cs="Times New Roman"/>
          <w:sz w:val="20"/>
          <w:szCs w:val="20"/>
        </w:rPr>
        <w:t xml:space="preserve"> when major</w:t>
      </w:r>
      <w:r w:rsidR="00860389" w:rsidRPr="00E37322">
        <w:rPr>
          <w:rFonts w:ascii="Times New Roman" w:hAnsi="Times New Roman" w:cs="Times New Roman"/>
          <w:sz w:val="20"/>
          <w:szCs w:val="20"/>
        </w:rPr>
        <w:t xml:space="preserve"> financial corruptions</w:t>
      </w:r>
      <w:r w:rsidRPr="00E37322">
        <w:rPr>
          <w:rFonts w:ascii="Times New Roman" w:hAnsi="Times New Roman" w:cs="Times New Roman"/>
          <w:sz w:val="20"/>
          <w:szCs w:val="20"/>
        </w:rPr>
        <w:t xml:space="preserve"> occurred</w:t>
      </w:r>
      <w:r w:rsidR="00860389" w:rsidRPr="00E37322">
        <w:rPr>
          <w:rFonts w:ascii="Times New Roman" w:hAnsi="Times New Roman" w:cs="Times New Roman"/>
          <w:sz w:val="20"/>
          <w:szCs w:val="20"/>
        </w:rPr>
        <w:t xml:space="preserve"> in some of </w:t>
      </w:r>
      <w:r w:rsidR="00963E1E" w:rsidRPr="00E37322">
        <w:rPr>
          <w:rFonts w:ascii="Times New Roman" w:hAnsi="Times New Roman" w:cs="Times New Roman"/>
          <w:sz w:val="20"/>
          <w:szCs w:val="20"/>
        </w:rPr>
        <w:t>the largest</w:t>
      </w:r>
      <w:r w:rsidR="00860389" w:rsidRPr="00E37322">
        <w:rPr>
          <w:rFonts w:ascii="Times New Roman" w:hAnsi="Times New Roman" w:cs="Times New Roman"/>
          <w:sz w:val="20"/>
          <w:szCs w:val="20"/>
        </w:rPr>
        <w:t xml:space="preserve"> enterprises. Corporate governance also develops a structure by which the goals of the enterprises are established and the ways to achieve these goals are clearly identified (Al-</w:t>
      </w:r>
      <w:proofErr w:type="spellStart"/>
      <w:r w:rsidR="00860389" w:rsidRPr="00E37322">
        <w:rPr>
          <w:rFonts w:ascii="Times New Roman" w:hAnsi="Times New Roman" w:cs="Times New Roman"/>
          <w:sz w:val="20"/>
          <w:szCs w:val="20"/>
        </w:rPr>
        <w:t>Najjar</w:t>
      </w:r>
      <w:proofErr w:type="spellEnd"/>
      <w:r w:rsidR="00860389" w:rsidRPr="00E37322">
        <w:rPr>
          <w:rFonts w:ascii="Times New Roman" w:hAnsi="Times New Roman" w:cs="Times New Roman"/>
          <w:sz w:val="20"/>
          <w:szCs w:val="20"/>
        </w:rPr>
        <w:t xml:space="preserve">, 2010, 177). </w:t>
      </w:r>
      <w:r w:rsidRPr="00E37322">
        <w:rPr>
          <w:rFonts w:ascii="Times New Roman" w:hAnsi="Times New Roman" w:cs="Times New Roman"/>
          <w:sz w:val="20"/>
          <w:szCs w:val="20"/>
        </w:rPr>
        <w:t>By s</w:t>
      </w:r>
      <w:r w:rsidR="00860389" w:rsidRPr="00E37322">
        <w:rPr>
          <w:rFonts w:ascii="Times New Roman" w:hAnsi="Times New Roman" w:cs="Times New Roman"/>
          <w:sz w:val="20"/>
          <w:szCs w:val="20"/>
        </w:rPr>
        <w:t>eparating the ownership</w:t>
      </w:r>
      <w:r w:rsidRPr="00E37322">
        <w:rPr>
          <w:rFonts w:ascii="Times New Roman" w:hAnsi="Times New Roman" w:cs="Times New Roman"/>
          <w:sz w:val="20"/>
          <w:szCs w:val="20"/>
        </w:rPr>
        <w:t xml:space="preserve"> from management, the directors handle</w:t>
      </w:r>
      <w:r w:rsidR="00860389" w:rsidRPr="00E37322">
        <w:rPr>
          <w:rFonts w:ascii="Times New Roman" w:hAnsi="Times New Roman" w:cs="Times New Roman"/>
          <w:sz w:val="20"/>
          <w:szCs w:val="20"/>
        </w:rPr>
        <w:t xml:space="preserve"> the affairs of the entities (</w:t>
      </w:r>
      <w:proofErr w:type="spellStart"/>
      <w:r w:rsidR="00860389" w:rsidRPr="00E37322">
        <w:rPr>
          <w:rFonts w:ascii="Times New Roman" w:hAnsi="Times New Roman" w:cs="Times New Roman"/>
          <w:sz w:val="20"/>
          <w:szCs w:val="20"/>
        </w:rPr>
        <w:t>Fama</w:t>
      </w:r>
      <w:proofErr w:type="spellEnd"/>
      <w:r w:rsidR="00860389" w:rsidRPr="00E37322">
        <w:rPr>
          <w:rFonts w:ascii="Times New Roman" w:hAnsi="Times New Roman" w:cs="Times New Roman"/>
          <w:sz w:val="20"/>
          <w:szCs w:val="20"/>
        </w:rPr>
        <w:t xml:space="preserve"> and Jensen, 1983). Sloan (2001) developed an economic and financial approach and defined corporate governance as a mechanism used in mitigating the problems by separating the management from the suppliers.</w:t>
      </w:r>
    </w:p>
    <w:p w:rsidR="00860389" w:rsidRPr="00E37322" w:rsidRDefault="00D83170"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In terms of</w:t>
      </w:r>
      <w:r w:rsidR="004118B2" w:rsidRPr="00E37322">
        <w:rPr>
          <w:rFonts w:ascii="Times New Roman" w:hAnsi="Times New Roman" w:cs="Times New Roman"/>
          <w:sz w:val="20"/>
          <w:szCs w:val="20"/>
        </w:rPr>
        <w:t xml:space="preserve"> </w:t>
      </w:r>
      <w:r w:rsidR="00692682" w:rsidRPr="00E37322">
        <w:rPr>
          <w:rFonts w:ascii="Times New Roman" w:hAnsi="Times New Roman" w:cs="Times New Roman"/>
          <w:sz w:val="20"/>
          <w:szCs w:val="20"/>
        </w:rPr>
        <w:t xml:space="preserve">a limited perspective of corporate governance, government is </w:t>
      </w:r>
      <w:r w:rsidR="004118B2" w:rsidRPr="00E37322">
        <w:rPr>
          <w:rFonts w:ascii="Times New Roman" w:hAnsi="Times New Roman" w:cs="Times New Roman"/>
          <w:sz w:val="20"/>
          <w:szCs w:val="20"/>
        </w:rPr>
        <w:t xml:space="preserve">known as </w:t>
      </w:r>
      <w:r w:rsidR="00692682" w:rsidRPr="00E37322">
        <w:rPr>
          <w:rFonts w:ascii="Times New Roman" w:hAnsi="Times New Roman" w:cs="Times New Roman"/>
          <w:sz w:val="20"/>
          <w:szCs w:val="20"/>
        </w:rPr>
        <w:t>a shareholder</w:t>
      </w:r>
      <w:r w:rsidR="004118B2" w:rsidRPr="00E37322">
        <w:rPr>
          <w:rFonts w:ascii="Times New Roman" w:hAnsi="Times New Roman" w:cs="Times New Roman"/>
          <w:sz w:val="20"/>
          <w:szCs w:val="20"/>
        </w:rPr>
        <w:t xml:space="preserve"> and the firms pay the earnings </w:t>
      </w:r>
      <w:r w:rsidR="00692682" w:rsidRPr="00E37322">
        <w:rPr>
          <w:rFonts w:ascii="Times New Roman" w:hAnsi="Times New Roman" w:cs="Times New Roman"/>
          <w:sz w:val="20"/>
          <w:szCs w:val="20"/>
        </w:rPr>
        <w:t>of the government; however, the general perspective of the corporate governance raises some questions including: do the firms fairly observe the rights of the governments? Do the firms issue transparent information so that the tax could be fairly and properly evaluated?</w:t>
      </w:r>
    </w:p>
    <w:p w:rsidR="00692682" w:rsidRPr="00E37322" w:rsidRDefault="00692682"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As noted above, </w:t>
      </w:r>
      <w:r w:rsidR="00302AE0" w:rsidRPr="00E37322">
        <w:rPr>
          <w:rFonts w:ascii="Times New Roman" w:hAnsi="Times New Roman" w:cs="Times New Roman"/>
          <w:sz w:val="20"/>
          <w:szCs w:val="20"/>
        </w:rPr>
        <w:t xml:space="preserve">it seems that some of the corporate governance measures might be considered as the key factors relating to the transparent information about the governmental tax. These elements include </w:t>
      </w:r>
      <w:r w:rsidR="00D06F3B" w:rsidRPr="00E37322">
        <w:rPr>
          <w:rFonts w:ascii="Times New Roman" w:hAnsi="Times New Roman" w:cs="Times New Roman"/>
          <w:sz w:val="20"/>
          <w:szCs w:val="20"/>
        </w:rPr>
        <w:t>the non</w:t>
      </w:r>
      <w:r w:rsidR="00C006F6" w:rsidRPr="00E37322">
        <w:rPr>
          <w:rFonts w:ascii="Times New Roman" w:hAnsi="Times New Roman" w:cs="Times New Roman"/>
          <w:sz w:val="20"/>
          <w:szCs w:val="20"/>
        </w:rPr>
        <w:t>-</w:t>
      </w:r>
      <w:r w:rsidR="00D06F3B" w:rsidRPr="00E37322">
        <w:rPr>
          <w:rFonts w:ascii="Times New Roman" w:hAnsi="Times New Roman" w:cs="Times New Roman"/>
          <w:sz w:val="20"/>
          <w:szCs w:val="20"/>
        </w:rPr>
        <w:t xml:space="preserve">executive members of the board, non-duality of CEO, </w:t>
      </w:r>
      <w:r w:rsidR="00C006F6" w:rsidRPr="00E37322">
        <w:rPr>
          <w:rFonts w:ascii="Times New Roman" w:hAnsi="Times New Roman" w:cs="Times New Roman"/>
          <w:sz w:val="20"/>
          <w:szCs w:val="20"/>
        </w:rPr>
        <w:t xml:space="preserve">the </w:t>
      </w:r>
      <w:r w:rsidR="00D06F3B" w:rsidRPr="00E37322">
        <w:rPr>
          <w:rFonts w:ascii="Times New Roman" w:hAnsi="Times New Roman" w:cs="Times New Roman"/>
          <w:sz w:val="20"/>
          <w:szCs w:val="20"/>
        </w:rPr>
        <w:t xml:space="preserve">presence of the internal auditor and the institutional shareholders. </w:t>
      </w:r>
      <w:r w:rsidR="00D83170" w:rsidRPr="00E37322">
        <w:rPr>
          <w:rFonts w:ascii="Times New Roman" w:hAnsi="Times New Roman" w:cs="Times New Roman"/>
          <w:sz w:val="20"/>
          <w:szCs w:val="20"/>
        </w:rPr>
        <w:lastRenderedPageBreak/>
        <w:t>P</w:t>
      </w:r>
      <w:r w:rsidR="004118B2" w:rsidRPr="00E37322">
        <w:rPr>
          <w:rFonts w:ascii="Times New Roman" w:hAnsi="Times New Roman" w:cs="Times New Roman"/>
          <w:sz w:val="20"/>
          <w:szCs w:val="20"/>
        </w:rPr>
        <w:t>roviding</w:t>
      </w:r>
      <w:r w:rsidR="00D06F3B" w:rsidRPr="00E37322">
        <w:rPr>
          <w:rFonts w:ascii="Times New Roman" w:hAnsi="Times New Roman" w:cs="Times New Roman"/>
          <w:sz w:val="20"/>
          <w:szCs w:val="20"/>
        </w:rPr>
        <w:t xml:space="preserve"> more transparent </w:t>
      </w:r>
      <w:r w:rsidR="004118B2" w:rsidRPr="00E37322">
        <w:rPr>
          <w:rFonts w:ascii="Times New Roman" w:hAnsi="Times New Roman" w:cs="Times New Roman"/>
          <w:sz w:val="20"/>
          <w:szCs w:val="20"/>
        </w:rPr>
        <w:t xml:space="preserve">information </w:t>
      </w:r>
      <w:r w:rsidR="00D83170" w:rsidRPr="00E37322">
        <w:rPr>
          <w:rFonts w:ascii="Times New Roman" w:hAnsi="Times New Roman" w:cs="Times New Roman"/>
          <w:sz w:val="20"/>
          <w:szCs w:val="20"/>
        </w:rPr>
        <w:t>is expected to</w:t>
      </w:r>
      <w:r w:rsidR="004118B2" w:rsidRPr="00E37322">
        <w:rPr>
          <w:rFonts w:ascii="Times New Roman" w:hAnsi="Times New Roman" w:cs="Times New Roman"/>
          <w:sz w:val="20"/>
          <w:szCs w:val="20"/>
        </w:rPr>
        <w:t xml:space="preserve"> motivate the firms in </w:t>
      </w:r>
      <w:r w:rsidR="00D06F3B" w:rsidRPr="00E37322">
        <w:rPr>
          <w:rFonts w:ascii="Times New Roman" w:hAnsi="Times New Roman" w:cs="Times New Roman"/>
          <w:sz w:val="20"/>
          <w:szCs w:val="20"/>
        </w:rPr>
        <w:t>accomplishing their responsibility towards the stakeholders. As a consequence, providing more transparent information leads to the more accurate and proper calculation of the tax (</w:t>
      </w:r>
      <w:proofErr w:type="spellStart"/>
      <w:r w:rsidR="00D06F3B" w:rsidRPr="00E37322">
        <w:rPr>
          <w:rFonts w:ascii="Times New Roman" w:hAnsi="Times New Roman" w:cs="Times New Roman"/>
          <w:sz w:val="20"/>
          <w:szCs w:val="20"/>
        </w:rPr>
        <w:t>Abdi</w:t>
      </w:r>
      <w:proofErr w:type="spellEnd"/>
      <w:r w:rsidR="00D06F3B" w:rsidRPr="00E37322">
        <w:rPr>
          <w:rFonts w:ascii="Times New Roman" w:hAnsi="Times New Roman" w:cs="Times New Roman"/>
          <w:sz w:val="20"/>
          <w:szCs w:val="20"/>
        </w:rPr>
        <w:t xml:space="preserve"> and </w:t>
      </w:r>
      <w:proofErr w:type="spellStart"/>
      <w:r w:rsidR="00D06F3B" w:rsidRPr="00E37322">
        <w:rPr>
          <w:rFonts w:ascii="Times New Roman" w:hAnsi="Times New Roman" w:cs="Times New Roman"/>
          <w:sz w:val="20"/>
          <w:szCs w:val="20"/>
        </w:rPr>
        <w:t>Babajani</w:t>
      </w:r>
      <w:proofErr w:type="spellEnd"/>
      <w:r w:rsidR="00D06F3B" w:rsidRPr="00E37322">
        <w:rPr>
          <w:rFonts w:ascii="Times New Roman" w:hAnsi="Times New Roman" w:cs="Times New Roman"/>
          <w:sz w:val="20"/>
          <w:szCs w:val="20"/>
        </w:rPr>
        <w:t>, 2010).</w:t>
      </w:r>
    </w:p>
    <w:p w:rsidR="00CB1411" w:rsidRPr="00E37322" w:rsidRDefault="00CB1411"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Literature Review</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Abor</w:t>
      </w:r>
      <w:proofErr w:type="spellEnd"/>
      <w:r w:rsidRPr="00E37322">
        <w:rPr>
          <w:rFonts w:ascii="Times New Roman" w:hAnsi="Times New Roman" w:cs="Times New Roman"/>
          <w:sz w:val="20"/>
          <w:szCs w:val="20"/>
        </w:rPr>
        <w:t xml:space="preserve"> and </w:t>
      </w:r>
      <w:proofErr w:type="spellStart"/>
      <w:r w:rsidRPr="00E37322">
        <w:rPr>
          <w:rFonts w:ascii="Times New Roman" w:hAnsi="Times New Roman" w:cs="Times New Roman"/>
          <w:sz w:val="20"/>
          <w:szCs w:val="20"/>
        </w:rPr>
        <w:t>Biekpe</w:t>
      </w:r>
      <w:proofErr w:type="spellEnd"/>
      <w:r w:rsidRPr="00E37322">
        <w:rPr>
          <w:rFonts w:ascii="Times New Roman" w:hAnsi="Times New Roman" w:cs="Times New Roman"/>
          <w:sz w:val="20"/>
          <w:szCs w:val="20"/>
        </w:rPr>
        <w:t xml:space="preserve"> (2007) defined corporate governance as a process and structure used by the management to direct the affairs and to increase the welfare and responsiveness and finally increase the benefits of the shareholders to its maximum level.</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Young </w:t>
      </w:r>
      <w:proofErr w:type="spellStart"/>
      <w:r w:rsidRPr="00E37322">
        <w:rPr>
          <w:rFonts w:ascii="Times New Roman" w:hAnsi="Times New Roman" w:cs="Times New Roman"/>
          <w:sz w:val="20"/>
          <w:szCs w:val="20"/>
        </w:rPr>
        <w:t>Byun</w:t>
      </w:r>
      <w:proofErr w:type="spellEnd"/>
      <w:r w:rsidRPr="00E37322">
        <w:rPr>
          <w:rFonts w:ascii="Times New Roman" w:hAnsi="Times New Roman" w:cs="Times New Roman"/>
          <w:sz w:val="20"/>
          <w:szCs w:val="20"/>
        </w:rPr>
        <w:t xml:space="preserve"> (2007) suggested that the successful corporate governance mitigates the information asymmetry. He also argued that the proper corporate governance impacts: (1) protection of the shareholders’ rights, (2) protection of the management rights, (3) more appropriate disclosure and information asymmetry, (4) more auditing and handling of the affairs and (5) more appropriate dividend policy.</w:t>
      </w:r>
    </w:p>
    <w:p w:rsidR="00CB1411" w:rsidRPr="00E37322" w:rsidRDefault="00CB1411" w:rsidP="005B53F8">
      <w:pPr>
        <w:pStyle w:val="Default"/>
        <w:snapToGrid w:val="0"/>
        <w:ind w:firstLine="425"/>
        <w:jc w:val="both"/>
        <w:rPr>
          <w:color w:val="auto"/>
          <w:sz w:val="20"/>
          <w:szCs w:val="20"/>
        </w:rPr>
      </w:pPr>
      <w:r w:rsidRPr="00E37322">
        <w:rPr>
          <w:color w:val="auto"/>
          <w:sz w:val="20"/>
          <w:szCs w:val="20"/>
        </w:rPr>
        <w:t xml:space="preserve">We will review some studies already conducted on business cycles and company performance. </w:t>
      </w:r>
      <w:proofErr w:type="spellStart"/>
      <w:r w:rsidRPr="00E37322">
        <w:rPr>
          <w:color w:val="auto"/>
          <w:sz w:val="20"/>
          <w:szCs w:val="20"/>
        </w:rPr>
        <w:t>Emami</w:t>
      </w:r>
      <w:proofErr w:type="spellEnd"/>
      <w:r w:rsidRPr="00E37322">
        <w:rPr>
          <w:color w:val="auto"/>
          <w:sz w:val="20"/>
          <w:szCs w:val="20"/>
        </w:rPr>
        <w:t xml:space="preserve"> and </w:t>
      </w:r>
      <w:proofErr w:type="spellStart"/>
      <w:r w:rsidRPr="00E37322">
        <w:rPr>
          <w:color w:val="auto"/>
          <w:sz w:val="20"/>
          <w:szCs w:val="20"/>
        </w:rPr>
        <w:t>Mehrabian</w:t>
      </w:r>
      <w:proofErr w:type="spellEnd"/>
      <w:r w:rsidRPr="00E37322">
        <w:rPr>
          <w:color w:val="auto"/>
          <w:sz w:val="20"/>
          <w:szCs w:val="20"/>
        </w:rPr>
        <w:t xml:space="preserve"> (2007) investigated fluctuations in business cycles and inflation uncertainty through heterogeneity models of conditional variance of general regression. They estimated the effect of business cycle fluctuations on long-term economic development using </w:t>
      </w:r>
      <w:proofErr w:type="spellStart"/>
      <w:r w:rsidRPr="00E37322">
        <w:rPr>
          <w:color w:val="auto"/>
          <w:sz w:val="20"/>
          <w:szCs w:val="20"/>
        </w:rPr>
        <w:t>cointegration</w:t>
      </w:r>
      <w:proofErr w:type="spellEnd"/>
      <w:r w:rsidRPr="00E37322">
        <w:rPr>
          <w:color w:val="auto"/>
          <w:sz w:val="20"/>
          <w:szCs w:val="20"/>
        </w:rPr>
        <w:t xml:space="preserve"> tests and vector error correction models. The results showed that business cycle fluctuations might decrease economic </w:t>
      </w:r>
      <w:r w:rsidRPr="00E37322">
        <w:rPr>
          <w:color w:val="auto"/>
          <w:sz w:val="20"/>
          <w:szCs w:val="20"/>
        </w:rPr>
        <w:lastRenderedPageBreak/>
        <w:t>development in the long run. The reason is that fluctuations in production development in Iran have led to production uncertainty, which has decreased investment and eventually economic development.</w:t>
      </w:r>
    </w:p>
    <w:p w:rsidR="00CB1411" w:rsidRPr="00E37322" w:rsidRDefault="00CB1411" w:rsidP="005B53F8">
      <w:pPr>
        <w:pStyle w:val="Default"/>
        <w:snapToGrid w:val="0"/>
        <w:ind w:firstLine="425"/>
        <w:jc w:val="both"/>
        <w:rPr>
          <w:color w:val="auto"/>
          <w:sz w:val="20"/>
          <w:szCs w:val="20"/>
        </w:rPr>
      </w:pPr>
      <w:r w:rsidRPr="00E37322">
        <w:rPr>
          <w:color w:val="auto"/>
          <w:sz w:val="20"/>
          <w:szCs w:val="20"/>
        </w:rPr>
        <w:t xml:space="preserve">Perez and </w:t>
      </w:r>
      <w:proofErr w:type="spellStart"/>
      <w:r w:rsidRPr="00E37322">
        <w:rPr>
          <w:color w:val="auto"/>
          <w:sz w:val="20"/>
          <w:szCs w:val="20"/>
        </w:rPr>
        <w:t>Timmermann</w:t>
      </w:r>
      <w:proofErr w:type="spellEnd"/>
      <w:r w:rsidRPr="00E37322">
        <w:rPr>
          <w:color w:val="auto"/>
          <w:sz w:val="20"/>
          <w:szCs w:val="20"/>
        </w:rPr>
        <w:t xml:space="preserve"> (2007) studied fluctuations in stock return when business cycles were altering. They found considerable fluctuations in stock returns during business cycle alterations.</w:t>
      </w:r>
    </w:p>
    <w:p w:rsidR="00CB1411" w:rsidRPr="00E37322" w:rsidRDefault="00CB1411" w:rsidP="005B53F8">
      <w:pPr>
        <w:pStyle w:val="Default"/>
        <w:snapToGrid w:val="0"/>
        <w:ind w:firstLine="425"/>
        <w:jc w:val="both"/>
        <w:rPr>
          <w:color w:val="auto"/>
          <w:sz w:val="20"/>
          <w:szCs w:val="20"/>
        </w:rPr>
      </w:pPr>
      <w:r w:rsidRPr="00E37322">
        <w:rPr>
          <w:color w:val="auto"/>
          <w:sz w:val="20"/>
          <w:szCs w:val="20"/>
        </w:rPr>
        <w:t>Antonio et al. (2007) addressed the question whether or not business cycles and biased profitability behavior account for trading speed in three major European markets. They reported that global trading conditions influenced the profitability of trading speed in European markets.</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Guaray</w:t>
      </w:r>
      <w:proofErr w:type="spellEnd"/>
      <w:r w:rsidRPr="00E37322">
        <w:rPr>
          <w:rFonts w:ascii="Times New Roman" w:hAnsi="Times New Roman" w:cs="Times New Roman"/>
          <w:sz w:val="20"/>
          <w:szCs w:val="20"/>
        </w:rPr>
        <w:t xml:space="preserve"> and Gonzales (2008) investigated the relationship between corporate leadership system and the criteria for company performance appraisal such as distribution of profits, P.B ratio (market value to equity book value) and Tobin Q in The Caracas Stock Exchange. The results showed that one percent increase in corporate leadership system index increased profit distribution by 11.3 percent, P.B ratio by 9.9 percent and Tobin Q by 2.7 percent.</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collapse of the companies such as Enron and Worl</w:t>
      </w:r>
      <w:r w:rsidR="00FE2994" w:rsidRPr="00E37322">
        <w:rPr>
          <w:rFonts w:ascii="Times New Roman" w:hAnsi="Times New Roman" w:cs="Times New Roman"/>
          <w:sz w:val="20"/>
          <w:szCs w:val="20"/>
        </w:rPr>
        <w:t>d C</w:t>
      </w:r>
      <w:r w:rsidRPr="00E37322">
        <w:rPr>
          <w:rFonts w:ascii="Times New Roman" w:hAnsi="Times New Roman" w:cs="Times New Roman"/>
          <w:sz w:val="20"/>
          <w:szCs w:val="20"/>
        </w:rPr>
        <w:t>om in the United States and Tel Van in Australia in 2001 highlighted the significance of efficient performance of the non-executive board members. On the other hand, the Higgs Report (2003) is considered as a strict response to the significant influence of the inefficient non-executive members of the companies simulated to Enron.</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Chan et al (2010) examined whether deviation from the tax accounting base and acceptance of the international financial reporting standards leads to the nonconformity of the tax regulations and whether it is shown in the behaviors of the managers. They found that the consistent tax and accounting regulations reduce the gap between the taxable income and accounting earnings. They also showed that any reduction of taxable income confirms the nonconformity of the tax regulations. Limiting the gap between tax regulations and accounting standards might reduce the opportunities and incentives of nonconformity of the law regulations, they additionally indicated.</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Fridman</w:t>
      </w:r>
      <w:proofErr w:type="spellEnd"/>
      <w:r w:rsidRPr="00E37322">
        <w:rPr>
          <w:rFonts w:ascii="Times New Roman" w:hAnsi="Times New Roman" w:cs="Times New Roman"/>
          <w:sz w:val="20"/>
          <w:szCs w:val="20"/>
        </w:rPr>
        <w:t xml:space="preserve"> (2006) investigated the consistency of the tax regulations and financial accounting in the United States and England. Their findings showed that the full consistency of the tax and business accounts is not possible. Accordingly, the more consistency between tax regulations and financial reporting is required by the American participants in order to prevent earnings manipulation.</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Lanis</w:t>
      </w:r>
      <w:proofErr w:type="spellEnd"/>
      <w:r w:rsidRPr="00E37322">
        <w:rPr>
          <w:rFonts w:ascii="Times New Roman" w:hAnsi="Times New Roman" w:cs="Times New Roman"/>
          <w:sz w:val="20"/>
          <w:szCs w:val="20"/>
        </w:rPr>
        <w:t xml:space="preserve"> and Richardson (2011) found that the number of the non-executive board members has a significant negative association with the aggressive tax </w:t>
      </w:r>
      <w:r w:rsidRPr="00E37322">
        <w:rPr>
          <w:rFonts w:ascii="Times New Roman" w:hAnsi="Times New Roman" w:cs="Times New Roman"/>
          <w:sz w:val="20"/>
          <w:szCs w:val="20"/>
        </w:rPr>
        <w:lastRenderedPageBreak/>
        <w:t>trend. In other words, the more numbers of the non-executive members of the board shows that the few firms tend to manage the taxes.</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Chen et al (2010) indicated that the family ownership might impact the tax policies. They showed that the family owned corporations confirm aggressive tax policies less than those corporations without family ownerships. These findings confirm that the family owned corporations prevent tax management to avoid the reduction of the stock's market value derived from the concerns of the minority shareholders about the tax functions.</w:t>
      </w:r>
    </w:p>
    <w:p w:rsidR="00CB141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Minik</w:t>
      </w:r>
      <w:proofErr w:type="spellEnd"/>
      <w:r w:rsidRPr="00E37322">
        <w:rPr>
          <w:rFonts w:ascii="Times New Roman" w:hAnsi="Times New Roman" w:cs="Times New Roman"/>
          <w:sz w:val="20"/>
          <w:szCs w:val="20"/>
        </w:rPr>
        <w:t xml:space="preserve"> and </w:t>
      </w:r>
      <w:proofErr w:type="spellStart"/>
      <w:r w:rsidRPr="00E37322">
        <w:rPr>
          <w:rFonts w:ascii="Times New Roman" w:hAnsi="Times New Roman" w:cs="Times New Roman"/>
          <w:sz w:val="20"/>
          <w:szCs w:val="20"/>
        </w:rPr>
        <w:t>Noga</w:t>
      </w:r>
      <w:proofErr w:type="spellEnd"/>
      <w:r w:rsidRPr="00E37322">
        <w:rPr>
          <w:rFonts w:ascii="Times New Roman" w:hAnsi="Times New Roman" w:cs="Times New Roman"/>
          <w:sz w:val="20"/>
          <w:szCs w:val="20"/>
        </w:rPr>
        <w:t xml:space="preserve"> (2010) explored the impacts of corporate governance characteristics of the tax management. They revealed that the incentive plans work as a motivation for the managers to invest in long-term programs. They also found that the tax management holds benefits for the shareholders and is positively associated with the increases in the shareholders’ earnings.</w:t>
      </w:r>
    </w:p>
    <w:p w:rsidR="00E907B1" w:rsidRPr="00E37322" w:rsidRDefault="00CB1411" w:rsidP="005B53F8">
      <w:pPr>
        <w:bidi w:val="0"/>
        <w:snapToGrid w:val="0"/>
        <w:spacing w:after="0" w:line="240" w:lineRule="auto"/>
        <w:ind w:firstLine="425"/>
        <w:jc w:val="both"/>
        <w:rPr>
          <w:rFonts w:ascii="Times New Roman" w:hAnsi="Times New Roman" w:cs="Times New Roman"/>
          <w:sz w:val="20"/>
          <w:szCs w:val="20"/>
        </w:rPr>
      </w:pPr>
      <w:proofErr w:type="spellStart"/>
      <w:r w:rsidRPr="00E37322">
        <w:rPr>
          <w:rFonts w:ascii="Times New Roman" w:hAnsi="Times New Roman" w:cs="Times New Roman"/>
          <w:sz w:val="20"/>
          <w:szCs w:val="20"/>
        </w:rPr>
        <w:t>Sartori</w:t>
      </w:r>
      <w:proofErr w:type="spellEnd"/>
      <w:r w:rsidRPr="00E37322">
        <w:rPr>
          <w:rFonts w:ascii="Times New Roman" w:hAnsi="Times New Roman" w:cs="Times New Roman"/>
          <w:sz w:val="20"/>
          <w:szCs w:val="20"/>
        </w:rPr>
        <w:t xml:space="preserve"> (2008) found the interactive reactions between corporate governance and tax. In fact, the corporate governance regulations have structural impacts on meeting the tax obligations. In addition, it was found that the tax plans (from the perspective of the government) and their relationship with the tax strategies (from the perspective of the corporations) might significantly impact the establishment of dynamic corporate governance.</w:t>
      </w:r>
    </w:p>
    <w:p w:rsidR="00D06F3B" w:rsidRPr="00E37322" w:rsidRDefault="00D06F3B"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Hypotheses Development</w:t>
      </w:r>
    </w:p>
    <w:p w:rsidR="00D83170" w:rsidRPr="00E37322" w:rsidRDefault="00D83170"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This study develops a hypothesis: </w:t>
      </w:r>
      <w:r w:rsidR="00D06F3B" w:rsidRPr="00E37322">
        <w:rPr>
          <w:rFonts w:ascii="Times New Roman" w:hAnsi="Times New Roman" w:cs="Times New Roman"/>
          <w:sz w:val="20"/>
          <w:szCs w:val="20"/>
        </w:rPr>
        <w:t xml:space="preserve">There is a significant association between the percentage of the </w:t>
      </w:r>
      <w:r w:rsidR="00963E1E" w:rsidRPr="00E37322">
        <w:rPr>
          <w:rFonts w:ascii="Times New Roman" w:hAnsi="Times New Roman" w:cs="Times New Roman"/>
          <w:sz w:val="20"/>
          <w:szCs w:val="20"/>
        </w:rPr>
        <w:t>non-executive</w:t>
      </w:r>
      <w:r w:rsidR="00D06F3B" w:rsidRPr="00E37322">
        <w:rPr>
          <w:rFonts w:ascii="Times New Roman" w:hAnsi="Times New Roman" w:cs="Times New Roman"/>
          <w:sz w:val="20"/>
          <w:szCs w:val="20"/>
        </w:rPr>
        <w:t xml:space="preserve"> members and the difference of the </w:t>
      </w:r>
      <w:r w:rsidRPr="00E37322">
        <w:rPr>
          <w:rFonts w:ascii="Times New Roman" w:hAnsi="Times New Roman" w:cs="Times New Roman"/>
          <w:sz w:val="20"/>
          <w:szCs w:val="20"/>
        </w:rPr>
        <w:t>income tax and final tax.</w:t>
      </w:r>
    </w:p>
    <w:p w:rsidR="00D06F3B" w:rsidRPr="00E37322" w:rsidRDefault="00D06F3B"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Data Analysis</w:t>
      </w:r>
    </w:p>
    <w:p w:rsidR="00D06F3B" w:rsidRPr="00E37322" w:rsidRDefault="00D06F3B"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The collected data from the financial statements of the firms, notes to the financial statements and different software are compiled in EXCEL database. As the second step, EVIEWS software </w:t>
      </w:r>
      <w:r w:rsidR="00D83170" w:rsidRPr="00E37322">
        <w:rPr>
          <w:rFonts w:ascii="Times New Roman" w:hAnsi="Times New Roman" w:cs="Times New Roman"/>
          <w:sz w:val="20"/>
          <w:szCs w:val="20"/>
        </w:rPr>
        <w:t xml:space="preserve">is used </w:t>
      </w:r>
      <w:r w:rsidRPr="00E37322">
        <w:rPr>
          <w:rFonts w:ascii="Times New Roman" w:hAnsi="Times New Roman" w:cs="Times New Roman"/>
          <w:sz w:val="20"/>
          <w:szCs w:val="20"/>
        </w:rPr>
        <w:t xml:space="preserve">to analyze the data and the hypotheses </w:t>
      </w:r>
      <w:r w:rsidR="00D83170" w:rsidRPr="00E37322">
        <w:rPr>
          <w:rFonts w:ascii="Times New Roman" w:hAnsi="Times New Roman" w:cs="Times New Roman"/>
          <w:sz w:val="20"/>
          <w:szCs w:val="20"/>
        </w:rPr>
        <w:t>are</w:t>
      </w:r>
      <w:r w:rsidRPr="00E37322">
        <w:rPr>
          <w:rFonts w:ascii="Times New Roman" w:hAnsi="Times New Roman" w:cs="Times New Roman"/>
          <w:sz w:val="20"/>
          <w:szCs w:val="20"/>
        </w:rPr>
        <w:t xml:space="preserve"> tested by </w:t>
      </w:r>
      <w:r w:rsidR="00D83170" w:rsidRPr="00E37322">
        <w:rPr>
          <w:rFonts w:ascii="Times New Roman" w:hAnsi="Times New Roman" w:cs="Times New Roman"/>
          <w:sz w:val="20"/>
          <w:szCs w:val="20"/>
        </w:rPr>
        <w:t>considering</w:t>
      </w:r>
      <w:r w:rsidRPr="00E37322">
        <w:rPr>
          <w:rFonts w:ascii="Times New Roman" w:hAnsi="Times New Roman" w:cs="Times New Roman"/>
          <w:sz w:val="20"/>
          <w:szCs w:val="20"/>
        </w:rPr>
        <w:t xml:space="preserve"> the variables correlation and regression equations in panel data.</w:t>
      </w:r>
      <w:r w:rsidR="00446CB3" w:rsidRPr="00E37322">
        <w:rPr>
          <w:rFonts w:ascii="Times New Roman" w:hAnsi="Times New Roman" w:cs="Times New Roman"/>
          <w:sz w:val="20"/>
          <w:szCs w:val="20"/>
        </w:rPr>
        <w:t xml:space="preserve"> Quantitative statistical methods and multivariate regression analyses </w:t>
      </w:r>
      <w:r w:rsidR="00CE2A1E" w:rsidRPr="00E37322">
        <w:rPr>
          <w:rFonts w:ascii="Times New Roman" w:hAnsi="Times New Roman" w:cs="Times New Roman"/>
          <w:sz w:val="20"/>
          <w:szCs w:val="20"/>
        </w:rPr>
        <w:t xml:space="preserve">along with </w:t>
      </w:r>
      <w:r w:rsidR="00446CB3" w:rsidRPr="00E37322">
        <w:rPr>
          <w:rFonts w:ascii="Times New Roman" w:hAnsi="Times New Roman" w:cs="Times New Roman"/>
          <w:sz w:val="20"/>
          <w:szCs w:val="20"/>
        </w:rPr>
        <w:t>White cross-section, Chaw test (F statistics), R</w:t>
      </w:r>
      <w:r w:rsidR="00446CB3" w:rsidRPr="00E37322">
        <w:rPr>
          <w:rFonts w:ascii="Times New Roman" w:hAnsi="Times New Roman" w:cs="Times New Roman"/>
          <w:sz w:val="20"/>
          <w:szCs w:val="20"/>
          <w:vertAlign w:val="superscript"/>
        </w:rPr>
        <w:t>2</w:t>
      </w:r>
      <w:r w:rsidR="00446CB3" w:rsidRPr="00E37322">
        <w:rPr>
          <w:rFonts w:ascii="Times New Roman" w:hAnsi="Times New Roman" w:cs="Times New Roman"/>
          <w:sz w:val="20"/>
          <w:szCs w:val="20"/>
        </w:rPr>
        <w:t xml:space="preserve"> and Durbin-Watson statistics </w:t>
      </w:r>
      <w:r w:rsidR="00CE2A1E" w:rsidRPr="00E37322">
        <w:rPr>
          <w:rFonts w:ascii="Times New Roman" w:hAnsi="Times New Roman" w:cs="Times New Roman"/>
          <w:sz w:val="20"/>
          <w:szCs w:val="20"/>
        </w:rPr>
        <w:t>have been</w:t>
      </w:r>
      <w:r w:rsidR="00446CB3" w:rsidRPr="00E37322">
        <w:rPr>
          <w:rFonts w:ascii="Times New Roman" w:hAnsi="Times New Roman" w:cs="Times New Roman"/>
          <w:sz w:val="20"/>
          <w:szCs w:val="20"/>
        </w:rPr>
        <w:t xml:space="preserve"> employed.</w:t>
      </w:r>
    </w:p>
    <w:p w:rsidR="00717436" w:rsidRPr="00E37322" w:rsidRDefault="00717436"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Variables Definition and Calculation</w:t>
      </w:r>
    </w:p>
    <w:p w:rsidR="00717436" w:rsidRPr="00E37322" w:rsidRDefault="00717436"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dependent variable of the study is</w:t>
      </w:r>
      <w:r w:rsidR="00B6019C" w:rsidRPr="00E37322">
        <w:rPr>
          <w:rFonts w:ascii="Times New Roman" w:hAnsi="Times New Roman" w:cs="Times New Roman"/>
          <w:sz w:val="20"/>
          <w:szCs w:val="20"/>
        </w:rPr>
        <w:t xml:space="preserve"> defined as the gap between income tax </w:t>
      </w:r>
      <w:r w:rsidRPr="00E37322">
        <w:rPr>
          <w:rFonts w:ascii="Times New Roman" w:hAnsi="Times New Roman" w:cs="Times New Roman"/>
          <w:sz w:val="20"/>
          <w:szCs w:val="20"/>
        </w:rPr>
        <w:t xml:space="preserve">and final tax of the </w:t>
      </w:r>
      <w:r w:rsidR="00B6019C" w:rsidRPr="00E37322">
        <w:rPr>
          <w:rFonts w:ascii="Times New Roman" w:hAnsi="Times New Roman" w:cs="Times New Roman"/>
          <w:sz w:val="20"/>
          <w:szCs w:val="20"/>
        </w:rPr>
        <w:t>firms</w:t>
      </w:r>
      <w:r w:rsidRPr="00E37322">
        <w:rPr>
          <w:rFonts w:ascii="Times New Roman" w:hAnsi="Times New Roman" w:cs="Times New Roman"/>
          <w:sz w:val="20"/>
          <w:szCs w:val="20"/>
        </w:rPr>
        <w:t>.</w:t>
      </w:r>
    </w:p>
    <w:p w:rsidR="00717436" w:rsidRPr="00E37322" w:rsidRDefault="00963E1E"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independent variable</w:t>
      </w:r>
      <w:r w:rsidR="00717436" w:rsidRPr="00E37322">
        <w:rPr>
          <w:rFonts w:ascii="Times New Roman" w:hAnsi="Times New Roman" w:cs="Times New Roman"/>
          <w:sz w:val="20"/>
          <w:szCs w:val="20"/>
        </w:rPr>
        <w:t xml:space="preserve"> of the study </w:t>
      </w:r>
      <w:r w:rsidRPr="00E37322">
        <w:rPr>
          <w:rFonts w:ascii="Times New Roman" w:hAnsi="Times New Roman" w:cs="Times New Roman"/>
          <w:sz w:val="20"/>
          <w:szCs w:val="20"/>
        </w:rPr>
        <w:t>is composed of</w:t>
      </w:r>
      <w:r w:rsidR="00717436" w:rsidRPr="00E37322">
        <w:rPr>
          <w:rFonts w:ascii="Times New Roman" w:hAnsi="Times New Roman" w:cs="Times New Roman"/>
          <w:sz w:val="20"/>
          <w:szCs w:val="20"/>
        </w:rPr>
        <w:t xml:space="preserve"> the </w:t>
      </w:r>
      <w:r w:rsidRPr="00E37322">
        <w:rPr>
          <w:rFonts w:ascii="Times New Roman" w:hAnsi="Times New Roman" w:cs="Times New Roman"/>
          <w:sz w:val="20"/>
          <w:szCs w:val="20"/>
        </w:rPr>
        <w:t>non-executive</w:t>
      </w:r>
      <w:r w:rsidR="00717436" w:rsidRPr="00E37322">
        <w:rPr>
          <w:rFonts w:ascii="Times New Roman" w:hAnsi="Times New Roman" w:cs="Times New Roman"/>
          <w:sz w:val="20"/>
          <w:szCs w:val="20"/>
        </w:rPr>
        <w:t xml:space="preserve"> members of the board defined as </w:t>
      </w:r>
      <w:r w:rsidR="00B6019C" w:rsidRPr="00E37322">
        <w:rPr>
          <w:rFonts w:ascii="Times New Roman" w:hAnsi="Times New Roman" w:cs="Times New Roman"/>
          <w:sz w:val="20"/>
          <w:szCs w:val="20"/>
        </w:rPr>
        <w:t>those</w:t>
      </w:r>
      <w:r w:rsidR="00717436" w:rsidRPr="00E37322">
        <w:rPr>
          <w:rFonts w:ascii="Times New Roman" w:hAnsi="Times New Roman" w:cs="Times New Roman"/>
          <w:sz w:val="20"/>
          <w:szCs w:val="20"/>
        </w:rPr>
        <w:t xml:space="preserve"> members who have no executive responsibility and do not receive constant annual or monthly salary.</w:t>
      </w:r>
    </w:p>
    <w:p w:rsidR="00717436" w:rsidRPr="00E37322" w:rsidRDefault="00717436"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Control variables</w:t>
      </w:r>
    </w:p>
    <w:p w:rsidR="00717436" w:rsidRPr="00E37322" w:rsidRDefault="00717436"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These </w:t>
      </w:r>
      <w:r w:rsidR="00963E1E" w:rsidRPr="00E37322">
        <w:rPr>
          <w:rFonts w:ascii="Times New Roman" w:hAnsi="Times New Roman" w:cs="Times New Roman"/>
          <w:sz w:val="20"/>
          <w:szCs w:val="20"/>
        </w:rPr>
        <w:t>control variables</w:t>
      </w:r>
      <w:r w:rsidRPr="00E37322">
        <w:rPr>
          <w:rFonts w:ascii="Times New Roman" w:hAnsi="Times New Roman" w:cs="Times New Roman"/>
          <w:sz w:val="20"/>
          <w:szCs w:val="20"/>
        </w:rPr>
        <w:t xml:space="preserve"> include:</w:t>
      </w:r>
    </w:p>
    <w:p w:rsidR="00717436" w:rsidRPr="00E37322" w:rsidRDefault="00717436" w:rsidP="005B53F8">
      <w:pPr>
        <w:pStyle w:val="ListParagraph"/>
        <w:numPr>
          <w:ilvl w:val="0"/>
          <w:numId w:val="3"/>
        </w:numPr>
        <w:snapToGrid w:val="0"/>
        <w:ind w:left="0" w:right="0" w:firstLine="425"/>
        <w:jc w:val="both"/>
        <w:rPr>
          <w:sz w:val="20"/>
          <w:szCs w:val="20"/>
        </w:rPr>
      </w:pPr>
      <w:r w:rsidRPr="00E37322">
        <w:rPr>
          <w:sz w:val="20"/>
          <w:szCs w:val="20"/>
        </w:rPr>
        <w:t>Firm Size</w:t>
      </w:r>
    </w:p>
    <w:p w:rsidR="00717436" w:rsidRPr="00E37322" w:rsidRDefault="00717436"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lastRenderedPageBreak/>
        <w:t xml:space="preserve">The size of the firm is calculated by the natural logarithm of the market value of the </w:t>
      </w:r>
      <w:r w:rsidR="00B6019C" w:rsidRPr="00E37322">
        <w:rPr>
          <w:rFonts w:ascii="Times New Roman" w:hAnsi="Times New Roman" w:cs="Times New Roman"/>
          <w:sz w:val="20"/>
          <w:szCs w:val="20"/>
        </w:rPr>
        <w:t>equity</w:t>
      </w:r>
      <w:r w:rsidRPr="00E37322">
        <w:rPr>
          <w:rFonts w:ascii="Times New Roman" w:hAnsi="Times New Roman" w:cs="Times New Roman"/>
          <w:sz w:val="20"/>
          <w:szCs w:val="20"/>
        </w:rPr>
        <w:t xml:space="preserve"> or sales or total assets.</w:t>
      </w:r>
    </w:p>
    <w:p w:rsidR="00717436" w:rsidRPr="00E37322" w:rsidRDefault="00717436" w:rsidP="005B53F8">
      <w:pPr>
        <w:pStyle w:val="ListParagraph"/>
        <w:numPr>
          <w:ilvl w:val="0"/>
          <w:numId w:val="3"/>
        </w:numPr>
        <w:snapToGrid w:val="0"/>
        <w:ind w:left="0" w:right="0" w:firstLine="425"/>
        <w:jc w:val="both"/>
        <w:rPr>
          <w:sz w:val="20"/>
          <w:szCs w:val="20"/>
        </w:rPr>
      </w:pPr>
      <w:r w:rsidRPr="00E37322">
        <w:rPr>
          <w:sz w:val="20"/>
          <w:szCs w:val="20"/>
        </w:rPr>
        <w:t>Financial leverage</w:t>
      </w:r>
    </w:p>
    <w:p w:rsidR="00717436" w:rsidRPr="00E37322" w:rsidRDefault="00717436"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The financial leverage is computed by dividing the debts </w:t>
      </w:r>
      <w:r w:rsidR="006D1581" w:rsidRPr="00E37322">
        <w:rPr>
          <w:rFonts w:ascii="Times New Roman" w:hAnsi="Times New Roman" w:cs="Times New Roman"/>
          <w:sz w:val="20"/>
          <w:szCs w:val="20"/>
        </w:rPr>
        <w:t>by</w:t>
      </w:r>
      <w:r w:rsidR="00B6019C" w:rsidRPr="00E37322">
        <w:rPr>
          <w:rFonts w:ascii="Times New Roman" w:hAnsi="Times New Roman" w:cs="Times New Roman"/>
          <w:sz w:val="20"/>
          <w:szCs w:val="20"/>
        </w:rPr>
        <w:t xml:space="preserve"> the assets and</w:t>
      </w:r>
      <w:r w:rsidRPr="00E37322">
        <w:rPr>
          <w:rFonts w:ascii="Times New Roman" w:hAnsi="Times New Roman" w:cs="Times New Roman"/>
          <w:sz w:val="20"/>
          <w:szCs w:val="20"/>
        </w:rPr>
        <w:t xml:space="preserve"> is considered as a controlling variable of the study.</w:t>
      </w:r>
    </w:p>
    <w:p w:rsidR="00717436" w:rsidRPr="00E37322" w:rsidRDefault="006D1581" w:rsidP="005B53F8">
      <w:pPr>
        <w:pStyle w:val="ListParagraph"/>
        <w:numPr>
          <w:ilvl w:val="0"/>
          <w:numId w:val="3"/>
        </w:numPr>
        <w:snapToGrid w:val="0"/>
        <w:ind w:left="0" w:right="0" w:firstLine="425"/>
        <w:jc w:val="both"/>
        <w:rPr>
          <w:sz w:val="20"/>
          <w:szCs w:val="20"/>
        </w:rPr>
      </w:pPr>
      <w:r w:rsidRPr="00E37322">
        <w:rPr>
          <w:sz w:val="20"/>
          <w:szCs w:val="20"/>
        </w:rPr>
        <w:t>Effective tax rate</w:t>
      </w:r>
    </w:p>
    <w:p w:rsidR="006D1581" w:rsidRPr="00E37322" w:rsidRDefault="00963E1E"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effective tax rate</w:t>
      </w:r>
      <w:r w:rsidR="006D1581" w:rsidRPr="00E37322">
        <w:rPr>
          <w:rFonts w:ascii="Times New Roman" w:hAnsi="Times New Roman" w:cs="Times New Roman"/>
          <w:sz w:val="20"/>
          <w:szCs w:val="20"/>
        </w:rPr>
        <w:t xml:space="preserve"> is computed by dividing </w:t>
      </w:r>
      <w:r w:rsidRPr="00E37322">
        <w:rPr>
          <w:rFonts w:ascii="Times New Roman" w:hAnsi="Times New Roman" w:cs="Times New Roman"/>
          <w:sz w:val="20"/>
          <w:szCs w:val="20"/>
        </w:rPr>
        <w:t>the total tax</w:t>
      </w:r>
      <w:r w:rsidR="006D1581" w:rsidRPr="00E37322">
        <w:rPr>
          <w:rFonts w:ascii="Times New Roman" w:hAnsi="Times New Roman" w:cs="Times New Roman"/>
          <w:sz w:val="20"/>
          <w:szCs w:val="20"/>
        </w:rPr>
        <w:t xml:space="preserve"> by the taxable income.</w:t>
      </w:r>
    </w:p>
    <w:p w:rsidR="006D1581" w:rsidRPr="00E37322" w:rsidRDefault="006D1581"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Research Model</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models of this study include a regression model as follows:</w:t>
      </w:r>
    </w:p>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 xml:space="preserve">Gap </w:t>
      </w:r>
      <w:r w:rsidRPr="00E37322">
        <w:rPr>
          <w:rFonts w:ascii="Times New Roman" w:hAnsi="Times New Roman" w:cs="Times New Roman"/>
          <w:b/>
          <w:bCs/>
          <w:i/>
          <w:iCs/>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lang w:val="en-GB"/>
              </w:rPr>
              <m:t>i</m:t>
            </m:r>
          </m:sub>
        </m:sSub>
      </m:oMath>
      <w:r w:rsidRPr="00E37322">
        <w:rPr>
          <w:rFonts w:ascii="Times New Roman" w:hAnsi="Times New Roman" w:cs="Times New Roman"/>
          <w:b/>
          <w:bCs/>
          <w:i/>
          <w:iCs/>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1</m:t>
            </m:r>
          </m:sub>
        </m:sSub>
      </m:oMath>
      <w:r w:rsidRPr="00E37322">
        <w:rPr>
          <w:rFonts w:ascii="Times New Roman" w:hAnsi="Times New Roman" w:cs="Times New Roman"/>
          <w:b/>
          <w:bCs/>
          <w:i/>
          <w:iCs/>
          <w:sz w:val="20"/>
          <w:szCs w:val="20"/>
        </w:rPr>
        <w:t xml:space="preserve"> </w:t>
      </w:r>
      <w:proofErr w:type="spellStart"/>
      <w:r w:rsidRPr="00E37322">
        <w:rPr>
          <w:rFonts w:ascii="Times New Roman" w:hAnsi="Times New Roman" w:cs="Times New Roman"/>
          <w:sz w:val="20"/>
          <w:szCs w:val="20"/>
        </w:rPr>
        <w:t>Ou</w:t>
      </w:r>
      <m:oMath>
        <w:proofErr w:type="spellEnd"/>
        <m:sSub>
          <m:sSubPr>
            <m:ctrlPr>
              <w:rPr>
                <w:rFonts w:ascii="Cambria Math" w:hAnsi="Times New Roman" w:cs="Times New Roman"/>
                <w:i/>
                <w:sz w:val="20"/>
                <w:szCs w:val="20"/>
              </w:rPr>
            </m:ctrlPr>
          </m:sSubPr>
          <m:e>
            <m:r>
              <m:rPr>
                <m:sty m:val="p"/>
              </m:rPr>
              <w:rPr>
                <w:rFonts w:ascii="Cambria Math" w:hAnsi="Times New Roman" w:cs="Times New Roman"/>
                <w:sz w:val="20"/>
                <w:szCs w:val="20"/>
              </w:rPr>
              <m:t>t</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2</m:t>
            </m:r>
          </m:sub>
        </m:sSub>
      </m:oMath>
      <w:r w:rsidRPr="00E37322">
        <w:rPr>
          <w:rFonts w:ascii="Times New Roman" w:hAnsi="Times New Roman" w:cs="Times New Roman"/>
          <w:b/>
          <w:bCs/>
          <w:i/>
          <w:iCs/>
          <w:sz w:val="20"/>
          <w:szCs w:val="20"/>
        </w:rPr>
        <w:t xml:space="preserve"> </w:t>
      </w:r>
      <w:r w:rsidRPr="00E37322">
        <w:rPr>
          <w:rFonts w:ascii="Times New Roman" w:hAnsi="Times New Roman" w:cs="Times New Roman"/>
          <w:sz w:val="20"/>
          <w:szCs w:val="20"/>
        </w:rPr>
        <w:t>SIZ</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3</m:t>
            </m:r>
          </m:sub>
        </m:sSub>
      </m:oMath>
      <w:r w:rsidRPr="00E37322">
        <w:rPr>
          <w:rFonts w:ascii="Times New Roman" w:hAnsi="Times New Roman" w:cs="Times New Roman"/>
          <w:sz w:val="20"/>
          <w:szCs w:val="20"/>
        </w:rPr>
        <w:t>LE</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V</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4</m:t>
            </m:r>
          </m:sub>
        </m:sSub>
      </m:oMath>
      <w:r w:rsidRPr="00E37322">
        <w:rPr>
          <w:rFonts w:ascii="Times New Roman" w:hAnsi="Times New Roman" w:cs="Times New Roman"/>
          <w:b/>
          <w:bCs/>
          <w:sz w:val="20"/>
          <w:szCs w:val="20"/>
        </w:rPr>
        <w:t xml:space="preserve"> </w:t>
      </w:r>
      <w:r w:rsidRPr="00E37322">
        <w:rPr>
          <w:rFonts w:ascii="Times New Roman" w:hAnsi="Times New Roman" w:cs="Times New Roman"/>
          <w:sz w:val="20"/>
          <w:szCs w:val="20"/>
        </w:rPr>
        <w:t>ET</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R</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sub>
        </m:sSub>
      </m:oMath>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The significant coefficient of </w:t>
      </w:r>
      <w:r w:rsidR="00963E1E" w:rsidRPr="00E37322">
        <w:rPr>
          <w:rFonts w:ascii="Times New Roman" w:hAnsi="Times New Roman" w:cs="Times New Roman"/>
          <w:sz w:val="20"/>
          <w:szCs w:val="20"/>
        </w:rPr>
        <w:t>non-executive</w:t>
      </w:r>
      <w:r w:rsidRPr="00E37322">
        <w:rPr>
          <w:rFonts w:ascii="Times New Roman" w:hAnsi="Times New Roman" w:cs="Times New Roman"/>
          <w:sz w:val="20"/>
          <w:szCs w:val="20"/>
        </w:rPr>
        <w:t xml:space="preserve"> members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α</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m:t>
        </m:r>
      </m:oMath>
      <w:r w:rsidRPr="00E37322">
        <w:rPr>
          <w:rFonts w:ascii="Times New Roman" w:hAnsi="Times New Roman" w:cs="Times New Roman"/>
          <w:sz w:val="20"/>
          <w:szCs w:val="20"/>
        </w:rPr>
        <w:t xml:space="preserve"> confirms the significant relationship. The above model has been also used by Babajani and Abdi (2010).</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lastRenderedPageBreak/>
        <w:t>The significant coefficient of internal audit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α</m:t>
            </m:r>
          </m:e>
          <m:sub>
            <m:r>
              <m:rPr>
                <m:sty m:val="p"/>
              </m:rPr>
              <w:rPr>
                <w:rFonts w:ascii="Cambria Math" w:hAnsi="Times New Roman" w:cs="Times New Roman"/>
                <w:sz w:val="20"/>
                <w:szCs w:val="20"/>
              </w:rPr>
              <m:t>1</m:t>
            </m:r>
          </m:sub>
        </m:sSub>
      </m:oMath>
      <w:r w:rsidRPr="00E37322">
        <w:rPr>
          <w:rFonts w:ascii="Times New Roman" w:hAnsi="Times New Roman" w:cs="Times New Roman"/>
          <w:sz w:val="20"/>
          <w:szCs w:val="20"/>
        </w:rPr>
        <w:t>) also confirms the significance of the model.</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variables of the equation are as follows:</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i/>
          <w:iCs/>
          <w:sz w:val="20"/>
          <w:szCs w:val="20"/>
        </w:rPr>
        <w:t>Gap</w:t>
      </w:r>
      <w:r w:rsidRPr="00E37322">
        <w:rPr>
          <w:rFonts w:ascii="Times New Roman" w:hAnsi="Times New Roman" w:cs="Times New Roman"/>
          <w:sz w:val="20"/>
          <w:szCs w:val="20"/>
        </w:rPr>
        <w:t xml:space="preserve">: The gap between the </w:t>
      </w:r>
      <w:r w:rsidR="00B6019C" w:rsidRPr="00E37322">
        <w:rPr>
          <w:rFonts w:ascii="Times New Roman" w:hAnsi="Times New Roman" w:cs="Times New Roman"/>
          <w:sz w:val="20"/>
          <w:szCs w:val="20"/>
        </w:rPr>
        <w:t xml:space="preserve">income tax </w:t>
      </w:r>
      <w:r w:rsidRPr="00E37322">
        <w:rPr>
          <w:rFonts w:ascii="Times New Roman" w:hAnsi="Times New Roman" w:cs="Times New Roman"/>
          <w:sz w:val="20"/>
          <w:szCs w:val="20"/>
        </w:rPr>
        <w:t>and final tax;</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vertAlign w:val="subscript"/>
        </w:rPr>
        <w:t>0</w:t>
      </w:r>
      <w:r w:rsidRPr="00E37322">
        <w:rPr>
          <w:rFonts w:ascii="Times New Roman" w:hAnsi="Times New Roman" w:cs="Times New Roman"/>
          <w:sz w:val="20"/>
          <w:szCs w:val="20"/>
        </w:rPr>
        <w:t>α: Constant coefficient;</w:t>
      </w:r>
    </w:p>
    <w:p w:rsidR="006D1581" w:rsidRPr="00E37322" w:rsidRDefault="00B6019C" w:rsidP="005B53F8">
      <w:pPr>
        <w:bidi w:val="0"/>
        <w:snapToGrid w:val="0"/>
        <w:spacing w:after="0" w:line="240" w:lineRule="auto"/>
        <w:ind w:firstLine="425"/>
        <w:jc w:val="both"/>
        <w:rPr>
          <w:rFonts w:ascii="Times New Roman" w:hAnsi="Times New Roman" w:cs="Times New Roman"/>
          <w:b/>
          <w:bCs/>
          <w:sz w:val="20"/>
          <w:szCs w:val="20"/>
          <w:vertAlign w:val="subscript"/>
        </w:rPr>
      </w:pPr>
      <w:r w:rsidRPr="00E37322">
        <w:rPr>
          <w:rFonts w:ascii="Times New Roman" w:hAnsi="Times New Roman" w:cs="Times New Roman"/>
          <w:sz w:val="20"/>
          <w:szCs w:val="20"/>
        </w:rPr>
        <w:t>α</w:t>
      </w:r>
      <w:r w:rsidRPr="00E37322">
        <w:rPr>
          <w:rFonts w:ascii="Times New Roman" w:hAnsi="Times New Roman" w:cs="Times New Roman"/>
          <w:sz w:val="20"/>
          <w:szCs w:val="20"/>
          <w:vertAlign w:val="subscript"/>
        </w:rPr>
        <w:t>1</w:t>
      </w:r>
      <w:r w:rsidRPr="00E37322">
        <w:rPr>
          <w:rFonts w:ascii="Times New Roman" w:hAnsi="Times New Roman" w:cs="Times New Roman"/>
          <w:sz w:val="20"/>
          <w:szCs w:val="20"/>
        </w:rPr>
        <w:t xml:space="preserve"> </w:t>
      </w:r>
      <w:proofErr w:type="spellStart"/>
      <w:r w:rsidRPr="00E37322">
        <w:rPr>
          <w:rFonts w:ascii="Times New Roman" w:hAnsi="Times New Roman" w:cs="Times New Roman"/>
          <w:sz w:val="20"/>
          <w:szCs w:val="20"/>
        </w:rPr>
        <w:t>تا</w:t>
      </w:r>
      <w:proofErr w:type="spellEnd"/>
      <w:r w:rsidRPr="00E37322">
        <w:rPr>
          <w:rFonts w:ascii="Times New Roman" w:hAnsi="Times New Roman" w:cs="Times New Roman"/>
          <w:sz w:val="20"/>
          <w:szCs w:val="20"/>
        </w:rPr>
        <w:t xml:space="preserve"> α</w:t>
      </w:r>
      <w:r w:rsidRPr="00E37322">
        <w:rPr>
          <w:rFonts w:ascii="Times New Roman" w:hAnsi="Times New Roman" w:cs="Times New Roman"/>
          <w:b/>
          <w:bCs/>
          <w:sz w:val="20"/>
          <w:szCs w:val="20"/>
          <w:vertAlign w:val="subscript"/>
        </w:rPr>
        <w:t xml:space="preserve">7: </w:t>
      </w:r>
      <w:r w:rsidR="006D1581" w:rsidRPr="00E37322">
        <w:rPr>
          <w:rFonts w:ascii="Times New Roman" w:hAnsi="Times New Roman" w:cs="Times New Roman"/>
          <w:sz w:val="20"/>
          <w:szCs w:val="20"/>
        </w:rPr>
        <w:t>The</w:t>
      </w:r>
      <w:r w:rsidRPr="00E37322">
        <w:rPr>
          <w:rFonts w:ascii="Times New Roman" w:hAnsi="Times New Roman" w:cs="Times New Roman"/>
          <w:sz w:val="20"/>
          <w:szCs w:val="20"/>
        </w:rPr>
        <w:t xml:space="preserve"> </w:t>
      </w:r>
      <w:r w:rsidR="00963E1E" w:rsidRPr="00E37322">
        <w:rPr>
          <w:rFonts w:ascii="Times New Roman" w:hAnsi="Times New Roman" w:cs="Times New Roman"/>
          <w:sz w:val="20"/>
          <w:szCs w:val="20"/>
        </w:rPr>
        <w:t>variable</w:t>
      </w:r>
      <w:r w:rsidR="006D1581" w:rsidRPr="00E37322">
        <w:rPr>
          <w:rFonts w:ascii="Times New Roman" w:hAnsi="Times New Roman" w:cs="Times New Roman"/>
          <w:sz w:val="20"/>
          <w:szCs w:val="20"/>
        </w:rPr>
        <w:t xml:space="preserve"> coefficients</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 xml:space="preserve">Size: </w:t>
      </w:r>
      <w:r w:rsidR="00B6019C" w:rsidRPr="00E37322">
        <w:rPr>
          <w:rFonts w:ascii="Times New Roman" w:hAnsi="Times New Roman" w:cs="Times New Roman"/>
          <w:sz w:val="20"/>
          <w:szCs w:val="20"/>
        </w:rPr>
        <w:t>S</w:t>
      </w:r>
      <w:r w:rsidRPr="00E37322">
        <w:rPr>
          <w:rFonts w:ascii="Times New Roman" w:hAnsi="Times New Roman" w:cs="Times New Roman"/>
          <w:sz w:val="20"/>
          <w:szCs w:val="20"/>
        </w:rPr>
        <w:t>ize of the firms</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Lev: Financial leverage</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ε: Coefficient of errors.</w:t>
      </w:r>
    </w:p>
    <w:p w:rsidR="006D1581" w:rsidRPr="00E37322" w:rsidRDefault="006D1581" w:rsidP="005B53F8">
      <w:pPr>
        <w:bidi w:val="0"/>
        <w:snapToGrid w:val="0"/>
        <w:spacing w:after="0" w:line="240" w:lineRule="auto"/>
        <w:jc w:val="both"/>
        <w:rPr>
          <w:rFonts w:ascii="Times New Roman" w:hAnsi="Times New Roman" w:cs="Times New Roman"/>
          <w:b/>
          <w:bCs/>
          <w:sz w:val="20"/>
          <w:szCs w:val="20"/>
        </w:rPr>
      </w:pPr>
      <w:r w:rsidRPr="00E37322">
        <w:rPr>
          <w:rFonts w:ascii="Times New Roman" w:hAnsi="Times New Roman" w:cs="Times New Roman"/>
          <w:b/>
          <w:bCs/>
          <w:sz w:val="20"/>
          <w:szCs w:val="20"/>
        </w:rPr>
        <w:t>Hypothesis Analyses</w:t>
      </w:r>
    </w:p>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i/>
          <w:iCs/>
          <w:sz w:val="20"/>
          <w:szCs w:val="20"/>
        </w:rPr>
        <w:t>Hypothesis:</w:t>
      </w:r>
      <w:r w:rsidRPr="00E37322">
        <w:rPr>
          <w:rFonts w:ascii="Times New Roman" w:hAnsi="Times New Roman" w:cs="Times New Roman"/>
          <w:sz w:val="20"/>
          <w:szCs w:val="20"/>
        </w:rPr>
        <w:t xml:space="preserve"> There is a significant relationship between the percentage of the </w:t>
      </w:r>
      <w:r w:rsidR="00963E1E" w:rsidRPr="00E37322">
        <w:rPr>
          <w:rFonts w:ascii="Times New Roman" w:hAnsi="Times New Roman" w:cs="Times New Roman"/>
          <w:sz w:val="20"/>
          <w:szCs w:val="20"/>
        </w:rPr>
        <w:t>non-executive</w:t>
      </w:r>
      <w:r w:rsidRPr="00E37322">
        <w:rPr>
          <w:rFonts w:ascii="Times New Roman" w:hAnsi="Times New Roman" w:cs="Times New Roman"/>
          <w:sz w:val="20"/>
          <w:szCs w:val="20"/>
        </w:rPr>
        <w:t xml:space="preserve"> members and the difference between </w:t>
      </w:r>
      <w:r w:rsidR="00B6019C" w:rsidRPr="00E37322">
        <w:rPr>
          <w:rFonts w:ascii="Times New Roman" w:hAnsi="Times New Roman" w:cs="Times New Roman"/>
          <w:sz w:val="20"/>
          <w:szCs w:val="20"/>
        </w:rPr>
        <w:t>income tax and final tax</w:t>
      </w:r>
      <w:r w:rsidRPr="00E37322">
        <w:rPr>
          <w:rFonts w:ascii="Times New Roman" w:hAnsi="Times New Roman" w:cs="Times New Roman"/>
          <w:sz w:val="20"/>
          <w:szCs w:val="20"/>
        </w:rPr>
        <w:t>.</w:t>
      </w:r>
    </w:p>
    <w:p w:rsidR="006D1581" w:rsidRPr="00E37322" w:rsidRDefault="006D1581" w:rsidP="005B53F8">
      <w:pPr>
        <w:bidi w:val="0"/>
        <w:snapToGrid w:val="0"/>
        <w:spacing w:after="0" w:line="240" w:lineRule="auto"/>
        <w:ind w:firstLine="425"/>
        <w:jc w:val="both"/>
        <w:rPr>
          <w:rFonts w:ascii="Times New Roman" w:hAnsi="Times New Roman" w:cs="Times New Roman"/>
          <w:i/>
          <w:iCs/>
          <w:sz w:val="20"/>
          <w:szCs w:val="20"/>
        </w:rPr>
      </w:pPr>
      <w:r w:rsidRPr="00E37322">
        <w:rPr>
          <w:rFonts w:ascii="Times New Roman" w:hAnsi="Times New Roman" w:cs="Times New Roman"/>
          <w:i/>
          <w:iCs/>
          <w:sz w:val="20"/>
          <w:szCs w:val="20"/>
        </w:rPr>
        <w:t>Model 1</w:t>
      </w:r>
    </w:p>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 xml:space="preserve">Gap </w:t>
      </w:r>
      <w:r w:rsidRPr="00E37322">
        <w:rPr>
          <w:rFonts w:ascii="Times New Roman" w:hAnsi="Times New Roman" w:cs="Times New Roman"/>
          <w:b/>
          <w:bCs/>
          <w:i/>
          <w:iCs/>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lang w:val="en-GB"/>
              </w:rPr>
              <m:t>i</m:t>
            </m:r>
          </m:sub>
        </m:sSub>
      </m:oMath>
      <w:r w:rsidRPr="00E37322">
        <w:rPr>
          <w:rFonts w:ascii="Times New Roman" w:hAnsi="Times New Roman" w:cs="Times New Roman"/>
          <w:b/>
          <w:bCs/>
          <w:i/>
          <w:iCs/>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1</m:t>
            </m:r>
          </m:sub>
        </m:sSub>
      </m:oMath>
      <w:r w:rsidRPr="00E37322">
        <w:rPr>
          <w:rFonts w:ascii="Times New Roman" w:hAnsi="Times New Roman" w:cs="Times New Roman"/>
          <w:b/>
          <w:bCs/>
          <w:i/>
          <w:iCs/>
          <w:sz w:val="20"/>
          <w:szCs w:val="20"/>
        </w:rPr>
        <w:t xml:space="preserve"> </w:t>
      </w:r>
      <w:proofErr w:type="spellStart"/>
      <w:r w:rsidRPr="00E37322">
        <w:rPr>
          <w:rFonts w:ascii="Times New Roman" w:hAnsi="Times New Roman" w:cs="Times New Roman"/>
          <w:sz w:val="20"/>
          <w:szCs w:val="20"/>
        </w:rPr>
        <w:t>Ou</w:t>
      </w:r>
      <m:oMath>
        <w:proofErr w:type="spellEnd"/>
        <m:sSub>
          <m:sSubPr>
            <m:ctrlPr>
              <w:rPr>
                <w:rFonts w:ascii="Cambria Math" w:hAnsi="Times New Roman" w:cs="Times New Roman"/>
                <w:i/>
                <w:sz w:val="20"/>
                <w:szCs w:val="20"/>
              </w:rPr>
            </m:ctrlPr>
          </m:sSubPr>
          <m:e>
            <m:r>
              <m:rPr>
                <m:sty m:val="p"/>
              </m:rPr>
              <w:rPr>
                <w:rFonts w:ascii="Cambria Math" w:hAnsi="Times New Roman" w:cs="Times New Roman"/>
                <w:sz w:val="20"/>
                <w:szCs w:val="20"/>
              </w:rPr>
              <m:t>t</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2</m:t>
            </m:r>
          </m:sub>
        </m:sSub>
      </m:oMath>
      <w:r w:rsidRPr="00E37322">
        <w:rPr>
          <w:rFonts w:ascii="Times New Roman" w:hAnsi="Times New Roman" w:cs="Times New Roman"/>
          <w:b/>
          <w:bCs/>
          <w:i/>
          <w:iCs/>
          <w:sz w:val="20"/>
          <w:szCs w:val="20"/>
        </w:rPr>
        <w:t xml:space="preserve"> </w:t>
      </w:r>
      <w:r w:rsidRPr="00E37322">
        <w:rPr>
          <w:rFonts w:ascii="Times New Roman" w:hAnsi="Times New Roman" w:cs="Times New Roman"/>
          <w:sz w:val="20"/>
          <w:szCs w:val="20"/>
        </w:rPr>
        <w:t>SIZ</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3</m:t>
            </m:r>
          </m:sub>
        </m:sSub>
      </m:oMath>
      <w:r w:rsidRPr="00E37322">
        <w:rPr>
          <w:rFonts w:ascii="Times New Roman" w:hAnsi="Times New Roman" w:cs="Times New Roman"/>
          <w:sz w:val="20"/>
          <w:szCs w:val="20"/>
        </w:rPr>
        <w:t>LE</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V</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4</m:t>
            </m:r>
          </m:sub>
        </m:sSub>
      </m:oMath>
      <w:r w:rsidRPr="00E37322">
        <w:rPr>
          <w:rFonts w:ascii="Times New Roman" w:hAnsi="Times New Roman" w:cs="Times New Roman"/>
          <w:b/>
          <w:bCs/>
          <w:sz w:val="20"/>
          <w:szCs w:val="20"/>
        </w:rPr>
        <w:t xml:space="preserve"> </w:t>
      </w:r>
      <w:r w:rsidRPr="00E37322">
        <w:rPr>
          <w:rFonts w:ascii="Times New Roman" w:hAnsi="Times New Roman" w:cs="Times New Roman"/>
          <w:sz w:val="20"/>
          <w:szCs w:val="20"/>
        </w:rPr>
        <w:t>ET</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R</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sub>
        </m:sSub>
      </m:oMath>
    </w:p>
    <w:p w:rsidR="00756669" w:rsidRPr="00E37322" w:rsidRDefault="006D1581" w:rsidP="00E37322">
      <w:pPr>
        <w:bidi w:val="0"/>
        <w:snapToGrid w:val="0"/>
        <w:spacing w:after="0" w:line="240" w:lineRule="auto"/>
        <w:ind w:firstLine="425"/>
        <w:jc w:val="both"/>
        <w:rPr>
          <w:rFonts w:ascii="Times New Roman" w:hAnsi="Times New Roman" w:cs="Times New Roman"/>
          <w:iCs/>
          <w:sz w:val="20"/>
          <w:szCs w:val="20"/>
        </w:rPr>
      </w:pPr>
      <w:r w:rsidRPr="00E37322">
        <w:rPr>
          <w:rFonts w:ascii="Times New Roman" w:hAnsi="Times New Roman" w:cs="Times New Roman"/>
          <w:iCs/>
          <w:sz w:val="20"/>
          <w:szCs w:val="20"/>
        </w:rPr>
        <w:t>The findings of the Chaw test are shown in tables 2 and 3.</w:t>
      </w:r>
    </w:p>
    <w:p w:rsidR="00E37322" w:rsidRPr="00E37322" w:rsidRDefault="00E37322" w:rsidP="005B53F8">
      <w:pPr>
        <w:bidi w:val="0"/>
        <w:snapToGrid w:val="0"/>
        <w:spacing w:after="0" w:line="240" w:lineRule="auto"/>
        <w:jc w:val="center"/>
        <w:rPr>
          <w:rFonts w:ascii="Times New Roman" w:hAnsi="Times New Roman" w:cs="Times New Roman"/>
          <w:i/>
          <w:sz w:val="20"/>
          <w:szCs w:val="20"/>
        </w:rPr>
        <w:sectPr w:rsidR="00E37322" w:rsidRPr="00E37322" w:rsidSect="004715BC">
          <w:type w:val="continuous"/>
          <w:pgSz w:w="12242" w:h="15842" w:code="1"/>
          <w:pgMar w:top="1440" w:right="1440" w:bottom="1440" w:left="1440" w:header="720" w:footer="720" w:gutter="0"/>
          <w:cols w:num="2" w:space="550"/>
          <w:docGrid w:linePitch="360"/>
        </w:sectPr>
      </w:pPr>
    </w:p>
    <w:p w:rsidR="00E37322" w:rsidRPr="00E37322" w:rsidRDefault="00E37322" w:rsidP="005B53F8">
      <w:pPr>
        <w:bidi w:val="0"/>
        <w:snapToGrid w:val="0"/>
        <w:spacing w:after="0" w:line="240" w:lineRule="auto"/>
        <w:jc w:val="center"/>
        <w:rPr>
          <w:rFonts w:ascii="Times New Roman" w:hAnsi="Times New Roman" w:cs="Times New Roman" w:hint="eastAsia"/>
          <w:i/>
          <w:sz w:val="20"/>
          <w:szCs w:val="20"/>
          <w:lang w:eastAsia="zh-CN"/>
        </w:rPr>
      </w:pPr>
    </w:p>
    <w:p w:rsidR="006D1581" w:rsidRPr="00E37322" w:rsidRDefault="006D1581" w:rsidP="00E37322">
      <w:pPr>
        <w:bidi w:val="0"/>
        <w:snapToGrid w:val="0"/>
        <w:spacing w:after="0" w:line="240" w:lineRule="auto"/>
        <w:jc w:val="center"/>
        <w:rPr>
          <w:rFonts w:ascii="Times New Roman" w:hAnsi="Times New Roman" w:cs="Times New Roman"/>
          <w:i/>
          <w:sz w:val="20"/>
          <w:szCs w:val="20"/>
        </w:rPr>
      </w:pPr>
      <w:r w:rsidRPr="00E37322">
        <w:rPr>
          <w:rFonts w:ascii="Times New Roman" w:hAnsi="Times New Roman" w:cs="Times New Roman"/>
          <w:i/>
          <w:sz w:val="20"/>
          <w:szCs w:val="20"/>
        </w:rPr>
        <w:t>Table</w:t>
      </w:r>
      <w:r w:rsidR="00E37322" w:rsidRPr="00E37322">
        <w:rPr>
          <w:rFonts w:ascii="Times New Roman" w:hAnsi="Times New Roman" w:cs="Times New Roman" w:hint="eastAsia"/>
          <w:i/>
          <w:sz w:val="20"/>
          <w:szCs w:val="20"/>
          <w:lang w:eastAsia="zh-CN"/>
        </w:rPr>
        <w:t xml:space="preserve"> </w:t>
      </w:r>
      <w:r w:rsidRPr="00E37322">
        <w:rPr>
          <w:rFonts w:ascii="Times New Roman" w:hAnsi="Times New Roman" w:cs="Times New Roman"/>
          <w:i/>
          <w:sz w:val="20"/>
          <w:szCs w:val="20"/>
        </w:rPr>
        <w:t>2. Results of the redundant fixed effects tests</w:t>
      </w:r>
    </w:p>
    <w:tbl>
      <w:tblPr>
        <w:tblW w:w="5000" w:type="pct"/>
        <w:jc w:val="center"/>
        <w:tblCellMar>
          <w:left w:w="57" w:type="dxa"/>
          <w:right w:w="57" w:type="dxa"/>
        </w:tblCellMar>
        <w:tblLook w:val="04A0"/>
      </w:tblPr>
      <w:tblGrid>
        <w:gridCol w:w="4657"/>
        <w:gridCol w:w="1890"/>
        <w:gridCol w:w="1744"/>
        <w:gridCol w:w="1185"/>
      </w:tblGrid>
      <w:tr w:rsidR="001F341C" w:rsidRPr="00E37322" w:rsidTr="00BE2241">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shd w:val="clear" w:color="auto" w:fill="D9D9D9" w:themeFill="background1" w:themeFillShade="D9"/>
              </w:rPr>
              <w:t>Redundant Fixed</w:t>
            </w:r>
            <w:r w:rsidRPr="00E37322">
              <w:rPr>
                <w:rFonts w:ascii="Times New Roman" w:hAnsi="Times New Roman" w:cs="Times New Roman"/>
                <w:sz w:val="20"/>
                <w:szCs w:val="20"/>
              </w:rPr>
              <w:t xml:space="preserve"> Effects Tests</w:t>
            </w:r>
          </w:p>
        </w:tc>
      </w:tr>
      <w:tr w:rsidR="001F341C" w:rsidRPr="00E37322" w:rsidTr="00BE2241">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Test cross-section fixed effects</w:t>
            </w:r>
          </w:p>
        </w:tc>
      </w:tr>
      <w:tr w:rsidR="001F341C" w:rsidRPr="00E37322" w:rsidTr="00BE2241">
        <w:trPr>
          <w:jc w:val="center"/>
        </w:trPr>
        <w:tc>
          <w:tcPr>
            <w:tcW w:w="2458" w:type="pct"/>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Effects Test</w:t>
            </w:r>
          </w:p>
        </w:tc>
        <w:tc>
          <w:tcPr>
            <w:tcW w:w="997"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Statistic</w:t>
            </w:r>
          </w:p>
        </w:tc>
        <w:tc>
          <w:tcPr>
            <w:tcW w:w="920"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proofErr w:type="spellStart"/>
            <w:r w:rsidRPr="00E37322">
              <w:rPr>
                <w:rFonts w:ascii="Times New Roman" w:hAnsi="Times New Roman" w:cs="Times New Roman"/>
                <w:sz w:val="20"/>
                <w:szCs w:val="20"/>
              </w:rPr>
              <w:t>d.f</w:t>
            </w:r>
            <w:proofErr w:type="spellEnd"/>
            <w:r w:rsidRPr="00E37322">
              <w:rPr>
                <w:rFonts w:ascii="Times New Roman" w:hAnsi="Times New Roman" w:cs="Times New Roman"/>
                <w:sz w:val="20"/>
                <w:szCs w:val="20"/>
              </w:rPr>
              <w:t>.</w:t>
            </w:r>
          </w:p>
        </w:tc>
        <w:tc>
          <w:tcPr>
            <w:tcW w:w="625"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Prob.</w:t>
            </w:r>
          </w:p>
        </w:tc>
      </w:tr>
      <w:tr w:rsidR="001F341C" w:rsidRPr="00E37322" w:rsidTr="00BE2241">
        <w:trPr>
          <w:jc w:val="center"/>
        </w:trPr>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Cross-section F</w:t>
            </w:r>
          </w:p>
        </w:tc>
        <w:tc>
          <w:tcPr>
            <w:tcW w:w="997" w:type="pct"/>
            <w:tcBorders>
              <w:top w:val="nil"/>
              <w:left w:val="nil"/>
              <w:bottom w:val="single" w:sz="4" w:space="0" w:color="auto"/>
              <w:right w:val="single" w:sz="4" w:space="0" w:color="auto"/>
            </w:tcBorders>
            <w:shd w:val="clear" w:color="auto" w:fill="auto"/>
            <w:noWrap/>
            <w:vAlign w:val="center"/>
            <w:hideMark/>
          </w:tcPr>
          <w:p w:rsidR="001F341C" w:rsidRPr="00E37322" w:rsidRDefault="00E4759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6.3625</w:t>
            </w:r>
          </w:p>
        </w:tc>
        <w:tc>
          <w:tcPr>
            <w:tcW w:w="920"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w:t>
            </w:r>
            <w:r w:rsidR="00E4759B" w:rsidRPr="00E37322">
              <w:rPr>
                <w:rFonts w:ascii="Times New Roman" w:hAnsi="Times New Roman" w:cs="Times New Roman"/>
                <w:sz w:val="20"/>
                <w:szCs w:val="20"/>
              </w:rPr>
              <w:t>57.128</w:t>
            </w:r>
            <w:r w:rsidRPr="00E37322">
              <w:rPr>
                <w:rFonts w:ascii="Times New Roman" w:hAnsi="Times New Roman" w:cs="Times New Roman"/>
                <w:sz w:val="20"/>
                <w:szCs w:val="20"/>
              </w:rPr>
              <w:t>)</w:t>
            </w:r>
          </w:p>
        </w:tc>
        <w:tc>
          <w:tcPr>
            <w:tcW w:w="625"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p>
        </w:tc>
      </w:tr>
      <w:tr w:rsidR="001F341C" w:rsidRPr="00E37322" w:rsidTr="00BE2241">
        <w:trPr>
          <w:jc w:val="center"/>
        </w:trPr>
        <w:tc>
          <w:tcPr>
            <w:tcW w:w="2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Cross-section Chi-square</w:t>
            </w:r>
          </w:p>
        </w:tc>
        <w:tc>
          <w:tcPr>
            <w:tcW w:w="997" w:type="pct"/>
            <w:tcBorders>
              <w:top w:val="nil"/>
              <w:left w:val="nil"/>
              <w:bottom w:val="single" w:sz="4" w:space="0" w:color="auto"/>
              <w:right w:val="single" w:sz="4" w:space="0" w:color="auto"/>
            </w:tcBorders>
            <w:shd w:val="clear" w:color="auto" w:fill="auto"/>
            <w:noWrap/>
            <w:vAlign w:val="center"/>
            <w:hideMark/>
          </w:tcPr>
          <w:p w:rsidR="001F341C" w:rsidRPr="00E37322" w:rsidRDefault="00E4759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296.4523</w:t>
            </w:r>
          </w:p>
        </w:tc>
        <w:tc>
          <w:tcPr>
            <w:tcW w:w="920" w:type="pct"/>
            <w:tcBorders>
              <w:top w:val="nil"/>
              <w:left w:val="nil"/>
              <w:bottom w:val="single" w:sz="4" w:space="0" w:color="auto"/>
              <w:right w:val="single" w:sz="4" w:space="0" w:color="auto"/>
            </w:tcBorders>
            <w:shd w:val="clear" w:color="auto" w:fill="auto"/>
            <w:noWrap/>
            <w:vAlign w:val="center"/>
            <w:hideMark/>
          </w:tcPr>
          <w:p w:rsidR="001F341C" w:rsidRPr="00E37322" w:rsidRDefault="00E4759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57</w:t>
            </w:r>
          </w:p>
        </w:tc>
        <w:tc>
          <w:tcPr>
            <w:tcW w:w="625"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p>
        </w:tc>
      </w:tr>
    </w:tbl>
    <w:p w:rsidR="001F341C" w:rsidRPr="00E37322" w:rsidRDefault="001F341C" w:rsidP="005B53F8">
      <w:pPr>
        <w:bidi w:val="0"/>
        <w:snapToGrid w:val="0"/>
        <w:spacing w:after="0" w:line="240" w:lineRule="auto"/>
        <w:jc w:val="both"/>
        <w:rPr>
          <w:rFonts w:ascii="Times New Roman" w:hAnsi="Times New Roman" w:cs="Times New Roman"/>
          <w:b/>
          <w:bCs/>
          <w:sz w:val="20"/>
          <w:szCs w:val="20"/>
        </w:rPr>
      </w:pPr>
    </w:p>
    <w:p w:rsidR="006D1581" w:rsidRPr="00E37322" w:rsidRDefault="006D1581" w:rsidP="005B53F8">
      <w:pPr>
        <w:bidi w:val="0"/>
        <w:snapToGrid w:val="0"/>
        <w:spacing w:after="0" w:line="240" w:lineRule="auto"/>
        <w:jc w:val="center"/>
        <w:rPr>
          <w:rFonts w:ascii="Times New Roman" w:hAnsi="Times New Roman" w:cs="Times New Roman"/>
          <w:i/>
          <w:iCs/>
          <w:sz w:val="20"/>
          <w:szCs w:val="20"/>
        </w:rPr>
      </w:pPr>
      <w:r w:rsidRPr="00E37322">
        <w:rPr>
          <w:rFonts w:ascii="Times New Roman" w:hAnsi="Times New Roman" w:cs="Times New Roman"/>
          <w:i/>
          <w:iCs/>
          <w:sz w:val="20"/>
          <w:szCs w:val="20"/>
        </w:rPr>
        <w:t>Table</w:t>
      </w:r>
      <w:r w:rsidR="00E37322" w:rsidRPr="00E37322">
        <w:rPr>
          <w:rFonts w:ascii="Times New Roman" w:hAnsi="Times New Roman" w:cs="Times New Roman" w:hint="eastAsia"/>
          <w:i/>
          <w:iCs/>
          <w:sz w:val="20"/>
          <w:szCs w:val="20"/>
          <w:lang w:eastAsia="zh-CN"/>
        </w:rPr>
        <w:t xml:space="preserve"> </w:t>
      </w:r>
      <w:r w:rsidRPr="00E37322">
        <w:rPr>
          <w:rFonts w:ascii="Times New Roman" w:hAnsi="Times New Roman" w:cs="Times New Roman"/>
          <w:i/>
          <w:iCs/>
          <w:sz w:val="20"/>
          <w:szCs w:val="20"/>
        </w:rPr>
        <w:t>3</w:t>
      </w:r>
      <w:r w:rsidR="00FE2994" w:rsidRPr="00E37322">
        <w:rPr>
          <w:rFonts w:ascii="Times New Roman" w:hAnsi="Times New Roman" w:cs="Times New Roman"/>
          <w:i/>
          <w:iCs/>
          <w:sz w:val="20"/>
          <w:szCs w:val="20"/>
        </w:rPr>
        <w:t>. R</w:t>
      </w:r>
      <w:r w:rsidRPr="00E37322">
        <w:rPr>
          <w:rFonts w:ascii="Times New Roman" w:hAnsi="Times New Roman" w:cs="Times New Roman"/>
          <w:i/>
          <w:iCs/>
          <w:sz w:val="20"/>
          <w:szCs w:val="20"/>
        </w:rPr>
        <w:t>esults of the fixed effect tests</w:t>
      </w:r>
    </w:p>
    <w:tbl>
      <w:tblPr>
        <w:tblW w:w="5000" w:type="pct"/>
        <w:jc w:val="center"/>
        <w:tblCellMar>
          <w:left w:w="57" w:type="dxa"/>
          <w:right w:w="57" w:type="dxa"/>
        </w:tblCellMar>
        <w:tblLook w:val="04A0"/>
      </w:tblPr>
      <w:tblGrid>
        <w:gridCol w:w="3963"/>
        <w:gridCol w:w="2062"/>
        <w:gridCol w:w="1768"/>
        <w:gridCol w:w="1683"/>
      </w:tblGrid>
      <w:tr w:rsidR="001F341C" w:rsidRPr="00E37322" w:rsidTr="00BE2241">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Redundant Fixed Effects Tests</w:t>
            </w:r>
          </w:p>
        </w:tc>
      </w:tr>
      <w:tr w:rsidR="001F341C" w:rsidRPr="00E37322" w:rsidTr="00BE2241">
        <w:trPr>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Test period fixed effects</w:t>
            </w:r>
          </w:p>
        </w:tc>
      </w:tr>
      <w:tr w:rsidR="001F341C" w:rsidRPr="00E37322" w:rsidTr="00BE2241">
        <w:trPr>
          <w:jc w:val="center"/>
        </w:trPr>
        <w:tc>
          <w:tcPr>
            <w:tcW w:w="2091" w:type="pct"/>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Effects Test</w:t>
            </w:r>
          </w:p>
        </w:tc>
        <w:tc>
          <w:tcPr>
            <w:tcW w:w="1088"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Statistic</w:t>
            </w:r>
          </w:p>
        </w:tc>
        <w:tc>
          <w:tcPr>
            <w:tcW w:w="933"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proofErr w:type="spellStart"/>
            <w:r w:rsidRPr="00E37322">
              <w:rPr>
                <w:rFonts w:ascii="Times New Roman" w:hAnsi="Times New Roman" w:cs="Times New Roman"/>
                <w:sz w:val="20"/>
                <w:szCs w:val="20"/>
              </w:rPr>
              <w:t>d.f</w:t>
            </w:r>
            <w:proofErr w:type="spellEnd"/>
            <w:r w:rsidRPr="00E37322">
              <w:rPr>
                <w:rFonts w:ascii="Times New Roman" w:hAnsi="Times New Roman" w:cs="Times New Roman"/>
                <w:sz w:val="20"/>
                <w:szCs w:val="20"/>
              </w:rPr>
              <w:t>.</w:t>
            </w:r>
          </w:p>
        </w:tc>
        <w:tc>
          <w:tcPr>
            <w:tcW w:w="888" w:type="pct"/>
            <w:tcBorders>
              <w:top w:val="nil"/>
              <w:left w:val="nil"/>
              <w:bottom w:val="single" w:sz="4" w:space="0" w:color="auto"/>
              <w:right w:val="single" w:sz="4" w:space="0" w:color="auto"/>
            </w:tcBorders>
            <w:shd w:val="clear" w:color="auto" w:fill="D9D9D9" w:themeFill="background1" w:themeFillShade="D9"/>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Prob.</w:t>
            </w:r>
          </w:p>
        </w:tc>
      </w:tr>
      <w:tr w:rsidR="001F341C" w:rsidRPr="00E37322" w:rsidTr="00BE2241">
        <w:trPr>
          <w:jc w:val="center"/>
        </w:trPr>
        <w:tc>
          <w:tcPr>
            <w:tcW w:w="2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Period F</w:t>
            </w:r>
          </w:p>
        </w:tc>
        <w:tc>
          <w:tcPr>
            <w:tcW w:w="1088"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r w:rsidR="00E4759B" w:rsidRPr="00E37322">
              <w:rPr>
                <w:rFonts w:ascii="Times New Roman" w:hAnsi="Times New Roman" w:cs="Times New Roman"/>
                <w:sz w:val="20"/>
                <w:szCs w:val="20"/>
              </w:rPr>
              <w:t>28954</w:t>
            </w:r>
          </w:p>
        </w:tc>
        <w:tc>
          <w:tcPr>
            <w:tcW w:w="933"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w:t>
            </w:r>
            <w:r w:rsidR="00E4759B" w:rsidRPr="00E37322">
              <w:rPr>
                <w:rFonts w:ascii="Times New Roman" w:hAnsi="Times New Roman" w:cs="Times New Roman"/>
                <w:sz w:val="20"/>
                <w:szCs w:val="20"/>
              </w:rPr>
              <w:t>4.279</w:t>
            </w:r>
            <w:r w:rsidRPr="00E37322">
              <w:rPr>
                <w:rFonts w:ascii="Times New Roman" w:hAnsi="Times New Roman" w:cs="Times New Roman"/>
                <w:sz w:val="20"/>
                <w:szCs w:val="20"/>
              </w:rPr>
              <w:t>)</w:t>
            </w:r>
          </w:p>
        </w:tc>
        <w:tc>
          <w:tcPr>
            <w:tcW w:w="888"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r w:rsidR="00E4759B" w:rsidRPr="00E37322">
              <w:rPr>
                <w:rFonts w:ascii="Times New Roman" w:hAnsi="Times New Roman" w:cs="Times New Roman"/>
                <w:sz w:val="20"/>
                <w:szCs w:val="20"/>
              </w:rPr>
              <w:t>6542</w:t>
            </w:r>
          </w:p>
        </w:tc>
      </w:tr>
      <w:tr w:rsidR="001F341C" w:rsidRPr="00E37322" w:rsidTr="00BE2241">
        <w:trPr>
          <w:jc w:val="center"/>
        </w:trPr>
        <w:tc>
          <w:tcPr>
            <w:tcW w:w="2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Period Chi-square</w:t>
            </w:r>
          </w:p>
        </w:tc>
        <w:tc>
          <w:tcPr>
            <w:tcW w:w="1088" w:type="pct"/>
            <w:tcBorders>
              <w:top w:val="nil"/>
              <w:left w:val="nil"/>
              <w:bottom w:val="single" w:sz="4" w:space="0" w:color="auto"/>
              <w:right w:val="single" w:sz="4" w:space="0" w:color="auto"/>
            </w:tcBorders>
            <w:shd w:val="clear" w:color="auto" w:fill="auto"/>
            <w:noWrap/>
            <w:vAlign w:val="center"/>
            <w:hideMark/>
          </w:tcPr>
          <w:p w:rsidR="001F341C" w:rsidRPr="00E37322" w:rsidRDefault="00E4759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1.6214</w:t>
            </w:r>
          </w:p>
        </w:tc>
        <w:tc>
          <w:tcPr>
            <w:tcW w:w="933"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4</w:t>
            </w:r>
          </w:p>
        </w:tc>
        <w:tc>
          <w:tcPr>
            <w:tcW w:w="888" w:type="pct"/>
            <w:tcBorders>
              <w:top w:val="nil"/>
              <w:left w:val="nil"/>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r w:rsidR="00E4759B" w:rsidRPr="00E37322">
              <w:rPr>
                <w:rFonts w:ascii="Times New Roman" w:hAnsi="Times New Roman" w:cs="Times New Roman"/>
                <w:sz w:val="20"/>
                <w:szCs w:val="20"/>
              </w:rPr>
              <w:t>6431</w:t>
            </w:r>
          </w:p>
        </w:tc>
      </w:tr>
    </w:tbl>
    <w:p w:rsidR="006D1581" w:rsidRPr="00E37322" w:rsidRDefault="006D1581" w:rsidP="005B53F8">
      <w:pPr>
        <w:bidi w:val="0"/>
        <w:snapToGrid w:val="0"/>
        <w:spacing w:after="0" w:line="240" w:lineRule="auto"/>
        <w:ind w:firstLine="425"/>
        <w:jc w:val="both"/>
        <w:rPr>
          <w:rFonts w:ascii="Times New Roman" w:hAnsi="Times New Roman" w:cs="Times New Roman"/>
          <w:sz w:val="20"/>
          <w:szCs w:val="20"/>
        </w:rPr>
      </w:pPr>
    </w:p>
    <w:p w:rsidR="00756669" w:rsidRPr="00E37322" w:rsidRDefault="00CA3E35" w:rsidP="005B53F8">
      <w:pPr>
        <w:bidi w:val="0"/>
        <w:snapToGrid w:val="0"/>
        <w:spacing w:after="0" w:line="240" w:lineRule="auto"/>
        <w:ind w:firstLine="425"/>
        <w:jc w:val="both"/>
        <w:rPr>
          <w:rFonts w:ascii="Times New Roman" w:hAnsi="Times New Roman" w:cs="Times New Roman"/>
          <w:sz w:val="20"/>
          <w:szCs w:val="20"/>
        </w:rPr>
      </w:pPr>
      <w:r w:rsidRPr="00E37322">
        <w:rPr>
          <w:rFonts w:ascii="Times New Roman" w:hAnsi="Times New Roman" w:cs="Times New Roman"/>
          <w:sz w:val="20"/>
          <w:szCs w:val="20"/>
        </w:rPr>
        <w:t>The probability of Chaw test about the cross-section fixed effects is lower than 5% and the probabi</w:t>
      </w:r>
      <w:r w:rsidR="00963E1E" w:rsidRPr="00E37322">
        <w:rPr>
          <w:rFonts w:ascii="Times New Roman" w:hAnsi="Times New Roman" w:cs="Times New Roman"/>
          <w:sz w:val="20"/>
          <w:szCs w:val="20"/>
        </w:rPr>
        <w:t>lity of the period fixed effect</w:t>
      </w:r>
      <w:r w:rsidRPr="00E37322">
        <w:rPr>
          <w:rFonts w:ascii="Times New Roman" w:hAnsi="Times New Roman" w:cs="Times New Roman"/>
          <w:sz w:val="20"/>
          <w:szCs w:val="20"/>
        </w:rPr>
        <w:t xml:space="preserve"> is higher than 5% which reject H0 arguing the equality of the intercepts for the cross-section fixed effects. Consequently, the cross-section fixed </w:t>
      </w:r>
      <w:proofErr w:type="spellStart"/>
      <w:r w:rsidRPr="00E37322">
        <w:rPr>
          <w:rFonts w:ascii="Times New Roman" w:hAnsi="Times New Roman" w:cs="Times New Roman"/>
          <w:sz w:val="20"/>
          <w:szCs w:val="20"/>
        </w:rPr>
        <w:t>effct</w:t>
      </w:r>
      <w:proofErr w:type="spellEnd"/>
      <w:r w:rsidRPr="00E37322">
        <w:rPr>
          <w:rFonts w:ascii="Times New Roman" w:hAnsi="Times New Roman" w:cs="Times New Roman"/>
          <w:sz w:val="20"/>
          <w:szCs w:val="20"/>
        </w:rPr>
        <w:t xml:space="preserve"> model is prioritized.</w:t>
      </w:r>
    </w:p>
    <w:p w:rsidR="005B53F8" w:rsidRPr="00E37322" w:rsidRDefault="005B53F8" w:rsidP="005B53F8">
      <w:pPr>
        <w:bidi w:val="0"/>
        <w:snapToGrid w:val="0"/>
        <w:spacing w:after="0" w:line="240" w:lineRule="auto"/>
        <w:jc w:val="center"/>
        <w:rPr>
          <w:rFonts w:ascii="Times New Roman" w:hAnsi="Times New Roman" w:cs="Times New Roman"/>
          <w:i/>
          <w:iCs/>
          <w:sz w:val="20"/>
          <w:szCs w:val="20"/>
          <w:lang w:eastAsia="zh-CN"/>
        </w:rPr>
      </w:pPr>
    </w:p>
    <w:p w:rsidR="00756669" w:rsidRPr="00E37322" w:rsidRDefault="00CA3E35" w:rsidP="005B53F8">
      <w:pPr>
        <w:bidi w:val="0"/>
        <w:snapToGrid w:val="0"/>
        <w:spacing w:after="0" w:line="240" w:lineRule="auto"/>
        <w:jc w:val="center"/>
        <w:rPr>
          <w:rFonts w:ascii="Times New Roman" w:hAnsi="Times New Roman" w:cs="Times New Roman"/>
          <w:i/>
          <w:iCs/>
          <w:sz w:val="20"/>
          <w:szCs w:val="20"/>
        </w:rPr>
      </w:pPr>
      <w:r w:rsidRPr="00E37322">
        <w:rPr>
          <w:rFonts w:ascii="Times New Roman" w:hAnsi="Times New Roman" w:cs="Times New Roman"/>
          <w:i/>
          <w:iCs/>
          <w:sz w:val="20"/>
          <w:szCs w:val="20"/>
        </w:rPr>
        <w:t>Table</w:t>
      </w:r>
      <w:r w:rsidR="00E37322" w:rsidRPr="00E37322">
        <w:rPr>
          <w:rFonts w:ascii="Times New Roman" w:hAnsi="Times New Roman" w:cs="Times New Roman" w:hint="eastAsia"/>
          <w:i/>
          <w:iCs/>
          <w:sz w:val="20"/>
          <w:szCs w:val="20"/>
          <w:lang w:eastAsia="zh-CN"/>
        </w:rPr>
        <w:t xml:space="preserve"> </w:t>
      </w:r>
      <w:r w:rsidRPr="00E37322">
        <w:rPr>
          <w:rFonts w:ascii="Times New Roman" w:hAnsi="Times New Roman" w:cs="Times New Roman"/>
          <w:i/>
          <w:iCs/>
          <w:sz w:val="20"/>
          <w:szCs w:val="20"/>
        </w:rPr>
        <w:t>4. Hypothesis Analysis</w:t>
      </w:r>
    </w:p>
    <w:tbl>
      <w:tblPr>
        <w:tblW w:w="5000" w:type="pct"/>
        <w:jc w:val="center"/>
        <w:tblCellMar>
          <w:left w:w="57" w:type="dxa"/>
          <w:right w:w="57" w:type="dxa"/>
        </w:tblCellMar>
        <w:tblLook w:val="04A0"/>
      </w:tblPr>
      <w:tblGrid>
        <w:gridCol w:w="2572"/>
        <w:gridCol w:w="1774"/>
        <w:gridCol w:w="1677"/>
        <w:gridCol w:w="1245"/>
        <w:gridCol w:w="957"/>
        <w:gridCol w:w="1251"/>
      </w:tblGrid>
      <w:tr w:rsidR="001F341C" w:rsidRPr="00E37322" w:rsidTr="00BE2241">
        <w:trPr>
          <w:jc w:val="center"/>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Estimation period: 2006 to 2011</w:t>
            </w:r>
          </w:p>
        </w:tc>
      </w:tr>
      <w:tr w:rsidR="001F341C" w:rsidRPr="00E37322" w:rsidTr="00BE2241">
        <w:trPr>
          <w:jc w:val="center"/>
        </w:trPr>
        <w:tc>
          <w:tcPr>
            <w:tcW w:w="5000" w:type="pct"/>
            <w:gridSpan w:val="6"/>
            <w:tcBorders>
              <w:top w:val="single" w:sz="4" w:space="0" w:color="auto"/>
              <w:left w:val="single" w:sz="8" w:space="0" w:color="auto"/>
              <w:bottom w:val="single" w:sz="4" w:space="0" w:color="auto"/>
              <w:right w:val="single" w:sz="8" w:space="0" w:color="000000"/>
            </w:tcBorders>
            <w:shd w:val="clear" w:color="000000" w:fill="CCC0DA"/>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i/>
                <w:iCs/>
                <w:sz w:val="20"/>
                <w:szCs w:val="20"/>
              </w:rPr>
            </w:pPr>
            <w:r w:rsidRPr="00E37322">
              <w:rPr>
                <w:rFonts w:ascii="Times New Roman" w:hAnsi="Times New Roman" w:cs="Times New Roman"/>
                <w:sz w:val="20"/>
                <w:szCs w:val="20"/>
              </w:rPr>
              <w:t xml:space="preserve">Gap </w:t>
            </w:r>
            <w:r w:rsidRPr="00E37322">
              <w:rPr>
                <w:rFonts w:ascii="Times New Roman" w:hAnsi="Times New Roman" w:cs="Times New Roman"/>
                <w:i/>
                <w:iCs/>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lang w:val="en-GB"/>
                    </w:rPr>
                    <m:t>i</m:t>
                  </m:r>
                </m:sub>
              </m:sSub>
            </m:oMath>
            <w:r w:rsidRPr="00E37322">
              <w:rPr>
                <w:rFonts w:ascii="Times New Roman" w:hAnsi="Times New Roman" w:cs="Times New Roman"/>
                <w:i/>
                <w:iCs/>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1</m:t>
                  </m:r>
                </m:sub>
              </m:sSub>
            </m:oMath>
            <w:r w:rsidRPr="00E37322">
              <w:rPr>
                <w:rFonts w:ascii="Times New Roman" w:hAnsi="Times New Roman" w:cs="Times New Roman"/>
                <w:i/>
                <w:iCs/>
                <w:sz w:val="20"/>
                <w:szCs w:val="20"/>
              </w:rPr>
              <w:t xml:space="preserve"> </w:t>
            </w:r>
            <w:proofErr w:type="spellStart"/>
            <w:r w:rsidRPr="00E37322">
              <w:rPr>
                <w:rFonts w:ascii="Times New Roman" w:hAnsi="Times New Roman" w:cs="Times New Roman"/>
                <w:sz w:val="20"/>
                <w:szCs w:val="20"/>
              </w:rPr>
              <w:t>Ou</w:t>
            </w:r>
            <m:oMath>
              <w:proofErr w:type="spellEnd"/>
              <m:sSub>
                <m:sSubPr>
                  <m:ctrlPr>
                    <w:rPr>
                      <w:rFonts w:ascii="Cambria Math" w:hAnsi="Times New Roman" w:cs="Times New Roman"/>
                      <w:i/>
                      <w:sz w:val="20"/>
                      <w:szCs w:val="20"/>
                    </w:rPr>
                  </m:ctrlPr>
                </m:sSubPr>
                <m:e>
                  <m:r>
                    <m:rPr>
                      <m:sty m:val="p"/>
                    </m:rPr>
                    <w:rPr>
                      <w:rFonts w:ascii="Cambria Math" w:hAnsi="Times New Roman" w:cs="Times New Roman"/>
                      <w:sz w:val="20"/>
                      <w:szCs w:val="20"/>
                    </w:rPr>
                    <m:t>t</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2</m:t>
                  </m:r>
                </m:sub>
              </m:sSub>
            </m:oMath>
            <w:r w:rsidRPr="00E37322">
              <w:rPr>
                <w:rFonts w:ascii="Times New Roman" w:hAnsi="Times New Roman" w:cs="Times New Roman"/>
                <w:i/>
                <w:iCs/>
                <w:sz w:val="20"/>
                <w:szCs w:val="20"/>
              </w:rPr>
              <w:t xml:space="preserve"> </w:t>
            </w:r>
            <w:r w:rsidRPr="00E37322">
              <w:rPr>
                <w:rFonts w:ascii="Times New Roman" w:hAnsi="Times New Roman" w:cs="Times New Roman"/>
                <w:sz w:val="20"/>
                <w:szCs w:val="20"/>
              </w:rPr>
              <w:t>SIZ</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3</m:t>
                  </m:r>
                </m:sub>
              </m:sSub>
            </m:oMath>
            <w:r w:rsidRPr="00E37322">
              <w:rPr>
                <w:rFonts w:ascii="Times New Roman" w:hAnsi="Times New Roman" w:cs="Times New Roman"/>
                <w:sz w:val="20"/>
                <w:szCs w:val="20"/>
              </w:rPr>
              <w:t>LE</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V</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w:rPr>
                      <w:rFonts w:ascii="Cambria Math" w:hAnsi="Cambria Math" w:cs="Times New Roman"/>
                      <w:sz w:val="20"/>
                      <w:szCs w:val="20"/>
                    </w:rPr>
                    <m:t>α</m:t>
                  </m:r>
                </m:e>
                <m:sub>
                  <m:r>
                    <w:rPr>
                      <w:rFonts w:ascii="Cambria Math" w:hAnsi="Times New Roman" w:cs="Times New Roman"/>
                      <w:sz w:val="20"/>
                      <w:szCs w:val="20"/>
                      <w:lang w:val="en-GB"/>
                    </w:rPr>
                    <m:t>4</m:t>
                  </m:r>
                </m:sub>
              </m:sSub>
            </m:oMath>
            <w:r w:rsidRPr="00E37322">
              <w:rPr>
                <w:rFonts w:ascii="Times New Roman" w:hAnsi="Times New Roman" w:cs="Times New Roman"/>
                <w:sz w:val="20"/>
                <w:szCs w:val="20"/>
              </w:rPr>
              <w:t xml:space="preserve"> ET</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R</m:t>
                  </m:r>
                </m:e>
                <m:sub>
                  <m:r>
                    <w:rPr>
                      <w:rFonts w:ascii="Cambria Math" w:hAnsi="Cambria Math" w:cs="Times New Roman"/>
                      <w:sz w:val="20"/>
                      <w:szCs w:val="20"/>
                    </w:rPr>
                    <m:t>it</m:t>
                  </m:r>
                </m:sub>
              </m:sSub>
            </m:oMath>
            <w:r w:rsidRPr="00E37322">
              <w:rPr>
                <w:rFonts w:ascii="Times New Roman" w:hAnsi="Times New Roman" w:cs="Times New Roman"/>
                <w:sz w:val="20"/>
                <w:szCs w:val="20"/>
              </w:rPr>
              <w:t>+</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i</m:t>
                  </m:r>
                  <m:r>
                    <w:rPr>
                      <w:rFonts w:ascii="Cambria Math" w:hAnsi="Times New Roman" w:cs="Times New Roman"/>
                      <w:sz w:val="20"/>
                      <w:szCs w:val="20"/>
                    </w:rPr>
                    <m:t>,</m:t>
                  </m:r>
                  <m:r>
                    <w:rPr>
                      <w:rFonts w:ascii="Cambria Math" w:hAnsi="Cambria Math" w:cs="Times New Roman"/>
                      <w:sz w:val="20"/>
                      <w:szCs w:val="20"/>
                    </w:rPr>
                    <m:t>t</m:t>
                  </m:r>
                </m:sub>
              </m:sSub>
            </m:oMath>
          </w:p>
        </w:tc>
      </w:tr>
      <w:tr w:rsidR="001F341C" w:rsidRPr="00E37322" w:rsidTr="00BE2241">
        <w:trPr>
          <w:jc w:val="center"/>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Cross-section fixed (dummy variables)</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Adjusted R</w:t>
            </w:r>
            <w:r w:rsidRPr="00E37322">
              <w:rPr>
                <w:rFonts w:ascii="Times New Roman" w:hAnsi="Times New Roman" w:cs="Times New Roman"/>
                <w:sz w:val="20"/>
                <w:szCs w:val="20"/>
                <w:vertAlign w:val="superscript"/>
              </w:rPr>
              <w:t>2</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0.722275</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i/>
                <w:iCs/>
                <w:sz w:val="20"/>
                <w:szCs w:val="20"/>
              </w:rPr>
            </w:pPr>
            <w:r w:rsidRPr="00E37322">
              <w:rPr>
                <w:rFonts w:ascii="Times New Roman" w:hAnsi="Times New Roman" w:cs="Times New Roman"/>
                <w:i/>
                <w:iCs/>
                <w:sz w:val="20"/>
                <w:szCs w:val="20"/>
              </w:rPr>
              <w:t>F</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13.32128</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Std. deviation</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20.69353</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i/>
                <w:iCs/>
                <w:sz w:val="20"/>
                <w:szCs w:val="20"/>
              </w:rPr>
              <w:t>(</w:t>
            </w:r>
            <w:proofErr w:type="spellStart"/>
            <w:r w:rsidRPr="00E37322">
              <w:rPr>
                <w:rFonts w:ascii="Times New Roman" w:hAnsi="Times New Roman" w:cs="Times New Roman"/>
                <w:i/>
                <w:iCs/>
                <w:sz w:val="20"/>
                <w:szCs w:val="20"/>
              </w:rPr>
              <w:t>Prob</w:t>
            </w:r>
            <w:proofErr w:type="spellEnd"/>
            <w:r w:rsidRPr="00E37322">
              <w:rPr>
                <w:rFonts w:ascii="Times New Roman" w:hAnsi="Times New Roman" w:cs="Times New Roman"/>
                <w:i/>
                <w:iCs/>
                <w:sz w:val="20"/>
                <w:szCs w:val="20"/>
              </w:rPr>
              <w:t>)</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Durbin-Watson</w:t>
            </w:r>
          </w:p>
        </w:tc>
        <w:tc>
          <w:tcPr>
            <w:tcW w:w="3643" w:type="pct"/>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2.004036</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Explanatory variable</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Coefficient</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Std. error</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i/>
                <w:iCs/>
                <w:sz w:val="20"/>
                <w:szCs w:val="20"/>
              </w:rPr>
              <w:t>t</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proofErr w:type="spellStart"/>
            <w:r w:rsidRPr="00E37322">
              <w:rPr>
                <w:rFonts w:ascii="Times New Roman" w:hAnsi="Times New Roman" w:cs="Times New Roman"/>
                <w:sz w:val="20"/>
                <w:szCs w:val="20"/>
              </w:rPr>
              <w:t>prob</w:t>
            </w:r>
            <w:proofErr w:type="spellEnd"/>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Sig. level</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QUT</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0.01392</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0.03001</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0.463846</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0.6432</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SIZE</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0.000000193-</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0.000000171</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1.12961-</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0.2598</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ERT</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9.514265</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0.305728</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31.12</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99%</w:t>
            </w:r>
          </w:p>
        </w:tc>
      </w:tr>
      <w:tr w:rsidR="001F341C" w:rsidRPr="00E37322" w:rsidTr="00BE2241">
        <w:trPr>
          <w:jc w:val="center"/>
        </w:trPr>
        <w:tc>
          <w:tcPr>
            <w:tcW w:w="1357" w:type="pct"/>
            <w:tcBorders>
              <w:top w:val="nil"/>
              <w:left w:val="single" w:sz="8" w:space="0" w:color="auto"/>
              <w:bottom w:val="single" w:sz="4" w:space="0" w:color="auto"/>
              <w:right w:val="single" w:sz="4" w:space="0" w:color="auto"/>
            </w:tcBorders>
            <w:shd w:val="clear" w:color="auto" w:fill="auto"/>
            <w:noWrap/>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LEV</w:t>
            </w:r>
          </w:p>
        </w:tc>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8.86046-</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2.486238</w:t>
            </w: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3.5638-</w:t>
            </w:r>
          </w:p>
        </w:tc>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0.0004</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99%</w:t>
            </w:r>
          </w:p>
        </w:tc>
      </w:tr>
      <w:tr w:rsidR="001F341C" w:rsidRPr="00E37322" w:rsidTr="00BE2241">
        <w:trPr>
          <w:jc w:val="center"/>
        </w:trPr>
        <w:tc>
          <w:tcPr>
            <w:tcW w:w="1357" w:type="pct"/>
            <w:tcBorders>
              <w:top w:val="nil"/>
              <w:left w:val="single" w:sz="8" w:space="0" w:color="auto"/>
              <w:bottom w:val="single" w:sz="8" w:space="0" w:color="auto"/>
              <w:right w:val="single" w:sz="4" w:space="0" w:color="auto"/>
            </w:tcBorders>
            <w:shd w:val="clear" w:color="auto" w:fill="auto"/>
            <w:vAlign w:val="center"/>
            <w:hideMark/>
          </w:tcPr>
          <w:p w:rsidR="001F341C" w:rsidRPr="00E37322" w:rsidRDefault="00C7044B"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C</w:t>
            </w:r>
          </w:p>
        </w:tc>
        <w:tc>
          <w:tcPr>
            <w:tcW w:w="936" w:type="pct"/>
            <w:tcBorders>
              <w:top w:val="nil"/>
              <w:left w:val="single" w:sz="4" w:space="0" w:color="auto"/>
              <w:bottom w:val="single" w:sz="8"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13.8363</w:t>
            </w:r>
          </w:p>
        </w:tc>
        <w:tc>
          <w:tcPr>
            <w:tcW w:w="885" w:type="pct"/>
            <w:tcBorders>
              <w:top w:val="nil"/>
              <w:left w:val="single" w:sz="4" w:space="0" w:color="auto"/>
              <w:bottom w:val="single" w:sz="8"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1.893926</w:t>
            </w:r>
          </w:p>
        </w:tc>
        <w:tc>
          <w:tcPr>
            <w:tcW w:w="657" w:type="pct"/>
            <w:tcBorders>
              <w:top w:val="nil"/>
              <w:left w:val="single" w:sz="4" w:space="0" w:color="auto"/>
              <w:bottom w:val="single" w:sz="8"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7.30562</w:t>
            </w:r>
          </w:p>
        </w:tc>
        <w:tc>
          <w:tcPr>
            <w:tcW w:w="505" w:type="pct"/>
            <w:tcBorders>
              <w:top w:val="nil"/>
              <w:left w:val="single" w:sz="4" w:space="0" w:color="auto"/>
              <w:bottom w:val="single" w:sz="8" w:space="0" w:color="auto"/>
              <w:right w:val="single" w:sz="4"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0</w:t>
            </w:r>
          </w:p>
        </w:tc>
        <w:tc>
          <w:tcPr>
            <w:tcW w:w="661" w:type="pct"/>
            <w:tcBorders>
              <w:top w:val="nil"/>
              <w:left w:val="single" w:sz="4" w:space="0" w:color="auto"/>
              <w:bottom w:val="single" w:sz="8" w:space="0" w:color="auto"/>
              <w:right w:val="single" w:sz="8" w:space="0" w:color="auto"/>
            </w:tcBorders>
            <w:shd w:val="clear" w:color="auto" w:fill="auto"/>
            <w:noWrap/>
            <w:vAlign w:val="center"/>
            <w:hideMark/>
          </w:tcPr>
          <w:p w:rsidR="001F341C" w:rsidRPr="00E37322" w:rsidRDefault="001F341C" w:rsidP="005B53F8">
            <w:pPr>
              <w:bidi w:val="0"/>
              <w:snapToGrid w:val="0"/>
              <w:spacing w:after="0" w:line="240" w:lineRule="auto"/>
              <w:jc w:val="both"/>
              <w:rPr>
                <w:rFonts w:ascii="Times New Roman" w:hAnsi="Times New Roman" w:cs="Times New Roman"/>
                <w:sz w:val="20"/>
                <w:szCs w:val="20"/>
              </w:rPr>
            </w:pPr>
            <w:r w:rsidRPr="00E37322">
              <w:rPr>
                <w:rFonts w:ascii="Times New Roman" w:hAnsi="Times New Roman" w:cs="Times New Roman"/>
                <w:sz w:val="20"/>
                <w:szCs w:val="20"/>
              </w:rPr>
              <w:t>99%</w:t>
            </w:r>
          </w:p>
        </w:tc>
      </w:tr>
    </w:tbl>
    <w:p w:rsidR="00CA3E35" w:rsidRPr="00E37322" w:rsidRDefault="00CA3E35" w:rsidP="005B53F8">
      <w:pPr>
        <w:bidi w:val="0"/>
        <w:snapToGrid w:val="0"/>
        <w:spacing w:after="0" w:line="240" w:lineRule="auto"/>
        <w:ind w:firstLine="425"/>
        <w:jc w:val="both"/>
        <w:rPr>
          <w:rFonts w:ascii="Times New Roman" w:hAnsi="Times New Roman" w:cs="Times New Roman"/>
          <w:i/>
          <w:sz w:val="20"/>
          <w:szCs w:val="20"/>
        </w:rPr>
      </w:pPr>
    </w:p>
    <w:p w:rsidR="00E37322" w:rsidRPr="00E37322" w:rsidRDefault="00E37322" w:rsidP="005B53F8">
      <w:pPr>
        <w:bidi w:val="0"/>
        <w:snapToGrid w:val="0"/>
        <w:spacing w:after="0" w:line="240" w:lineRule="auto"/>
        <w:ind w:firstLine="425"/>
        <w:jc w:val="both"/>
        <w:rPr>
          <w:rFonts w:ascii="Times New Roman" w:hAnsi="Times New Roman" w:cs="Times New Roman"/>
          <w:iCs/>
          <w:sz w:val="20"/>
          <w:szCs w:val="20"/>
        </w:rPr>
        <w:sectPr w:rsidR="00E37322" w:rsidRPr="00E37322" w:rsidSect="00E37322">
          <w:type w:val="continuous"/>
          <w:pgSz w:w="12242" w:h="15842" w:code="1"/>
          <w:pgMar w:top="1440" w:right="1440" w:bottom="1440" w:left="1440" w:header="720" w:footer="720" w:gutter="0"/>
          <w:cols w:space="550"/>
          <w:docGrid w:linePitch="360"/>
        </w:sectPr>
      </w:pPr>
    </w:p>
    <w:p w:rsidR="00CA3E35" w:rsidRPr="00E37322" w:rsidRDefault="00CA3E35" w:rsidP="005B53F8">
      <w:pPr>
        <w:bidi w:val="0"/>
        <w:snapToGrid w:val="0"/>
        <w:spacing w:after="0" w:line="240" w:lineRule="auto"/>
        <w:ind w:firstLine="425"/>
        <w:jc w:val="both"/>
        <w:rPr>
          <w:rFonts w:ascii="Times New Roman" w:hAnsi="Times New Roman" w:cs="Times New Roman"/>
          <w:iCs/>
          <w:sz w:val="20"/>
          <w:szCs w:val="20"/>
        </w:rPr>
      </w:pPr>
      <w:r w:rsidRPr="00E37322">
        <w:rPr>
          <w:rFonts w:ascii="Times New Roman" w:hAnsi="Times New Roman" w:cs="Times New Roman"/>
          <w:iCs/>
          <w:sz w:val="20"/>
          <w:szCs w:val="20"/>
        </w:rPr>
        <w:lastRenderedPageBreak/>
        <w:t xml:space="preserve">Based on F statistics, it can be concluded that the regression equation is significant at </w:t>
      </w:r>
      <w:r w:rsidR="00963E1E" w:rsidRPr="00E37322">
        <w:rPr>
          <w:rFonts w:ascii="Times New Roman" w:hAnsi="Times New Roman" w:cs="Times New Roman"/>
          <w:iCs/>
          <w:sz w:val="20"/>
          <w:szCs w:val="20"/>
        </w:rPr>
        <w:t>the 99 percent level</w:t>
      </w:r>
      <w:r w:rsidRPr="00E37322">
        <w:rPr>
          <w:rFonts w:ascii="Times New Roman" w:hAnsi="Times New Roman" w:cs="Times New Roman"/>
          <w:iCs/>
          <w:sz w:val="20"/>
          <w:szCs w:val="20"/>
        </w:rPr>
        <w:t xml:space="preserve"> of confidence. Durbin-Watson statistics </w:t>
      </w:r>
      <w:r w:rsidR="00DE01A5" w:rsidRPr="00E37322">
        <w:rPr>
          <w:rFonts w:ascii="Times New Roman" w:hAnsi="Times New Roman" w:cs="Times New Roman"/>
          <w:iCs/>
          <w:sz w:val="20"/>
          <w:szCs w:val="20"/>
        </w:rPr>
        <w:t>confirm the relative independence of the data.</w:t>
      </w:r>
    </w:p>
    <w:p w:rsidR="00DE01A5" w:rsidRPr="00E37322" w:rsidRDefault="00DE01A5" w:rsidP="005B53F8">
      <w:pPr>
        <w:bidi w:val="0"/>
        <w:snapToGrid w:val="0"/>
        <w:spacing w:after="0" w:line="240" w:lineRule="auto"/>
        <w:ind w:firstLine="425"/>
        <w:jc w:val="both"/>
        <w:rPr>
          <w:rFonts w:ascii="Times New Roman" w:hAnsi="Times New Roman" w:cs="Times New Roman"/>
          <w:iCs/>
          <w:sz w:val="20"/>
          <w:szCs w:val="20"/>
        </w:rPr>
      </w:pPr>
      <w:r w:rsidRPr="00E37322">
        <w:rPr>
          <w:rFonts w:ascii="Times New Roman" w:hAnsi="Times New Roman" w:cs="Times New Roman"/>
          <w:iCs/>
          <w:sz w:val="20"/>
          <w:szCs w:val="20"/>
        </w:rPr>
        <w:t>The adjusted R</w:t>
      </w:r>
      <w:r w:rsidRPr="00E37322">
        <w:rPr>
          <w:rFonts w:ascii="Times New Roman" w:hAnsi="Times New Roman" w:cs="Times New Roman"/>
          <w:iCs/>
          <w:sz w:val="20"/>
          <w:szCs w:val="20"/>
          <w:vertAlign w:val="superscript"/>
        </w:rPr>
        <w:t>2</w:t>
      </w:r>
      <w:r w:rsidRPr="00E37322">
        <w:rPr>
          <w:rFonts w:ascii="Times New Roman" w:hAnsi="Times New Roman" w:cs="Times New Roman"/>
          <w:iCs/>
          <w:sz w:val="20"/>
          <w:szCs w:val="20"/>
        </w:rPr>
        <w:t xml:space="preserve"> of the model shows the relative amount of the independent variables and the dependent variable (tax gap). According to table 4, the adjusted R</w:t>
      </w:r>
      <w:r w:rsidRPr="00E37322">
        <w:rPr>
          <w:rFonts w:ascii="Times New Roman" w:hAnsi="Times New Roman" w:cs="Times New Roman"/>
          <w:iCs/>
          <w:sz w:val="20"/>
          <w:szCs w:val="20"/>
          <w:vertAlign w:val="superscript"/>
        </w:rPr>
        <w:t>2</w:t>
      </w:r>
      <w:r w:rsidRPr="00E37322">
        <w:rPr>
          <w:rFonts w:ascii="Times New Roman" w:hAnsi="Times New Roman" w:cs="Times New Roman"/>
          <w:iCs/>
          <w:sz w:val="20"/>
          <w:szCs w:val="20"/>
        </w:rPr>
        <w:t xml:space="preserve"> of the model is 72 percent. That is, 72 percent of the </w:t>
      </w:r>
      <w:r w:rsidR="00963E1E" w:rsidRPr="00E37322">
        <w:rPr>
          <w:rFonts w:ascii="Times New Roman" w:hAnsi="Times New Roman" w:cs="Times New Roman"/>
          <w:iCs/>
          <w:sz w:val="20"/>
          <w:szCs w:val="20"/>
        </w:rPr>
        <w:t>variation</w:t>
      </w:r>
      <w:r w:rsidRPr="00E37322">
        <w:rPr>
          <w:rFonts w:ascii="Times New Roman" w:hAnsi="Times New Roman" w:cs="Times New Roman"/>
          <w:iCs/>
          <w:sz w:val="20"/>
          <w:szCs w:val="20"/>
        </w:rPr>
        <w:t xml:space="preserve"> in the dependent variable </w:t>
      </w:r>
      <w:r w:rsidR="00963E1E" w:rsidRPr="00E37322">
        <w:rPr>
          <w:rFonts w:ascii="Times New Roman" w:hAnsi="Times New Roman" w:cs="Times New Roman"/>
          <w:iCs/>
          <w:sz w:val="20"/>
          <w:szCs w:val="20"/>
        </w:rPr>
        <w:t>is explained</w:t>
      </w:r>
      <w:r w:rsidRPr="00E37322">
        <w:rPr>
          <w:rFonts w:ascii="Times New Roman" w:hAnsi="Times New Roman" w:cs="Times New Roman"/>
          <w:iCs/>
          <w:sz w:val="20"/>
          <w:szCs w:val="20"/>
        </w:rPr>
        <w:t xml:space="preserve"> by this model. Based on the probability of the main variable which is higher than five percent, it can be concluded that this variable is not significant at 95 percent of </w:t>
      </w:r>
      <w:r w:rsidR="00963E1E" w:rsidRPr="00E37322">
        <w:rPr>
          <w:rFonts w:ascii="Times New Roman" w:hAnsi="Times New Roman" w:cs="Times New Roman"/>
          <w:iCs/>
          <w:sz w:val="20"/>
          <w:szCs w:val="20"/>
        </w:rPr>
        <w:t>significance</w:t>
      </w:r>
      <w:r w:rsidRPr="00E37322">
        <w:rPr>
          <w:rFonts w:ascii="Times New Roman" w:hAnsi="Times New Roman" w:cs="Times New Roman"/>
          <w:iCs/>
          <w:sz w:val="20"/>
          <w:szCs w:val="20"/>
        </w:rPr>
        <w:t xml:space="preserve">. It is also interpreted that there is no significant association between the percentage of the </w:t>
      </w:r>
      <w:r w:rsidR="00963E1E" w:rsidRPr="00E37322">
        <w:rPr>
          <w:rFonts w:ascii="Times New Roman" w:hAnsi="Times New Roman" w:cs="Times New Roman"/>
          <w:iCs/>
          <w:sz w:val="20"/>
          <w:szCs w:val="20"/>
        </w:rPr>
        <w:t>non-executive</w:t>
      </w:r>
      <w:r w:rsidRPr="00E37322">
        <w:rPr>
          <w:rFonts w:ascii="Times New Roman" w:hAnsi="Times New Roman" w:cs="Times New Roman"/>
          <w:iCs/>
          <w:sz w:val="20"/>
          <w:szCs w:val="20"/>
        </w:rPr>
        <w:t xml:space="preserve"> members and the percent of the difference between the</w:t>
      </w:r>
      <w:r w:rsidR="00B91E8B" w:rsidRPr="00E37322">
        <w:rPr>
          <w:rFonts w:ascii="Times New Roman" w:hAnsi="Times New Roman" w:cs="Times New Roman"/>
          <w:iCs/>
          <w:sz w:val="20"/>
          <w:szCs w:val="20"/>
        </w:rPr>
        <w:t xml:space="preserve"> income tax and final tax</w:t>
      </w:r>
      <w:r w:rsidRPr="00E37322">
        <w:rPr>
          <w:rFonts w:ascii="Times New Roman" w:hAnsi="Times New Roman" w:cs="Times New Roman"/>
          <w:iCs/>
          <w:sz w:val="20"/>
          <w:szCs w:val="20"/>
        </w:rPr>
        <w:t xml:space="preserve">. All variables of firm size, financial leverage and effective rate of tax are significant at 99 </w:t>
      </w:r>
      <w:r w:rsidR="00963E1E" w:rsidRPr="00E37322">
        <w:rPr>
          <w:rFonts w:ascii="Times New Roman" w:hAnsi="Times New Roman" w:cs="Times New Roman"/>
          <w:iCs/>
          <w:sz w:val="20"/>
          <w:szCs w:val="20"/>
        </w:rPr>
        <w:t>percent of significance</w:t>
      </w:r>
      <w:r w:rsidRPr="00E37322">
        <w:rPr>
          <w:rFonts w:ascii="Times New Roman" w:hAnsi="Times New Roman" w:cs="Times New Roman"/>
          <w:iCs/>
          <w:sz w:val="20"/>
          <w:szCs w:val="20"/>
        </w:rPr>
        <w:t xml:space="preserve">. However, the percent of the </w:t>
      </w:r>
      <w:r w:rsidR="00963E1E" w:rsidRPr="00E37322">
        <w:rPr>
          <w:rFonts w:ascii="Times New Roman" w:hAnsi="Times New Roman" w:cs="Times New Roman"/>
          <w:iCs/>
          <w:sz w:val="20"/>
          <w:szCs w:val="20"/>
        </w:rPr>
        <w:t>non-executive</w:t>
      </w:r>
      <w:r w:rsidRPr="00E37322">
        <w:rPr>
          <w:rFonts w:ascii="Times New Roman" w:hAnsi="Times New Roman" w:cs="Times New Roman"/>
          <w:iCs/>
          <w:sz w:val="20"/>
          <w:szCs w:val="20"/>
        </w:rPr>
        <w:t xml:space="preserve"> members is not significant and it is confirmed that there is a relationship between the percentage of the </w:t>
      </w:r>
      <w:r w:rsidR="00963E1E" w:rsidRPr="00E37322">
        <w:rPr>
          <w:rFonts w:ascii="Times New Roman" w:hAnsi="Times New Roman" w:cs="Times New Roman"/>
          <w:iCs/>
          <w:sz w:val="20"/>
          <w:szCs w:val="20"/>
        </w:rPr>
        <w:t>non-executive</w:t>
      </w:r>
      <w:r w:rsidRPr="00E37322">
        <w:rPr>
          <w:rFonts w:ascii="Times New Roman" w:hAnsi="Times New Roman" w:cs="Times New Roman"/>
          <w:iCs/>
          <w:sz w:val="20"/>
          <w:szCs w:val="20"/>
        </w:rPr>
        <w:t xml:space="preserve"> members and the tax gap.</w:t>
      </w:r>
    </w:p>
    <w:p w:rsidR="00756669" w:rsidRPr="00E37322" w:rsidRDefault="00756669" w:rsidP="005B53F8">
      <w:pPr>
        <w:bidi w:val="0"/>
        <w:snapToGrid w:val="0"/>
        <w:spacing w:after="0" w:line="240" w:lineRule="auto"/>
        <w:jc w:val="both"/>
        <w:rPr>
          <w:rFonts w:ascii="Times New Roman" w:hAnsi="Times New Roman" w:cs="Times New Roman"/>
          <w:b/>
          <w:bCs/>
          <w:iCs/>
          <w:sz w:val="20"/>
          <w:szCs w:val="20"/>
        </w:rPr>
      </w:pPr>
    </w:p>
    <w:p w:rsidR="00DE01A5" w:rsidRPr="00E37322" w:rsidRDefault="00DE01A5" w:rsidP="005B53F8">
      <w:pPr>
        <w:bidi w:val="0"/>
        <w:snapToGrid w:val="0"/>
        <w:spacing w:after="0" w:line="240" w:lineRule="auto"/>
        <w:jc w:val="both"/>
        <w:rPr>
          <w:rFonts w:ascii="Times New Roman" w:hAnsi="Times New Roman" w:cs="Times New Roman"/>
          <w:b/>
          <w:bCs/>
          <w:iCs/>
          <w:sz w:val="20"/>
          <w:szCs w:val="20"/>
        </w:rPr>
      </w:pPr>
      <w:r w:rsidRPr="00E37322">
        <w:rPr>
          <w:rFonts w:ascii="Times New Roman" w:hAnsi="Times New Roman" w:cs="Times New Roman"/>
          <w:b/>
          <w:bCs/>
          <w:iCs/>
          <w:sz w:val="20"/>
          <w:szCs w:val="20"/>
        </w:rPr>
        <w:t>Conclusion</w:t>
      </w:r>
    </w:p>
    <w:p w:rsidR="00DE01A5" w:rsidRPr="00E37322" w:rsidRDefault="00C55A98" w:rsidP="005B53F8">
      <w:pPr>
        <w:bidi w:val="0"/>
        <w:snapToGrid w:val="0"/>
        <w:spacing w:after="0" w:line="240" w:lineRule="auto"/>
        <w:ind w:firstLine="425"/>
        <w:jc w:val="both"/>
        <w:rPr>
          <w:rFonts w:ascii="Times New Roman" w:hAnsi="Times New Roman" w:cs="Times New Roman"/>
          <w:iCs/>
          <w:sz w:val="20"/>
          <w:szCs w:val="20"/>
        </w:rPr>
      </w:pPr>
      <w:r w:rsidRPr="00E37322">
        <w:rPr>
          <w:rFonts w:ascii="Times New Roman" w:hAnsi="Times New Roman" w:cs="Times New Roman"/>
          <w:iCs/>
          <w:sz w:val="20"/>
          <w:szCs w:val="20"/>
        </w:rPr>
        <w:t xml:space="preserve">The present study examines the relationship between the percentage of the </w:t>
      </w:r>
      <w:r w:rsidR="00963E1E" w:rsidRPr="00E37322">
        <w:rPr>
          <w:rFonts w:ascii="Times New Roman" w:hAnsi="Times New Roman" w:cs="Times New Roman"/>
          <w:iCs/>
          <w:sz w:val="20"/>
          <w:szCs w:val="20"/>
        </w:rPr>
        <w:t>non-executive</w:t>
      </w:r>
      <w:r w:rsidRPr="00E37322">
        <w:rPr>
          <w:rFonts w:ascii="Times New Roman" w:hAnsi="Times New Roman" w:cs="Times New Roman"/>
          <w:iCs/>
          <w:sz w:val="20"/>
          <w:szCs w:val="20"/>
        </w:rPr>
        <w:t xml:space="preserve"> members and the difference percentage of the </w:t>
      </w:r>
      <w:r w:rsidR="00A328F7" w:rsidRPr="00E37322">
        <w:rPr>
          <w:rFonts w:ascii="Times New Roman" w:hAnsi="Times New Roman" w:cs="Times New Roman"/>
          <w:iCs/>
          <w:sz w:val="20"/>
          <w:szCs w:val="20"/>
        </w:rPr>
        <w:t>income tax and final tax</w:t>
      </w:r>
      <w:r w:rsidRPr="00E37322">
        <w:rPr>
          <w:rFonts w:ascii="Times New Roman" w:hAnsi="Times New Roman" w:cs="Times New Roman"/>
          <w:iCs/>
          <w:sz w:val="20"/>
          <w:szCs w:val="20"/>
        </w:rPr>
        <w:t>. The findings reveal</w:t>
      </w:r>
      <w:r w:rsidR="00A328F7" w:rsidRPr="00E37322">
        <w:rPr>
          <w:rFonts w:ascii="Times New Roman" w:hAnsi="Times New Roman" w:cs="Times New Roman"/>
          <w:iCs/>
          <w:sz w:val="20"/>
          <w:szCs w:val="20"/>
        </w:rPr>
        <w:t>ed</w:t>
      </w:r>
      <w:r w:rsidRPr="00E37322">
        <w:rPr>
          <w:rFonts w:ascii="Times New Roman" w:hAnsi="Times New Roman" w:cs="Times New Roman"/>
          <w:iCs/>
          <w:sz w:val="20"/>
          <w:szCs w:val="20"/>
        </w:rPr>
        <w:t xml:space="preserve"> that there is no significant direct relationship between these two variables. That is, the </w:t>
      </w:r>
      <w:r w:rsidR="00963E1E" w:rsidRPr="00E37322">
        <w:rPr>
          <w:rFonts w:ascii="Times New Roman" w:hAnsi="Times New Roman" w:cs="Times New Roman"/>
          <w:iCs/>
          <w:sz w:val="20"/>
          <w:szCs w:val="20"/>
        </w:rPr>
        <w:t>non-executive</w:t>
      </w:r>
      <w:r w:rsidRPr="00E37322">
        <w:rPr>
          <w:rFonts w:ascii="Times New Roman" w:hAnsi="Times New Roman" w:cs="Times New Roman"/>
          <w:iCs/>
          <w:sz w:val="20"/>
          <w:szCs w:val="20"/>
        </w:rPr>
        <w:t xml:space="preserve"> members have no role in increasing or decreasing the tax gap. </w:t>
      </w:r>
      <w:r w:rsidR="00874F17" w:rsidRPr="00E37322">
        <w:rPr>
          <w:rFonts w:ascii="Times New Roman" w:hAnsi="Times New Roman" w:cs="Times New Roman"/>
          <w:iCs/>
          <w:sz w:val="20"/>
          <w:szCs w:val="20"/>
        </w:rPr>
        <w:t xml:space="preserve">Among the control variables, the effective tax rate is significant at </w:t>
      </w:r>
      <w:r w:rsidR="00963E1E" w:rsidRPr="00E37322">
        <w:rPr>
          <w:rFonts w:ascii="Times New Roman" w:hAnsi="Times New Roman" w:cs="Times New Roman"/>
          <w:iCs/>
          <w:sz w:val="20"/>
          <w:szCs w:val="20"/>
        </w:rPr>
        <w:t>the 99 percent level</w:t>
      </w:r>
      <w:r w:rsidR="00874F17" w:rsidRPr="00E37322">
        <w:rPr>
          <w:rFonts w:ascii="Times New Roman" w:hAnsi="Times New Roman" w:cs="Times New Roman"/>
          <w:iCs/>
          <w:sz w:val="20"/>
          <w:szCs w:val="20"/>
        </w:rPr>
        <w:t xml:space="preserve"> of confidence and has a direct relationship with the tax gap. The financial leverage is significant at 99 percent of significance and has an inverse association with the tax gap. The firm size proved to be insignificant and has no relationship with the tax gap. The findings of this hypothesis are consistent with the findings of </w:t>
      </w:r>
      <w:proofErr w:type="spellStart"/>
      <w:r w:rsidR="00874F17" w:rsidRPr="00E37322">
        <w:rPr>
          <w:rFonts w:ascii="Times New Roman" w:hAnsi="Times New Roman" w:cs="Times New Roman"/>
          <w:iCs/>
          <w:sz w:val="20"/>
          <w:szCs w:val="20"/>
        </w:rPr>
        <w:t>Babajani</w:t>
      </w:r>
      <w:proofErr w:type="spellEnd"/>
      <w:r w:rsidR="00874F17" w:rsidRPr="00E37322">
        <w:rPr>
          <w:rFonts w:ascii="Times New Roman" w:hAnsi="Times New Roman" w:cs="Times New Roman"/>
          <w:iCs/>
          <w:sz w:val="20"/>
          <w:szCs w:val="20"/>
        </w:rPr>
        <w:t xml:space="preserve"> and </w:t>
      </w:r>
      <w:proofErr w:type="spellStart"/>
      <w:r w:rsidR="00874F17" w:rsidRPr="00E37322">
        <w:rPr>
          <w:rFonts w:ascii="Times New Roman" w:hAnsi="Times New Roman" w:cs="Times New Roman"/>
          <w:iCs/>
          <w:sz w:val="20"/>
          <w:szCs w:val="20"/>
        </w:rPr>
        <w:t>Abdi</w:t>
      </w:r>
      <w:proofErr w:type="spellEnd"/>
      <w:r w:rsidR="00874F17" w:rsidRPr="00E37322">
        <w:rPr>
          <w:rFonts w:ascii="Times New Roman" w:hAnsi="Times New Roman" w:cs="Times New Roman"/>
          <w:iCs/>
          <w:sz w:val="20"/>
          <w:szCs w:val="20"/>
        </w:rPr>
        <w:t xml:space="preserve"> (2010).</w:t>
      </w:r>
    </w:p>
    <w:p w:rsidR="005B53F8" w:rsidRPr="00E37322" w:rsidRDefault="005B53F8" w:rsidP="005B53F8">
      <w:pPr>
        <w:bidi w:val="0"/>
        <w:snapToGrid w:val="0"/>
        <w:spacing w:after="0" w:line="240" w:lineRule="auto"/>
        <w:jc w:val="both"/>
        <w:rPr>
          <w:rFonts w:ascii="Times New Roman" w:hAnsi="Times New Roman" w:cs="Times New Roman"/>
          <w:b/>
          <w:bCs/>
          <w:iCs/>
          <w:sz w:val="20"/>
          <w:szCs w:val="20"/>
          <w:lang w:eastAsia="zh-CN"/>
        </w:rPr>
      </w:pPr>
    </w:p>
    <w:p w:rsidR="00874F17" w:rsidRPr="00E37322" w:rsidRDefault="00874F17" w:rsidP="005B53F8">
      <w:pPr>
        <w:bidi w:val="0"/>
        <w:snapToGrid w:val="0"/>
        <w:spacing w:after="0" w:line="240" w:lineRule="auto"/>
        <w:jc w:val="both"/>
        <w:rPr>
          <w:rFonts w:ascii="Times New Roman" w:hAnsi="Times New Roman" w:cs="Times New Roman"/>
          <w:b/>
          <w:bCs/>
          <w:iCs/>
          <w:sz w:val="20"/>
          <w:szCs w:val="20"/>
        </w:rPr>
      </w:pPr>
      <w:r w:rsidRPr="00E37322">
        <w:rPr>
          <w:rFonts w:ascii="Times New Roman" w:hAnsi="Times New Roman" w:cs="Times New Roman"/>
          <w:b/>
          <w:bCs/>
          <w:iCs/>
          <w:sz w:val="20"/>
          <w:szCs w:val="20"/>
        </w:rPr>
        <w:t>Suggestions</w:t>
      </w:r>
    </w:p>
    <w:p w:rsidR="007F5599" w:rsidRPr="00E37322" w:rsidRDefault="00874F17" w:rsidP="005B53F8">
      <w:pPr>
        <w:bidi w:val="0"/>
        <w:snapToGrid w:val="0"/>
        <w:spacing w:after="0" w:line="240" w:lineRule="auto"/>
        <w:ind w:firstLine="425"/>
        <w:jc w:val="both"/>
        <w:rPr>
          <w:rFonts w:ascii="Times New Roman" w:hAnsi="Times New Roman" w:cs="Times New Roman"/>
          <w:iCs/>
          <w:sz w:val="20"/>
          <w:szCs w:val="20"/>
        </w:rPr>
      </w:pPr>
      <w:r w:rsidRPr="00E37322">
        <w:rPr>
          <w:rFonts w:ascii="Times New Roman" w:hAnsi="Times New Roman" w:cs="Times New Roman"/>
          <w:iCs/>
          <w:sz w:val="20"/>
          <w:szCs w:val="20"/>
        </w:rPr>
        <w:t xml:space="preserve">Tax transparency and corporate governance are among the topics which have been much debated in different fields and play key roles in the development </w:t>
      </w:r>
      <w:r w:rsidRPr="00E37322">
        <w:rPr>
          <w:rFonts w:ascii="Times New Roman" w:hAnsi="Times New Roman" w:cs="Times New Roman"/>
          <w:iCs/>
          <w:sz w:val="20"/>
          <w:szCs w:val="20"/>
        </w:rPr>
        <w:lastRenderedPageBreak/>
        <w:t xml:space="preserve">of the firms. As a result, the scholars should attach great importance to this subject in order to achieve the goals. Therefore, numerous and more precise studies </w:t>
      </w:r>
      <w:r w:rsidR="00A328F7" w:rsidRPr="00E37322">
        <w:rPr>
          <w:rFonts w:ascii="Times New Roman" w:hAnsi="Times New Roman" w:cs="Times New Roman"/>
          <w:iCs/>
          <w:sz w:val="20"/>
          <w:szCs w:val="20"/>
        </w:rPr>
        <w:t xml:space="preserve">are required to be conducted </w:t>
      </w:r>
      <w:r w:rsidRPr="00E37322">
        <w:rPr>
          <w:rFonts w:ascii="Times New Roman" w:hAnsi="Times New Roman" w:cs="Times New Roman"/>
          <w:iCs/>
          <w:sz w:val="20"/>
          <w:szCs w:val="20"/>
        </w:rPr>
        <w:t xml:space="preserve">to reduce the error probability and </w:t>
      </w:r>
      <w:r w:rsidR="00A328F7" w:rsidRPr="00E37322">
        <w:rPr>
          <w:rFonts w:ascii="Times New Roman" w:hAnsi="Times New Roman" w:cs="Times New Roman"/>
          <w:iCs/>
          <w:sz w:val="20"/>
          <w:szCs w:val="20"/>
        </w:rPr>
        <w:t>increase</w:t>
      </w:r>
      <w:r w:rsidRPr="00E37322">
        <w:rPr>
          <w:rFonts w:ascii="Times New Roman" w:hAnsi="Times New Roman" w:cs="Times New Roman"/>
          <w:iCs/>
          <w:sz w:val="20"/>
          <w:szCs w:val="20"/>
        </w:rPr>
        <w:t xml:space="preserve"> the generalization of the findings.</w:t>
      </w:r>
    </w:p>
    <w:p w:rsidR="005B53F8" w:rsidRPr="00E37322" w:rsidRDefault="005B53F8" w:rsidP="005B53F8">
      <w:pPr>
        <w:bidi w:val="0"/>
        <w:snapToGrid w:val="0"/>
        <w:spacing w:after="0" w:line="240" w:lineRule="auto"/>
        <w:jc w:val="both"/>
        <w:rPr>
          <w:rFonts w:ascii="Times New Roman" w:hAnsi="Times New Roman" w:cs="Times New Roman"/>
          <w:b/>
          <w:bCs/>
          <w:iCs/>
          <w:sz w:val="20"/>
          <w:szCs w:val="20"/>
          <w:lang w:eastAsia="zh-CN"/>
        </w:rPr>
      </w:pPr>
    </w:p>
    <w:p w:rsidR="007F5599" w:rsidRPr="00E37322" w:rsidRDefault="007F5599" w:rsidP="005B53F8">
      <w:pPr>
        <w:bidi w:val="0"/>
        <w:snapToGrid w:val="0"/>
        <w:spacing w:after="0" w:line="240" w:lineRule="auto"/>
        <w:jc w:val="both"/>
        <w:rPr>
          <w:rFonts w:ascii="Times New Roman" w:hAnsi="Times New Roman" w:cs="Times New Roman"/>
          <w:b/>
          <w:bCs/>
          <w:iCs/>
          <w:sz w:val="20"/>
          <w:szCs w:val="20"/>
        </w:rPr>
      </w:pPr>
      <w:r w:rsidRPr="00E37322">
        <w:rPr>
          <w:rFonts w:ascii="Times New Roman" w:hAnsi="Times New Roman" w:cs="Times New Roman"/>
          <w:b/>
          <w:bCs/>
          <w:iCs/>
          <w:sz w:val="20"/>
          <w:szCs w:val="20"/>
        </w:rPr>
        <w:t>Ref</w:t>
      </w:r>
      <w:r w:rsidR="005B53F8" w:rsidRPr="00E37322">
        <w:rPr>
          <w:rFonts w:ascii="Times New Roman" w:hAnsi="Times New Roman" w:cs="Times New Roman" w:hint="eastAsia"/>
          <w:b/>
          <w:bCs/>
          <w:iCs/>
          <w:sz w:val="20"/>
          <w:szCs w:val="20"/>
          <w:lang w:eastAsia="zh-CN"/>
        </w:rPr>
        <w:t>e</w:t>
      </w:r>
      <w:r w:rsidRPr="00E37322">
        <w:rPr>
          <w:rFonts w:ascii="Times New Roman" w:hAnsi="Times New Roman" w:cs="Times New Roman"/>
          <w:b/>
          <w:bCs/>
          <w:iCs/>
          <w:sz w:val="20"/>
          <w:szCs w:val="20"/>
        </w:rPr>
        <w:t>rence</w:t>
      </w:r>
    </w:p>
    <w:p w:rsidR="007F5599" w:rsidRPr="00E37322" w:rsidRDefault="007F5599" w:rsidP="005B53F8">
      <w:pPr>
        <w:pStyle w:val="ListParagraph"/>
        <w:numPr>
          <w:ilvl w:val="0"/>
          <w:numId w:val="7"/>
        </w:numPr>
        <w:tabs>
          <w:tab w:val="left" w:pos="9072"/>
          <w:tab w:val="left" w:pos="9639"/>
        </w:tabs>
        <w:autoSpaceDE w:val="0"/>
        <w:autoSpaceDN w:val="0"/>
        <w:adjustRightInd w:val="0"/>
        <w:snapToGrid w:val="0"/>
        <w:jc w:val="both"/>
        <w:rPr>
          <w:sz w:val="20"/>
          <w:szCs w:val="20"/>
        </w:rPr>
      </w:pPr>
      <w:r w:rsidRPr="00E37322">
        <w:rPr>
          <w:sz w:val="20"/>
          <w:szCs w:val="20"/>
        </w:rPr>
        <w:t>Al-</w:t>
      </w:r>
      <w:proofErr w:type="spellStart"/>
      <w:r w:rsidRPr="00E37322">
        <w:rPr>
          <w:sz w:val="20"/>
          <w:szCs w:val="20"/>
        </w:rPr>
        <w:t>najjar</w:t>
      </w:r>
      <w:proofErr w:type="spellEnd"/>
      <w:r w:rsidRPr="00E37322">
        <w:rPr>
          <w:sz w:val="20"/>
          <w:szCs w:val="20"/>
        </w:rPr>
        <w:t xml:space="preserve">, B. (2010). Corporate governance and institutional ownership, evidence from </w:t>
      </w:r>
      <w:proofErr w:type="spellStart"/>
      <w:r w:rsidRPr="00E37322">
        <w:rPr>
          <w:sz w:val="20"/>
          <w:szCs w:val="20"/>
        </w:rPr>
        <w:t>jordan</w:t>
      </w:r>
      <w:proofErr w:type="spellEnd"/>
      <w:r w:rsidRPr="00E37322">
        <w:rPr>
          <w:sz w:val="20"/>
          <w:szCs w:val="20"/>
        </w:rPr>
        <w:t>, ISSN, 176-190.</w:t>
      </w:r>
    </w:p>
    <w:p w:rsidR="007F5599" w:rsidRPr="00E37322" w:rsidRDefault="007F5599" w:rsidP="005B53F8">
      <w:pPr>
        <w:pStyle w:val="ListParagraph"/>
        <w:numPr>
          <w:ilvl w:val="0"/>
          <w:numId w:val="7"/>
        </w:numPr>
        <w:tabs>
          <w:tab w:val="left" w:pos="9072"/>
          <w:tab w:val="left" w:pos="9639"/>
        </w:tabs>
        <w:snapToGrid w:val="0"/>
        <w:jc w:val="both"/>
        <w:rPr>
          <w:sz w:val="20"/>
          <w:szCs w:val="20"/>
        </w:rPr>
      </w:pPr>
      <w:proofErr w:type="spellStart"/>
      <w:r w:rsidRPr="00E37322">
        <w:rPr>
          <w:sz w:val="20"/>
          <w:szCs w:val="20"/>
        </w:rPr>
        <w:t>Fama</w:t>
      </w:r>
      <w:proofErr w:type="spellEnd"/>
      <w:r w:rsidRPr="00E37322">
        <w:rPr>
          <w:sz w:val="20"/>
          <w:szCs w:val="20"/>
        </w:rPr>
        <w:t>, E. F. (1980). "Agency Problems and the Theory of Firm." Journal of Political Economy 3: 88-95.</w:t>
      </w:r>
    </w:p>
    <w:p w:rsidR="007F5599" w:rsidRPr="00E37322" w:rsidRDefault="007F5599" w:rsidP="005B53F8">
      <w:pPr>
        <w:pStyle w:val="ListParagraph"/>
        <w:numPr>
          <w:ilvl w:val="0"/>
          <w:numId w:val="7"/>
        </w:numPr>
        <w:snapToGrid w:val="0"/>
        <w:jc w:val="both"/>
        <w:rPr>
          <w:sz w:val="20"/>
          <w:szCs w:val="20"/>
        </w:rPr>
      </w:pPr>
      <w:proofErr w:type="spellStart"/>
      <w:r w:rsidRPr="00E37322">
        <w:rPr>
          <w:rStyle w:val="hps"/>
          <w:sz w:val="20"/>
          <w:szCs w:val="20"/>
        </w:rPr>
        <w:t>Babajani</w:t>
      </w:r>
      <w:proofErr w:type="spellEnd"/>
      <w:r w:rsidRPr="00E37322">
        <w:rPr>
          <w:sz w:val="20"/>
          <w:szCs w:val="20"/>
        </w:rPr>
        <w:t xml:space="preserve">, vol. </w:t>
      </w:r>
      <w:r w:rsidRPr="00E37322">
        <w:rPr>
          <w:rStyle w:val="hps"/>
          <w:sz w:val="20"/>
          <w:szCs w:val="20"/>
        </w:rPr>
        <w:t>(2010</w:t>
      </w:r>
      <w:r w:rsidRPr="00E37322">
        <w:rPr>
          <w:sz w:val="20"/>
          <w:szCs w:val="20"/>
        </w:rPr>
        <w:t xml:space="preserve">). </w:t>
      </w:r>
      <w:r w:rsidRPr="00E37322">
        <w:rPr>
          <w:rStyle w:val="hps"/>
          <w:sz w:val="20"/>
          <w:szCs w:val="20"/>
        </w:rPr>
        <w:t>Fundamental change</w:t>
      </w:r>
      <w:r w:rsidRPr="00E37322">
        <w:rPr>
          <w:sz w:val="20"/>
          <w:szCs w:val="20"/>
        </w:rPr>
        <w:t xml:space="preserve"> </w:t>
      </w:r>
      <w:r w:rsidRPr="00E37322">
        <w:rPr>
          <w:rStyle w:val="hps"/>
          <w:sz w:val="20"/>
          <w:szCs w:val="20"/>
        </w:rPr>
        <w:t>in</w:t>
      </w:r>
      <w:r w:rsidRPr="00E37322">
        <w:rPr>
          <w:sz w:val="20"/>
          <w:szCs w:val="20"/>
        </w:rPr>
        <w:t xml:space="preserve"> </w:t>
      </w:r>
      <w:r w:rsidRPr="00E37322">
        <w:rPr>
          <w:rStyle w:val="hps"/>
          <w:sz w:val="20"/>
          <w:szCs w:val="20"/>
        </w:rPr>
        <w:t>the</w:t>
      </w:r>
      <w:r w:rsidRPr="00E37322">
        <w:rPr>
          <w:sz w:val="20"/>
          <w:szCs w:val="20"/>
        </w:rPr>
        <w:t xml:space="preserve"> </w:t>
      </w:r>
      <w:r w:rsidRPr="00E37322">
        <w:rPr>
          <w:rStyle w:val="hps"/>
          <w:sz w:val="20"/>
          <w:szCs w:val="20"/>
        </w:rPr>
        <w:t>information</w:t>
      </w:r>
      <w:r w:rsidRPr="00E37322">
        <w:rPr>
          <w:sz w:val="20"/>
          <w:szCs w:val="20"/>
        </w:rPr>
        <w:t xml:space="preserve"> </w:t>
      </w:r>
      <w:r w:rsidRPr="00E37322">
        <w:rPr>
          <w:rStyle w:val="hps"/>
          <w:sz w:val="20"/>
          <w:szCs w:val="20"/>
        </w:rPr>
        <w:t>system,</w:t>
      </w:r>
      <w:r w:rsidRPr="00E37322">
        <w:rPr>
          <w:sz w:val="20"/>
          <w:szCs w:val="20"/>
        </w:rPr>
        <w:t xml:space="preserve"> </w:t>
      </w:r>
      <w:r w:rsidRPr="00E37322">
        <w:rPr>
          <w:rStyle w:val="hps"/>
          <w:sz w:val="20"/>
          <w:szCs w:val="20"/>
        </w:rPr>
        <w:t>the</w:t>
      </w:r>
      <w:r w:rsidRPr="00E37322">
        <w:rPr>
          <w:sz w:val="20"/>
          <w:szCs w:val="20"/>
        </w:rPr>
        <w:t xml:space="preserve"> </w:t>
      </w:r>
      <w:r w:rsidRPr="00E37322">
        <w:rPr>
          <w:rStyle w:val="hps"/>
          <w:sz w:val="20"/>
          <w:szCs w:val="20"/>
        </w:rPr>
        <w:t>new</w:t>
      </w:r>
      <w:r w:rsidRPr="00E37322">
        <w:rPr>
          <w:sz w:val="20"/>
          <w:szCs w:val="20"/>
        </w:rPr>
        <w:t xml:space="preserve"> </w:t>
      </w:r>
      <w:r w:rsidRPr="00E37322">
        <w:rPr>
          <w:rStyle w:val="hps"/>
          <w:sz w:val="20"/>
          <w:szCs w:val="20"/>
        </w:rPr>
        <w:t>system of</w:t>
      </w:r>
      <w:r w:rsidRPr="00E37322">
        <w:rPr>
          <w:sz w:val="20"/>
          <w:szCs w:val="20"/>
        </w:rPr>
        <w:t xml:space="preserve"> </w:t>
      </w:r>
      <w:r w:rsidRPr="00E37322">
        <w:rPr>
          <w:rStyle w:val="hps"/>
          <w:sz w:val="20"/>
          <w:szCs w:val="20"/>
        </w:rPr>
        <w:t>tax accounting</w:t>
      </w:r>
      <w:r w:rsidRPr="00E37322">
        <w:rPr>
          <w:sz w:val="20"/>
          <w:szCs w:val="20"/>
        </w:rPr>
        <w:t xml:space="preserve">, tax, </w:t>
      </w:r>
      <w:r w:rsidRPr="00E37322">
        <w:rPr>
          <w:rStyle w:val="hps"/>
          <w:sz w:val="20"/>
          <w:szCs w:val="20"/>
        </w:rPr>
        <w:t>accounting</w:t>
      </w:r>
      <w:r w:rsidRPr="00E37322">
        <w:rPr>
          <w:sz w:val="20"/>
          <w:szCs w:val="20"/>
        </w:rPr>
        <w:t xml:space="preserve"> </w:t>
      </w:r>
      <w:r w:rsidRPr="00E37322">
        <w:rPr>
          <w:rStyle w:val="hps"/>
          <w:sz w:val="20"/>
          <w:szCs w:val="20"/>
        </w:rPr>
        <w:t>studies</w:t>
      </w:r>
      <w:r w:rsidRPr="00E37322">
        <w:rPr>
          <w:sz w:val="20"/>
          <w:szCs w:val="20"/>
        </w:rPr>
        <w:t xml:space="preserve">, </w:t>
      </w:r>
      <w:r w:rsidRPr="00E37322">
        <w:rPr>
          <w:rStyle w:val="hps"/>
          <w:sz w:val="20"/>
          <w:szCs w:val="20"/>
        </w:rPr>
        <w:t>10</w:t>
      </w:r>
      <w:r w:rsidRPr="00E37322">
        <w:rPr>
          <w:sz w:val="20"/>
          <w:szCs w:val="20"/>
        </w:rPr>
        <w:t xml:space="preserve"> </w:t>
      </w:r>
      <w:r w:rsidRPr="00E37322">
        <w:rPr>
          <w:rStyle w:val="hps"/>
          <w:sz w:val="20"/>
          <w:szCs w:val="20"/>
        </w:rPr>
        <w:t>and</w:t>
      </w:r>
      <w:r w:rsidRPr="00E37322">
        <w:rPr>
          <w:sz w:val="20"/>
          <w:szCs w:val="20"/>
        </w:rPr>
        <w:t xml:space="preserve"> </w:t>
      </w:r>
      <w:r w:rsidRPr="00E37322">
        <w:rPr>
          <w:rStyle w:val="hps"/>
          <w:sz w:val="20"/>
          <w:szCs w:val="20"/>
        </w:rPr>
        <w:t>11.</w:t>
      </w:r>
    </w:p>
    <w:p w:rsidR="00FE2994" w:rsidRPr="00E37322" w:rsidRDefault="007F5599" w:rsidP="005B53F8">
      <w:pPr>
        <w:pStyle w:val="ListParagraph"/>
        <w:numPr>
          <w:ilvl w:val="0"/>
          <w:numId w:val="7"/>
        </w:numPr>
        <w:snapToGrid w:val="0"/>
        <w:jc w:val="both"/>
        <w:rPr>
          <w:sz w:val="20"/>
          <w:szCs w:val="20"/>
        </w:rPr>
      </w:pPr>
      <w:proofErr w:type="spellStart"/>
      <w:r w:rsidRPr="00E37322">
        <w:rPr>
          <w:sz w:val="20"/>
          <w:szCs w:val="20"/>
        </w:rPr>
        <w:t>Abor</w:t>
      </w:r>
      <w:proofErr w:type="spellEnd"/>
      <w:r w:rsidRPr="00E37322">
        <w:rPr>
          <w:sz w:val="20"/>
          <w:szCs w:val="20"/>
        </w:rPr>
        <w:t xml:space="preserve">, Joshua. and </w:t>
      </w:r>
      <w:proofErr w:type="spellStart"/>
      <w:r w:rsidRPr="00E37322">
        <w:rPr>
          <w:sz w:val="20"/>
          <w:szCs w:val="20"/>
        </w:rPr>
        <w:t>Biekpe</w:t>
      </w:r>
      <w:proofErr w:type="spellEnd"/>
      <w:r w:rsidRPr="00E37322">
        <w:rPr>
          <w:sz w:val="20"/>
          <w:szCs w:val="20"/>
        </w:rPr>
        <w:t>, Nicholas</w:t>
      </w:r>
      <w:r w:rsidR="00BE2241" w:rsidRPr="00E37322">
        <w:rPr>
          <w:sz w:val="20"/>
          <w:szCs w:val="20"/>
        </w:rPr>
        <w:t>. (</w:t>
      </w:r>
      <w:r w:rsidRPr="00E37322">
        <w:rPr>
          <w:sz w:val="20"/>
          <w:szCs w:val="20"/>
        </w:rPr>
        <w:t xml:space="preserve">2007), ((Does Corporate Governance Affect the Capital Structure Decisions of Ghanaian </w:t>
      </w:r>
      <w:proofErr w:type="spellStart"/>
      <w:r w:rsidRPr="00E37322">
        <w:rPr>
          <w:sz w:val="20"/>
          <w:szCs w:val="20"/>
        </w:rPr>
        <w:t>SMEs</w:t>
      </w:r>
      <w:proofErr w:type="spellEnd"/>
      <w:r w:rsidRPr="00E37322">
        <w:rPr>
          <w:sz w:val="20"/>
          <w:szCs w:val="20"/>
        </w:rPr>
        <w:t>?)), University of Stellenbosch Business School, South Afric</w:t>
      </w:r>
      <w:r w:rsidR="00FE2994" w:rsidRPr="00E37322">
        <w:rPr>
          <w:sz w:val="20"/>
          <w:szCs w:val="20"/>
        </w:rPr>
        <w:t>a.</w:t>
      </w:r>
    </w:p>
    <w:p w:rsidR="00874F17" w:rsidRPr="00E37322" w:rsidRDefault="007F5599" w:rsidP="005B53F8">
      <w:pPr>
        <w:pStyle w:val="ListParagraph"/>
        <w:numPr>
          <w:ilvl w:val="0"/>
          <w:numId w:val="7"/>
        </w:numPr>
        <w:snapToGrid w:val="0"/>
        <w:jc w:val="both"/>
        <w:rPr>
          <w:b/>
          <w:bCs/>
          <w:sz w:val="20"/>
          <w:szCs w:val="20"/>
        </w:rPr>
      </w:pPr>
      <w:proofErr w:type="spellStart"/>
      <w:r w:rsidRPr="00E37322">
        <w:rPr>
          <w:sz w:val="20"/>
          <w:szCs w:val="20"/>
        </w:rPr>
        <w:t>Byun</w:t>
      </w:r>
      <w:proofErr w:type="spellEnd"/>
      <w:r w:rsidRPr="00E37322">
        <w:rPr>
          <w:sz w:val="20"/>
          <w:szCs w:val="20"/>
        </w:rPr>
        <w:t>, Y</w:t>
      </w:r>
      <w:r w:rsidR="00BE2241" w:rsidRPr="00E37322">
        <w:rPr>
          <w:sz w:val="20"/>
          <w:szCs w:val="20"/>
        </w:rPr>
        <w:t>. (</w:t>
      </w:r>
      <w:r w:rsidRPr="00E37322">
        <w:rPr>
          <w:sz w:val="20"/>
          <w:szCs w:val="20"/>
        </w:rPr>
        <w:t xml:space="preserve"> 2007)</w:t>
      </w:r>
      <w:r w:rsidR="00BE2241" w:rsidRPr="00E37322">
        <w:rPr>
          <w:sz w:val="20"/>
          <w:szCs w:val="20"/>
        </w:rPr>
        <w:t>, (</w:t>
      </w:r>
      <w:r w:rsidRPr="00E37322">
        <w:rPr>
          <w:sz w:val="20"/>
          <w:szCs w:val="20"/>
        </w:rPr>
        <w:t>( The Cost of Debt Capital and Corporate Governance Practices)), Asia-Pacific Journal of Financial Studies, Seoul National University, Seoul, Korea, v36 n5 pp765-806.</w:t>
      </w:r>
    </w:p>
    <w:p w:rsidR="007F5599" w:rsidRPr="00E37322" w:rsidRDefault="007F5599" w:rsidP="005B53F8">
      <w:pPr>
        <w:pStyle w:val="ListParagraph"/>
        <w:numPr>
          <w:ilvl w:val="0"/>
          <w:numId w:val="7"/>
        </w:numPr>
        <w:shd w:val="clear" w:color="auto" w:fill="FFFFFF"/>
        <w:tabs>
          <w:tab w:val="left" w:pos="9072"/>
          <w:tab w:val="left" w:pos="9639"/>
        </w:tabs>
        <w:autoSpaceDE w:val="0"/>
        <w:autoSpaceDN w:val="0"/>
        <w:adjustRightInd w:val="0"/>
        <w:snapToGrid w:val="0"/>
        <w:jc w:val="both"/>
        <w:rPr>
          <w:sz w:val="20"/>
          <w:szCs w:val="20"/>
        </w:rPr>
      </w:pPr>
      <w:r w:rsidRPr="00E37322">
        <w:rPr>
          <w:sz w:val="20"/>
          <w:szCs w:val="20"/>
        </w:rPr>
        <w:t>Chen</w:t>
      </w:r>
      <w:r w:rsidR="00FE2994" w:rsidRPr="00E37322">
        <w:rPr>
          <w:sz w:val="20"/>
          <w:szCs w:val="20"/>
        </w:rPr>
        <w:t>, K, C, W</w:t>
      </w:r>
      <w:r w:rsidRPr="00E37322">
        <w:rPr>
          <w:sz w:val="20"/>
          <w:szCs w:val="20"/>
        </w:rPr>
        <w:t>. Chen</w:t>
      </w:r>
      <w:r w:rsidR="00FE2994" w:rsidRPr="00E37322">
        <w:rPr>
          <w:sz w:val="20"/>
          <w:szCs w:val="20"/>
        </w:rPr>
        <w:t>, Z</w:t>
      </w:r>
      <w:r w:rsidRPr="00E37322">
        <w:rPr>
          <w:sz w:val="20"/>
          <w:szCs w:val="20"/>
        </w:rPr>
        <w:t>. John We</w:t>
      </w:r>
      <w:r w:rsidR="00FE2994" w:rsidRPr="00E37322">
        <w:rPr>
          <w:sz w:val="20"/>
          <w:szCs w:val="20"/>
        </w:rPr>
        <w:t>, K</w:t>
      </w:r>
      <w:r w:rsidR="00BE2241" w:rsidRPr="00E37322">
        <w:rPr>
          <w:sz w:val="20"/>
          <w:szCs w:val="20"/>
        </w:rPr>
        <w:t>,</w:t>
      </w:r>
      <w:r w:rsidRPr="00E37322">
        <w:rPr>
          <w:sz w:val="20"/>
          <w:szCs w:val="20"/>
        </w:rPr>
        <w:t xml:space="preserve"> C. (2009). Legal protection of investor</w:t>
      </w:r>
      <w:r w:rsidR="00FE2994" w:rsidRPr="00E37322">
        <w:rPr>
          <w:sz w:val="20"/>
          <w:szCs w:val="20"/>
        </w:rPr>
        <w:t>, c</w:t>
      </w:r>
      <w:r w:rsidRPr="00E37322">
        <w:rPr>
          <w:sz w:val="20"/>
          <w:szCs w:val="20"/>
        </w:rPr>
        <w:t>orporate governance</w:t>
      </w:r>
      <w:r w:rsidR="00FE2994" w:rsidRPr="00E37322">
        <w:rPr>
          <w:sz w:val="20"/>
          <w:szCs w:val="20"/>
        </w:rPr>
        <w:t>, a</w:t>
      </w:r>
      <w:r w:rsidRPr="00E37322">
        <w:rPr>
          <w:sz w:val="20"/>
          <w:szCs w:val="20"/>
        </w:rPr>
        <w:t>nd the cost of equity capital</w:t>
      </w:r>
      <w:r w:rsidR="00FE2994" w:rsidRPr="00E37322">
        <w:rPr>
          <w:sz w:val="20"/>
          <w:szCs w:val="20"/>
        </w:rPr>
        <w:t xml:space="preserve">, </w:t>
      </w:r>
      <w:proofErr w:type="spellStart"/>
      <w:r w:rsidR="00FE2994" w:rsidRPr="00E37322">
        <w:rPr>
          <w:sz w:val="20"/>
          <w:szCs w:val="20"/>
        </w:rPr>
        <w:t>J</w:t>
      </w:r>
      <w:r w:rsidRPr="00E37322">
        <w:rPr>
          <w:sz w:val="20"/>
          <w:szCs w:val="20"/>
        </w:rPr>
        <w:t>ornal</w:t>
      </w:r>
      <w:proofErr w:type="spellEnd"/>
      <w:r w:rsidRPr="00E37322">
        <w:rPr>
          <w:sz w:val="20"/>
          <w:szCs w:val="20"/>
        </w:rPr>
        <w:t xml:space="preserve"> of corporate Finance 15</w:t>
      </w:r>
      <w:r w:rsidR="00BE2241" w:rsidRPr="00E37322">
        <w:rPr>
          <w:sz w:val="20"/>
          <w:szCs w:val="20"/>
        </w:rPr>
        <w:t>,</w:t>
      </w:r>
      <w:r w:rsidRPr="00E37322">
        <w:rPr>
          <w:sz w:val="20"/>
          <w:szCs w:val="20"/>
        </w:rPr>
        <w:t>273-289.</w:t>
      </w:r>
    </w:p>
    <w:p w:rsidR="007F5599" w:rsidRPr="00E37322" w:rsidRDefault="007F5599" w:rsidP="005B53F8">
      <w:pPr>
        <w:pStyle w:val="ListParagraph"/>
        <w:numPr>
          <w:ilvl w:val="0"/>
          <w:numId w:val="7"/>
        </w:numPr>
        <w:tabs>
          <w:tab w:val="left" w:pos="9072"/>
          <w:tab w:val="left" w:pos="9639"/>
        </w:tabs>
        <w:autoSpaceDE w:val="0"/>
        <w:autoSpaceDN w:val="0"/>
        <w:adjustRightInd w:val="0"/>
        <w:snapToGrid w:val="0"/>
        <w:jc w:val="both"/>
        <w:rPr>
          <w:sz w:val="20"/>
          <w:szCs w:val="20"/>
        </w:rPr>
      </w:pPr>
      <w:proofErr w:type="spellStart"/>
      <w:r w:rsidRPr="00E37322">
        <w:rPr>
          <w:sz w:val="20"/>
          <w:szCs w:val="20"/>
        </w:rPr>
        <w:t>Fernandeze</w:t>
      </w:r>
      <w:proofErr w:type="spellEnd"/>
      <w:r w:rsidRPr="00E37322">
        <w:rPr>
          <w:sz w:val="20"/>
          <w:szCs w:val="20"/>
        </w:rPr>
        <w:t>, J. (2007). “Mandatory CEO Retirements, Discretionary Accruals, and Corporate Governance Mechanisms”. Journal of Accounting, Auditing</w:t>
      </w:r>
      <w:r w:rsidR="00BE2241" w:rsidRPr="00E37322">
        <w:rPr>
          <w:sz w:val="20"/>
          <w:szCs w:val="20"/>
        </w:rPr>
        <w:t xml:space="preserve"> &amp; </w:t>
      </w:r>
      <w:r w:rsidRPr="00E37322">
        <w:rPr>
          <w:sz w:val="20"/>
          <w:szCs w:val="20"/>
        </w:rPr>
        <w:t>Finance 18 (2), 255 - 280.</w:t>
      </w:r>
    </w:p>
    <w:p w:rsidR="007F5599" w:rsidRPr="00E37322" w:rsidRDefault="007F5599" w:rsidP="005B53F8">
      <w:pPr>
        <w:pStyle w:val="ListParagraph"/>
        <w:numPr>
          <w:ilvl w:val="0"/>
          <w:numId w:val="7"/>
        </w:numPr>
        <w:tabs>
          <w:tab w:val="left" w:pos="9072"/>
          <w:tab w:val="left" w:pos="9639"/>
        </w:tabs>
        <w:autoSpaceDE w:val="0"/>
        <w:autoSpaceDN w:val="0"/>
        <w:adjustRightInd w:val="0"/>
        <w:snapToGrid w:val="0"/>
        <w:jc w:val="both"/>
        <w:rPr>
          <w:sz w:val="20"/>
          <w:szCs w:val="20"/>
        </w:rPr>
      </w:pPr>
      <w:proofErr w:type="spellStart"/>
      <w:r w:rsidRPr="00E37322">
        <w:rPr>
          <w:sz w:val="20"/>
          <w:szCs w:val="20"/>
        </w:rPr>
        <w:t>Mutairi</w:t>
      </w:r>
      <w:proofErr w:type="spellEnd"/>
      <w:r w:rsidR="00FE2994" w:rsidRPr="00E37322">
        <w:rPr>
          <w:sz w:val="20"/>
          <w:szCs w:val="20"/>
        </w:rPr>
        <w:t>, M</w:t>
      </w:r>
      <w:r w:rsidRPr="00E37322">
        <w:rPr>
          <w:sz w:val="20"/>
          <w:szCs w:val="20"/>
        </w:rPr>
        <w:t xml:space="preserve">. E. A. (2010). </w:t>
      </w:r>
      <w:hyperlink r:id="rId13" w:tgtFrame="_top" w:history="1">
        <w:r w:rsidRPr="00E37322">
          <w:rPr>
            <w:sz w:val="20"/>
            <w:szCs w:val="20"/>
          </w:rPr>
          <w:t xml:space="preserve">The Effect of Corporate Governance, Corporate Financing Decision and Ownership Structure on Firm Performance: A Panel Data Approach from Kuwait Stock Exchange </w:t>
        </w:r>
      </w:hyperlink>
      <w:r w:rsidRPr="00E37322">
        <w:rPr>
          <w:sz w:val="20"/>
          <w:szCs w:val="20"/>
        </w:rPr>
        <w:t>, University of Wollongong - Faculty of Commerce.</w:t>
      </w:r>
    </w:p>
    <w:p w:rsidR="007F5599" w:rsidRPr="00E37322" w:rsidRDefault="007F5599" w:rsidP="005B53F8">
      <w:pPr>
        <w:pStyle w:val="ListParagraph"/>
        <w:numPr>
          <w:ilvl w:val="0"/>
          <w:numId w:val="7"/>
        </w:numPr>
        <w:tabs>
          <w:tab w:val="left" w:pos="9072"/>
          <w:tab w:val="left" w:pos="9639"/>
        </w:tabs>
        <w:autoSpaceDE w:val="0"/>
        <w:autoSpaceDN w:val="0"/>
        <w:adjustRightInd w:val="0"/>
        <w:snapToGrid w:val="0"/>
        <w:jc w:val="both"/>
        <w:rPr>
          <w:sz w:val="20"/>
          <w:szCs w:val="20"/>
        </w:rPr>
      </w:pPr>
      <w:proofErr w:type="spellStart"/>
      <w:r w:rsidRPr="00E37322">
        <w:rPr>
          <w:sz w:val="20"/>
          <w:szCs w:val="20"/>
        </w:rPr>
        <w:t>Stapledon</w:t>
      </w:r>
      <w:proofErr w:type="spellEnd"/>
      <w:r w:rsidRPr="00E37322">
        <w:rPr>
          <w:sz w:val="20"/>
          <w:szCs w:val="20"/>
        </w:rPr>
        <w:t>, G. P. (1996). "Institutional Shareholders and Corporate Governance." Clarendon press, Oxford.</w:t>
      </w:r>
    </w:p>
    <w:p w:rsidR="00BE2241" w:rsidRPr="00E37322" w:rsidRDefault="007F5599" w:rsidP="005B53F8">
      <w:pPr>
        <w:pStyle w:val="ListParagraph"/>
        <w:numPr>
          <w:ilvl w:val="0"/>
          <w:numId w:val="7"/>
        </w:numPr>
        <w:snapToGrid w:val="0"/>
        <w:jc w:val="both"/>
        <w:rPr>
          <w:rFonts w:hint="eastAsia"/>
          <w:sz w:val="20"/>
          <w:szCs w:val="20"/>
        </w:rPr>
      </w:pPr>
      <w:r w:rsidRPr="00E37322">
        <w:rPr>
          <w:sz w:val="20"/>
          <w:szCs w:val="20"/>
        </w:rPr>
        <w:t>Richardson, S. A., R. G. Sloan, et al. (2004). "Accrual Reliability Persistence and Stock Prices." Working Paper, University of Michigan Business School</w:t>
      </w:r>
      <w:r w:rsidR="00E37322" w:rsidRPr="00E37322">
        <w:rPr>
          <w:rFonts w:eastAsiaTheme="minorEastAsia" w:hint="eastAsia"/>
          <w:sz w:val="20"/>
          <w:szCs w:val="20"/>
          <w:lang w:eastAsia="zh-CN"/>
        </w:rPr>
        <w:t>.</w:t>
      </w:r>
    </w:p>
    <w:p w:rsidR="00E37322" w:rsidRPr="00E37322" w:rsidRDefault="00E37322" w:rsidP="005B53F8">
      <w:pPr>
        <w:pStyle w:val="ListParagraph"/>
        <w:numPr>
          <w:ilvl w:val="0"/>
          <w:numId w:val="7"/>
        </w:numPr>
        <w:snapToGrid w:val="0"/>
        <w:jc w:val="both"/>
        <w:rPr>
          <w:sz w:val="20"/>
          <w:szCs w:val="20"/>
        </w:rPr>
        <w:sectPr w:rsidR="00E37322" w:rsidRPr="00E37322" w:rsidSect="004715BC">
          <w:type w:val="continuous"/>
          <w:pgSz w:w="12242" w:h="15842" w:code="1"/>
          <w:pgMar w:top="1440" w:right="1440" w:bottom="1440" w:left="1440" w:header="720" w:footer="720" w:gutter="0"/>
          <w:cols w:num="2" w:space="550"/>
          <w:docGrid w:linePitch="360"/>
        </w:sectPr>
      </w:pPr>
    </w:p>
    <w:p w:rsidR="00BE2241" w:rsidRPr="00E37322" w:rsidRDefault="00BE2241" w:rsidP="005B53F8">
      <w:pPr>
        <w:bidi w:val="0"/>
        <w:snapToGrid w:val="0"/>
        <w:spacing w:after="0" w:line="240" w:lineRule="auto"/>
        <w:ind w:left="425" w:hanging="425"/>
        <w:jc w:val="both"/>
        <w:rPr>
          <w:rFonts w:ascii="Times New Roman" w:hAnsi="Times New Roman" w:cs="Times New Roman"/>
          <w:b/>
          <w:bCs/>
          <w:sz w:val="20"/>
          <w:szCs w:val="20"/>
          <w:lang w:eastAsia="zh-CN"/>
        </w:rPr>
      </w:pPr>
    </w:p>
    <w:p w:rsidR="005B53F8" w:rsidRPr="00E37322" w:rsidRDefault="005B53F8" w:rsidP="005B53F8">
      <w:pPr>
        <w:bidi w:val="0"/>
        <w:snapToGrid w:val="0"/>
        <w:spacing w:after="0" w:line="240" w:lineRule="auto"/>
        <w:ind w:left="425" w:hanging="425"/>
        <w:jc w:val="both"/>
        <w:rPr>
          <w:rFonts w:ascii="Times New Roman" w:hAnsi="Times New Roman" w:cs="Times New Roman"/>
          <w:b/>
          <w:bCs/>
          <w:sz w:val="20"/>
          <w:szCs w:val="20"/>
          <w:lang w:eastAsia="zh-CN"/>
        </w:rPr>
      </w:pPr>
    </w:p>
    <w:p w:rsidR="001F341C" w:rsidRPr="00E37322" w:rsidRDefault="00E37322" w:rsidP="00E37322">
      <w:pPr>
        <w:bidi w:val="0"/>
        <w:snapToGrid w:val="0"/>
        <w:spacing w:after="0" w:line="240" w:lineRule="auto"/>
        <w:ind w:left="425" w:hanging="425"/>
        <w:jc w:val="both"/>
        <w:rPr>
          <w:rFonts w:ascii="Times New Roman" w:hAnsi="Times New Roman" w:cs="Times New Roman"/>
          <w:bCs/>
          <w:sz w:val="20"/>
          <w:szCs w:val="20"/>
        </w:rPr>
      </w:pPr>
      <w:r>
        <w:rPr>
          <w:sz w:val="20"/>
          <w:szCs w:val="20"/>
          <w:lang w:eastAsia="zh-CN"/>
        </w:rPr>
        <w:t>9</w:t>
      </w:r>
      <w:r>
        <w:rPr>
          <w:sz w:val="20"/>
          <w:szCs w:val="20"/>
        </w:rPr>
        <w:t>/</w:t>
      </w:r>
      <w:r>
        <w:rPr>
          <w:sz w:val="20"/>
          <w:szCs w:val="20"/>
          <w:lang w:eastAsia="zh-CN"/>
        </w:rPr>
        <w:t>25</w:t>
      </w:r>
      <w:r>
        <w:rPr>
          <w:sz w:val="20"/>
          <w:szCs w:val="20"/>
        </w:rPr>
        <w:t>/2017</w:t>
      </w:r>
    </w:p>
    <w:sectPr w:rsidR="001F341C" w:rsidRPr="00E37322" w:rsidSect="00BE224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BE4" w:rsidRDefault="00E25BE4" w:rsidP="001F341C">
      <w:pPr>
        <w:spacing w:after="0" w:line="240" w:lineRule="auto"/>
      </w:pPr>
      <w:r>
        <w:separator/>
      </w:r>
    </w:p>
  </w:endnote>
  <w:endnote w:type="continuationSeparator" w:id="0">
    <w:p w:rsidR="00E25BE4" w:rsidRDefault="00E25BE4" w:rsidP="001F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F8" w:rsidRPr="004715BC" w:rsidRDefault="004C0692" w:rsidP="004715BC">
    <w:pPr>
      <w:bidi w:val="0"/>
      <w:spacing w:after="0" w:line="240" w:lineRule="auto"/>
      <w:jc w:val="center"/>
      <w:rPr>
        <w:rFonts w:ascii="Times New Roman" w:hAnsi="Times New Roman" w:cs="Times New Roman"/>
        <w:sz w:val="20"/>
      </w:rPr>
    </w:pPr>
    <w:r w:rsidRPr="004715BC">
      <w:rPr>
        <w:rFonts w:ascii="Times New Roman" w:hAnsi="Times New Roman" w:cs="Times New Roman"/>
        <w:sz w:val="20"/>
      </w:rPr>
      <w:fldChar w:fldCharType="begin"/>
    </w:r>
    <w:r w:rsidR="004715BC" w:rsidRPr="004715BC">
      <w:rPr>
        <w:rFonts w:ascii="Times New Roman" w:hAnsi="Times New Roman" w:cs="Times New Roman"/>
        <w:sz w:val="20"/>
      </w:rPr>
      <w:instrText xml:space="preserve"> page </w:instrText>
    </w:r>
    <w:r w:rsidRPr="004715BC">
      <w:rPr>
        <w:rFonts w:ascii="Times New Roman" w:hAnsi="Times New Roman" w:cs="Times New Roman"/>
        <w:sz w:val="20"/>
      </w:rPr>
      <w:fldChar w:fldCharType="separate"/>
    </w:r>
    <w:r w:rsidR="001B19F8">
      <w:rPr>
        <w:rFonts w:ascii="Times New Roman" w:hAnsi="Times New Roman" w:cs="Times New Roman"/>
        <w:noProof/>
        <w:sz w:val="20"/>
      </w:rPr>
      <w:t>89</w:t>
    </w:r>
    <w:r w:rsidRPr="004715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BE4" w:rsidRDefault="00E25BE4" w:rsidP="001F341C">
      <w:pPr>
        <w:spacing w:after="0" w:line="240" w:lineRule="auto"/>
      </w:pPr>
      <w:r>
        <w:separator/>
      </w:r>
    </w:p>
  </w:footnote>
  <w:footnote w:type="continuationSeparator" w:id="0">
    <w:p w:rsidR="00E25BE4" w:rsidRDefault="00E25BE4" w:rsidP="001F3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C" w:rsidRPr="004715BC" w:rsidRDefault="004715BC" w:rsidP="004715B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715BC">
      <w:rPr>
        <w:rFonts w:ascii="Times New Roman" w:hAnsi="Times New Roman" w:cs="Times New Roman" w:hint="eastAsia"/>
        <w:iCs/>
        <w:color w:val="000000"/>
        <w:sz w:val="20"/>
        <w:szCs w:val="20"/>
      </w:rPr>
      <w:tab/>
    </w:r>
    <w:r w:rsidRPr="004715BC">
      <w:rPr>
        <w:rFonts w:ascii="Times New Roman" w:hAnsi="Times New Roman" w:cs="Times New Roman"/>
        <w:iCs/>
        <w:color w:val="000000"/>
        <w:sz w:val="20"/>
        <w:szCs w:val="20"/>
      </w:rPr>
      <w:t xml:space="preserve">Researcher </w:t>
    </w:r>
    <w:r w:rsidRPr="004715BC">
      <w:rPr>
        <w:rFonts w:ascii="Times New Roman" w:hAnsi="Times New Roman" w:cs="Times New Roman"/>
        <w:iCs/>
        <w:sz w:val="20"/>
        <w:szCs w:val="20"/>
      </w:rPr>
      <w:t>201</w:t>
    </w:r>
    <w:r w:rsidRPr="004715BC">
      <w:rPr>
        <w:rFonts w:ascii="Times New Roman" w:hAnsi="Times New Roman" w:cs="Times New Roman" w:hint="eastAsia"/>
        <w:iCs/>
        <w:sz w:val="20"/>
        <w:szCs w:val="20"/>
      </w:rPr>
      <w:t>7</w:t>
    </w:r>
    <w:r w:rsidRPr="004715BC">
      <w:rPr>
        <w:rFonts w:ascii="Times New Roman" w:hAnsi="Times New Roman" w:cs="Times New Roman"/>
        <w:iCs/>
        <w:sz w:val="20"/>
        <w:szCs w:val="20"/>
      </w:rPr>
      <w:t>;</w:t>
    </w:r>
    <w:r w:rsidRPr="004715BC">
      <w:rPr>
        <w:rFonts w:ascii="Times New Roman" w:hAnsi="Times New Roman" w:cs="Times New Roman" w:hint="eastAsia"/>
        <w:iCs/>
        <w:sz w:val="20"/>
        <w:szCs w:val="20"/>
      </w:rPr>
      <w:t>9</w:t>
    </w:r>
    <w:r w:rsidRPr="004715BC">
      <w:rPr>
        <w:rFonts w:ascii="Times New Roman" w:hAnsi="Times New Roman" w:cs="Times New Roman"/>
        <w:iCs/>
        <w:sz w:val="20"/>
        <w:szCs w:val="20"/>
      </w:rPr>
      <w:t>(</w:t>
    </w:r>
    <w:r w:rsidRPr="004715BC">
      <w:rPr>
        <w:rFonts w:ascii="Times New Roman" w:hAnsi="Times New Roman" w:cs="Times New Roman" w:hint="eastAsia"/>
        <w:iCs/>
        <w:sz w:val="20"/>
        <w:szCs w:val="20"/>
      </w:rPr>
      <w:t>9</w:t>
    </w:r>
    <w:r w:rsidRPr="004715BC">
      <w:rPr>
        <w:rFonts w:ascii="Times New Roman" w:hAnsi="Times New Roman" w:cs="Times New Roman"/>
        <w:iCs/>
        <w:sz w:val="20"/>
        <w:szCs w:val="20"/>
      </w:rPr>
      <w:t xml:space="preserve">)  </w:t>
    </w:r>
    <w:r w:rsidRPr="004715BC">
      <w:rPr>
        <w:rFonts w:ascii="Times New Roman" w:hAnsi="Times New Roman" w:cs="Times New Roman" w:hint="eastAsia"/>
        <w:iCs/>
        <w:sz w:val="20"/>
        <w:szCs w:val="20"/>
      </w:rPr>
      <w:t xml:space="preserve"> </w:t>
    </w:r>
    <w:r w:rsidRPr="004715BC">
      <w:rPr>
        <w:rFonts w:ascii="Times New Roman" w:hAnsi="Times New Roman" w:cs="Times New Roman"/>
        <w:iCs/>
        <w:sz w:val="20"/>
        <w:szCs w:val="20"/>
      </w:rPr>
      <w:t xml:space="preserve"> </w:t>
    </w:r>
    <w:r w:rsidRPr="004715BC">
      <w:rPr>
        <w:rFonts w:ascii="Times New Roman" w:hAnsi="Times New Roman" w:cs="Times New Roman" w:hint="eastAsia"/>
        <w:iCs/>
        <w:sz w:val="20"/>
        <w:szCs w:val="20"/>
      </w:rPr>
      <w:tab/>
    </w:r>
    <w:r w:rsidRPr="004715BC">
      <w:rPr>
        <w:rFonts w:ascii="Times New Roman" w:hAnsi="Times New Roman" w:cs="Times New Roman"/>
        <w:iCs/>
        <w:sz w:val="20"/>
        <w:szCs w:val="20"/>
      </w:rPr>
      <w:t xml:space="preserve">    </w:t>
    </w:r>
    <w:r w:rsidRPr="004715BC">
      <w:rPr>
        <w:rFonts w:ascii="Times New Roman" w:hAnsi="Times New Roman" w:cs="Times New Roman"/>
        <w:sz w:val="20"/>
        <w:szCs w:val="20"/>
      </w:rPr>
      <w:t xml:space="preserve"> </w:t>
    </w:r>
    <w:hyperlink r:id="rId1" w:history="1">
      <w:r w:rsidRPr="004715BC">
        <w:rPr>
          <w:rStyle w:val="Hyperlink"/>
          <w:rFonts w:ascii="Times New Roman" w:hAnsi="Times New Roman" w:cs="Times New Roman"/>
          <w:color w:val="0000FF"/>
          <w:sz w:val="20"/>
        </w:rPr>
        <w:t>http://www.sciencepub.net/researcher</w:t>
      </w:r>
    </w:hyperlink>
  </w:p>
  <w:p w:rsidR="004715BC" w:rsidRPr="004715BC" w:rsidRDefault="004715BC" w:rsidP="004715B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CF4"/>
    <w:multiLevelType w:val="hybridMultilevel"/>
    <w:tmpl w:val="B4849D86"/>
    <w:lvl w:ilvl="0" w:tplc="A4CA8D3A">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23DCA"/>
    <w:multiLevelType w:val="hybridMultilevel"/>
    <w:tmpl w:val="4A369250"/>
    <w:lvl w:ilvl="0" w:tplc="6A2C9FA6">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466AE"/>
    <w:multiLevelType w:val="hybridMultilevel"/>
    <w:tmpl w:val="475ADAB4"/>
    <w:lvl w:ilvl="0" w:tplc="B1FA494C">
      <w:start w:val="1"/>
      <w:numFmt w:val="decimal"/>
      <w:suff w:val="space"/>
      <w:lvlText w:val="%1-"/>
      <w:lvlJc w:val="left"/>
      <w:pPr>
        <w:ind w:left="170"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77DCB"/>
    <w:multiLevelType w:val="hybridMultilevel"/>
    <w:tmpl w:val="221025F0"/>
    <w:lvl w:ilvl="0" w:tplc="1D76C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FF2568"/>
    <w:multiLevelType w:val="hybridMultilevel"/>
    <w:tmpl w:val="0E8C7432"/>
    <w:lvl w:ilvl="0" w:tplc="7E9E032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7679C"/>
    <w:multiLevelType w:val="hybridMultilevel"/>
    <w:tmpl w:val="9F1A3F8A"/>
    <w:lvl w:ilvl="0" w:tplc="2AE277F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66FAC"/>
    <w:multiLevelType w:val="hybridMultilevel"/>
    <w:tmpl w:val="DDE434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1F341C"/>
    <w:rsid w:val="00055B0D"/>
    <w:rsid w:val="000703A8"/>
    <w:rsid w:val="00093B0F"/>
    <w:rsid w:val="00147D8E"/>
    <w:rsid w:val="0018379F"/>
    <w:rsid w:val="001B19F8"/>
    <w:rsid w:val="001D71C3"/>
    <w:rsid w:val="001F00CB"/>
    <w:rsid w:val="001F341C"/>
    <w:rsid w:val="002A3C9D"/>
    <w:rsid w:val="002B3E4C"/>
    <w:rsid w:val="002C47EA"/>
    <w:rsid w:val="002D21AC"/>
    <w:rsid w:val="00302AE0"/>
    <w:rsid w:val="0031181C"/>
    <w:rsid w:val="00317CEA"/>
    <w:rsid w:val="00321D25"/>
    <w:rsid w:val="00326531"/>
    <w:rsid w:val="00340760"/>
    <w:rsid w:val="003850E3"/>
    <w:rsid w:val="003A759F"/>
    <w:rsid w:val="003B0A88"/>
    <w:rsid w:val="003C2F55"/>
    <w:rsid w:val="004118B2"/>
    <w:rsid w:val="00415DB2"/>
    <w:rsid w:val="004356AE"/>
    <w:rsid w:val="00446CB3"/>
    <w:rsid w:val="004715BC"/>
    <w:rsid w:val="00476DC1"/>
    <w:rsid w:val="004C0692"/>
    <w:rsid w:val="005B53F8"/>
    <w:rsid w:val="00613BCE"/>
    <w:rsid w:val="006236B0"/>
    <w:rsid w:val="006335F7"/>
    <w:rsid w:val="006652DB"/>
    <w:rsid w:val="00692682"/>
    <w:rsid w:val="006959FD"/>
    <w:rsid w:val="006D1581"/>
    <w:rsid w:val="00717436"/>
    <w:rsid w:val="00753854"/>
    <w:rsid w:val="00756669"/>
    <w:rsid w:val="00785E3F"/>
    <w:rsid w:val="007D405B"/>
    <w:rsid w:val="007E1291"/>
    <w:rsid w:val="007F5599"/>
    <w:rsid w:val="00860389"/>
    <w:rsid w:val="008647A5"/>
    <w:rsid w:val="00874F17"/>
    <w:rsid w:val="008A3110"/>
    <w:rsid w:val="008C1345"/>
    <w:rsid w:val="008D45F6"/>
    <w:rsid w:val="00930EAE"/>
    <w:rsid w:val="00963E1E"/>
    <w:rsid w:val="0096494F"/>
    <w:rsid w:val="00994CE0"/>
    <w:rsid w:val="00A328F7"/>
    <w:rsid w:val="00A56937"/>
    <w:rsid w:val="00A91E2C"/>
    <w:rsid w:val="00A929E0"/>
    <w:rsid w:val="00AD3790"/>
    <w:rsid w:val="00B347FC"/>
    <w:rsid w:val="00B6019C"/>
    <w:rsid w:val="00B61988"/>
    <w:rsid w:val="00B64F20"/>
    <w:rsid w:val="00B71A04"/>
    <w:rsid w:val="00B91E8B"/>
    <w:rsid w:val="00BA4691"/>
    <w:rsid w:val="00BA5CC8"/>
    <w:rsid w:val="00BA72F7"/>
    <w:rsid w:val="00BE2241"/>
    <w:rsid w:val="00C006F6"/>
    <w:rsid w:val="00C35255"/>
    <w:rsid w:val="00C55A98"/>
    <w:rsid w:val="00C7044B"/>
    <w:rsid w:val="00C861D0"/>
    <w:rsid w:val="00C94428"/>
    <w:rsid w:val="00CA3E35"/>
    <w:rsid w:val="00CB1411"/>
    <w:rsid w:val="00CB4317"/>
    <w:rsid w:val="00CC4764"/>
    <w:rsid w:val="00CE2A1E"/>
    <w:rsid w:val="00D06F3B"/>
    <w:rsid w:val="00D2332F"/>
    <w:rsid w:val="00D70F76"/>
    <w:rsid w:val="00D83170"/>
    <w:rsid w:val="00DC6A3C"/>
    <w:rsid w:val="00DE01A5"/>
    <w:rsid w:val="00E25BE4"/>
    <w:rsid w:val="00E37322"/>
    <w:rsid w:val="00E4759B"/>
    <w:rsid w:val="00E907B1"/>
    <w:rsid w:val="00EB6AC3"/>
    <w:rsid w:val="00F8335D"/>
    <w:rsid w:val="00F83CAA"/>
    <w:rsid w:val="00FA1CF6"/>
    <w:rsid w:val="00FB26B7"/>
    <w:rsid w:val="00FC7598"/>
    <w:rsid w:val="00FE2994"/>
    <w:rsid w:val="00FF4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3 Char,Char3 Char"/>
    <w:basedOn w:val="Normal"/>
    <w:link w:val="FootnoteTextChar"/>
    <w:uiPriority w:val="99"/>
    <w:rsid w:val="001F341C"/>
    <w:pPr>
      <w:bidi w:val="0"/>
      <w:spacing w:after="0" w:line="240" w:lineRule="auto"/>
      <w:ind w:right="-331"/>
    </w:pPr>
    <w:rPr>
      <w:rFonts w:ascii="Times New Roman" w:eastAsia="Times New Roman" w:hAnsi="Times New Roman" w:cs="Times New Roman"/>
      <w:sz w:val="20"/>
      <w:szCs w:val="20"/>
      <w:lang w:bidi="ar-SA"/>
    </w:rPr>
  </w:style>
  <w:style w:type="character" w:customStyle="1" w:styleId="FootnoteTextChar">
    <w:name w:val="Footnote Text Char"/>
    <w:aliases w:val=" Char3 Char Char,Char3 Char Char"/>
    <w:basedOn w:val="DefaultParagraphFont"/>
    <w:link w:val="FootnoteText"/>
    <w:uiPriority w:val="99"/>
    <w:rsid w:val="001F341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1F341C"/>
    <w:rPr>
      <w:vertAlign w:val="superscript"/>
    </w:rPr>
  </w:style>
  <w:style w:type="paragraph" w:styleId="Subtitle">
    <w:name w:val="Subtitle"/>
    <w:basedOn w:val="Normal"/>
    <w:link w:val="SubtitleChar"/>
    <w:qFormat/>
    <w:rsid w:val="001F341C"/>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1F341C"/>
    <w:rPr>
      <w:rFonts w:ascii="Times New Roman" w:eastAsia="Times New Roman" w:hAnsi="Times New Roman" w:cs="B Zar"/>
      <w:sz w:val="28"/>
      <w:szCs w:val="28"/>
      <w:lang w:bidi="ar-SA"/>
    </w:rPr>
  </w:style>
  <w:style w:type="paragraph" w:styleId="ListParagraph">
    <w:name w:val="List Paragraph"/>
    <w:basedOn w:val="Normal"/>
    <w:link w:val="ListParagraphChar"/>
    <w:uiPriority w:val="34"/>
    <w:qFormat/>
    <w:rsid w:val="001F341C"/>
    <w:pPr>
      <w:bidi w:val="0"/>
      <w:spacing w:after="0" w:line="240" w:lineRule="auto"/>
      <w:ind w:left="720" w:right="-331"/>
      <w:contextualSpacing/>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rsid w:val="001F341C"/>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F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1C"/>
    <w:rPr>
      <w:rFonts w:ascii="Tahoma" w:hAnsi="Tahoma" w:cs="Tahoma"/>
      <w:sz w:val="16"/>
      <w:szCs w:val="16"/>
    </w:rPr>
  </w:style>
  <w:style w:type="paragraph" w:styleId="Header">
    <w:name w:val="header"/>
    <w:basedOn w:val="Normal"/>
    <w:link w:val="HeaderChar"/>
    <w:uiPriority w:val="99"/>
    <w:unhideWhenUsed/>
    <w:rsid w:val="007F5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599"/>
  </w:style>
  <w:style w:type="paragraph" w:styleId="Footer">
    <w:name w:val="footer"/>
    <w:basedOn w:val="Normal"/>
    <w:link w:val="FooterChar"/>
    <w:uiPriority w:val="99"/>
    <w:unhideWhenUsed/>
    <w:rsid w:val="007F5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599"/>
  </w:style>
  <w:style w:type="character" w:customStyle="1" w:styleId="hps">
    <w:name w:val="hps"/>
    <w:basedOn w:val="DefaultParagraphFont"/>
    <w:rsid w:val="007F5599"/>
  </w:style>
  <w:style w:type="paragraph" w:customStyle="1" w:styleId="Default">
    <w:name w:val="Default"/>
    <w:rsid w:val="007566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70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3 Char,Char3 Char"/>
    <w:basedOn w:val="Normal"/>
    <w:link w:val="FootnoteTextChar"/>
    <w:uiPriority w:val="99"/>
    <w:rsid w:val="001F341C"/>
    <w:pPr>
      <w:bidi w:val="0"/>
      <w:spacing w:after="0" w:line="240" w:lineRule="auto"/>
      <w:ind w:right="-331"/>
    </w:pPr>
    <w:rPr>
      <w:rFonts w:ascii="Times New Roman" w:eastAsia="Times New Roman" w:hAnsi="Times New Roman" w:cs="Times New Roman"/>
      <w:sz w:val="20"/>
      <w:szCs w:val="20"/>
      <w:lang w:bidi="ar-SA"/>
    </w:rPr>
  </w:style>
  <w:style w:type="character" w:customStyle="1" w:styleId="FootnoteTextChar">
    <w:name w:val="Footnote Text Char"/>
    <w:aliases w:val=" Char3 Char Char,Char3 Char Char"/>
    <w:basedOn w:val="DefaultParagraphFont"/>
    <w:link w:val="FootnoteText"/>
    <w:uiPriority w:val="99"/>
    <w:rsid w:val="001F341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1F341C"/>
    <w:rPr>
      <w:vertAlign w:val="superscript"/>
    </w:rPr>
  </w:style>
  <w:style w:type="paragraph" w:styleId="Subtitle">
    <w:name w:val="Subtitle"/>
    <w:basedOn w:val="Normal"/>
    <w:link w:val="SubtitleChar"/>
    <w:qFormat/>
    <w:rsid w:val="001F341C"/>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1F341C"/>
    <w:rPr>
      <w:rFonts w:ascii="Times New Roman" w:eastAsia="Times New Roman" w:hAnsi="Times New Roman" w:cs="B Zar"/>
      <w:sz w:val="28"/>
      <w:szCs w:val="28"/>
      <w:lang w:bidi="ar-SA"/>
    </w:rPr>
  </w:style>
  <w:style w:type="paragraph" w:styleId="ListParagraph">
    <w:name w:val="List Paragraph"/>
    <w:basedOn w:val="Normal"/>
    <w:link w:val="ListParagraphChar"/>
    <w:uiPriority w:val="34"/>
    <w:qFormat/>
    <w:rsid w:val="001F341C"/>
    <w:pPr>
      <w:bidi w:val="0"/>
      <w:spacing w:after="0" w:line="240" w:lineRule="auto"/>
      <w:ind w:left="720" w:right="-331"/>
      <w:contextualSpacing/>
    </w:pPr>
    <w:rPr>
      <w:rFonts w:ascii="Times New Roman" w:eastAsia="Times New Roman" w:hAnsi="Times New Roman" w:cs="Times New Roman"/>
      <w:sz w:val="24"/>
      <w:szCs w:val="24"/>
      <w:lang w:bidi="ar-SA"/>
    </w:rPr>
  </w:style>
  <w:style w:type="character" w:customStyle="1" w:styleId="ListParagraphChar">
    <w:name w:val="List Paragraph Char"/>
    <w:basedOn w:val="DefaultParagraphFont"/>
    <w:link w:val="ListParagraph"/>
    <w:uiPriority w:val="34"/>
    <w:rsid w:val="001F341C"/>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F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1C"/>
    <w:rPr>
      <w:rFonts w:ascii="Tahoma" w:hAnsi="Tahoma" w:cs="Tahoma"/>
      <w:sz w:val="16"/>
      <w:szCs w:val="16"/>
    </w:rPr>
  </w:style>
  <w:style w:type="paragraph" w:styleId="Header">
    <w:name w:val="header"/>
    <w:basedOn w:val="Normal"/>
    <w:link w:val="HeaderChar"/>
    <w:uiPriority w:val="99"/>
    <w:unhideWhenUsed/>
    <w:rsid w:val="007F5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599"/>
  </w:style>
  <w:style w:type="paragraph" w:styleId="Footer">
    <w:name w:val="footer"/>
    <w:basedOn w:val="Normal"/>
    <w:link w:val="FooterChar"/>
    <w:uiPriority w:val="99"/>
    <w:unhideWhenUsed/>
    <w:rsid w:val="007F5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599"/>
  </w:style>
  <w:style w:type="character" w:customStyle="1" w:styleId="hps">
    <w:name w:val="hps"/>
    <w:basedOn w:val="DefaultParagraphFont"/>
    <w:rsid w:val="007F5599"/>
  </w:style>
  <w:style w:type="paragraph" w:customStyle="1" w:styleId="Default">
    <w:name w:val="Default"/>
    <w:rsid w:val="007566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sen8203934@yahoo.com" TargetMode="External"/><Relationship Id="rId13" Type="http://schemas.openxmlformats.org/officeDocument/2006/relationships/hyperlink" Target="http://papers.ssrn.com/sol3/papers.cfm?abstract_id=17160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090917.1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B453A-A085-4D08-B5B9-0790F53C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senatorstore</dc:creator>
  <cp:lastModifiedBy>Administrator</cp:lastModifiedBy>
  <cp:revision>4</cp:revision>
  <dcterms:created xsi:type="dcterms:W3CDTF">2017-10-03T10:08:00Z</dcterms:created>
  <dcterms:modified xsi:type="dcterms:W3CDTF">2017-10-04T01:17:00Z</dcterms:modified>
</cp:coreProperties>
</file>