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5F" w:rsidRPr="00E531DC" w:rsidRDefault="0045134A" w:rsidP="00797C03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31DC">
        <w:rPr>
          <w:rFonts w:ascii="Times New Roman" w:hAnsi="Times New Roman" w:cs="Times New Roman"/>
          <w:b/>
          <w:bCs/>
          <w:sz w:val="20"/>
          <w:szCs w:val="20"/>
        </w:rPr>
        <w:t xml:space="preserve">Comparative Study </w:t>
      </w:r>
      <w:r w:rsidR="003E14FD" w:rsidRPr="00E531DC">
        <w:rPr>
          <w:rFonts w:ascii="Times New Roman" w:hAnsi="Times New Roman" w:cs="Times New Roman"/>
          <w:b/>
          <w:bCs/>
          <w:sz w:val="20"/>
          <w:szCs w:val="20"/>
        </w:rPr>
        <w:t>between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 xml:space="preserve"> Online Hemodiafiltration </w:t>
      </w:r>
      <w:r w:rsidR="003E14FD" w:rsidRPr="00E531DC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 xml:space="preserve"> Conventional Hemodialysis </w:t>
      </w:r>
      <w:r w:rsidR="003E14FD" w:rsidRPr="00E531DC">
        <w:rPr>
          <w:rFonts w:ascii="Times New Roman" w:hAnsi="Times New Roman" w:cs="Times New Roman"/>
          <w:b/>
          <w:bCs/>
          <w:sz w:val="20"/>
          <w:szCs w:val="20"/>
        </w:rPr>
        <w:t>as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 xml:space="preserve"> Regard Nutritional </w:t>
      </w:r>
      <w:r w:rsidR="003E14FD" w:rsidRPr="00E531DC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 xml:space="preserve"> Inflammatory States </w:t>
      </w:r>
      <w:r w:rsidR="003E14FD" w:rsidRPr="00E531DC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="00B346B3" w:rsidRPr="00E531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619BE" w:rsidRPr="00E531DC">
        <w:rPr>
          <w:rFonts w:ascii="Times New Roman" w:hAnsi="Times New Roman" w:cs="Times New Roman"/>
          <w:b/>
          <w:bCs/>
          <w:sz w:val="20"/>
          <w:szCs w:val="20"/>
        </w:rPr>
        <w:t>Chornic</w:t>
      </w:r>
      <w:r w:rsidR="00104892" w:rsidRPr="00E531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619BE" w:rsidRPr="00E531DC">
        <w:rPr>
          <w:rFonts w:ascii="Times New Roman" w:hAnsi="Times New Roman" w:cs="Times New Roman"/>
          <w:b/>
          <w:bCs/>
          <w:sz w:val="20"/>
          <w:szCs w:val="20"/>
        </w:rPr>
        <w:t>Hemodialysis</w:t>
      </w:r>
      <w:r w:rsidR="0029645F" w:rsidRPr="00E531D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619BE" w:rsidRPr="00E531DC">
        <w:rPr>
          <w:rFonts w:ascii="Times New Roman" w:hAnsi="Times New Roman" w:cs="Times New Roman"/>
          <w:b/>
          <w:bCs/>
          <w:sz w:val="20"/>
          <w:szCs w:val="20"/>
        </w:rPr>
        <w:t>Patients</w:t>
      </w:r>
    </w:p>
    <w:p w:rsidR="0029645F" w:rsidRPr="00E531DC" w:rsidRDefault="0029645F" w:rsidP="00797C03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9645F" w:rsidRPr="00E531DC" w:rsidRDefault="00D619BE" w:rsidP="00797C03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KW"/>
        </w:rPr>
      </w:pPr>
      <w:r w:rsidRPr="00E531DC">
        <w:rPr>
          <w:rFonts w:ascii="Times New Roman" w:hAnsi="Times New Roman" w:cs="Times New Roman"/>
          <w:sz w:val="20"/>
          <w:szCs w:val="20"/>
          <w:lang w:bidi="ar-KW"/>
        </w:rPr>
        <w:t>Fawzy</w:t>
      </w:r>
      <w:r w:rsidR="00104892" w:rsidRPr="00E531DC">
        <w:rPr>
          <w:rFonts w:ascii="Times New Roman" w:hAnsi="Times New Roman" w:cs="Times New Roman"/>
          <w:sz w:val="20"/>
          <w:szCs w:val="20"/>
          <w:lang w:bidi="ar-KW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KW"/>
        </w:rPr>
        <w:t>Hamed</w:t>
      </w:r>
      <w:r w:rsidR="00104892" w:rsidRPr="00E531DC">
        <w:rPr>
          <w:rFonts w:ascii="Times New Roman" w:hAnsi="Times New Roman" w:cs="Times New Roman"/>
          <w:sz w:val="20"/>
          <w:szCs w:val="20"/>
          <w:lang w:bidi="ar-KW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KW"/>
        </w:rPr>
        <w:t>Hasan</w:t>
      </w:r>
      <w:r w:rsidR="002D5E6E" w:rsidRPr="00E531DC">
        <w:rPr>
          <w:rFonts w:ascii="Times New Roman" w:hAnsi="Times New Roman" w:cs="Times New Roman"/>
          <w:sz w:val="20"/>
          <w:szCs w:val="20"/>
          <w:vertAlign w:val="superscript"/>
          <w:lang w:bidi="ar-KW"/>
        </w:rPr>
        <w:t>1</w:t>
      </w:r>
      <w:r w:rsidR="00FA225E" w:rsidRPr="00E531DC">
        <w:rPr>
          <w:rFonts w:ascii="Times New Roman" w:hAnsi="Times New Roman" w:cs="Times New Roman"/>
          <w:sz w:val="20"/>
          <w:szCs w:val="20"/>
          <w:lang w:bidi="ar-KW"/>
        </w:rPr>
        <w:t>,</w:t>
      </w:r>
      <w:r w:rsidR="002D5E6E" w:rsidRPr="00E531DC">
        <w:rPr>
          <w:rFonts w:ascii="Times New Roman" w:hAnsi="Times New Roman" w:cs="Times New Roman"/>
          <w:sz w:val="20"/>
          <w:szCs w:val="20"/>
          <w:lang w:bidi="ar-KW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KW"/>
        </w:rPr>
        <w:t>Als</w:t>
      </w:r>
      <w:r w:rsidR="003E14FD">
        <w:rPr>
          <w:rFonts w:ascii="Times New Roman" w:hAnsi="Times New Roman" w:cs="Times New Roman"/>
          <w:sz w:val="20"/>
          <w:szCs w:val="20"/>
          <w:lang w:bidi="ar-KW"/>
        </w:rPr>
        <w:t>a</w:t>
      </w:r>
      <w:r w:rsidRPr="00E531DC">
        <w:rPr>
          <w:rFonts w:ascii="Times New Roman" w:hAnsi="Times New Roman" w:cs="Times New Roman"/>
          <w:sz w:val="20"/>
          <w:szCs w:val="20"/>
          <w:lang w:bidi="ar-KW"/>
        </w:rPr>
        <w:t>yad Mohammed Rashed</w:t>
      </w:r>
      <w:r w:rsidR="002D5E6E" w:rsidRPr="00E531DC">
        <w:rPr>
          <w:rFonts w:ascii="Times New Roman" w:hAnsi="Times New Roman" w:cs="Times New Roman"/>
          <w:sz w:val="20"/>
          <w:szCs w:val="20"/>
          <w:vertAlign w:val="superscript"/>
          <w:lang w:bidi="ar-KW"/>
        </w:rPr>
        <w:t>1</w:t>
      </w:r>
      <w:r w:rsidR="00FA225E" w:rsidRPr="00E531DC">
        <w:rPr>
          <w:rFonts w:ascii="Times New Roman" w:hAnsi="Times New Roman" w:cs="Times New Roman"/>
          <w:sz w:val="20"/>
          <w:szCs w:val="20"/>
          <w:lang w:bidi="ar-KW"/>
        </w:rPr>
        <w:t>,</w:t>
      </w:r>
      <w:r w:rsidR="002D5E6E" w:rsidRPr="00E531DC">
        <w:rPr>
          <w:rFonts w:ascii="Times New Roman" w:hAnsi="Times New Roman" w:cs="Times New Roman"/>
          <w:sz w:val="20"/>
          <w:szCs w:val="20"/>
          <w:lang w:bidi="ar-KW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KW"/>
        </w:rPr>
        <w:t>Nabil Fathy Ismail</w:t>
      </w:r>
      <w:r w:rsidR="002D5E6E" w:rsidRPr="00E531DC">
        <w:rPr>
          <w:rFonts w:ascii="Times New Roman" w:hAnsi="Times New Roman" w:cs="Times New Roman"/>
          <w:sz w:val="20"/>
          <w:szCs w:val="20"/>
          <w:vertAlign w:val="superscript"/>
          <w:lang w:bidi="ar-KW"/>
        </w:rPr>
        <w:t>2</w:t>
      </w:r>
      <w:r w:rsidR="00FA225E" w:rsidRPr="00E531DC">
        <w:rPr>
          <w:rFonts w:ascii="Times New Roman" w:hAnsi="Times New Roman" w:cs="Times New Roman"/>
          <w:sz w:val="20"/>
          <w:szCs w:val="20"/>
          <w:lang w:bidi="ar-KW"/>
        </w:rPr>
        <w:t>,</w:t>
      </w:r>
      <w:r w:rsidR="002D5E6E" w:rsidRPr="00E531DC">
        <w:rPr>
          <w:rFonts w:ascii="Times New Roman" w:hAnsi="Times New Roman" w:cs="Times New Roman"/>
          <w:sz w:val="20"/>
          <w:szCs w:val="20"/>
          <w:lang w:bidi="ar-KW"/>
        </w:rPr>
        <w:t xml:space="preserve"> </w:t>
      </w:r>
      <w:r w:rsidR="0045134A" w:rsidRPr="00E531DC">
        <w:rPr>
          <w:rFonts w:ascii="Times New Roman" w:hAnsi="Times New Roman" w:cs="Times New Roman"/>
          <w:sz w:val="20"/>
          <w:szCs w:val="20"/>
          <w:lang w:bidi="ar-KW"/>
        </w:rPr>
        <w:t>and H</w:t>
      </w:r>
      <w:r w:rsidRPr="00E531DC">
        <w:rPr>
          <w:rFonts w:ascii="Times New Roman" w:hAnsi="Times New Roman" w:cs="Times New Roman"/>
          <w:sz w:val="20"/>
          <w:szCs w:val="20"/>
          <w:lang w:bidi="ar-KW"/>
        </w:rPr>
        <w:t>aitham</w:t>
      </w:r>
      <w:r w:rsidR="002D5E6E" w:rsidRPr="00E531DC">
        <w:rPr>
          <w:rFonts w:ascii="Times New Roman" w:hAnsi="Times New Roman" w:cs="Times New Roman"/>
          <w:sz w:val="20"/>
          <w:szCs w:val="20"/>
          <w:lang w:bidi="ar-KW"/>
        </w:rPr>
        <w:t xml:space="preserve"> </w:t>
      </w:r>
      <w:r w:rsidR="0045134A" w:rsidRPr="00E531DC">
        <w:rPr>
          <w:rFonts w:ascii="Times New Roman" w:hAnsi="Times New Roman" w:cs="Times New Roman"/>
          <w:sz w:val="20"/>
          <w:szCs w:val="20"/>
          <w:lang w:bidi="ar-KW"/>
        </w:rPr>
        <w:t>A</w:t>
      </w:r>
      <w:r w:rsidRPr="00E531DC">
        <w:rPr>
          <w:rFonts w:ascii="Times New Roman" w:hAnsi="Times New Roman" w:cs="Times New Roman"/>
          <w:sz w:val="20"/>
          <w:szCs w:val="20"/>
          <w:lang w:bidi="ar-KW"/>
        </w:rPr>
        <w:t xml:space="preserve">bd </w:t>
      </w:r>
      <w:r w:rsidR="002D5E6E" w:rsidRPr="00E531DC">
        <w:rPr>
          <w:rFonts w:ascii="Times New Roman" w:hAnsi="Times New Roman" w:cs="Times New Roman"/>
          <w:sz w:val="20"/>
          <w:szCs w:val="20"/>
          <w:lang w:bidi="ar-KW"/>
        </w:rPr>
        <w:t>E</w:t>
      </w:r>
      <w:r w:rsidRPr="00E531DC">
        <w:rPr>
          <w:rFonts w:ascii="Times New Roman" w:hAnsi="Times New Roman" w:cs="Times New Roman"/>
          <w:sz w:val="20"/>
          <w:szCs w:val="20"/>
          <w:lang w:bidi="ar-KW"/>
        </w:rPr>
        <w:t>l badie</w:t>
      </w:r>
      <w:r w:rsidR="002D5E6E" w:rsidRPr="00E531DC">
        <w:rPr>
          <w:rFonts w:ascii="Times New Roman" w:hAnsi="Times New Roman" w:cs="Times New Roman"/>
          <w:sz w:val="20"/>
          <w:szCs w:val="20"/>
          <w:lang w:bidi="ar-KW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KW"/>
        </w:rPr>
        <w:t>Shaheen</w:t>
      </w:r>
      <w:r w:rsidR="002D5E6E" w:rsidRPr="00E531DC">
        <w:rPr>
          <w:rFonts w:ascii="Times New Roman" w:hAnsi="Times New Roman" w:cs="Times New Roman"/>
          <w:sz w:val="20"/>
          <w:szCs w:val="20"/>
          <w:vertAlign w:val="superscript"/>
          <w:lang w:bidi="ar-KW"/>
        </w:rPr>
        <w:t>1</w:t>
      </w:r>
    </w:p>
    <w:p w:rsidR="0029645F" w:rsidRPr="00E531DC" w:rsidRDefault="0029645F" w:rsidP="00797C03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KW"/>
        </w:rPr>
      </w:pPr>
    </w:p>
    <w:p w:rsidR="002D5E6E" w:rsidRPr="00E531DC" w:rsidRDefault="002D5E6E" w:rsidP="00797C03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KW"/>
        </w:rPr>
      </w:pPr>
      <w:r w:rsidRPr="00E531DC">
        <w:rPr>
          <w:rFonts w:ascii="Times New Roman" w:hAnsi="Times New Roman" w:cs="Times New Roman"/>
          <w:sz w:val="20"/>
          <w:szCs w:val="20"/>
          <w:vertAlign w:val="superscript"/>
          <w:lang w:bidi="ar-KW"/>
        </w:rPr>
        <w:t>1</w:t>
      </w:r>
      <w:r w:rsidR="00104892" w:rsidRPr="00E531DC">
        <w:rPr>
          <w:rFonts w:ascii="Times New Roman" w:hAnsi="Times New Roman" w:cs="Times New Roman"/>
          <w:sz w:val="20"/>
          <w:szCs w:val="20"/>
          <w:lang w:bidi="ar-KW"/>
        </w:rPr>
        <w:t xml:space="preserve"> Department of </w:t>
      </w:r>
      <w:r w:rsidRPr="00E531DC">
        <w:rPr>
          <w:rFonts w:ascii="Times New Roman" w:hAnsi="Times New Roman" w:cs="Times New Roman"/>
          <w:sz w:val="20"/>
          <w:szCs w:val="20"/>
          <w:lang w:bidi="ar-KW"/>
        </w:rPr>
        <w:t>Internal Medicine</w:t>
      </w:r>
      <w:r w:rsidR="00104892" w:rsidRPr="00E531DC">
        <w:rPr>
          <w:rFonts w:ascii="Times New Roman" w:hAnsi="Times New Roman" w:cs="Times New Roman"/>
          <w:sz w:val="20"/>
          <w:szCs w:val="20"/>
          <w:lang w:bidi="ar-KW"/>
        </w:rPr>
        <w:t xml:space="preserve"> Department</w:t>
      </w:r>
      <w:r w:rsidRPr="00E531DC">
        <w:rPr>
          <w:rFonts w:ascii="Times New Roman" w:hAnsi="Times New Roman" w:cs="Times New Roman"/>
          <w:sz w:val="20"/>
          <w:szCs w:val="20"/>
          <w:lang w:bidi="ar-KW"/>
        </w:rPr>
        <w:t>, Faculty of Medicine, Al Azhar University, Egypt</w:t>
      </w:r>
    </w:p>
    <w:p w:rsidR="002D5E6E" w:rsidRPr="00E531DC" w:rsidRDefault="002D5E6E" w:rsidP="00797C03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KW"/>
        </w:rPr>
      </w:pPr>
      <w:r w:rsidRPr="00E531DC">
        <w:rPr>
          <w:rFonts w:ascii="Times New Roman" w:hAnsi="Times New Roman" w:cs="Times New Roman"/>
          <w:sz w:val="20"/>
          <w:szCs w:val="20"/>
          <w:vertAlign w:val="superscript"/>
          <w:lang w:bidi="ar-KW"/>
        </w:rPr>
        <w:t>2</w:t>
      </w:r>
      <w:r w:rsidR="00104892" w:rsidRPr="00E531DC">
        <w:rPr>
          <w:rFonts w:ascii="Times New Roman" w:hAnsi="Times New Roman" w:cs="Times New Roman"/>
          <w:sz w:val="20"/>
          <w:szCs w:val="20"/>
          <w:vertAlign w:val="superscript"/>
          <w:lang w:bidi="ar-KW"/>
        </w:rPr>
        <w:t xml:space="preserve"> </w:t>
      </w:r>
      <w:r w:rsidR="00104892" w:rsidRPr="00E531DC">
        <w:rPr>
          <w:rFonts w:ascii="Times New Roman" w:hAnsi="Times New Roman" w:cs="Times New Roman"/>
          <w:sz w:val="20"/>
          <w:szCs w:val="20"/>
          <w:lang w:bidi="ar-KW"/>
        </w:rPr>
        <w:t xml:space="preserve">Department of </w:t>
      </w:r>
      <w:r w:rsidRPr="00E531DC">
        <w:rPr>
          <w:rFonts w:ascii="Times New Roman" w:hAnsi="Times New Roman" w:cs="Times New Roman"/>
          <w:sz w:val="20"/>
          <w:szCs w:val="20"/>
          <w:lang w:bidi="ar-KW"/>
        </w:rPr>
        <w:t>Pathology, Faculty of Medicine, Al Azhar University, Egypt</w:t>
      </w:r>
    </w:p>
    <w:p w:rsidR="0029645F" w:rsidRPr="00E531DC" w:rsidRDefault="0018185E" w:rsidP="00797C03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943634"/>
          <w:sz w:val="20"/>
          <w:szCs w:val="20"/>
          <w:lang w:bidi="ar-EG"/>
        </w:rPr>
      </w:pPr>
      <w:hyperlink r:id="rId8" w:history="1">
        <w:r w:rsidR="002D5E6E" w:rsidRPr="00E531DC">
          <w:rPr>
            <w:rStyle w:val="Hyperlink"/>
            <w:rFonts w:ascii="Times New Roman" w:hAnsi="Times New Roman" w:cs="Times New Roman"/>
            <w:sz w:val="20"/>
            <w:szCs w:val="20"/>
            <w:lang w:bidi="ar-KW"/>
          </w:rPr>
          <w:t>dr.shaheen1988@gmail.com</w:t>
        </w:r>
      </w:hyperlink>
    </w:p>
    <w:p w:rsidR="0029645F" w:rsidRPr="00E531DC" w:rsidRDefault="0029645F" w:rsidP="00797C03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943634"/>
          <w:sz w:val="20"/>
          <w:szCs w:val="20"/>
          <w:lang w:bidi="ar-EG"/>
        </w:rPr>
      </w:pPr>
    </w:p>
    <w:p w:rsidR="00A77E57" w:rsidRPr="00E531DC" w:rsidRDefault="00C31E2B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 w:rsidR="006A6112" w:rsidRPr="00E531DC">
        <w:rPr>
          <w:rFonts w:ascii="Times New Roman" w:hAnsi="Times New Roman" w:cs="Times New Roman"/>
          <w:sz w:val="20"/>
          <w:szCs w:val="20"/>
        </w:rPr>
        <w:t xml:space="preserve">: </w:t>
      </w:r>
      <w:r w:rsidR="006A6112" w:rsidRPr="00E531DC">
        <w:rPr>
          <w:rFonts w:ascii="Times New Roman" w:hAnsi="Times New Roman" w:cs="Times New Roman"/>
          <w:b/>
          <w:bCs/>
          <w:sz w:val="20"/>
          <w:szCs w:val="20"/>
        </w:rPr>
        <w:t>Background:</w:t>
      </w:r>
      <w:r w:rsidR="006A6112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In recent years, online hemodiafiltration (OL-HDF) was introduced as an alternative to standard HD, as it was claimed that OL-HDF would be more biocompatible, would increase dialysis efficacy and reduce the inflammatory response – features that would diminish the risk of morbidity and mortality in ESRD</w:t>
      </w:r>
      <w:r w:rsidR="00104892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r w:rsidR="006A6112" w:rsidRPr="00E531DC">
        <w:rPr>
          <w:rFonts w:ascii="Times New Roman" w:hAnsi="Times New Roman" w:cs="Times New Roman"/>
          <w:b/>
          <w:bCs/>
          <w:sz w:val="20"/>
          <w:szCs w:val="20"/>
        </w:rPr>
        <w:t>Methods:</w:t>
      </w:r>
      <w:r w:rsidR="006A6112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The study will be prospective cross section study which includes 120 end</w:t>
      </w:r>
      <w:r w:rsidR="00104892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A6112" w:rsidRPr="00E531DC">
        <w:rPr>
          <w:rFonts w:ascii="Times New Roman" w:hAnsi="Times New Roman" w:cs="Times New Roman"/>
          <w:sz w:val="20"/>
          <w:szCs w:val="20"/>
          <w:lang w:bidi="ar-EG"/>
        </w:rPr>
        <w:t>stage renal disease patients on regular hemodialysis three sessions per week, 4 hours per session. whose will be assigned to three groups for hemodialysis with online hemodiafiltration (n = 40)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6A6112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high-flux hemodialysis (n = 40) and low flux hemodialysis (n = 40) for 24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A6112" w:rsidRPr="00E531DC">
        <w:rPr>
          <w:rFonts w:ascii="Times New Roman" w:hAnsi="Times New Roman" w:cs="Times New Roman"/>
          <w:sz w:val="20"/>
          <w:szCs w:val="20"/>
          <w:lang w:bidi="ar-EG"/>
        </w:rPr>
        <w:t>weeks. These patients will be recruited and investigated in Maadi Military Hospital and air forces hospital.</w:t>
      </w:r>
      <w:r w:rsidR="00B346B3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A6112" w:rsidRPr="00E531DC">
        <w:rPr>
          <w:rFonts w:ascii="Times New Roman" w:hAnsi="Times New Roman" w:cs="Times New Roman"/>
          <w:sz w:val="20"/>
          <w:szCs w:val="20"/>
          <w:lang w:bidi="ar-EG"/>
        </w:rPr>
        <w:t>We measured CBC, ESR, CRP, Ferritin, Serum albumin, total protein, Calcium, phosphorus and PTH</w:t>
      </w:r>
      <w:r w:rsidR="00104892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r w:rsidR="00B346B3" w:rsidRPr="00E531DC">
        <w:rPr>
          <w:rFonts w:ascii="Times New Roman" w:hAnsi="Times New Roman" w:cs="Times New Roman"/>
          <w:b/>
          <w:bCs/>
          <w:sz w:val="20"/>
          <w:szCs w:val="20"/>
        </w:rPr>
        <w:t>Results:</w:t>
      </w:r>
      <w:r w:rsidR="00B346B3" w:rsidRPr="00E531DC">
        <w:rPr>
          <w:rFonts w:ascii="Times New Roman" w:hAnsi="Times New Roman" w:cs="Times New Roman"/>
          <w:sz w:val="20"/>
          <w:szCs w:val="20"/>
        </w:rPr>
        <w:t xml:space="preserve"> Comparative</w:t>
      </w:r>
      <w:r w:rsidR="006A6112" w:rsidRPr="00E531DC">
        <w:rPr>
          <w:rFonts w:ascii="Times New Roman" w:hAnsi="Times New Roman" w:cs="Times New Roman"/>
          <w:sz w:val="20"/>
          <w:szCs w:val="20"/>
        </w:rPr>
        <w:t xml:space="preserve"> study between the 3 groups revealed non-significant difference as regards age, baseline weight, height, BMI, MAC and skin fold thickness (p &gt; 0.05).</w:t>
      </w:r>
      <w:r w:rsidR="00B346B3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="006A6112" w:rsidRPr="00E531DC">
        <w:rPr>
          <w:rFonts w:ascii="Times New Roman" w:hAnsi="Times New Roman" w:cs="Times New Roman"/>
          <w:sz w:val="20"/>
          <w:szCs w:val="20"/>
        </w:rPr>
        <w:t>Comparative study between the 3 groups revealed non-significant difference as regards follow up weight, height, BMI, MAC and skin fold thickness (p &gt; 0.05).</w:t>
      </w:r>
      <w:r w:rsidR="00104892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A6112" w:rsidRPr="00E531DC">
        <w:rPr>
          <w:rFonts w:ascii="Times New Roman" w:hAnsi="Times New Roman" w:cs="Times New Roman"/>
          <w:sz w:val="20"/>
          <w:szCs w:val="20"/>
        </w:rPr>
        <w:t>Comparative study between the 3 groups revealed non-significant difference as regards all baseline laboratory variables (p &gt; 0.05).</w:t>
      </w:r>
      <w:r w:rsidR="00B346B3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="00A77E57" w:rsidRPr="00E531DC">
        <w:rPr>
          <w:rFonts w:ascii="Times New Roman" w:hAnsi="Times New Roman" w:cs="Times New Roman"/>
          <w:sz w:val="20"/>
          <w:szCs w:val="20"/>
        </w:rPr>
        <w:t>Comparative study between the 3 groups revealed; highly significant decrease in TLC, ESR, CRP and PTH in HDF group compared to HF and LF groups; with highly significant statistical difference (p = 0.004, p = 0.006, p &lt; 0.0001, p &lt; 0.0001 respectively).</w:t>
      </w:r>
      <w:r w:rsidR="00B346B3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="00A77E57" w:rsidRPr="00E531DC">
        <w:rPr>
          <w:rFonts w:ascii="Times New Roman" w:hAnsi="Times New Roman" w:cs="Times New Roman"/>
          <w:sz w:val="20"/>
          <w:szCs w:val="20"/>
        </w:rPr>
        <w:t>Comparative study between the 3 groups also revealed; highly significant increase in platelets and calcium in HDF group compared to HF and LF groups; with highly significant statistical difference (p = 0.01, p = 0.004 respectively).</w:t>
      </w:r>
      <w:r w:rsidR="00B346B3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="006A6112" w:rsidRPr="00E531DC">
        <w:rPr>
          <w:rFonts w:ascii="Times New Roman" w:hAnsi="Times New Roman" w:cs="Times New Roman"/>
          <w:b/>
          <w:bCs/>
          <w:sz w:val="20"/>
          <w:szCs w:val="20"/>
        </w:rPr>
        <w:t>Conclusion:</w:t>
      </w:r>
      <w:r w:rsidR="00104892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="00A77E57" w:rsidRPr="00E531DC">
        <w:rPr>
          <w:rFonts w:ascii="Times New Roman" w:hAnsi="Times New Roman" w:cs="Times New Roman"/>
          <w:sz w:val="20"/>
          <w:szCs w:val="20"/>
        </w:rPr>
        <w:t>HDFis better than HFHDx and LFHDx in improvement of aneamia,</w:t>
      </w:r>
      <w:r w:rsidR="00104892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="00A77E57" w:rsidRPr="00E531DC">
        <w:rPr>
          <w:rFonts w:ascii="Times New Roman" w:hAnsi="Times New Roman" w:cs="Times New Roman"/>
          <w:sz w:val="20"/>
          <w:szCs w:val="20"/>
        </w:rPr>
        <w:t>hyperphosphatemia,</w:t>
      </w:r>
      <w:r w:rsidR="00104892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="00A77E57" w:rsidRPr="00E531DC">
        <w:rPr>
          <w:rFonts w:ascii="Times New Roman" w:hAnsi="Times New Roman" w:cs="Times New Roman"/>
          <w:sz w:val="20"/>
          <w:szCs w:val="20"/>
        </w:rPr>
        <w:t>hypocalcemia,</w:t>
      </w:r>
      <w:r w:rsidR="00104892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="00A77E57" w:rsidRPr="00E531DC">
        <w:rPr>
          <w:rFonts w:ascii="Times New Roman" w:hAnsi="Times New Roman" w:cs="Times New Roman"/>
          <w:sz w:val="20"/>
          <w:szCs w:val="20"/>
        </w:rPr>
        <w:t>and inflammation</w:t>
      </w:r>
      <w:r w:rsidR="008B2A3D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="00A77E57" w:rsidRPr="00E531DC">
        <w:rPr>
          <w:rFonts w:ascii="Times New Roman" w:hAnsi="Times New Roman" w:cs="Times New Roman"/>
          <w:sz w:val="20"/>
          <w:szCs w:val="20"/>
        </w:rPr>
        <w:t>(CRP</w:t>
      </w:r>
      <w:r w:rsidR="00797C03" w:rsidRPr="00E531DC">
        <w:rPr>
          <w:rFonts w:ascii="Times New Roman" w:hAnsi="Times New Roman" w:cs="Times New Roman"/>
          <w:sz w:val="20"/>
          <w:szCs w:val="20"/>
        </w:rPr>
        <w:t>, E</w:t>
      </w:r>
      <w:r w:rsidR="00A77E57" w:rsidRPr="00E531DC">
        <w:rPr>
          <w:rFonts w:ascii="Times New Roman" w:hAnsi="Times New Roman" w:cs="Times New Roman"/>
          <w:sz w:val="20"/>
          <w:szCs w:val="20"/>
        </w:rPr>
        <w:t>SR)</w:t>
      </w:r>
      <w:r w:rsidR="00797C03" w:rsidRPr="00E531DC">
        <w:rPr>
          <w:rFonts w:ascii="Times New Roman" w:hAnsi="Times New Roman" w:cs="Times New Roman"/>
          <w:sz w:val="20"/>
          <w:szCs w:val="20"/>
        </w:rPr>
        <w:t>. B</w:t>
      </w:r>
      <w:r w:rsidR="00A77E57" w:rsidRPr="00E531DC">
        <w:rPr>
          <w:rFonts w:ascii="Times New Roman" w:hAnsi="Times New Roman" w:cs="Times New Roman"/>
          <w:sz w:val="20"/>
          <w:szCs w:val="20"/>
        </w:rPr>
        <w:t>ut the difference between HDF and HFHDx is not big difference</w:t>
      </w:r>
      <w:r w:rsidR="00797C03" w:rsidRPr="00E531DC">
        <w:rPr>
          <w:rFonts w:ascii="Times New Roman" w:hAnsi="Times New Roman" w:cs="Times New Roman"/>
          <w:sz w:val="20"/>
          <w:szCs w:val="20"/>
        </w:rPr>
        <w:t>. T</w:t>
      </w:r>
      <w:r w:rsidR="00551BEA" w:rsidRPr="00E531DC">
        <w:rPr>
          <w:rFonts w:ascii="Times New Roman" w:hAnsi="Times New Roman" w:cs="Times New Roman"/>
          <w:sz w:val="20"/>
          <w:szCs w:val="20"/>
        </w:rPr>
        <w:t>he main disadvantages of HDF are its cost and the loss of albumin.</w:t>
      </w:r>
    </w:p>
    <w:p w:rsidR="00797C03" w:rsidRPr="00E531DC" w:rsidRDefault="00797C03" w:rsidP="00797C0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KW"/>
        </w:rPr>
      </w:pPr>
      <w:r w:rsidRPr="00E531DC">
        <w:rPr>
          <w:rFonts w:ascii="Times New Roman" w:hAnsi="Times New Roman" w:cs="Times New Roman" w:hint="eastAsia"/>
          <w:sz w:val="20"/>
          <w:szCs w:val="20"/>
        </w:rPr>
        <w:t>[</w:t>
      </w:r>
      <w:r w:rsidRPr="00E531DC">
        <w:rPr>
          <w:rFonts w:ascii="Times New Roman" w:hAnsi="Times New Roman" w:cs="Times New Roman"/>
          <w:sz w:val="20"/>
          <w:szCs w:val="20"/>
          <w:lang w:bidi="ar-KW"/>
        </w:rPr>
        <w:t>Fawzy Hamed Hasan, Als</w:t>
      </w:r>
      <w:r w:rsidR="003E14FD">
        <w:rPr>
          <w:rFonts w:ascii="Times New Roman" w:hAnsi="Times New Roman" w:cs="Times New Roman"/>
          <w:sz w:val="20"/>
          <w:szCs w:val="20"/>
          <w:lang w:bidi="ar-KW"/>
        </w:rPr>
        <w:t>a</w:t>
      </w:r>
      <w:r w:rsidRPr="00E531DC">
        <w:rPr>
          <w:rFonts w:ascii="Times New Roman" w:hAnsi="Times New Roman" w:cs="Times New Roman"/>
          <w:sz w:val="20"/>
          <w:szCs w:val="20"/>
          <w:lang w:bidi="ar-KW"/>
        </w:rPr>
        <w:t>yad Mohammed Rashed, Nabil Fathy Ismail, and Haitham Abd El badie Shaheen</w:t>
      </w:r>
      <w:r w:rsidRPr="00E531DC">
        <w:rPr>
          <w:rFonts w:ascii="Times New Roman" w:hAnsi="Times New Roman" w:cs="Times New Roman"/>
          <w:sz w:val="20"/>
          <w:szCs w:val="20"/>
        </w:rPr>
        <w:t>.</w:t>
      </w:r>
      <w:r w:rsidRPr="00E531DC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Comparative Study Between Online Hemodiafiltration And Conventional Hemodialysis As Regard Nutritional And Inflammatory States In Chornic Hemodialysis Patients</w:t>
      </w:r>
      <w:r w:rsidRPr="00E531DC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E531DC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Pr="00E531DC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Pr="00E531DC">
        <w:rPr>
          <w:rFonts w:ascii="Times New Roman" w:hAnsi="Times New Roman" w:cs="Times New Roman" w:hint="eastAsia"/>
          <w:bCs/>
          <w:sz w:val="20"/>
          <w:szCs w:val="20"/>
        </w:rPr>
        <w:t>8</w:t>
      </w:r>
      <w:r w:rsidRPr="00E531DC">
        <w:rPr>
          <w:rFonts w:ascii="Times New Roman" w:hAnsi="Times New Roman" w:cs="Times New Roman"/>
          <w:bCs/>
          <w:sz w:val="20"/>
          <w:szCs w:val="20"/>
        </w:rPr>
        <w:t>;</w:t>
      </w:r>
      <w:r w:rsidRPr="00E531DC">
        <w:rPr>
          <w:rFonts w:ascii="Times New Roman" w:hAnsi="Times New Roman" w:cs="Times New Roman" w:hint="eastAsia"/>
          <w:bCs/>
          <w:sz w:val="20"/>
          <w:szCs w:val="20"/>
        </w:rPr>
        <w:t>10</w:t>
      </w:r>
      <w:r w:rsidRPr="00E531DC">
        <w:rPr>
          <w:rFonts w:ascii="Times New Roman" w:hAnsi="Times New Roman" w:cs="Times New Roman"/>
          <w:bCs/>
          <w:sz w:val="20"/>
          <w:szCs w:val="20"/>
        </w:rPr>
        <w:t>(</w:t>
      </w:r>
      <w:r w:rsidRPr="00E531DC">
        <w:rPr>
          <w:rFonts w:ascii="Times New Roman" w:hAnsi="Times New Roman" w:cs="Times New Roman" w:hint="eastAsia"/>
          <w:bCs/>
          <w:sz w:val="20"/>
          <w:szCs w:val="20"/>
        </w:rPr>
        <w:t>1</w:t>
      </w:r>
      <w:r w:rsidRPr="00E531DC">
        <w:rPr>
          <w:rFonts w:ascii="Times New Roman" w:hAnsi="Times New Roman" w:cs="Times New Roman"/>
          <w:bCs/>
          <w:sz w:val="20"/>
          <w:szCs w:val="20"/>
        </w:rPr>
        <w:t>):</w:t>
      </w:r>
      <w:r w:rsidR="001655C8" w:rsidRPr="00E531DC">
        <w:rPr>
          <w:rFonts w:ascii="Times New Roman" w:hAnsi="Times New Roman" w:cs="Times New Roman"/>
          <w:noProof/>
          <w:color w:val="000000"/>
          <w:sz w:val="20"/>
          <w:szCs w:val="20"/>
        </w:rPr>
        <w:t>59-6</w:t>
      </w:r>
      <w:r w:rsidR="006C5214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4</w:t>
      </w:r>
      <w:r w:rsidRPr="00E531DC">
        <w:rPr>
          <w:rFonts w:ascii="Times New Roman" w:hAnsi="Times New Roman" w:cs="Times New Roman"/>
          <w:bCs/>
          <w:sz w:val="20"/>
          <w:szCs w:val="20"/>
        </w:rPr>
        <w:t xml:space="preserve">]. </w:t>
      </w:r>
      <w:r w:rsidRPr="00E531DC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Pr="00E531DC">
        <w:rPr>
          <w:rFonts w:ascii="Times New Roman" w:hAnsi="Times New Roman" w:cs="Times New Roman"/>
          <w:bCs/>
          <w:sz w:val="20"/>
          <w:szCs w:val="20"/>
        </w:rPr>
        <w:t xml:space="preserve">. </w:t>
      </w:r>
      <w:hyperlink r:id="rId9" w:history="1">
        <w:r w:rsidRPr="00E531DC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http://www.sciencepub.net/researcher</w:t>
        </w:r>
      </w:hyperlink>
      <w:r w:rsidRPr="00E531DC">
        <w:rPr>
          <w:rFonts w:ascii="Times New Roman" w:hAnsi="Times New Roman" w:cs="Times New Roman"/>
          <w:bCs/>
          <w:sz w:val="20"/>
          <w:szCs w:val="20"/>
        </w:rPr>
        <w:t>.</w:t>
      </w:r>
      <w:r w:rsidRPr="00E531DC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E531DC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9</w:t>
      </w:r>
      <w:r w:rsidRPr="00E531DC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r w:rsidRPr="00E531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Pr="00E531DC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E531DC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r</w:t>
        </w:r>
        <w:r w:rsidRPr="00E531DC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sj</w:t>
        </w:r>
        <w:r w:rsidRPr="00E531DC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100118.</w:t>
        </w:r>
        <w:r w:rsidRPr="00E531DC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 w:rsidRPr="00E531DC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9</w:t>
        </w:r>
      </w:hyperlink>
      <w:r w:rsidRPr="00E531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8B2A3D" w:rsidRPr="00E531DC" w:rsidRDefault="008B2A3D" w:rsidP="00797C0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04892" w:rsidRPr="00E531DC" w:rsidRDefault="00104892" w:rsidP="00797C0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b/>
          <w:bCs/>
          <w:sz w:val="20"/>
          <w:szCs w:val="20"/>
        </w:rPr>
        <w:t xml:space="preserve">Key words: </w:t>
      </w:r>
      <w:r w:rsidRPr="00E531DC">
        <w:rPr>
          <w:rFonts w:ascii="Times New Roman" w:hAnsi="Times New Roman" w:cs="Times New Roman"/>
          <w:sz w:val="20"/>
          <w:szCs w:val="20"/>
        </w:rPr>
        <w:t>Hemodiafiltration, Conventional Hemodialysis</w:t>
      </w:r>
      <w:r w:rsidR="0029645F" w:rsidRPr="00E531DC">
        <w:rPr>
          <w:rFonts w:ascii="Times New Roman" w:hAnsi="Times New Roman" w:cs="Times New Roman"/>
          <w:sz w:val="20"/>
          <w:szCs w:val="20"/>
        </w:rPr>
        <w:t>,</w:t>
      </w:r>
      <w:r w:rsidRPr="00E531DC">
        <w:rPr>
          <w:rFonts w:ascii="Times New Roman" w:hAnsi="Times New Roman" w:cs="Times New Roman"/>
          <w:sz w:val="20"/>
          <w:szCs w:val="20"/>
        </w:rPr>
        <w:t xml:space="preserve"> Chornic Hemodialysis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and Inflammatory States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29645F" w:rsidRPr="00E531DC" w:rsidRDefault="0029645F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9645F" w:rsidRPr="00E531DC" w:rsidRDefault="0029645F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29645F" w:rsidRPr="00E531DC" w:rsidSect="001655C8">
          <w:headerReference w:type="default" r:id="rId11"/>
          <w:footerReference w:type="default" r:id="rId12"/>
          <w:footnotePr>
            <w:numFmt w:val="chicago"/>
          </w:footnotePr>
          <w:type w:val="continuous"/>
          <w:pgSz w:w="12242" w:h="15842" w:code="1"/>
          <w:pgMar w:top="1440" w:right="1440" w:bottom="1440" w:left="1440" w:header="720" w:footer="720" w:gutter="0"/>
          <w:pgNumType w:start="59"/>
          <w:cols w:space="708"/>
          <w:docGrid w:linePitch="360"/>
        </w:sectPr>
      </w:pPr>
    </w:p>
    <w:p w:rsidR="00401A55" w:rsidRPr="00E531DC" w:rsidRDefault="00B346B3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31DC">
        <w:rPr>
          <w:rFonts w:ascii="Times New Roman" w:hAnsi="Times New Roman" w:cs="Times New Roman"/>
          <w:b/>
          <w:bCs/>
          <w:sz w:val="20"/>
          <w:szCs w:val="20"/>
        </w:rPr>
        <w:lastRenderedPageBreak/>
        <w:t>1. Introduction:</w:t>
      </w:r>
    </w:p>
    <w:p w:rsidR="00D619BE" w:rsidRPr="00E531DC" w:rsidRDefault="00D619BE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 xml:space="preserve">End-stage renal disease (ESRD) is a growing public health problem with increasing prevalence worldwide. It is estimated that the number of patients with ESRD registered in 2005 will increase almost 60 %, by 2020, leading to higher costs associated with health care assistance 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68232D" w:rsidRPr="00E531DC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).</w:t>
      </w:r>
    </w:p>
    <w:p w:rsidR="00D619BE" w:rsidRPr="00E531DC" w:rsidRDefault="00D619BE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 xml:space="preserve">Patients with ESRD have a high mortality rate that far exceeds the mortality rate for the non-ESRD population 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 xml:space="preserve">( </w:t>
      </w:r>
      <w:r w:rsidR="0068232D" w:rsidRPr="00E531D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).</w:t>
      </w:r>
    </w:p>
    <w:p w:rsidR="00D619BE" w:rsidRPr="00E531DC" w:rsidRDefault="00D619BE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 xml:space="preserve">Hemodialysis (HD), widely used during the past half century, brought forth a way to lengthen ESRD patients’ lives. Nonetheless, it is poorly suited to the effective removal of larger solutes, such as b2 microglobulin. </w:t>
      </w:r>
    </w:p>
    <w:p w:rsidR="00D619BE" w:rsidRPr="00E531DC" w:rsidRDefault="00D619BE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 xml:space="preserve">In recent years, online hemodiafiltration (OL-HDF) was introduced as an alternative to standard HD, as it was claimed that OL-HDF would be more biocompatible, would increase dialysis efficacy and </w:t>
      </w:r>
      <w:r w:rsidRPr="00E531DC">
        <w:rPr>
          <w:rFonts w:ascii="Times New Roman" w:hAnsi="Times New Roman" w:cs="Times New Roman"/>
          <w:sz w:val="20"/>
          <w:szCs w:val="20"/>
        </w:rPr>
        <w:lastRenderedPageBreak/>
        <w:t xml:space="preserve">reduce the inflammatory response – features that would diminish the risk of morbidity and mortality in ESRD 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68232D" w:rsidRPr="00E531DC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).</w:t>
      </w:r>
    </w:p>
    <w:p w:rsidR="00D619BE" w:rsidRPr="00E531DC" w:rsidRDefault="00D619BE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 xml:space="preserve">In order to increase mid-to-large molecule clearance by combining diffusive and convective transport, online hemodiafiltration (HDF), using ultrapure dialysate, was introduced 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68232D" w:rsidRPr="00E531DC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).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 xml:space="preserve">In the past decade, evidence has accumulated regarding the superiority of post dilution HDF over hemodialysis (HD). Specifically, HDF has been associated with higher survival rates compared with low and high-flux HD 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68232D" w:rsidRPr="00E531D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797C03" w:rsidRPr="00E531D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797C03" w:rsidRPr="00E531DC">
        <w:rPr>
          <w:rFonts w:ascii="Times New Roman" w:hAnsi="Times New Roman" w:cs="Times New Roman"/>
          <w:sz w:val="20"/>
          <w:szCs w:val="20"/>
        </w:rPr>
        <w:t>w</w:t>
      </w:r>
      <w:r w:rsidRPr="00E531DC">
        <w:rPr>
          <w:rFonts w:ascii="Times New Roman" w:hAnsi="Times New Roman" w:cs="Times New Roman"/>
          <w:sz w:val="20"/>
          <w:szCs w:val="20"/>
        </w:rPr>
        <w:t xml:space="preserve">hen using high convection volumes 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68232D" w:rsidRPr="00E531D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).</w:t>
      </w:r>
      <w:r w:rsidRPr="00E531DC">
        <w:rPr>
          <w:rFonts w:ascii="Times New Roman" w:hAnsi="Times New Roman" w:cs="Times New Roman"/>
          <w:sz w:val="20"/>
          <w:szCs w:val="20"/>
        </w:rPr>
        <w:t xml:space="preserve"> Additionally, HDF has been reported to provide better hemodynamic stability 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68232D" w:rsidRPr="00E531DC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797C03" w:rsidRPr="00E531D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797C03" w:rsidRPr="00E531DC">
        <w:rPr>
          <w:rFonts w:ascii="Times New Roman" w:hAnsi="Times New Roman" w:cs="Times New Roman"/>
          <w:sz w:val="20"/>
          <w:szCs w:val="20"/>
        </w:rPr>
        <w:t>e</w:t>
      </w:r>
      <w:r w:rsidRPr="00E531DC">
        <w:rPr>
          <w:rFonts w:ascii="Times New Roman" w:hAnsi="Times New Roman" w:cs="Times New Roman"/>
          <w:sz w:val="20"/>
          <w:szCs w:val="20"/>
        </w:rPr>
        <w:t xml:space="preserve">specially when using higher convective volumes a better quality of life 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68232D" w:rsidRPr="00E531DC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797C03" w:rsidRPr="00E531D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797C03" w:rsidRPr="00E531DC">
        <w:rPr>
          <w:rFonts w:ascii="Times New Roman" w:hAnsi="Times New Roman" w:cs="Times New Roman"/>
          <w:sz w:val="20"/>
          <w:szCs w:val="20"/>
        </w:rPr>
        <w:t>a</w:t>
      </w:r>
      <w:r w:rsidRPr="00E531DC">
        <w:rPr>
          <w:rFonts w:ascii="Times New Roman" w:hAnsi="Times New Roman" w:cs="Times New Roman"/>
          <w:sz w:val="20"/>
          <w:szCs w:val="20"/>
        </w:rPr>
        <w:t xml:space="preserve">nd fewer depression symptoms 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47765B" w:rsidRPr="00E531DC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).</w:t>
      </w:r>
      <w:r w:rsidRPr="00E531DC">
        <w:rPr>
          <w:rFonts w:ascii="Times New Roman" w:hAnsi="Times New Roman" w:cs="Times New Roman"/>
          <w:sz w:val="20"/>
          <w:szCs w:val="20"/>
        </w:rPr>
        <w:t xml:space="preserve"> HDF has also been reported to improve beta2-microglobulin (ß2-m) phosphate and urea removal 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47765B" w:rsidRPr="00E531DC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).</w:t>
      </w:r>
      <w:r w:rsidRPr="00E531DC">
        <w:rPr>
          <w:rFonts w:ascii="Times New Roman" w:hAnsi="Times New Roman" w:cs="Times New Roman"/>
          <w:sz w:val="20"/>
          <w:szCs w:val="20"/>
        </w:rPr>
        <w:t xml:space="preserve"> Some others studies have reported better anemia correction 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47765B" w:rsidRPr="00E531DC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797C03" w:rsidRPr="00E531D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797C03" w:rsidRPr="00E531DC">
        <w:rPr>
          <w:rFonts w:ascii="Times New Roman" w:hAnsi="Times New Roman" w:cs="Times New Roman"/>
          <w:sz w:val="20"/>
          <w:szCs w:val="20"/>
        </w:rPr>
        <w:t>a</w:t>
      </w:r>
      <w:r w:rsidRPr="00E531DC">
        <w:rPr>
          <w:rFonts w:ascii="Times New Roman" w:hAnsi="Times New Roman" w:cs="Times New Roman"/>
          <w:sz w:val="20"/>
          <w:szCs w:val="20"/>
        </w:rPr>
        <w:t xml:space="preserve">nd lower </w:t>
      </w:r>
      <w:r w:rsidRPr="00E531DC">
        <w:rPr>
          <w:rFonts w:ascii="Times New Roman" w:hAnsi="Times New Roman" w:cs="Times New Roman"/>
          <w:sz w:val="20"/>
          <w:szCs w:val="20"/>
        </w:rPr>
        <w:lastRenderedPageBreak/>
        <w:t>inflammation when using HD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F </w:t>
      </w:r>
      <w:r w:rsidR="0029645F" w:rsidRPr="00E531DC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47765B" w:rsidRPr="00E531DC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).</w:t>
      </w:r>
      <w:r w:rsidRPr="00E531DC">
        <w:rPr>
          <w:rFonts w:ascii="Times New Roman" w:hAnsi="Times New Roman" w:cs="Times New Roman"/>
          <w:sz w:val="20"/>
          <w:szCs w:val="20"/>
        </w:rPr>
        <w:t xml:space="preserve"> The main disadvantages of HDF are its cost and the loss of albumin 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47765B" w:rsidRPr="00E531DC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E531DC">
        <w:rPr>
          <w:rFonts w:ascii="Times New Roman" w:hAnsi="Times New Roman" w:cs="Times New Roman"/>
          <w:b/>
          <w:bCs/>
          <w:sz w:val="20"/>
          <w:szCs w:val="20"/>
        </w:rPr>
        <w:t xml:space="preserve">). </w:t>
      </w:r>
    </w:p>
    <w:p w:rsidR="00B346B3" w:rsidRPr="00E531DC" w:rsidRDefault="00B346B3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85B33" w:rsidRPr="00E531DC" w:rsidRDefault="00B346B3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31DC">
        <w:rPr>
          <w:rFonts w:ascii="Times New Roman" w:hAnsi="Times New Roman" w:cs="Times New Roman"/>
          <w:b/>
          <w:bCs/>
          <w:sz w:val="20"/>
          <w:szCs w:val="20"/>
        </w:rPr>
        <w:t>2. Patient</w:t>
      </w:r>
      <w:r w:rsidR="00C85B33" w:rsidRPr="00E531DC">
        <w:rPr>
          <w:rFonts w:ascii="Times New Roman" w:hAnsi="Times New Roman" w:cs="Times New Roman"/>
          <w:b/>
          <w:bCs/>
          <w:sz w:val="20"/>
          <w:szCs w:val="20"/>
        </w:rPr>
        <w:t xml:space="preserve"> and Methods:</w:t>
      </w:r>
    </w:p>
    <w:p w:rsidR="00C85B33" w:rsidRPr="00E531DC" w:rsidRDefault="00C85B33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>The study will be prospective cross section study which includes 120 endstage renal disease patients on regular hemodialysis three sessions per week, 4 hours per session. whose will be assigned to three groups for hemodialysis with online hemodiafiltration (n = 40)</w:t>
      </w:r>
      <w:r w:rsidR="0029645F" w:rsidRPr="00E531DC">
        <w:rPr>
          <w:rFonts w:ascii="Times New Roman" w:hAnsi="Times New Roman" w:cs="Times New Roman"/>
          <w:sz w:val="20"/>
          <w:szCs w:val="20"/>
        </w:rPr>
        <w:t>,</w:t>
      </w:r>
      <w:r w:rsidRPr="00E531DC">
        <w:rPr>
          <w:rFonts w:ascii="Times New Roman" w:hAnsi="Times New Roman" w:cs="Times New Roman"/>
          <w:sz w:val="20"/>
          <w:szCs w:val="20"/>
        </w:rPr>
        <w:t xml:space="preserve"> high-flux hemodialysis (n = 40) and low flux hemodialysis (n = 40) for 24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 xml:space="preserve">weeks. </w:t>
      </w:r>
    </w:p>
    <w:p w:rsidR="00C85B33" w:rsidRPr="00E531DC" w:rsidRDefault="00C85B33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>These patients will be recruited and investigated in Maadi Military Hospital and air forces hospital.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5B33" w:rsidRPr="00E531DC" w:rsidRDefault="00C85B33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>All patients will be subjected to the following:</w:t>
      </w:r>
    </w:p>
    <w:p w:rsidR="00797C03" w:rsidRPr="00E531DC" w:rsidRDefault="00C85B33" w:rsidP="00797C03">
      <w:pPr>
        <w:numPr>
          <w:ilvl w:val="0"/>
          <w:numId w:val="13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>Full medical histor</w:t>
      </w:r>
      <w:r w:rsidR="00797C03" w:rsidRPr="00E531DC">
        <w:rPr>
          <w:rFonts w:ascii="Times New Roman" w:hAnsi="Times New Roman" w:cs="Times New Roman"/>
          <w:sz w:val="20"/>
          <w:szCs w:val="20"/>
        </w:rPr>
        <w:t>y.</w:t>
      </w:r>
    </w:p>
    <w:p w:rsidR="00797C03" w:rsidRPr="00E531DC" w:rsidRDefault="00C85B33" w:rsidP="00797C03">
      <w:pPr>
        <w:numPr>
          <w:ilvl w:val="0"/>
          <w:numId w:val="13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>physical examinatio</w:t>
      </w:r>
      <w:r w:rsidR="00797C03" w:rsidRPr="00E531DC">
        <w:rPr>
          <w:rFonts w:ascii="Times New Roman" w:hAnsi="Times New Roman" w:cs="Times New Roman"/>
          <w:sz w:val="20"/>
          <w:szCs w:val="20"/>
        </w:rPr>
        <w:t>n.</w:t>
      </w:r>
    </w:p>
    <w:p w:rsidR="00C85B33" w:rsidRPr="00E531DC" w:rsidRDefault="00C85B33" w:rsidP="00797C03">
      <w:pPr>
        <w:numPr>
          <w:ilvl w:val="0"/>
          <w:numId w:val="13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>Anthropometric measures (mid-arm circumference, skin fold thickness, height, weight And BMI).</w:t>
      </w:r>
    </w:p>
    <w:p w:rsidR="00C85B33" w:rsidRPr="00E531DC" w:rsidRDefault="00C85B33" w:rsidP="00797C03">
      <w:pPr>
        <w:numPr>
          <w:ilvl w:val="0"/>
          <w:numId w:val="13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>Lab investigations (CBC, ESR, CRP, Ferritin, Serum albumin, total protein, Ca, phosphorus and PTH).</w:t>
      </w:r>
    </w:p>
    <w:p w:rsidR="00C85B33" w:rsidRPr="00E531DC" w:rsidRDefault="00C85B33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31DC">
        <w:rPr>
          <w:rFonts w:ascii="Times New Roman" w:hAnsi="Times New Roman" w:cs="Times New Roman"/>
          <w:b/>
          <w:bCs/>
          <w:sz w:val="20"/>
          <w:szCs w:val="20"/>
        </w:rPr>
        <w:t>Inclusion criteria:</w:t>
      </w:r>
    </w:p>
    <w:p w:rsidR="00C85B33" w:rsidRPr="00E531DC" w:rsidRDefault="00C85B33" w:rsidP="00797C03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>All endstage renal disease patients on regular hemodialysis for at least 6 months through native A-V fistula or A-V graft.</w:t>
      </w:r>
    </w:p>
    <w:p w:rsidR="00C85B33" w:rsidRPr="00E531DC" w:rsidRDefault="00C85B33" w:rsidP="00797C03">
      <w:pPr>
        <w:shd w:val="clear" w:color="auto" w:fill="FFFFFF"/>
        <w:tabs>
          <w:tab w:val="left" w:pos="6575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>All ESRD patients aged more than 18 years old.</w:t>
      </w:r>
      <w:r w:rsidRPr="00E531DC">
        <w:rPr>
          <w:rFonts w:ascii="Times New Roman" w:hAnsi="Times New Roman" w:cs="Times New Roman"/>
          <w:sz w:val="20"/>
          <w:szCs w:val="20"/>
        </w:rPr>
        <w:tab/>
      </w:r>
    </w:p>
    <w:p w:rsidR="00C85B33" w:rsidRPr="00E531DC" w:rsidRDefault="00C85B33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31DC">
        <w:rPr>
          <w:rFonts w:ascii="Times New Roman" w:hAnsi="Times New Roman" w:cs="Times New Roman"/>
          <w:b/>
          <w:bCs/>
          <w:sz w:val="20"/>
          <w:szCs w:val="20"/>
        </w:rPr>
        <w:t>Exclusion criteria:</w:t>
      </w:r>
    </w:p>
    <w:p w:rsidR="00C85B33" w:rsidRPr="00E531DC" w:rsidRDefault="00C85B33" w:rsidP="00797C03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>Patients with BMI&lt;18.</w:t>
      </w:r>
    </w:p>
    <w:p w:rsidR="00C85B33" w:rsidRPr="00E531DC" w:rsidRDefault="00C85B33" w:rsidP="00797C03">
      <w:pPr>
        <w:shd w:val="clear" w:color="auto" w:fill="FFFFFF"/>
        <w:tabs>
          <w:tab w:val="left" w:pos="720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>Patients with active</w:t>
      </w:r>
      <w:r w:rsidR="0029645F" w:rsidRPr="00E531DC">
        <w:rPr>
          <w:rFonts w:ascii="Times New Roman" w:hAnsi="Times New Roman" w:cs="Times New Roman"/>
          <w:sz w:val="20"/>
          <w:szCs w:val="20"/>
        </w:rPr>
        <w:t>,</w:t>
      </w:r>
      <w:r w:rsidRPr="00E531DC">
        <w:rPr>
          <w:rFonts w:ascii="Times New Roman" w:hAnsi="Times New Roman" w:cs="Times New Roman"/>
          <w:sz w:val="20"/>
          <w:szCs w:val="20"/>
        </w:rPr>
        <w:t xml:space="preserve"> recent infection or critical illness.</w:t>
      </w:r>
    </w:p>
    <w:p w:rsidR="00C85B33" w:rsidRPr="00E531DC" w:rsidRDefault="00C85B33" w:rsidP="00797C03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>Patients less than 18 years old or elderly.</w:t>
      </w:r>
    </w:p>
    <w:p w:rsidR="00C85B33" w:rsidRPr="00E531DC" w:rsidRDefault="00C85B33" w:rsidP="00797C03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lastRenderedPageBreak/>
        <w:t>Patients with hypoalbuminemia.</w:t>
      </w:r>
    </w:p>
    <w:p w:rsidR="00C85B33" w:rsidRPr="00E531DC" w:rsidRDefault="00C85B33" w:rsidP="00797C03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>Patients with advanced liver disease or advanced cardiopulmonary disease.</w:t>
      </w:r>
    </w:p>
    <w:p w:rsidR="00C85B33" w:rsidRPr="00E531DC" w:rsidRDefault="00C85B33" w:rsidP="00797C03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>Patients dialyzed via catheter.</w:t>
      </w:r>
    </w:p>
    <w:p w:rsidR="00C85B33" w:rsidRPr="00E531DC" w:rsidRDefault="00C85B33" w:rsidP="00797C03">
      <w:pPr>
        <w:shd w:val="clear" w:color="auto" w:fill="FFFFFF"/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>Patients on CAPD.</w:t>
      </w:r>
    </w:p>
    <w:p w:rsidR="00C85B33" w:rsidRPr="00E531DC" w:rsidRDefault="00C85B33" w:rsidP="00797C0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b/>
          <w:bCs/>
          <w:sz w:val="20"/>
          <w:szCs w:val="20"/>
          <w:lang w:bidi="ar-EG"/>
        </w:rPr>
        <w:t>Statistical Analysis:</w:t>
      </w:r>
    </w:p>
    <w:p w:rsidR="00C85B33" w:rsidRPr="00E531DC" w:rsidRDefault="00C85B33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Data entry, processing and statistical analysis was carried out using MedCalc ver. 15.8. Tests of significance (Chi square, ANOVA, Paired t test) were used. Data was presented and suitable analysis was done according to the type of data (parametric and non-parametric) obtained for each variable. P-values less than 0.05 (5%) was considered to be statistically significant.</w:t>
      </w:r>
    </w:p>
    <w:p w:rsidR="00C85B33" w:rsidRPr="00E531DC" w:rsidRDefault="00C85B33" w:rsidP="00797C0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b/>
          <w:bCs/>
          <w:sz w:val="20"/>
          <w:szCs w:val="20"/>
          <w:lang w:bidi="ar-EG"/>
        </w:rPr>
        <w:t>Descriptive statistics:</w:t>
      </w:r>
    </w:p>
    <w:p w:rsidR="00C85B33" w:rsidRPr="00E531DC" w:rsidRDefault="00C85B33" w:rsidP="00797C03">
      <w:pPr>
        <w:numPr>
          <w:ilvl w:val="0"/>
          <w:numId w:val="14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Mean, Standard deviation (± SD) and range for parametric numerical data, while Median and Inter-quartile range (IQR) for non-parametric numerical data.</w:t>
      </w:r>
    </w:p>
    <w:p w:rsidR="00C85B33" w:rsidRPr="00E531DC" w:rsidRDefault="00C85B33" w:rsidP="00797C03">
      <w:pPr>
        <w:numPr>
          <w:ilvl w:val="0"/>
          <w:numId w:val="14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Frequency and percentage of non-numerical data.</w:t>
      </w:r>
    </w:p>
    <w:p w:rsidR="00C85B33" w:rsidRPr="00E531DC" w:rsidRDefault="00C85B33" w:rsidP="00797C0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Analytical statistics: </w:t>
      </w:r>
    </w:p>
    <w:p w:rsidR="00C85B33" w:rsidRPr="00E531DC" w:rsidRDefault="00C85B33" w:rsidP="00797C03">
      <w:pPr>
        <w:numPr>
          <w:ilvl w:val="0"/>
          <w:numId w:val="14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Paired Student's t test was used to assess the statistical significance of the difference between two (paired) study group means.</w:t>
      </w:r>
    </w:p>
    <w:p w:rsidR="00C85B33" w:rsidRPr="00E531DC" w:rsidRDefault="00C85B33" w:rsidP="00797C03">
      <w:pPr>
        <w:numPr>
          <w:ilvl w:val="0"/>
          <w:numId w:val="14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Chi-Square test was used to examine the relationship between two qualitative variables.</w:t>
      </w:r>
    </w:p>
    <w:p w:rsidR="00C85B33" w:rsidRPr="00E531DC" w:rsidRDefault="00C85B33" w:rsidP="00797C03">
      <w:pPr>
        <w:numPr>
          <w:ilvl w:val="0"/>
          <w:numId w:val="14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ANOVA test was used to assess the statistical significance of the difference between more than two study group means.</w:t>
      </w:r>
    </w:p>
    <w:p w:rsidR="00B346B3" w:rsidRPr="00E531DC" w:rsidRDefault="00B346B3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97C03" w:rsidRPr="00E531DC" w:rsidRDefault="00B346B3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  <w:r w:rsidRPr="00E531DC">
        <w:rPr>
          <w:rFonts w:ascii="Times New Roman" w:hAnsi="Times New Roman" w:cs="Times New Roman"/>
          <w:b/>
          <w:bCs/>
          <w:sz w:val="20"/>
          <w:szCs w:val="20"/>
        </w:rPr>
        <w:t>3. Results:</w:t>
      </w:r>
    </w:p>
    <w:p w:rsidR="00797C03" w:rsidRPr="00E531DC" w:rsidRDefault="00797C03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  <w:sectPr w:rsidR="00797C03" w:rsidRPr="00E531DC" w:rsidSect="00797C03">
          <w:headerReference w:type="default" r:id="rId13"/>
          <w:footerReference w:type="default" r:id="rId14"/>
          <w:footnotePr>
            <w:numFmt w:val="chicago"/>
          </w:footnotePr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797C03" w:rsidRPr="00E531DC" w:rsidRDefault="00797C03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797C03" w:rsidRPr="00E531DC" w:rsidRDefault="00797C03" w:rsidP="00797C0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Table (1): Comparison between the 3 groups as regards some follow up (24 weeks) laboratory data using one-way ANOVA test: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31"/>
        <w:gridCol w:w="1771"/>
        <w:gridCol w:w="1770"/>
        <w:gridCol w:w="1770"/>
        <w:gridCol w:w="819"/>
        <w:gridCol w:w="1215"/>
      </w:tblGrid>
      <w:tr w:rsidR="00797C03" w:rsidRPr="00E531DC" w:rsidTr="007D1DD3">
        <w:trPr>
          <w:jc w:val="center"/>
        </w:trPr>
        <w:tc>
          <w:tcPr>
            <w:tcW w:w="1124" w:type="pct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Variable</w:t>
            </w:r>
          </w:p>
        </w:tc>
        <w:tc>
          <w:tcPr>
            <w:tcW w:w="934" w:type="pct"/>
            <w:shd w:val="clear" w:color="auto" w:fill="BFBFBF" w:themeFill="background1" w:themeFillShade="BF"/>
            <w:noWrap/>
            <w:vAlign w:val="center"/>
            <w:hideMark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HDF group</w:t>
            </w:r>
          </w:p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(N= 39)</w:t>
            </w:r>
          </w:p>
        </w:tc>
        <w:tc>
          <w:tcPr>
            <w:tcW w:w="934" w:type="pct"/>
            <w:shd w:val="clear" w:color="auto" w:fill="BFBFBF" w:themeFill="background1" w:themeFillShade="BF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HF group</w:t>
            </w:r>
          </w:p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(N= 40)</w:t>
            </w:r>
          </w:p>
        </w:tc>
        <w:tc>
          <w:tcPr>
            <w:tcW w:w="934" w:type="pct"/>
            <w:shd w:val="clear" w:color="auto" w:fill="BFBFBF" w:themeFill="background1" w:themeFillShade="BF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LF group</w:t>
            </w:r>
          </w:p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(N= 40)</w:t>
            </w:r>
          </w:p>
        </w:tc>
        <w:tc>
          <w:tcPr>
            <w:tcW w:w="1073" w:type="pct"/>
            <w:gridSpan w:val="2"/>
            <w:shd w:val="clear" w:color="auto" w:fill="BFBFBF" w:themeFill="background1" w:themeFillShade="BF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ANOVA</w:t>
            </w:r>
          </w:p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test</w:t>
            </w:r>
          </w:p>
        </w:tc>
      </w:tr>
      <w:tr w:rsidR="00797C03" w:rsidRPr="00E531DC" w:rsidTr="007D1DD3">
        <w:trPr>
          <w:jc w:val="center"/>
        </w:trPr>
        <w:tc>
          <w:tcPr>
            <w:tcW w:w="1124" w:type="pct"/>
            <w:vMerge/>
            <w:shd w:val="clear" w:color="auto" w:fill="BFBFBF" w:themeFill="background1" w:themeFillShade="BF"/>
            <w:vAlign w:val="center"/>
            <w:hideMark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934" w:type="pct"/>
            <w:shd w:val="clear" w:color="auto" w:fill="BFBFBF" w:themeFill="background1" w:themeFillShade="BF"/>
            <w:noWrap/>
            <w:vAlign w:val="center"/>
            <w:hideMark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Mean ± SD</w:t>
            </w:r>
          </w:p>
        </w:tc>
        <w:tc>
          <w:tcPr>
            <w:tcW w:w="934" w:type="pct"/>
            <w:shd w:val="clear" w:color="auto" w:fill="BFBFBF" w:themeFill="background1" w:themeFillShade="BF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Mean ± SD</w:t>
            </w:r>
          </w:p>
        </w:tc>
        <w:tc>
          <w:tcPr>
            <w:tcW w:w="934" w:type="pct"/>
            <w:shd w:val="clear" w:color="auto" w:fill="BFBFBF" w:themeFill="background1" w:themeFillShade="BF"/>
            <w:noWrap/>
            <w:vAlign w:val="center"/>
            <w:hideMark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Mean ± SD</w:t>
            </w:r>
          </w:p>
        </w:tc>
        <w:tc>
          <w:tcPr>
            <w:tcW w:w="432" w:type="pct"/>
            <w:shd w:val="clear" w:color="auto" w:fill="BFBFBF" w:themeFill="background1" w:themeFillShade="BF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F-ratio</w:t>
            </w:r>
          </w:p>
        </w:tc>
        <w:tc>
          <w:tcPr>
            <w:tcW w:w="641" w:type="pct"/>
            <w:shd w:val="clear" w:color="auto" w:fill="BFBFBF" w:themeFill="background1" w:themeFillShade="BF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 value</w:t>
            </w:r>
          </w:p>
        </w:tc>
      </w:tr>
      <w:tr w:rsidR="00797C03" w:rsidRPr="00E531DC" w:rsidTr="007D1DD3">
        <w:trPr>
          <w:jc w:val="center"/>
        </w:trPr>
        <w:tc>
          <w:tcPr>
            <w:tcW w:w="112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Hb (g/dL)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10.69 ± 1.12</w:t>
            </w:r>
          </w:p>
        </w:tc>
        <w:tc>
          <w:tcPr>
            <w:tcW w:w="934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10.78 ± 1.22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9.31 ± 1.16</w:t>
            </w:r>
          </w:p>
        </w:tc>
        <w:tc>
          <w:tcPr>
            <w:tcW w:w="432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1.847</w:t>
            </w:r>
          </w:p>
        </w:tc>
        <w:tc>
          <w:tcPr>
            <w:tcW w:w="641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0.162</w:t>
            </w:r>
          </w:p>
        </w:tc>
      </w:tr>
      <w:tr w:rsidR="00797C03" w:rsidRPr="00E531DC" w:rsidTr="007D1DD3">
        <w:trPr>
          <w:jc w:val="center"/>
        </w:trPr>
        <w:tc>
          <w:tcPr>
            <w:tcW w:w="112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TLC (10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3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/µL)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4.48 ± 2.45</w:t>
            </w:r>
          </w:p>
        </w:tc>
        <w:tc>
          <w:tcPr>
            <w:tcW w:w="934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5.91 ± 1.84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8.77 ± 3.03</w:t>
            </w:r>
          </w:p>
        </w:tc>
        <w:tc>
          <w:tcPr>
            <w:tcW w:w="432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1.521</w:t>
            </w:r>
          </w:p>
        </w:tc>
        <w:tc>
          <w:tcPr>
            <w:tcW w:w="641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0.004**</w:t>
            </w:r>
          </w:p>
        </w:tc>
      </w:tr>
      <w:tr w:rsidR="00797C03" w:rsidRPr="00E531DC" w:rsidTr="007D1DD3">
        <w:trPr>
          <w:jc w:val="center"/>
        </w:trPr>
        <w:tc>
          <w:tcPr>
            <w:tcW w:w="112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Platelets (10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3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/µL)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242.08 ± 75.15</w:t>
            </w:r>
          </w:p>
        </w:tc>
        <w:tc>
          <w:tcPr>
            <w:tcW w:w="934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190.28 ± 79.51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220.4 ± 69.35</w:t>
            </w:r>
          </w:p>
        </w:tc>
        <w:tc>
          <w:tcPr>
            <w:tcW w:w="432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4.786</w:t>
            </w:r>
          </w:p>
        </w:tc>
        <w:tc>
          <w:tcPr>
            <w:tcW w:w="641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0.010**</w:t>
            </w:r>
          </w:p>
        </w:tc>
      </w:tr>
      <w:tr w:rsidR="00797C03" w:rsidRPr="00E531DC" w:rsidTr="007D1DD3">
        <w:trPr>
          <w:jc w:val="center"/>
        </w:trPr>
        <w:tc>
          <w:tcPr>
            <w:tcW w:w="112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ESR (mm/hr)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10.15 ± 31.24</w:t>
            </w:r>
          </w:p>
        </w:tc>
        <w:tc>
          <w:tcPr>
            <w:tcW w:w="934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31.33 ± 31.96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45.68 ± 22.14</w:t>
            </w:r>
          </w:p>
        </w:tc>
        <w:tc>
          <w:tcPr>
            <w:tcW w:w="432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0.451</w:t>
            </w:r>
          </w:p>
        </w:tc>
        <w:tc>
          <w:tcPr>
            <w:tcW w:w="641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0.006**</w:t>
            </w:r>
          </w:p>
        </w:tc>
      </w:tr>
      <w:tr w:rsidR="00797C03" w:rsidRPr="00E531DC" w:rsidTr="007D1DD3">
        <w:trPr>
          <w:jc w:val="center"/>
        </w:trPr>
        <w:tc>
          <w:tcPr>
            <w:tcW w:w="112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CRP (mg/dL)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18.56 ± 14.79</w:t>
            </w:r>
          </w:p>
        </w:tc>
        <w:tc>
          <w:tcPr>
            <w:tcW w:w="934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23.48 ± 17.61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46.38 ± 25.85</w:t>
            </w:r>
          </w:p>
        </w:tc>
        <w:tc>
          <w:tcPr>
            <w:tcW w:w="432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8.766</w:t>
            </w:r>
          </w:p>
        </w:tc>
        <w:tc>
          <w:tcPr>
            <w:tcW w:w="641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&lt;0.0001**</w:t>
            </w:r>
          </w:p>
        </w:tc>
      </w:tr>
      <w:tr w:rsidR="00797C03" w:rsidRPr="00E531DC" w:rsidTr="007D1DD3">
        <w:trPr>
          <w:jc w:val="center"/>
        </w:trPr>
        <w:tc>
          <w:tcPr>
            <w:tcW w:w="112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Ferritin (ng/mL)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388.13 ± 87.46</w:t>
            </w:r>
          </w:p>
        </w:tc>
        <w:tc>
          <w:tcPr>
            <w:tcW w:w="934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377.9 ± 350.09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414.64 ± 435.54</w:t>
            </w:r>
          </w:p>
        </w:tc>
        <w:tc>
          <w:tcPr>
            <w:tcW w:w="432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0.228</w:t>
            </w:r>
          </w:p>
        </w:tc>
        <w:tc>
          <w:tcPr>
            <w:tcW w:w="641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0.796</w:t>
            </w:r>
          </w:p>
        </w:tc>
      </w:tr>
      <w:tr w:rsidR="00797C03" w:rsidRPr="00E531DC" w:rsidTr="007D1DD3">
        <w:trPr>
          <w:jc w:val="center"/>
        </w:trPr>
        <w:tc>
          <w:tcPr>
            <w:tcW w:w="112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Ca (mg/dL)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9.49 ± 0.82</w:t>
            </w:r>
          </w:p>
        </w:tc>
        <w:tc>
          <w:tcPr>
            <w:tcW w:w="934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8.1 ± 0.02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7.08 ± 0.86</w:t>
            </w:r>
          </w:p>
        </w:tc>
        <w:tc>
          <w:tcPr>
            <w:tcW w:w="432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3.260</w:t>
            </w:r>
          </w:p>
        </w:tc>
        <w:tc>
          <w:tcPr>
            <w:tcW w:w="641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0.004**</w:t>
            </w:r>
          </w:p>
        </w:tc>
      </w:tr>
      <w:tr w:rsidR="00797C03" w:rsidRPr="00E531DC" w:rsidTr="007D1DD3">
        <w:trPr>
          <w:jc w:val="center"/>
        </w:trPr>
        <w:tc>
          <w:tcPr>
            <w:tcW w:w="112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PO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-EG"/>
              </w:rPr>
              <w:t>4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(mg/dL)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4.82 ± 1.3</w:t>
            </w:r>
          </w:p>
        </w:tc>
        <w:tc>
          <w:tcPr>
            <w:tcW w:w="934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4.55 ± 1.78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5.18 ± 1.43</w:t>
            </w:r>
          </w:p>
        </w:tc>
        <w:tc>
          <w:tcPr>
            <w:tcW w:w="432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1.788</w:t>
            </w:r>
          </w:p>
        </w:tc>
        <w:tc>
          <w:tcPr>
            <w:tcW w:w="641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0.172</w:t>
            </w:r>
          </w:p>
        </w:tc>
      </w:tr>
      <w:tr w:rsidR="00797C03" w:rsidRPr="00E531DC" w:rsidTr="007D1DD3">
        <w:trPr>
          <w:jc w:val="center"/>
        </w:trPr>
        <w:tc>
          <w:tcPr>
            <w:tcW w:w="112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PTH (pg/ml)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416.79 ± 566.56</w:t>
            </w:r>
          </w:p>
        </w:tc>
        <w:tc>
          <w:tcPr>
            <w:tcW w:w="934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606.35 ± 623.54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862.8 ± 557.74</w:t>
            </w:r>
          </w:p>
        </w:tc>
        <w:tc>
          <w:tcPr>
            <w:tcW w:w="432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0.835</w:t>
            </w:r>
          </w:p>
        </w:tc>
        <w:tc>
          <w:tcPr>
            <w:tcW w:w="641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&lt;0.0001**</w:t>
            </w:r>
          </w:p>
        </w:tc>
      </w:tr>
      <w:tr w:rsidR="00797C03" w:rsidRPr="00E531DC" w:rsidTr="007D1DD3">
        <w:trPr>
          <w:jc w:val="center"/>
        </w:trPr>
        <w:tc>
          <w:tcPr>
            <w:tcW w:w="112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Total protein (g/dL)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7.14 ± 0.51</w:t>
            </w:r>
          </w:p>
        </w:tc>
        <w:tc>
          <w:tcPr>
            <w:tcW w:w="934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6.96 ± 1.69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7.06 ± 0.5</w:t>
            </w:r>
          </w:p>
        </w:tc>
        <w:tc>
          <w:tcPr>
            <w:tcW w:w="432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0.272</w:t>
            </w:r>
          </w:p>
        </w:tc>
        <w:tc>
          <w:tcPr>
            <w:tcW w:w="641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0.762</w:t>
            </w:r>
          </w:p>
        </w:tc>
      </w:tr>
      <w:tr w:rsidR="00797C03" w:rsidRPr="00E531DC" w:rsidTr="007D1DD3">
        <w:trPr>
          <w:jc w:val="center"/>
        </w:trPr>
        <w:tc>
          <w:tcPr>
            <w:tcW w:w="112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Albumin (g/dL)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3.62 ± 0.3</w:t>
            </w:r>
          </w:p>
        </w:tc>
        <w:tc>
          <w:tcPr>
            <w:tcW w:w="934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3.42 ± 0.83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3.59 ± 0.29</w:t>
            </w:r>
          </w:p>
        </w:tc>
        <w:tc>
          <w:tcPr>
            <w:tcW w:w="432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1.049</w:t>
            </w:r>
          </w:p>
        </w:tc>
        <w:tc>
          <w:tcPr>
            <w:tcW w:w="641" w:type="pct"/>
            <w:vAlign w:val="center"/>
          </w:tcPr>
          <w:p w:rsidR="00797C03" w:rsidRPr="00E531DC" w:rsidRDefault="00797C03" w:rsidP="007D1DD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0.354</w:t>
            </w:r>
          </w:p>
        </w:tc>
      </w:tr>
    </w:tbl>
    <w:p w:rsidR="00797C03" w:rsidRPr="00E531DC" w:rsidRDefault="00797C03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797C03" w:rsidRPr="00E531DC" w:rsidRDefault="00797C03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  <w:sectPr w:rsidR="00797C03" w:rsidRPr="00E531DC" w:rsidSect="00797C03">
          <w:footnotePr>
            <w:numFmt w:val="chicago"/>
          </w:footnotePr>
          <w:type w:val="continuous"/>
          <w:pgSz w:w="12242" w:h="15842" w:code="1"/>
          <w:pgMar w:top="1440" w:right="1440" w:bottom="1440" w:left="1440" w:header="720" w:footer="720" w:gutter="0"/>
          <w:cols w:space="550"/>
          <w:docGrid w:linePitch="360"/>
        </w:sectPr>
      </w:pPr>
    </w:p>
    <w:p w:rsidR="00C85B33" w:rsidRPr="00E531DC" w:rsidRDefault="00C85B33" w:rsidP="00797C03">
      <w:pPr>
        <w:numPr>
          <w:ilvl w:val="0"/>
          <w:numId w:val="14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lastRenderedPageBreak/>
        <w:t>The patients were classified according to method of hemodialysis into 3 groups:</w:t>
      </w:r>
    </w:p>
    <w:p w:rsidR="00C85B33" w:rsidRPr="00E531DC" w:rsidRDefault="00C85B33" w:rsidP="00797C03">
      <w:pPr>
        <w:numPr>
          <w:ilvl w:val="0"/>
          <w:numId w:val="14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Patients on HDF (39 patients)</w:t>
      </w:r>
    </w:p>
    <w:p w:rsidR="00C85B33" w:rsidRPr="00E531DC" w:rsidRDefault="00C85B33" w:rsidP="00797C03">
      <w:pPr>
        <w:numPr>
          <w:ilvl w:val="0"/>
          <w:numId w:val="14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Patients on HF (40 patients)</w:t>
      </w:r>
    </w:p>
    <w:p w:rsidR="00C85B33" w:rsidRPr="00E531DC" w:rsidRDefault="00C85B33" w:rsidP="00797C03">
      <w:pPr>
        <w:numPr>
          <w:ilvl w:val="0"/>
          <w:numId w:val="14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lastRenderedPageBreak/>
        <w:t>Patients on LF (40 patients)</w:t>
      </w:r>
    </w:p>
    <w:p w:rsidR="00C85B33" w:rsidRPr="00E531DC" w:rsidRDefault="00C85B33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Comparative study between the 3 groups revealed non-significant difference as regards age,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lastRenderedPageBreak/>
        <w:t>baseline weight, height, BMI, MAC and skin fold thickness (p &gt; 0.05).</w:t>
      </w:r>
    </w:p>
    <w:p w:rsidR="00C85B33" w:rsidRPr="00E531DC" w:rsidRDefault="00C85B33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Comparative study between the 3 groups revealed non-significant difference as regards follow up weight, height, BMI, MAC and skin fold thickness (p &gt; 0.05).</w:t>
      </w:r>
    </w:p>
    <w:p w:rsidR="00C85B33" w:rsidRPr="00E531DC" w:rsidRDefault="00C85B33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Comparative study between the 3 groups revealed non-significant difference as regards all baseline laboratory variables (p &gt; 0.05).</w:t>
      </w:r>
    </w:p>
    <w:p w:rsidR="00104892" w:rsidRPr="00E531DC" w:rsidRDefault="00104892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Comparative study between the 3 groups revealed; highly significant decrease in TLC, ESR, CRP and PTH in HDF group compared to HF and LF groups; with highly significant statistical difference (p = 0.004, p = 0.006, p &lt; 0.0001, p &lt; 0.0001 respectively).</w:t>
      </w:r>
    </w:p>
    <w:p w:rsidR="00104892" w:rsidRPr="00E531DC" w:rsidRDefault="00104892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Comparative study between the 3 groups also revealed; highly significant increase in platelets and calcium in HDF group compared to HF and LF groups; with highly significant statistical difference (p = 0.01, p = 0.004 respectively).</w:t>
      </w:r>
    </w:p>
    <w:p w:rsidR="00104892" w:rsidRPr="00E531DC" w:rsidRDefault="00104892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Comparative study between the 3 groups also revealed non-significant difference as regards the remaining follow up laboratory variables (p &gt; 0.05).</w:t>
      </w:r>
    </w:p>
    <w:p w:rsidR="00104892" w:rsidRPr="00E531DC" w:rsidRDefault="00104892" w:rsidP="00797C0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b/>
          <w:bCs/>
          <w:sz w:val="20"/>
          <w:szCs w:val="20"/>
          <w:lang w:bidi="ar-EG"/>
        </w:rPr>
        <w:t>Paired comparative studies regarding HDF group:</w:t>
      </w:r>
    </w:p>
    <w:p w:rsidR="00104892" w:rsidRPr="00E531DC" w:rsidRDefault="00104892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We further analyzed and compared the 39 HDF patients according to the serial (pre and post-dialysis) clinical and laboratory measurements. </w:t>
      </w:r>
    </w:p>
    <w:p w:rsidR="00104892" w:rsidRPr="00E531DC" w:rsidRDefault="00104892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lastRenderedPageBreak/>
        <w:t>Comparative study between pre and post-dialysis measurements revealed non-significant difference regarding weight, height, BMI, MAC and skin fold thickness (p &gt; 0.05).</w:t>
      </w:r>
    </w:p>
    <w:p w:rsidR="00E531DC" w:rsidRPr="00E531DC" w:rsidRDefault="00E531DC" w:rsidP="00E531DC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Comparative study between the baseline and follow up laboratory measurements revealed; highly significant decrease in TLC, ESR, CRP, ferritin and PTH in follow up measurement; with highly significant statistical difference (p = 0.0002, p &lt; 0.0001, p &lt; 0.0001, p = 0.0466, p = 0.008 respectively).</w:t>
      </w:r>
    </w:p>
    <w:p w:rsidR="00E531DC" w:rsidRPr="00E531DC" w:rsidRDefault="00E531DC" w:rsidP="00E531DC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Comparative study between the baseline and follow up laboratory measurements also revealed; significant increase in hemoglobin and calcium in follow up measurement; with significant statistical difference (p = 0.0328, p = 0.01 respectively).</w:t>
      </w:r>
    </w:p>
    <w:p w:rsidR="00E531DC" w:rsidRPr="00E531DC" w:rsidRDefault="00E531DC" w:rsidP="00E531DC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Comparative study between the baseline and follow up laboratory measurements also revealed; non-significant difference as regards the remaining laboratory variables (p &gt; 0.05).</w:t>
      </w:r>
    </w:p>
    <w:p w:rsidR="00E531DC" w:rsidRPr="00E531DC" w:rsidRDefault="00E531DC" w:rsidP="00E531DC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b/>
          <w:bCs/>
          <w:sz w:val="20"/>
          <w:szCs w:val="20"/>
          <w:lang w:bidi="ar-EG"/>
        </w:rPr>
        <w:t>Paired comparative studies regarding HF group:</w:t>
      </w:r>
    </w:p>
    <w:p w:rsidR="00E531DC" w:rsidRPr="00E531DC" w:rsidRDefault="00E531DC" w:rsidP="00E531DC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We further analyzed and compared the 40 HF patients according to the serial (pre and post-dialysis) clinical and laboratory measurements. </w:t>
      </w:r>
    </w:p>
    <w:p w:rsidR="00E531DC" w:rsidRDefault="00E531DC" w:rsidP="00E531DC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Comparative study between pre and post-dialysis measurements revealed non-significant difference regarding weight, height, BMI, MAC and skin fold thickness (p &gt; 0.05).</w:t>
      </w:r>
      <w:r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</w:p>
    <w:p w:rsidR="00E531DC" w:rsidRPr="00E531DC" w:rsidRDefault="00E531DC" w:rsidP="00E531DC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  <w:sectPr w:rsidR="00E531DC" w:rsidRPr="00E531DC" w:rsidSect="00797C03">
          <w:footnotePr>
            <w:numFmt w:val="chicago"/>
          </w:footnotePr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B346B3" w:rsidRPr="00E531DC" w:rsidRDefault="00B346B3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584"/>
        <w:gridCol w:w="4892"/>
      </w:tblGrid>
      <w:tr w:rsidR="00104892" w:rsidRPr="00E531DC" w:rsidTr="0029645F">
        <w:trPr>
          <w:jc w:val="center"/>
        </w:trPr>
        <w:tc>
          <w:tcPr>
            <w:tcW w:w="2419" w:type="pct"/>
            <w:vAlign w:val="center"/>
          </w:tcPr>
          <w:p w:rsidR="00104892" w:rsidRPr="00E531DC" w:rsidRDefault="00104892" w:rsidP="00797C03">
            <w:pPr>
              <w:bidi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813602" cy="1620078"/>
                  <wp:effectExtent l="19050" t="0" r="5798" b="0"/>
                  <wp:docPr id="5" name="Chart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2581" w:type="pct"/>
            <w:vAlign w:val="center"/>
          </w:tcPr>
          <w:p w:rsidR="00104892" w:rsidRPr="00E531DC" w:rsidRDefault="00104892" w:rsidP="00797C03">
            <w:pPr>
              <w:bidi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628000" cy="1622330"/>
                  <wp:effectExtent l="19050" t="0" r="900" b="0"/>
                  <wp:docPr id="6" name="Char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104892" w:rsidRPr="00E531DC" w:rsidTr="0029645F">
        <w:trPr>
          <w:jc w:val="center"/>
        </w:trPr>
        <w:tc>
          <w:tcPr>
            <w:tcW w:w="2419" w:type="pct"/>
            <w:vAlign w:val="center"/>
          </w:tcPr>
          <w:p w:rsidR="00104892" w:rsidRPr="00E531DC" w:rsidRDefault="00104892" w:rsidP="00797C03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Figure (5): Mean CRP between the 3 study groups.</w:t>
            </w:r>
          </w:p>
        </w:tc>
        <w:tc>
          <w:tcPr>
            <w:tcW w:w="2581" w:type="pct"/>
            <w:vAlign w:val="center"/>
          </w:tcPr>
          <w:p w:rsidR="00104892" w:rsidRPr="00E531DC" w:rsidRDefault="00104892" w:rsidP="00797C03">
            <w:pPr>
              <w:bidi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Figure (6): Mean serum calcium between the 3 study groups.</w:t>
            </w:r>
          </w:p>
        </w:tc>
      </w:tr>
      <w:tr w:rsidR="00104892" w:rsidRPr="00E531DC" w:rsidTr="0029645F">
        <w:trPr>
          <w:jc w:val="center"/>
        </w:trPr>
        <w:tc>
          <w:tcPr>
            <w:tcW w:w="5000" w:type="pct"/>
            <w:gridSpan w:val="2"/>
            <w:vAlign w:val="center"/>
          </w:tcPr>
          <w:p w:rsidR="00104892" w:rsidRPr="00E531DC" w:rsidRDefault="00104892" w:rsidP="00797C03">
            <w:pPr>
              <w:bidi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684393" cy="1645920"/>
                  <wp:effectExtent l="19050" t="0" r="1657" b="0"/>
                  <wp:docPr id="8" name="Chart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104892" w:rsidRPr="00E531DC" w:rsidTr="0029645F">
        <w:trPr>
          <w:jc w:val="center"/>
        </w:trPr>
        <w:tc>
          <w:tcPr>
            <w:tcW w:w="5000" w:type="pct"/>
            <w:gridSpan w:val="2"/>
            <w:vAlign w:val="center"/>
          </w:tcPr>
          <w:p w:rsidR="00104892" w:rsidRPr="00E531DC" w:rsidRDefault="00104892" w:rsidP="00797C03">
            <w:pPr>
              <w:bidi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Figure (7): Mean PTH between the 3 study groups.</w:t>
            </w:r>
          </w:p>
        </w:tc>
      </w:tr>
    </w:tbl>
    <w:p w:rsidR="0029645F" w:rsidRDefault="0029645F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E531DC" w:rsidRPr="00E531DC" w:rsidRDefault="00E531DC" w:rsidP="00E531DC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29645F" w:rsidRPr="00E531DC" w:rsidRDefault="0029645F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  <w:sectPr w:rsidR="0029645F" w:rsidRPr="00E531DC" w:rsidSect="0029645F">
          <w:headerReference w:type="default" r:id="rId18"/>
          <w:footerReference w:type="default" r:id="rId19"/>
          <w:footnotePr>
            <w:numFmt w:val="chicago"/>
          </w:footnotePr>
          <w:type w:val="continuous"/>
          <w:pgSz w:w="12242" w:h="15842" w:code="1"/>
          <w:pgMar w:top="1440" w:right="1440" w:bottom="1440" w:left="1440" w:header="720" w:footer="720" w:gutter="0"/>
          <w:cols w:space="709"/>
          <w:docGrid w:linePitch="360"/>
        </w:sectPr>
      </w:pPr>
    </w:p>
    <w:p w:rsidR="00C85B33" w:rsidRPr="00E531DC" w:rsidRDefault="00C85B33" w:rsidP="00797C0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b/>
          <w:bCs/>
          <w:sz w:val="20"/>
          <w:szCs w:val="20"/>
          <w:lang w:bidi="ar-EG"/>
        </w:rPr>
        <w:lastRenderedPageBreak/>
        <w:t>Table (</w:t>
      </w:r>
      <w:r w:rsidR="008B2A3D" w:rsidRPr="00E531DC">
        <w:rPr>
          <w:rFonts w:ascii="Times New Roman" w:hAnsi="Times New Roman" w:cs="Times New Roman"/>
          <w:b/>
          <w:bCs/>
          <w:sz w:val="20"/>
          <w:szCs w:val="20"/>
          <w:lang w:bidi="ar-EG"/>
        </w:rPr>
        <w:t>2</w:t>
      </w:r>
      <w:r w:rsidRPr="00E531DC">
        <w:rPr>
          <w:rFonts w:ascii="Times New Roman" w:hAnsi="Times New Roman" w:cs="Times New Roman"/>
          <w:b/>
          <w:bCs/>
          <w:sz w:val="20"/>
          <w:szCs w:val="20"/>
          <w:lang w:bidi="ar-EG"/>
        </w:rPr>
        <w:t>): Comparison between HDF patients as regards serial pre and post-dialysis laboratory measurements using Paired t test: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887"/>
        <w:gridCol w:w="2399"/>
        <w:gridCol w:w="2460"/>
        <w:gridCol w:w="1730"/>
      </w:tblGrid>
      <w:tr w:rsidR="00C85B33" w:rsidRPr="00E531DC" w:rsidTr="0029645F">
        <w:trPr>
          <w:jc w:val="center"/>
        </w:trPr>
        <w:tc>
          <w:tcPr>
            <w:tcW w:w="1523" w:type="pct"/>
            <w:vMerge w:val="restart"/>
            <w:shd w:val="clear" w:color="auto" w:fill="BFBFBF" w:themeFill="background1" w:themeFillShade="BF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Variables </w:t>
            </w:r>
          </w:p>
        </w:tc>
        <w:tc>
          <w:tcPr>
            <w:tcW w:w="1266" w:type="pct"/>
            <w:shd w:val="clear" w:color="auto" w:fill="BFBFBF" w:themeFill="background1" w:themeFillShade="BF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st</w:t>
            </w:r>
            <w:r w:rsidR="0029645F"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measurement</w:t>
            </w:r>
          </w:p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(pre-dialysis)</w:t>
            </w:r>
          </w:p>
        </w:tc>
        <w:tc>
          <w:tcPr>
            <w:tcW w:w="1298" w:type="pct"/>
            <w:shd w:val="clear" w:color="auto" w:fill="BFBFBF" w:themeFill="background1" w:themeFillShade="BF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nd</w:t>
            </w:r>
            <w:r w:rsidR="0029645F"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measurement</w:t>
            </w:r>
          </w:p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(post-dialysis)</w:t>
            </w:r>
          </w:p>
        </w:tc>
        <w:tc>
          <w:tcPr>
            <w:tcW w:w="913" w:type="pct"/>
            <w:shd w:val="clear" w:color="auto" w:fill="BFBFBF" w:themeFill="background1" w:themeFillShade="BF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Paired</w:t>
            </w:r>
          </w:p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 test</w:t>
            </w:r>
          </w:p>
        </w:tc>
      </w:tr>
      <w:tr w:rsidR="00C85B33" w:rsidRPr="00E531DC" w:rsidTr="0029645F">
        <w:trPr>
          <w:jc w:val="center"/>
        </w:trPr>
        <w:tc>
          <w:tcPr>
            <w:tcW w:w="1523" w:type="pct"/>
            <w:vMerge/>
            <w:shd w:val="clear" w:color="auto" w:fill="BFBFBF" w:themeFill="background1" w:themeFillShade="BF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1266" w:type="pct"/>
            <w:shd w:val="clear" w:color="auto" w:fill="BFBFBF" w:themeFill="background1" w:themeFillShade="BF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Mean ± SD</w:t>
            </w:r>
          </w:p>
        </w:tc>
        <w:tc>
          <w:tcPr>
            <w:tcW w:w="1298" w:type="pct"/>
            <w:shd w:val="clear" w:color="auto" w:fill="BFBFBF" w:themeFill="background1" w:themeFillShade="BF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Mean ± SD</w:t>
            </w:r>
          </w:p>
        </w:tc>
        <w:tc>
          <w:tcPr>
            <w:tcW w:w="913" w:type="pct"/>
            <w:shd w:val="clear" w:color="auto" w:fill="BFBFBF" w:themeFill="background1" w:themeFillShade="BF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 value</w:t>
            </w:r>
          </w:p>
        </w:tc>
      </w:tr>
      <w:tr w:rsidR="00C85B33" w:rsidRPr="00E531DC" w:rsidTr="0029645F">
        <w:trPr>
          <w:jc w:val="center"/>
        </w:trPr>
        <w:tc>
          <w:tcPr>
            <w:tcW w:w="1523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Hb (g/dL)</w:t>
            </w:r>
          </w:p>
        </w:tc>
        <w:tc>
          <w:tcPr>
            <w:tcW w:w="1266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10.09 ± 1.31</w:t>
            </w:r>
          </w:p>
        </w:tc>
        <w:tc>
          <w:tcPr>
            <w:tcW w:w="1298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10.69 ± 1.12</w:t>
            </w:r>
          </w:p>
        </w:tc>
        <w:tc>
          <w:tcPr>
            <w:tcW w:w="913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0.0328*</w:t>
            </w:r>
          </w:p>
        </w:tc>
      </w:tr>
      <w:tr w:rsidR="00C85B33" w:rsidRPr="00E531DC" w:rsidTr="0029645F">
        <w:trPr>
          <w:jc w:val="center"/>
        </w:trPr>
        <w:tc>
          <w:tcPr>
            <w:tcW w:w="1523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TLC (10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3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/µL)</w:t>
            </w:r>
          </w:p>
        </w:tc>
        <w:tc>
          <w:tcPr>
            <w:tcW w:w="1266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6.48 ± 2.09</w:t>
            </w:r>
          </w:p>
        </w:tc>
        <w:tc>
          <w:tcPr>
            <w:tcW w:w="1298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4.48 ± 2.45</w:t>
            </w:r>
          </w:p>
        </w:tc>
        <w:tc>
          <w:tcPr>
            <w:tcW w:w="913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0.0002**</w:t>
            </w:r>
          </w:p>
        </w:tc>
      </w:tr>
      <w:tr w:rsidR="00C85B33" w:rsidRPr="00E531DC" w:rsidTr="0029645F">
        <w:trPr>
          <w:jc w:val="center"/>
        </w:trPr>
        <w:tc>
          <w:tcPr>
            <w:tcW w:w="1523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Platelets (10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3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/µL)</w:t>
            </w:r>
          </w:p>
        </w:tc>
        <w:tc>
          <w:tcPr>
            <w:tcW w:w="1266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229.97 ± 56.23</w:t>
            </w:r>
          </w:p>
        </w:tc>
        <w:tc>
          <w:tcPr>
            <w:tcW w:w="1298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242.08 ± 75.15</w:t>
            </w:r>
          </w:p>
        </w:tc>
        <w:tc>
          <w:tcPr>
            <w:tcW w:w="913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0.446</w:t>
            </w:r>
          </w:p>
        </w:tc>
      </w:tr>
      <w:tr w:rsidR="00C85B33" w:rsidRPr="00E531DC" w:rsidTr="0029645F">
        <w:trPr>
          <w:jc w:val="center"/>
        </w:trPr>
        <w:tc>
          <w:tcPr>
            <w:tcW w:w="1523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ESR (mm/hr)</w:t>
            </w:r>
          </w:p>
        </w:tc>
        <w:tc>
          <w:tcPr>
            <w:tcW w:w="1266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46.46 ± 6.62</w:t>
            </w:r>
          </w:p>
        </w:tc>
        <w:tc>
          <w:tcPr>
            <w:tcW w:w="1298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10.15 ± 31.24</w:t>
            </w:r>
          </w:p>
        </w:tc>
        <w:tc>
          <w:tcPr>
            <w:tcW w:w="913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&lt; 0.0001**</w:t>
            </w:r>
          </w:p>
        </w:tc>
      </w:tr>
      <w:tr w:rsidR="00C85B33" w:rsidRPr="00E531DC" w:rsidTr="0029645F">
        <w:trPr>
          <w:jc w:val="center"/>
        </w:trPr>
        <w:tc>
          <w:tcPr>
            <w:tcW w:w="1523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CRP (mg/dL)</w:t>
            </w:r>
          </w:p>
        </w:tc>
        <w:tc>
          <w:tcPr>
            <w:tcW w:w="1266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58.79 ± 16.39</w:t>
            </w:r>
          </w:p>
        </w:tc>
        <w:tc>
          <w:tcPr>
            <w:tcW w:w="1298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18.56 ± 14.79</w:t>
            </w:r>
          </w:p>
        </w:tc>
        <w:tc>
          <w:tcPr>
            <w:tcW w:w="913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&lt; 0.0001**</w:t>
            </w:r>
          </w:p>
        </w:tc>
      </w:tr>
      <w:tr w:rsidR="00C85B33" w:rsidRPr="00E531DC" w:rsidTr="0029645F">
        <w:trPr>
          <w:jc w:val="center"/>
        </w:trPr>
        <w:tc>
          <w:tcPr>
            <w:tcW w:w="1523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Ferritin (ng/mL)</w:t>
            </w:r>
          </w:p>
        </w:tc>
        <w:tc>
          <w:tcPr>
            <w:tcW w:w="1266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436.92 ± 122.61</w:t>
            </w:r>
          </w:p>
        </w:tc>
        <w:tc>
          <w:tcPr>
            <w:tcW w:w="1298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388.13 ± 87.46</w:t>
            </w:r>
          </w:p>
        </w:tc>
        <w:tc>
          <w:tcPr>
            <w:tcW w:w="913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0.0466*</w:t>
            </w:r>
          </w:p>
        </w:tc>
      </w:tr>
      <w:tr w:rsidR="00C85B33" w:rsidRPr="00E531DC" w:rsidTr="0029645F">
        <w:trPr>
          <w:jc w:val="center"/>
        </w:trPr>
        <w:tc>
          <w:tcPr>
            <w:tcW w:w="1523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Ca (mg/dL)</w:t>
            </w:r>
          </w:p>
        </w:tc>
        <w:tc>
          <w:tcPr>
            <w:tcW w:w="1266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9.06 ± 0.6</w:t>
            </w:r>
          </w:p>
        </w:tc>
        <w:tc>
          <w:tcPr>
            <w:tcW w:w="1298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9.49 ± 0.82</w:t>
            </w:r>
          </w:p>
        </w:tc>
        <w:tc>
          <w:tcPr>
            <w:tcW w:w="913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0.01*</w:t>
            </w:r>
          </w:p>
        </w:tc>
      </w:tr>
      <w:tr w:rsidR="00C85B33" w:rsidRPr="00E531DC" w:rsidTr="0029645F">
        <w:trPr>
          <w:jc w:val="center"/>
        </w:trPr>
        <w:tc>
          <w:tcPr>
            <w:tcW w:w="1523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PO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-EG"/>
              </w:rPr>
              <w:t>4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(mg/dL)</w:t>
            </w:r>
          </w:p>
        </w:tc>
        <w:tc>
          <w:tcPr>
            <w:tcW w:w="1266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4.97 ± 1.39</w:t>
            </w:r>
          </w:p>
        </w:tc>
        <w:tc>
          <w:tcPr>
            <w:tcW w:w="1298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4.82 ± 1.3</w:t>
            </w:r>
          </w:p>
        </w:tc>
        <w:tc>
          <w:tcPr>
            <w:tcW w:w="913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0.574</w:t>
            </w:r>
          </w:p>
        </w:tc>
      </w:tr>
      <w:tr w:rsidR="00C85B33" w:rsidRPr="00E531DC" w:rsidTr="0029645F">
        <w:trPr>
          <w:jc w:val="center"/>
        </w:trPr>
        <w:tc>
          <w:tcPr>
            <w:tcW w:w="1523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PTH (pg/ml)</w:t>
            </w:r>
          </w:p>
        </w:tc>
        <w:tc>
          <w:tcPr>
            <w:tcW w:w="1266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702.49 ± 261.69</w:t>
            </w:r>
          </w:p>
        </w:tc>
        <w:tc>
          <w:tcPr>
            <w:tcW w:w="1298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416.79 ± 566.56</w:t>
            </w:r>
          </w:p>
        </w:tc>
        <w:tc>
          <w:tcPr>
            <w:tcW w:w="913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0.008**</w:t>
            </w:r>
          </w:p>
        </w:tc>
      </w:tr>
      <w:tr w:rsidR="00C85B33" w:rsidRPr="00E531DC" w:rsidTr="0029645F">
        <w:trPr>
          <w:jc w:val="center"/>
        </w:trPr>
        <w:tc>
          <w:tcPr>
            <w:tcW w:w="1523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Total protein (g/dL)</w:t>
            </w:r>
          </w:p>
        </w:tc>
        <w:tc>
          <w:tcPr>
            <w:tcW w:w="1266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6.94 ± 0.41</w:t>
            </w:r>
          </w:p>
        </w:tc>
        <w:tc>
          <w:tcPr>
            <w:tcW w:w="1298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7.14 ± 0.51</w:t>
            </w:r>
          </w:p>
        </w:tc>
        <w:tc>
          <w:tcPr>
            <w:tcW w:w="913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0.065</w:t>
            </w:r>
          </w:p>
        </w:tc>
      </w:tr>
      <w:tr w:rsidR="00C85B33" w:rsidRPr="00E531DC" w:rsidTr="0029645F">
        <w:trPr>
          <w:jc w:val="center"/>
        </w:trPr>
        <w:tc>
          <w:tcPr>
            <w:tcW w:w="1523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Albumin (g/dL)</w:t>
            </w:r>
          </w:p>
        </w:tc>
        <w:tc>
          <w:tcPr>
            <w:tcW w:w="1266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3.72 ± 0.33</w:t>
            </w:r>
          </w:p>
        </w:tc>
        <w:tc>
          <w:tcPr>
            <w:tcW w:w="1298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3.62 ± 0.3</w:t>
            </w:r>
          </w:p>
        </w:tc>
        <w:tc>
          <w:tcPr>
            <w:tcW w:w="913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0.1655</w:t>
            </w:r>
          </w:p>
        </w:tc>
      </w:tr>
    </w:tbl>
    <w:p w:rsidR="0029645F" w:rsidRPr="00E531DC" w:rsidRDefault="0029645F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E531DC" w:rsidRDefault="00E531DC" w:rsidP="00797C0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C85B33" w:rsidRPr="00E531DC" w:rsidRDefault="00C85B33" w:rsidP="00E531DC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Table (3): Comparison between HF patients as regards serial pre and post-dialysis laboratory measurements using Paired t test: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916"/>
        <w:gridCol w:w="2411"/>
        <w:gridCol w:w="2487"/>
        <w:gridCol w:w="1662"/>
      </w:tblGrid>
      <w:tr w:rsidR="00C85B33" w:rsidRPr="00E531DC" w:rsidTr="0029645F">
        <w:trPr>
          <w:jc w:val="center"/>
        </w:trPr>
        <w:tc>
          <w:tcPr>
            <w:tcW w:w="1539" w:type="pct"/>
            <w:vMerge w:val="restart"/>
            <w:shd w:val="clear" w:color="auto" w:fill="BFBFBF" w:themeFill="background1" w:themeFillShade="BF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Variables </w:t>
            </w:r>
          </w:p>
        </w:tc>
        <w:tc>
          <w:tcPr>
            <w:tcW w:w="1272" w:type="pct"/>
            <w:shd w:val="clear" w:color="auto" w:fill="BFBFBF" w:themeFill="background1" w:themeFillShade="BF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st</w:t>
            </w:r>
            <w:r w:rsidR="0029645F"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measurement</w:t>
            </w:r>
          </w:p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(pre-dialysis)</w:t>
            </w:r>
          </w:p>
        </w:tc>
        <w:tc>
          <w:tcPr>
            <w:tcW w:w="1312" w:type="pct"/>
            <w:shd w:val="clear" w:color="auto" w:fill="BFBFBF" w:themeFill="background1" w:themeFillShade="BF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nd</w:t>
            </w:r>
            <w:r w:rsidR="0029645F"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measurement</w:t>
            </w:r>
          </w:p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(post-dialysis)</w:t>
            </w:r>
          </w:p>
        </w:tc>
        <w:tc>
          <w:tcPr>
            <w:tcW w:w="877" w:type="pct"/>
            <w:shd w:val="clear" w:color="auto" w:fill="BFBFBF" w:themeFill="background1" w:themeFillShade="BF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Paired</w:t>
            </w:r>
          </w:p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 test</w:t>
            </w:r>
          </w:p>
        </w:tc>
      </w:tr>
      <w:tr w:rsidR="00C85B33" w:rsidRPr="00E531DC" w:rsidTr="0029645F">
        <w:trPr>
          <w:jc w:val="center"/>
        </w:trPr>
        <w:tc>
          <w:tcPr>
            <w:tcW w:w="1539" w:type="pct"/>
            <w:vMerge/>
            <w:shd w:val="clear" w:color="auto" w:fill="BFBFBF" w:themeFill="background1" w:themeFillShade="BF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1272" w:type="pct"/>
            <w:shd w:val="clear" w:color="auto" w:fill="BFBFBF" w:themeFill="background1" w:themeFillShade="BF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Mean ± SD</w:t>
            </w:r>
          </w:p>
        </w:tc>
        <w:tc>
          <w:tcPr>
            <w:tcW w:w="1312" w:type="pct"/>
            <w:shd w:val="clear" w:color="auto" w:fill="BFBFBF" w:themeFill="background1" w:themeFillShade="BF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Mean ± SD</w:t>
            </w:r>
          </w:p>
        </w:tc>
        <w:tc>
          <w:tcPr>
            <w:tcW w:w="877" w:type="pct"/>
            <w:shd w:val="clear" w:color="auto" w:fill="BFBFBF" w:themeFill="background1" w:themeFillShade="BF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 value</w:t>
            </w:r>
          </w:p>
        </w:tc>
      </w:tr>
      <w:tr w:rsidR="00C85B33" w:rsidRPr="00E531DC" w:rsidTr="0029645F">
        <w:trPr>
          <w:jc w:val="center"/>
        </w:trPr>
        <w:tc>
          <w:tcPr>
            <w:tcW w:w="1539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Hb (g/dL)</w:t>
            </w:r>
          </w:p>
        </w:tc>
        <w:tc>
          <w:tcPr>
            <w:tcW w:w="1272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9.72 ± 2.46</w:t>
            </w:r>
          </w:p>
        </w:tc>
        <w:tc>
          <w:tcPr>
            <w:tcW w:w="1312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10.78 ± 1.22</w:t>
            </w:r>
          </w:p>
        </w:tc>
        <w:tc>
          <w:tcPr>
            <w:tcW w:w="877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0.017*</w:t>
            </w:r>
          </w:p>
        </w:tc>
      </w:tr>
      <w:tr w:rsidR="00C85B33" w:rsidRPr="00E531DC" w:rsidTr="0029645F">
        <w:trPr>
          <w:jc w:val="center"/>
        </w:trPr>
        <w:tc>
          <w:tcPr>
            <w:tcW w:w="1539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TLC (10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3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/µL)</w:t>
            </w:r>
          </w:p>
        </w:tc>
        <w:tc>
          <w:tcPr>
            <w:tcW w:w="1272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6.76 ± 2.78</w:t>
            </w:r>
          </w:p>
        </w:tc>
        <w:tc>
          <w:tcPr>
            <w:tcW w:w="1312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5.91 ± 1.84</w:t>
            </w:r>
          </w:p>
        </w:tc>
        <w:tc>
          <w:tcPr>
            <w:tcW w:w="877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0.003**</w:t>
            </w:r>
          </w:p>
        </w:tc>
      </w:tr>
      <w:tr w:rsidR="00C85B33" w:rsidRPr="00E531DC" w:rsidTr="0029645F">
        <w:trPr>
          <w:jc w:val="center"/>
        </w:trPr>
        <w:tc>
          <w:tcPr>
            <w:tcW w:w="1539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Platelets (10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3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/µL)</w:t>
            </w:r>
          </w:p>
        </w:tc>
        <w:tc>
          <w:tcPr>
            <w:tcW w:w="1272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203.55 ± 50.18</w:t>
            </w:r>
          </w:p>
        </w:tc>
        <w:tc>
          <w:tcPr>
            <w:tcW w:w="1312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190.28 ± 79.51</w:t>
            </w:r>
          </w:p>
        </w:tc>
        <w:tc>
          <w:tcPr>
            <w:tcW w:w="877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</w:rPr>
              <w:t>0.375</w:t>
            </w:r>
          </w:p>
        </w:tc>
      </w:tr>
      <w:tr w:rsidR="00C85B33" w:rsidRPr="00E531DC" w:rsidTr="0029645F">
        <w:trPr>
          <w:jc w:val="center"/>
        </w:trPr>
        <w:tc>
          <w:tcPr>
            <w:tcW w:w="1539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ESR (mm/hr)</w:t>
            </w:r>
          </w:p>
        </w:tc>
        <w:tc>
          <w:tcPr>
            <w:tcW w:w="1272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47.4 ± 27.08</w:t>
            </w:r>
          </w:p>
        </w:tc>
        <w:tc>
          <w:tcPr>
            <w:tcW w:w="1312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31.33 ± 31.96</w:t>
            </w:r>
          </w:p>
        </w:tc>
        <w:tc>
          <w:tcPr>
            <w:tcW w:w="877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0.008**</w:t>
            </w:r>
          </w:p>
        </w:tc>
      </w:tr>
      <w:tr w:rsidR="00C85B33" w:rsidRPr="00E531DC" w:rsidTr="0029645F">
        <w:trPr>
          <w:jc w:val="center"/>
        </w:trPr>
        <w:tc>
          <w:tcPr>
            <w:tcW w:w="1539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CRP (mg/dL)</w:t>
            </w:r>
          </w:p>
        </w:tc>
        <w:tc>
          <w:tcPr>
            <w:tcW w:w="1272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50.55 ± 22.13</w:t>
            </w:r>
          </w:p>
        </w:tc>
        <w:tc>
          <w:tcPr>
            <w:tcW w:w="1312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23.48 ± 17.61</w:t>
            </w:r>
          </w:p>
        </w:tc>
        <w:tc>
          <w:tcPr>
            <w:tcW w:w="877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&lt;0.0001**</w:t>
            </w:r>
          </w:p>
        </w:tc>
      </w:tr>
      <w:tr w:rsidR="00C85B33" w:rsidRPr="00E531DC" w:rsidTr="0029645F">
        <w:trPr>
          <w:jc w:val="center"/>
        </w:trPr>
        <w:tc>
          <w:tcPr>
            <w:tcW w:w="1539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Ferritin (ng/mL)</w:t>
            </w:r>
          </w:p>
        </w:tc>
        <w:tc>
          <w:tcPr>
            <w:tcW w:w="1272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435 ± 420.85</w:t>
            </w:r>
          </w:p>
        </w:tc>
        <w:tc>
          <w:tcPr>
            <w:tcW w:w="1312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377.9 ± 350.09</w:t>
            </w:r>
          </w:p>
        </w:tc>
        <w:tc>
          <w:tcPr>
            <w:tcW w:w="877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</w:rPr>
              <w:t>0.499</w:t>
            </w:r>
          </w:p>
        </w:tc>
      </w:tr>
      <w:tr w:rsidR="00C85B33" w:rsidRPr="00E531DC" w:rsidTr="0029645F">
        <w:trPr>
          <w:jc w:val="center"/>
        </w:trPr>
        <w:tc>
          <w:tcPr>
            <w:tcW w:w="1539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Ca (mg/dL)</w:t>
            </w:r>
          </w:p>
        </w:tc>
        <w:tc>
          <w:tcPr>
            <w:tcW w:w="1272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8.77 ± 0.62</w:t>
            </w:r>
          </w:p>
        </w:tc>
        <w:tc>
          <w:tcPr>
            <w:tcW w:w="1312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8.1 ± 0.02</w:t>
            </w:r>
          </w:p>
        </w:tc>
        <w:tc>
          <w:tcPr>
            <w:tcW w:w="877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</w:rPr>
              <w:t>0.052</w:t>
            </w:r>
          </w:p>
        </w:tc>
      </w:tr>
      <w:tr w:rsidR="00C85B33" w:rsidRPr="00E531DC" w:rsidTr="0029645F">
        <w:trPr>
          <w:jc w:val="center"/>
        </w:trPr>
        <w:tc>
          <w:tcPr>
            <w:tcW w:w="1539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PO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-EG"/>
              </w:rPr>
              <w:t>4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(mg/dL)</w:t>
            </w:r>
          </w:p>
        </w:tc>
        <w:tc>
          <w:tcPr>
            <w:tcW w:w="1272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5.22 ± 1.28</w:t>
            </w:r>
          </w:p>
        </w:tc>
        <w:tc>
          <w:tcPr>
            <w:tcW w:w="1312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4.55 ± 1.78</w:t>
            </w:r>
          </w:p>
        </w:tc>
        <w:tc>
          <w:tcPr>
            <w:tcW w:w="877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0.056</w:t>
            </w:r>
          </w:p>
        </w:tc>
      </w:tr>
      <w:tr w:rsidR="00C85B33" w:rsidRPr="00E531DC" w:rsidTr="0029645F">
        <w:trPr>
          <w:jc w:val="center"/>
        </w:trPr>
        <w:tc>
          <w:tcPr>
            <w:tcW w:w="1539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PTH (pg/ml)</w:t>
            </w:r>
          </w:p>
        </w:tc>
        <w:tc>
          <w:tcPr>
            <w:tcW w:w="1272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672.6 ± 633.44</w:t>
            </w:r>
          </w:p>
        </w:tc>
        <w:tc>
          <w:tcPr>
            <w:tcW w:w="1312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606.35 ± 623.54</w:t>
            </w:r>
          </w:p>
        </w:tc>
        <w:tc>
          <w:tcPr>
            <w:tcW w:w="877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0.627</w:t>
            </w:r>
          </w:p>
        </w:tc>
      </w:tr>
      <w:tr w:rsidR="00C85B33" w:rsidRPr="00E531DC" w:rsidTr="0029645F">
        <w:trPr>
          <w:jc w:val="center"/>
        </w:trPr>
        <w:tc>
          <w:tcPr>
            <w:tcW w:w="1539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Total protein (g/dL)</w:t>
            </w:r>
          </w:p>
        </w:tc>
        <w:tc>
          <w:tcPr>
            <w:tcW w:w="1272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7.11 ± 0.68</w:t>
            </w:r>
          </w:p>
        </w:tc>
        <w:tc>
          <w:tcPr>
            <w:tcW w:w="1312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6.96 ± 1.69</w:t>
            </w:r>
          </w:p>
        </w:tc>
        <w:tc>
          <w:tcPr>
            <w:tcW w:w="877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</w:rPr>
              <w:t>0.607</w:t>
            </w:r>
          </w:p>
        </w:tc>
      </w:tr>
      <w:tr w:rsidR="00C85B33" w:rsidRPr="00E531DC" w:rsidTr="0029645F">
        <w:trPr>
          <w:jc w:val="center"/>
        </w:trPr>
        <w:tc>
          <w:tcPr>
            <w:tcW w:w="1539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Albumin (g/dL)</w:t>
            </w:r>
          </w:p>
        </w:tc>
        <w:tc>
          <w:tcPr>
            <w:tcW w:w="1272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3.69 ±0.53</w:t>
            </w:r>
          </w:p>
        </w:tc>
        <w:tc>
          <w:tcPr>
            <w:tcW w:w="1312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3.42 ± 0.83</w:t>
            </w:r>
          </w:p>
        </w:tc>
        <w:tc>
          <w:tcPr>
            <w:tcW w:w="877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</w:rPr>
              <w:t>0.103</w:t>
            </w:r>
          </w:p>
        </w:tc>
      </w:tr>
    </w:tbl>
    <w:p w:rsidR="0029645F" w:rsidRDefault="0029645F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E531DC" w:rsidRDefault="00E531DC" w:rsidP="00E531DC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E531DC" w:rsidRPr="00E531DC" w:rsidRDefault="00E531DC" w:rsidP="00E531DC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29645F" w:rsidRPr="00E531DC" w:rsidRDefault="0029645F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  <w:sectPr w:rsidR="0029645F" w:rsidRPr="00E531DC" w:rsidSect="0029645F">
          <w:footnotePr>
            <w:numFmt w:val="chicago"/>
          </w:footnotePr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360"/>
        </w:sectPr>
      </w:pPr>
    </w:p>
    <w:p w:rsidR="00C85B33" w:rsidRPr="00E531DC" w:rsidRDefault="00C85B33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lastRenderedPageBreak/>
        <w:t>Comparative study between the baseline and follow up laboratory measurements revealed; highly significant decrease in TLC, ESR and CRP in follow up measurement; with highly significant statistical difference (p = 0.003, p = 0.008, p &lt; 0.0001 respectively).</w:t>
      </w:r>
    </w:p>
    <w:p w:rsidR="00C85B33" w:rsidRPr="00E531DC" w:rsidRDefault="00C85B33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Comparative study between the baseline and follow up laboratory measurements also revealed; significant increase in hemoglobin in follow up measurement; with significant statistical difference (p = 0.017).</w:t>
      </w:r>
    </w:p>
    <w:p w:rsidR="00C85B33" w:rsidRPr="00E531DC" w:rsidRDefault="00C85B33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lastRenderedPageBreak/>
        <w:t>Comparative study between the baseline and follow up laboratory measurements also revealed; non-significant difference as regards the remaining laboratory variables (p &gt; 0.05).</w:t>
      </w:r>
    </w:p>
    <w:p w:rsidR="00C85B33" w:rsidRPr="00E531DC" w:rsidRDefault="00C85B33" w:rsidP="00797C0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b/>
          <w:bCs/>
          <w:sz w:val="20"/>
          <w:szCs w:val="20"/>
          <w:lang w:bidi="ar-EG"/>
        </w:rPr>
        <w:t>Paired comparative studies regarding LF group:</w:t>
      </w:r>
    </w:p>
    <w:p w:rsidR="00C85B33" w:rsidRPr="00E531DC" w:rsidRDefault="00C85B33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We further analyzed and compared the 40 LF patients according to the serial (pre and post-dialysis) clinical and laboratory measurements. </w:t>
      </w:r>
    </w:p>
    <w:p w:rsidR="00C85B33" w:rsidRPr="00E531DC" w:rsidRDefault="00C85B33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Comparative study between pre and post-dialysis measurements revealed non-significant difference regarding weight, height, BMI, MAC and skin fold thickness (p &gt; 0.05).</w:t>
      </w:r>
    </w:p>
    <w:p w:rsidR="0029645F" w:rsidRPr="00E531DC" w:rsidRDefault="0029645F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  <w:sectPr w:rsidR="0029645F" w:rsidRPr="00E531DC" w:rsidSect="00797C03">
          <w:footnotePr>
            <w:numFmt w:val="chicago"/>
          </w:footnotePr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901B16" w:rsidRPr="00E531DC" w:rsidRDefault="00901B16" w:rsidP="00797C03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</w:p>
    <w:p w:rsidR="00E531DC" w:rsidRDefault="00E531DC" w:rsidP="00797C0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E531DC" w:rsidRDefault="00E531DC" w:rsidP="00E531DC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E531DC" w:rsidRDefault="00E531DC" w:rsidP="00E531DC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E531DC" w:rsidRDefault="00E531DC" w:rsidP="00E531DC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E531DC" w:rsidRDefault="00E531DC" w:rsidP="00E531DC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C85B33" w:rsidRPr="00E531DC" w:rsidRDefault="00C85B33" w:rsidP="00E531DC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Table (</w:t>
      </w:r>
      <w:r w:rsidR="008B2A3D" w:rsidRPr="00E531DC">
        <w:rPr>
          <w:rFonts w:ascii="Times New Roman" w:hAnsi="Times New Roman" w:cs="Times New Roman"/>
          <w:sz w:val="20"/>
          <w:szCs w:val="20"/>
          <w:lang w:bidi="ar-EG"/>
        </w:rPr>
        <w:t>4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): Comparison between LF patients as regards serial pre and post-dialysis laboratory measurements using Paired t test: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913"/>
        <w:gridCol w:w="2420"/>
        <w:gridCol w:w="2483"/>
        <w:gridCol w:w="1660"/>
      </w:tblGrid>
      <w:tr w:rsidR="00C85B33" w:rsidRPr="00E531DC" w:rsidTr="0029645F">
        <w:trPr>
          <w:jc w:val="center"/>
        </w:trPr>
        <w:tc>
          <w:tcPr>
            <w:tcW w:w="1537" w:type="pct"/>
            <w:vMerge w:val="restart"/>
            <w:shd w:val="clear" w:color="auto" w:fill="BFBFBF" w:themeFill="background1" w:themeFillShade="BF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Variables </w:t>
            </w:r>
          </w:p>
        </w:tc>
        <w:tc>
          <w:tcPr>
            <w:tcW w:w="1277" w:type="pct"/>
            <w:shd w:val="clear" w:color="auto" w:fill="BFBFBF" w:themeFill="background1" w:themeFillShade="BF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st</w:t>
            </w:r>
            <w:r w:rsidR="0029645F"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measurement</w:t>
            </w:r>
          </w:p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(pre-dialysis)</w:t>
            </w:r>
          </w:p>
        </w:tc>
        <w:tc>
          <w:tcPr>
            <w:tcW w:w="1310" w:type="pct"/>
            <w:shd w:val="clear" w:color="auto" w:fill="BFBFBF" w:themeFill="background1" w:themeFillShade="BF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2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nd</w:t>
            </w:r>
            <w:r w:rsidR="0029645F"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measurement</w:t>
            </w:r>
          </w:p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(post-dialysis)</w:t>
            </w:r>
          </w:p>
        </w:tc>
        <w:tc>
          <w:tcPr>
            <w:tcW w:w="876" w:type="pct"/>
            <w:shd w:val="clear" w:color="auto" w:fill="BFBFBF" w:themeFill="background1" w:themeFillShade="BF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Paired</w:t>
            </w:r>
          </w:p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 test</w:t>
            </w:r>
          </w:p>
        </w:tc>
      </w:tr>
      <w:tr w:rsidR="00C85B33" w:rsidRPr="00E531DC" w:rsidTr="0029645F">
        <w:trPr>
          <w:jc w:val="center"/>
        </w:trPr>
        <w:tc>
          <w:tcPr>
            <w:tcW w:w="1537" w:type="pct"/>
            <w:vMerge/>
            <w:shd w:val="clear" w:color="auto" w:fill="BFBFBF" w:themeFill="background1" w:themeFillShade="BF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</w:p>
        </w:tc>
        <w:tc>
          <w:tcPr>
            <w:tcW w:w="1277" w:type="pct"/>
            <w:shd w:val="clear" w:color="auto" w:fill="BFBFBF" w:themeFill="background1" w:themeFillShade="BF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Mean ± SD</w:t>
            </w:r>
          </w:p>
        </w:tc>
        <w:tc>
          <w:tcPr>
            <w:tcW w:w="1310" w:type="pct"/>
            <w:shd w:val="clear" w:color="auto" w:fill="BFBFBF" w:themeFill="background1" w:themeFillShade="BF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Mean ± SD</w:t>
            </w:r>
          </w:p>
        </w:tc>
        <w:tc>
          <w:tcPr>
            <w:tcW w:w="876" w:type="pct"/>
            <w:shd w:val="clear" w:color="auto" w:fill="BFBFBF" w:themeFill="background1" w:themeFillShade="BF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 value</w:t>
            </w:r>
          </w:p>
        </w:tc>
      </w:tr>
      <w:tr w:rsidR="00C85B33" w:rsidRPr="00E531DC" w:rsidTr="0029645F">
        <w:trPr>
          <w:jc w:val="center"/>
        </w:trPr>
        <w:tc>
          <w:tcPr>
            <w:tcW w:w="1537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Hb (g/dL)</w:t>
            </w:r>
          </w:p>
        </w:tc>
        <w:tc>
          <w:tcPr>
            <w:tcW w:w="1277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10.20 ± 1.53</w:t>
            </w:r>
          </w:p>
        </w:tc>
        <w:tc>
          <w:tcPr>
            <w:tcW w:w="1310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9.31 ± 1.16</w:t>
            </w:r>
          </w:p>
        </w:tc>
        <w:tc>
          <w:tcPr>
            <w:tcW w:w="876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0.004**</w:t>
            </w:r>
          </w:p>
        </w:tc>
      </w:tr>
      <w:tr w:rsidR="00C85B33" w:rsidRPr="00E531DC" w:rsidTr="0029645F">
        <w:trPr>
          <w:jc w:val="center"/>
        </w:trPr>
        <w:tc>
          <w:tcPr>
            <w:tcW w:w="1537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TLC (10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3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/µL)</w:t>
            </w:r>
          </w:p>
        </w:tc>
        <w:tc>
          <w:tcPr>
            <w:tcW w:w="1277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6.61 ± 2.24</w:t>
            </w:r>
          </w:p>
        </w:tc>
        <w:tc>
          <w:tcPr>
            <w:tcW w:w="1310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8.77 ± 3.03</w:t>
            </w:r>
          </w:p>
        </w:tc>
        <w:tc>
          <w:tcPr>
            <w:tcW w:w="876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&lt;0.0001**</w:t>
            </w:r>
          </w:p>
        </w:tc>
      </w:tr>
      <w:tr w:rsidR="00C85B33" w:rsidRPr="00E531DC" w:rsidTr="0029645F">
        <w:trPr>
          <w:jc w:val="center"/>
        </w:trPr>
        <w:tc>
          <w:tcPr>
            <w:tcW w:w="1537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Platelets (10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ar-EG"/>
              </w:rPr>
              <w:t>3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/µL)</w:t>
            </w:r>
          </w:p>
        </w:tc>
        <w:tc>
          <w:tcPr>
            <w:tcW w:w="1277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228.7 ± 72.62</w:t>
            </w:r>
          </w:p>
        </w:tc>
        <w:tc>
          <w:tcPr>
            <w:tcW w:w="1310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220.4 ± 69.35</w:t>
            </w:r>
          </w:p>
        </w:tc>
        <w:tc>
          <w:tcPr>
            <w:tcW w:w="876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0.467</w:t>
            </w:r>
          </w:p>
        </w:tc>
      </w:tr>
      <w:tr w:rsidR="00C85B33" w:rsidRPr="00E531DC" w:rsidTr="0029645F">
        <w:trPr>
          <w:jc w:val="center"/>
        </w:trPr>
        <w:tc>
          <w:tcPr>
            <w:tcW w:w="1537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ESR (mm/hr)</w:t>
            </w:r>
          </w:p>
        </w:tc>
        <w:tc>
          <w:tcPr>
            <w:tcW w:w="1277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33.62 ± 23.48</w:t>
            </w:r>
          </w:p>
        </w:tc>
        <w:tc>
          <w:tcPr>
            <w:tcW w:w="1310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45.68 ± 22.14</w:t>
            </w:r>
          </w:p>
        </w:tc>
        <w:tc>
          <w:tcPr>
            <w:tcW w:w="876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&lt;0.0001**</w:t>
            </w:r>
          </w:p>
        </w:tc>
      </w:tr>
      <w:tr w:rsidR="00C85B33" w:rsidRPr="00E531DC" w:rsidTr="0029645F">
        <w:trPr>
          <w:jc w:val="center"/>
        </w:trPr>
        <w:tc>
          <w:tcPr>
            <w:tcW w:w="1537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CRP (mg/dL)</w:t>
            </w:r>
          </w:p>
        </w:tc>
        <w:tc>
          <w:tcPr>
            <w:tcW w:w="1277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36.4 ± 15.56</w:t>
            </w:r>
          </w:p>
        </w:tc>
        <w:tc>
          <w:tcPr>
            <w:tcW w:w="1310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46.38 ± 25.85</w:t>
            </w:r>
          </w:p>
        </w:tc>
        <w:tc>
          <w:tcPr>
            <w:tcW w:w="876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&lt;0.0001**</w:t>
            </w:r>
          </w:p>
        </w:tc>
      </w:tr>
      <w:tr w:rsidR="00C85B33" w:rsidRPr="00E531DC" w:rsidTr="0029645F">
        <w:trPr>
          <w:jc w:val="center"/>
        </w:trPr>
        <w:tc>
          <w:tcPr>
            <w:tcW w:w="1537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Ferritin (ng/mL)</w:t>
            </w:r>
          </w:p>
        </w:tc>
        <w:tc>
          <w:tcPr>
            <w:tcW w:w="1277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384.42 ± 465.1</w:t>
            </w:r>
          </w:p>
        </w:tc>
        <w:tc>
          <w:tcPr>
            <w:tcW w:w="1310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414.64 ± 435.54</w:t>
            </w:r>
          </w:p>
        </w:tc>
        <w:tc>
          <w:tcPr>
            <w:tcW w:w="876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0.479</w:t>
            </w:r>
          </w:p>
        </w:tc>
      </w:tr>
      <w:tr w:rsidR="00C85B33" w:rsidRPr="00E531DC" w:rsidTr="0029645F">
        <w:trPr>
          <w:jc w:val="center"/>
        </w:trPr>
        <w:tc>
          <w:tcPr>
            <w:tcW w:w="1537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Ca (mg/dL)</w:t>
            </w:r>
          </w:p>
        </w:tc>
        <w:tc>
          <w:tcPr>
            <w:tcW w:w="1277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8.77 ± 1.04</w:t>
            </w:r>
          </w:p>
        </w:tc>
        <w:tc>
          <w:tcPr>
            <w:tcW w:w="1310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7.08 ± 0.86</w:t>
            </w:r>
          </w:p>
        </w:tc>
        <w:tc>
          <w:tcPr>
            <w:tcW w:w="876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&lt;0.0001**</w:t>
            </w:r>
          </w:p>
        </w:tc>
      </w:tr>
      <w:tr w:rsidR="00C85B33" w:rsidRPr="00E531DC" w:rsidTr="0029645F">
        <w:trPr>
          <w:jc w:val="center"/>
        </w:trPr>
        <w:tc>
          <w:tcPr>
            <w:tcW w:w="1537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PO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ar-EG"/>
              </w:rPr>
              <w:t>4</w:t>
            </w: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 xml:space="preserve"> (mg/dL)</w:t>
            </w:r>
          </w:p>
        </w:tc>
        <w:tc>
          <w:tcPr>
            <w:tcW w:w="1277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4.97 ± 1.63</w:t>
            </w:r>
          </w:p>
        </w:tc>
        <w:tc>
          <w:tcPr>
            <w:tcW w:w="1310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5.18 ± 1.43</w:t>
            </w:r>
          </w:p>
        </w:tc>
        <w:tc>
          <w:tcPr>
            <w:tcW w:w="876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0.377</w:t>
            </w:r>
          </w:p>
        </w:tc>
      </w:tr>
      <w:tr w:rsidR="00C85B33" w:rsidRPr="00E531DC" w:rsidTr="0029645F">
        <w:trPr>
          <w:jc w:val="center"/>
        </w:trPr>
        <w:tc>
          <w:tcPr>
            <w:tcW w:w="1537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PTH (pg/ml)</w:t>
            </w:r>
          </w:p>
        </w:tc>
        <w:tc>
          <w:tcPr>
            <w:tcW w:w="1277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774.65 ± 560.75</w:t>
            </w:r>
          </w:p>
        </w:tc>
        <w:tc>
          <w:tcPr>
            <w:tcW w:w="1310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862.8 ± 557.74</w:t>
            </w:r>
          </w:p>
        </w:tc>
        <w:tc>
          <w:tcPr>
            <w:tcW w:w="876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0.027*</w:t>
            </w:r>
          </w:p>
        </w:tc>
      </w:tr>
      <w:tr w:rsidR="00C85B33" w:rsidRPr="00E531DC" w:rsidTr="0029645F">
        <w:trPr>
          <w:jc w:val="center"/>
        </w:trPr>
        <w:tc>
          <w:tcPr>
            <w:tcW w:w="1537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Total protein (g/dL)</w:t>
            </w:r>
          </w:p>
        </w:tc>
        <w:tc>
          <w:tcPr>
            <w:tcW w:w="1277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6.93 ± 0.62</w:t>
            </w:r>
          </w:p>
        </w:tc>
        <w:tc>
          <w:tcPr>
            <w:tcW w:w="1310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ar-EG"/>
              </w:rPr>
              <w:t>7.06 ± 0.5</w:t>
            </w:r>
          </w:p>
        </w:tc>
        <w:tc>
          <w:tcPr>
            <w:tcW w:w="876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1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0.145</w:t>
            </w:r>
          </w:p>
        </w:tc>
      </w:tr>
      <w:tr w:rsidR="00C85B33" w:rsidRPr="00E531DC" w:rsidTr="0029645F">
        <w:trPr>
          <w:jc w:val="center"/>
        </w:trPr>
        <w:tc>
          <w:tcPr>
            <w:tcW w:w="1537" w:type="pct"/>
            <w:noWrap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Albumin (g/dL)</w:t>
            </w:r>
          </w:p>
        </w:tc>
        <w:tc>
          <w:tcPr>
            <w:tcW w:w="1277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3.64 ± 0.39</w:t>
            </w:r>
          </w:p>
        </w:tc>
        <w:tc>
          <w:tcPr>
            <w:tcW w:w="1310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3.59 ± 0.29</w:t>
            </w:r>
          </w:p>
        </w:tc>
        <w:tc>
          <w:tcPr>
            <w:tcW w:w="876" w:type="pct"/>
            <w:vAlign w:val="center"/>
          </w:tcPr>
          <w:p w:rsidR="00C85B33" w:rsidRPr="00E531DC" w:rsidRDefault="00C85B33" w:rsidP="00797C03">
            <w:pPr>
              <w:bidi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 w:rsidRPr="00E531DC">
              <w:rPr>
                <w:rFonts w:ascii="Times New Roman" w:hAnsi="Times New Roman" w:cs="Times New Roman"/>
                <w:sz w:val="20"/>
                <w:szCs w:val="20"/>
              </w:rPr>
              <w:t>0.453</w:t>
            </w:r>
          </w:p>
        </w:tc>
      </w:tr>
    </w:tbl>
    <w:p w:rsidR="0029645F" w:rsidRDefault="0029645F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E531DC" w:rsidRPr="00E531DC" w:rsidRDefault="00E531DC" w:rsidP="00E531DC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E531DC" w:rsidRPr="00E531DC" w:rsidRDefault="00E531DC" w:rsidP="00E531DC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  <w:sectPr w:rsidR="00E531DC" w:rsidRPr="00E531DC" w:rsidSect="0029645F">
          <w:footnotePr>
            <w:numFmt w:val="chicago"/>
          </w:footnotePr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360"/>
        </w:sectPr>
      </w:pPr>
    </w:p>
    <w:p w:rsidR="00C85B33" w:rsidRPr="00E531DC" w:rsidRDefault="00C85B33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lastRenderedPageBreak/>
        <w:t>Comparative study between the baseline and follow up laboratory measurements revealed; highly significant increase in TLC, ESR, CRP and PTH in follow up measurement; with highly significant statistical difference (p &lt; 0.0001, p &lt; 0.0001, p &lt; 0.0001, p = 0.027 respectively).</w:t>
      </w:r>
    </w:p>
    <w:p w:rsidR="00C85B33" w:rsidRPr="00E531DC" w:rsidRDefault="00C85B33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Comparative study between the baseline and follow up laboratory measurements also revealed; highly significant decrease in hemoglobin and calcium in follow up measurement; with high significant statistical difference (p = 0.004, p &lt; 0.0001 respectively).</w:t>
      </w:r>
    </w:p>
    <w:p w:rsidR="00C85B33" w:rsidRPr="00E531DC" w:rsidRDefault="00C85B33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Comparative study between the baseline and follow up laboratory measurements also revealed; non-significant difference as regards the remaining laboratory variables (p &gt; 0.05).</w:t>
      </w:r>
    </w:p>
    <w:p w:rsidR="00901B16" w:rsidRPr="00E531DC" w:rsidRDefault="00901B16" w:rsidP="00797C0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01B16" w:rsidRPr="00E531DC" w:rsidRDefault="00901B16" w:rsidP="00797C03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b/>
          <w:bCs/>
          <w:sz w:val="20"/>
          <w:szCs w:val="20"/>
        </w:rPr>
        <w:t>4. Discussion</w:t>
      </w:r>
      <w:r w:rsidR="00947402" w:rsidRPr="00E531DC">
        <w:rPr>
          <w:rFonts w:ascii="Times New Roman" w:hAnsi="Times New Roman" w:cs="Times New Roman"/>
          <w:sz w:val="20"/>
          <w:szCs w:val="20"/>
        </w:rPr>
        <w:t>:</w:t>
      </w:r>
    </w:p>
    <w:p w:rsidR="00797C03" w:rsidRPr="00E531DC" w:rsidRDefault="00947402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In our study there were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insignificant differences in Albumin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between the three groups which agree with the study done by NicolásMacías</w:t>
      </w:r>
      <w:r w:rsidR="00797C03" w:rsidRPr="00E531DC">
        <w:rPr>
          <w:rFonts w:ascii="Times New Roman" w:hAnsi="Times New Roman" w:cs="Times New Roman"/>
          <w:sz w:val="20"/>
          <w:szCs w:val="20"/>
          <w:lang w:bidi="ar-EG"/>
        </w:rPr>
        <w:t>, e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t al.,2016(13)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Oates T et al.,2011(14) and Vilar E et al., 2009(15</w:t>
      </w:r>
      <w:r w:rsidR="00797C03" w:rsidRPr="00E531DC">
        <w:rPr>
          <w:rFonts w:ascii="Times New Roman" w:hAnsi="Times New Roman" w:cs="Times New Roman"/>
          <w:sz w:val="20"/>
          <w:szCs w:val="20"/>
          <w:lang w:bidi="ar-EG"/>
        </w:rPr>
        <w:t>).</w:t>
      </w:r>
    </w:p>
    <w:p w:rsidR="00797C03" w:rsidRPr="00E531DC" w:rsidRDefault="00947402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In our study there were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significant differences in Hb between the three groups which agree with study done by Maduell et al.,2017(16) and Locatelli et al.,2011(17</w:t>
      </w:r>
      <w:r w:rsidR="00797C03" w:rsidRPr="00E531DC">
        <w:rPr>
          <w:rFonts w:ascii="Times New Roman" w:hAnsi="Times New Roman" w:cs="Times New Roman"/>
          <w:sz w:val="20"/>
          <w:szCs w:val="20"/>
          <w:lang w:bidi="ar-EG"/>
        </w:rPr>
        <w:t>).</w:t>
      </w:r>
    </w:p>
    <w:p w:rsidR="00947402" w:rsidRPr="00E531DC" w:rsidRDefault="00947402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And disagree with study done by vilar et al.,</w:t>
      </w:r>
      <w:r w:rsidR="00E531DC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2009(15) in which there is no advantage of HDF over high-flux HD in anemia management.</w:t>
      </w:r>
    </w:p>
    <w:p w:rsidR="00947402" w:rsidRPr="00E531DC" w:rsidRDefault="00947402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In our study there </w:t>
      </w:r>
      <w:r w:rsidR="00901B16" w:rsidRPr="00E531DC">
        <w:rPr>
          <w:rFonts w:ascii="Times New Roman" w:hAnsi="Times New Roman" w:cs="Times New Roman"/>
          <w:sz w:val="20"/>
          <w:szCs w:val="20"/>
          <w:lang w:bidi="ar-EG"/>
        </w:rPr>
        <w:t>were significant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differences in CRP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between the three groups, and this result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agrees with the study done by Maduell et al.,2017(16)</w:t>
      </w:r>
      <w:r w:rsidR="00833AB1" w:rsidRPr="00E531DC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947402" w:rsidRPr="00E531DC" w:rsidRDefault="00901B16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947402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this result disagrees with the study done by Ping Jia et al.,2016</w:t>
      </w:r>
      <w:r w:rsidR="00B0260C" w:rsidRPr="00E531DC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="00833AB1" w:rsidRPr="00E531DC">
        <w:rPr>
          <w:rFonts w:ascii="Times New Roman" w:hAnsi="Times New Roman" w:cs="Times New Roman"/>
          <w:sz w:val="20"/>
          <w:szCs w:val="20"/>
          <w:lang w:bidi="ar-EG"/>
        </w:rPr>
        <w:t>18</w:t>
      </w:r>
      <w:r w:rsidR="00B0260C" w:rsidRPr="00E531DC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947402" w:rsidRPr="00E531DC">
        <w:rPr>
          <w:rFonts w:ascii="Times New Roman" w:hAnsi="Times New Roman" w:cs="Times New Roman"/>
          <w:sz w:val="20"/>
          <w:szCs w:val="20"/>
          <w:lang w:bidi="ar-EG"/>
        </w:rPr>
        <w:t>, Oates T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47402" w:rsidRPr="00E531DC">
        <w:rPr>
          <w:rFonts w:ascii="Times New Roman" w:hAnsi="Times New Roman" w:cs="Times New Roman"/>
          <w:sz w:val="20"/>
          <w:szCs w:val="20"/>
          <w:lang w:bidi="ar-EG"/>
        </w:rPr>
        <w:t>et al., 2011</w:t>
      </w:r>
      <w:r w:rsidR="00B0260C" w:rsidRPr="00E531DC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="00833AB1" w:rsidRPr="00E531DC">
        <w:rPr>
          <w:rFonts w:ascii="Times New Roman" w:hAnsi="Times New Roman" w:cs="Times New Roman"/>
          <w:sz w:val="20"/>
          <w:szCs w:val="20"/>
          <w:lang w:bidi="ar-EG"/>
        </w:rPr>
        <w:t>14</w:t>
      </w:r>
      <w:r w:rsidR="00B0260C" w:rsidRPr="00E531DC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947402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and Tiranathanagul K et al., 2009</w:t>
      </w:r>
      <w:r w:rsidR="00B0260C" w:rsidRPr="00E531DC">
        <w:rPr>
          <w:rFonts w:ascii="Times New Roman" w:hAnsi="Times New Roman" w:cs="Times New Roman"/>
          <w:sz w:val="20"/>
          <w:szCs w:val="20"/>
          <w:lang w:bidi="ar-EG"/>
        </w:rPr>
        <w:t>(</w:t>
      </w:r>
      <w:r w:rsidR="00833AB1" w:rsidRPr="00E531DC">
        <w:rPr>
          <w:rFonts w:ascii="Times New Roman" w:hAnsi="Times New Roman" w:cs="Times New Roman"/>
          <w:sz w:val="20"/>
          <w:szCs w:val="20"/>
          <w:lang w:bidi="ar-EG"/>
        </w:rPr>
        <w:t>19</w:t>
      </w:r>
      <w:r w:rsidR="00B0260C" w:rsidRPr="00E531DC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947402" w:rsidRPr="00E531DC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797C03" w:rsidRPr="00E531DC" w:rsidRDefault="00797C03" w:rsidP="00797C03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 w:bidi="ar-EG"/>
        </w:rPr>
      </w:pPr>
    </w:p>
    <w:p w:rsidR="008B2A3D" w:rsidRPr="00E531DC" w:rsidRDefault="00167BF1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531D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In </w:t>
      </w:r>
      <w:r w:rsidR="008B2A3D" w:rsidRPr="00E531DC">
        <w:rPr>
          <w:rFonts w:ascii="Times New Roman" w:hAnsi="Times New Roman" w:cs="Times New Roman"/>
          <w:b/>
          <w:bCs/>
          <w:sz w:val="20"/>
          <w:szCs w:val="20"/>
        </w:rPr>
        <w:t>conclusion:</w:t>
      </w:r>
    </w:p>
    <w:p w:rsidR="00551BEA" w:rsidRPr="00E531DC" w:rsidRDefault="00551BEA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>HDFis better than HFHDx and LFHDx in improvement of aneamia,</w:t>
      </w:r>
      <w:r w:rsidR="008B2A3D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hyperphosphatemia,</w:t>
      </w:r>
      <w:r w:rsidR="008B2A3D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hypocalcemia</w:t>
      </w:r>
      <w:r w:rsidR="00797C03" w:rsidRPr="00E531DC">
        <w:rPr>
          <w:rFonts w:ascii="Times New Roman" w:hAnsi="Times New Roman" w:cs="Times New Roman"/>
          <w:sz w:val="20"/>
          <w:szCs w:val="20"/>
        </w:rPr>
        <w:t>, a</w:t>
      </w:r>
      <w:r w:rsidRPr="00E531DC">
        <w:rPr>
          <w:rFonts w:ascii="Times New Roman" w:hAnsi="Times New Roman" w:cs="Times New Roman"/>
          <w:sz w:val="20"/>
          <w:szCs w:val="20"/>
        </w:rPr>
        <w:t>nd inflammatio</w:t>
      </w:r>
      <w:r w:rsidR="0029645F" w:rsidRPr="00E531DC">
        <w:rPr>
          <w:rFonts w:ascii="Times New Roman" w:hAnsi="Times New Roman" w:cs="Times New Roman"/>
          <w:sz w:val="20"/>
          <w:szCs w:val="20"/>
        </w:rPr>
        <w:t>n (</w:t>
      </w:r>
      <w:r w:rsidRPr="00E531DC">
        <w:rPr>
          <w:rFonts w:ascii="Times New Roman" w:hAnsi="Times New Roman" w:cs="Times New Roman"/>
          <w:sz w:val="20"/>
          <w:szCs w:val="20"/>
        </w:rPr>
        <w:t>CRP</w:t>
      </w:r>
      <w:r w:rsidR="00797C03" w:rsidRPr="00E531DC">
        <w:rPr>
          <w:rFonts w:ascii="Times New Roman" w:hAnsi="Times New Roman" w:cs="Times New Roman"/>
          <w:sz w:val="20"/>
          <w:szCs w:val="20"/>
        </w:rPr>
        <w:t>, E</w:t>
      </w:r>
      <w:r w:rsidRPr="00E531DC">
        <w:rPr>
          <w:rFonts w:ascii="Times New Roman" w:hAnsi="Times New Roman" w:cs="Times New Roman"/>
          <w:sz w:val="20"/>
          <w:szCs w:val="20"/>
        </w:rPr>
        <w:t>SR)</w:t>
      </w:r>
      <w:r w:rsidR="00797C03" w:rsidRPr="00E531DC">
        <w:rPr>
          <w:rFonts w:ascii="Times New Roman" w:hAnsi="Times New Roman" w:cs="Times New Roman"/>
          <w:sz w:val="20"/>
          <w:szCs w:val="20"/>
        </w:rPr>
        <w:t>. B</w:t>
      </w:r>
      <w:r w:rsidRPr="00E531DC">
        <w:rPr>
          <w:rFonts w:ascii="Times New Roman" w:hAnsi="Times New Roman" w:cs="Times New Roman"/>
          <w:sz w:val="20"/>
          <w:szCs w:val="20"/>
        </w:rPr>
        <w:t>ut the difference between HDF and HFHDx is not big difference</w:t>
      </w:r>
      <w:r w:rsidR="00797C03" w:rsidRPr="00E531DC">
        <w:rPr>
          <w:rFonts w:ascii="Times New Roman" w:hAnsi="Times New Roman" w:cs="Times New Roman"/>
          <w:sz w:val="20"/>
          <w:szCs w:val="20"/>
        </w:rPr>
        <w:t>. T</w:t>
      </w:r>
      <w:r w:rsidRPr="00E531DC">
        <w:rPr>
          <w:rFonts w:ascii="Times New Roman" w:hAnsi="Times New Roman" w:cs="Times New Roman"/>
          <w:sz w:val="20"/>
          <w:szCs w:val="20"/>
        </w:rPr>
        <w:t>he main disadvantages of HDF are its cost and the loss of albumin.</w:t>
      </w:r>
    </w:p>
    <w:p w:rsidR="00901B16" w:rsidRPr="00E531DC" w:rsidRDefault="00901B16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C6B08" w:rsidRPr="00E531DC" w:rsidRDefault="00901B16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b/>
          <w:bCs/>
          <w:sz w:val="20"/>
          <w:szCs w:val="20"/>
        </w:rPr>
        <w:t>References:</w:t>
      </w:r>
    </w:p>
    <w:p w:rsidR="00167BF1" w:rsidRPr="00E531DC" w:rsidRDefault="00167BF1" w:rsidP="00797C03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Bayoumi,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M.,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Al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Harbi,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A.,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Al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Suwaida,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A.,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Al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Ghonaim,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M.,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Al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Wakeel,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J.,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&amp;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Mishkiry,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(2013).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Predictors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quality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life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patients.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i/>
          <w:iCs/>
          <w:sz w:val="20"/>
          <w:szCs w:val="20"/>
          <w:lang w:bidi="ar-EG"/>
        </w:rPr>
        <w:t>Saudi</w:t>
      </w:r>
      <w:r w:rsidR="0029645F" w:rsidRPr="00E531DC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i/>
          <w:iCs/>
          <w:sz w:val="20"/>
          <w:szCs w:val="20"/>
          <w:lang w:bidi="ar-EG"/>
        </w:rPr>
        <w:t>Journal</w:t>
      </w:r>
      <w:r w:rsidR="0029645F" w:rsidRPr="00E531DC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i/>
          <w:iCs/>
          <w:sz w:val="20"/>
          <w:szCs w:val="20"/>
          <w:lang w:bidi="ar-EG"/>
        </w:rPr>
        <w:t>of</w:t>
      </w:r>
      <w:r w:rsidR="0029645F" w:rsidRPr="00E531DC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i/>
          <w:iCs/>
          <w:sz w:val="20"/>
          <w:szCs w:val="20"/>
          <w:lang w:bidi="ar-EG"/>
        </w:rPr>
        <w:t>Kidney</w:t>
      </w:r>
      <w:r w:rsidR="0029645F" w:rsidRPr="00E531DC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i/>
          <w:iCs/>
          <w:sz w:val="20"/>
          <w:szCs w:val="20"/>
          <w:lang w:bidi="ar-EG"/>
        </w:rPr>
        <w:t>Diseases</w:t>
      </w:r>
      <w:r w:rsidR="0029645F" w:rsidRPr="00E531DC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i/>
          <w:iCs/>
          <w:sz w:val="20"/>
          <w:szCs w:val="20"/>
          <w:lang w:bidi="ar-EG"/>
        </w:rPr>
        <w:t>and</w:t>
      </w:r>
      <w:r w:rsidR="0029645F" w:rsidRPr="00E531DC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i/>
          <w:iCs/>
          <w:sz w:val="20"/>
          <w:szCs w:val="20"/>
          <w:lang w:bidi="ar-EG"/>
        </w:rPr>
        <w:t>Transplantation,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i/>
          <w:iCs/>
          <w:sz w:val="20"/>
          <w:szCs w:val="20"/>
          <w:lang w:bidi="ar-EG"/>
        </w:rPr>
        <w:t>24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254–259.</w:t>
      </w:r>
    </w:p>
    <w:p w:rsidR="0068232D" w:rsidRPr="00E531DC" w:rsidRDefault="0068232D" w:rsidP="00797C03">
      <w:pPr>
        <w:pStyle w:val="ListParagraph"/>
        <w:numPr>
          <w:ilvl w:val="0"/>
          <w:numId w:val="20"/>
        </w:numPr>
        <w:shd w:val="clear" w:color="auto" w:fill="FCFCFC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Mehrotra,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R.,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Peralta,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C.,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Chen,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S.,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Li,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S.,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Sachs,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M.,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Shah,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A.,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et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al.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(2013).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No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independent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association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phosphorus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risk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death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or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progression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to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end-stage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renal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disease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large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screen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chronic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kidney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disease.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Kidney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International,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84,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989–997.</w:t>
      </w:r>
    </w:p>
    <w:p w:rsidR="0068232D" w:rsidRPr="00E531DC" w:rsidRDefault="0068232D" w:rsidP="00797C03">
      <w:pPr>
        <w:pStyle w:val="ListParagraph"/>
        <w:numPr>
          <w:ilvl w:val="0"/>
          <w:numId w:val="20"/>
        </w:numPr>
        <w:shd w:val="clear" w:color="auto" w:fill="FCFCFC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Canaud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B,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Bragg-Gresham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JL,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Marshall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MR,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et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al.,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(2006):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Mortality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risk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for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receiving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hemodiafiltration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versus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hemodialysis.</w:t>
      </w:r>
    </w:p>
    <w:p w:rsidR="0068232D" w:rsidRPr="00E531DC" w:rsidRDefault="0068232D" w:rsidP="00797C03">
      <w:pPr>
        <w:pStyle w:val="ListParagraph"/>
        <w:numPr>
          <w:ilvl w:val="0"/>
          <w:numId w:val="20"/>
        </w:numPr>
        <w:shd w:val="clear" w:color="auto" w:fill="FCFCFC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Grooteman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MP,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van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den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Dorpel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MA,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Bots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ML,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et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al.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>, (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2012):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Effect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online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hemodiafiltration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all-cause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mortality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cardiovascular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outcomes.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68232D" w:rsidRPr="00E531DC" w:rsidRDefault="0068232D" w:rsidP="00797C03">
      <w:pPr>
        <w:pStyle w:val="ListParagraph"/>
        <w:numPr>
          <w:ilvl w:val="0"/>
          <w:numId w:val="20"/>
        </w:numPr>
        <w:shd w:val="clear" w:color="auto" w:fill="FFFFFF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Maduell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F,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Moreso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F,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Pons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M,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et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al.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>, (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2013):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High-efficiency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postdilution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online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hemodiafiltration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reduces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all-cause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mortality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patients.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68232D" w:rsidRPr="00E531DC" w:rsidRDefault="0068232D" w:rsidP="00797C03">
      <w:pPr>
        <w:pStyle w:val="ListParagraph"/>
        <w:numPr>
          <w:ilvl w:val="0"/>
          <w:numId w:val="20"/>
        </w:numPr>
        <w:shd w:val="clear" w:color="auto" w:fill="FFFFFF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Schiffl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Lang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SM,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Fischer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R,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et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al.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>, (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2013):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Effects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high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efficiency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post-dilution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on-line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hemodiafiltration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or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conventional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residual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renal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function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left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ventricular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hypertrophy.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47765B" w:rsidRPr="00E531DC" w:rsidRDefault="0068232D" w:rsidP="00797C03">
      <w:pPr>
        <w:pStyle w:val="ListParagraph"/>
        <w:numPr>
          <w:ilvl w:val="0"/>
          <w:numId w:val="20"/>
        </w:numPr>
        <w:shd w:val="clear" w:color="auto" w:fill="FFFFFF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lastRenderedPageBreak/>
        <w:t>Kantartzi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K,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Panagoutsos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S,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Mourvati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E,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et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al.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>, (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2013):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Can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dialysis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modality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influence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quality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life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chronic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patients?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Low-flux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versus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high-flux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hemodiafiltration.</w:t>
      </w:r>
    </w:p>
    <w:p w:rsidR="0047765B" w:rsidRPr="00E531DC" w:rsidRDefault="0047765B" w:rsidP="00797C03">
      <w:pPr>
        <w:pStyle w:val="ListParagraph"/>
        <w:numPr>
          <w:ilvl w:val="0"/>
          <w:numId w:val="20"/>
        </w:numPr>
        <w:shd w:val="clear" w:color="auto" w:fill="FFFFFF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Su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SF,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Ng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HY,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Huang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TL,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et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al.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>, (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2012):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Survey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depression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by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Beck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Depression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Inventory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uremic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undergoing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hemodiafiltration.</w:t>
      </w:r>
    </w:p>
    <w:p w:rsidR="0068232D" w:rsidRPr="00E531DC" w:rsidRDefault="0068232D" w:rsidP="00797C03">
      <w:pPr>
        <w:pStyle w:val="ListParagraph"/>
        <w:numPr>
          <w:ilvl w:val="0"/>
          <w:numId w:val="20"/>
        </w:numPr>
        <w:shd w:val="clear" w:color="auto" w:fill="FFFFFF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Movilli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E,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Camerini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C,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Gaggia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et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al.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>, (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2011):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Effect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post-dilutional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on-line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haemodiafiltration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serum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calcium,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phosphate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parathyroid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hormone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concentrations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uraemic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patients.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68232D" w:rsidRPr="00E531DC" w:rsidRDefault="0068232D" w:rsidP="00797C03">
      <w:pPr>
        <w:pStyle w:val="ListParagraph"/>
        <w:numPr>
          <w:ilvl w:val="0"/>
          <w:numId w:val="20"/>
        </w:numPr>
        <w:shd w:val="clear" w:color="auto" w:fill="FCFCFC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Bonforte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G,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Grillo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Zerbi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S,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et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al.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>, (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2002):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Improvement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anemia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hemodialysis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treated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by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hemodiafiltration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high-volume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on-line-prepared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substitution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fluid.</w:t>
      </w:r>
    </w:p>
    <w:p w:rsidR="0068232D" w:rsidRPr="00E531DC" w:rsidRDefault="0068232D" w:rsidP="00797C03">
      <w:pPr>
        <w:pStyle w:val="ListParagraph"/>
        <w:numPr>
          <w:ilvl w:val="0"/>
          <w:numId w:val="20"/>
        </w:numPr>
        <w:shd w:val="clear" w:color="auto" w:fill="FCFCFC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Filiopoulos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V,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Hadjiyannakos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D,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Metaxaki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et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al.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>, (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2008):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Inflammation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oxidative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stress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patients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hemodiafiltration.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B0260C" w:rsidRPr="00E531DC" w:rsidRDefault="0068232D" w:rsidP="00797C03">
      <w:pPr>
        <w:pStyle w:val="ListParagraph"/>
        <w:numPr>
          <w:ilvl w:val="0"/>
          <w:numId w:val="20"/>
        </w:numPr>
        <w:shd w:val="clear" w:color="auto" w:fill="FCFCFC"/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Mazairac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AH,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Blankestijn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PJ,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Grooteman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MP,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et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al.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>, (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2013):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cost-utility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of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haemodiafiltration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versus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haemodialysis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the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convective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transport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study.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BC478F" w:rsidRPr="00E531DC" w:rsidRDefault="00B0260C" w:rsidP="00797C03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Nicolás</w:t>
      </w:r>
      <w:r w:rsidR="00E531DC">
        <w:rPr>
          <w:rFonts w:ascii="Times New Roman" w:hAnsi="Times New Roman" w:cs="Times New Roman" w:hint="eastAsia"/>
          <w:sz w:val="20"/>
          <w:szCs w:val="20"/>
          <w:lang w:eastAsia="zh-CN"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Macías,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Almudena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Vega,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Soraya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Abad,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et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al.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>, (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2017):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Is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High-Volume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Online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Hemodiafiltration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Associated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With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Malnutrition?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lastRenderedPageBreak/>
        <w:t>Therapeutic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Apheresis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Dialysis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2017;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21(4):361–369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doi: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10.1111/1744-9987.12602.</w:t>
      </w:r>
    </w:p>
    <w:p w:rsidR="00BC478F" w:rsidRPr="00E531DC" w:rsidRDefault="00BC478F" w:rsidP="00797C03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  <w:lang w:bidi="ar-EG"/>
        </w:rPr>
        <w:t>Oates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T,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Pinney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JH,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Davenport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(2011)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Haemodiafiltration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versus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high-flux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haemodialysis: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effects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on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phosphate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control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and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erythropoietin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response.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Am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J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Nephrol</w:t>
      </w:r>
      <w:r w:rsidR="0029645F" w:rsidRPr="00E531DC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  <w:lang w:bidi="ar-EG"/>
        </w:rPr>
        <w:t>33(1):70–75.</w:t>
      </w:r>
    </w:p>
    <w:p w:rsidR="00BC478F" w:rsidRPr="00E531DC" w:rsidRDefault="00BC478F" w:rsidP="00797C03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</w:rPr>
        <w:t>Vilar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E,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Farrington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K.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Haemodialysis.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Medicine.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2011;39:429–43</w:t>
      </w:r>
      <w:r w:rsidR="00833AB1" w:rsidRPr="00E531DC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833AB1" w:rsidRPr="00E531DC" w:rsidRDefault="003173F9" w:rsidP="00797C03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>Maduell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F,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Javier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Varas,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Rosa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Ramos,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et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al.</w:t>
      </w:r>
      <w:r w:rsidR="0029645F" w:rsidRPr="00E531DC">
        <w:rPr>
          <w:rFonts w:ascii="Times New Roman" w:hAnsi="Times New Roman" w:cs="Times New Roman"/>
          <w:sz w:val="20"/>
          <w:szCs w:val="20"/>
        </w:rPr>
        <w:t>, (</w:t>
      </w:r>
      <w:r w:rsidRPr="00E531DC">
        <w:rPr>
          <w:rFonts w:ascii="Times New Roman" w:hAnsi="Times New Roman" w:cs="Times New Roman"/>
          <w:sz w:val="20"/>
          <w:szCs w:val="20"/>
        </w:rPr>
        <w:t>2017)</w:t>
      </w:r>
      <w:r w:rsidR="00797C03" w:rsidRPr="00E531DC">
        <w:rPr>
          <w:rFonts w:ascii="Times New Roman" w:hAnsi="Times New Roman" w:cs="Times New Roman"/>
          <w:sz w:val="20"/>
          <w:szCs w:val="20"/>
        </w:rPr>
        <w:t>: H</w:t>
      </w:r>
      <w:r w:rsidRPr="00E531DC">
        <w:rPr>
          <w:rFonts w:ascii="Times New Roman" w:hAnsi="Times New Roman" w:cs="Times New Roman"/>
          <w:sz w:val="20"/>
          <w:szCs w:val="20"/>
        </w:rPr>
        <w:t>emodiafiltration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Reduces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All-Cause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and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Cardiovascular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Mortality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in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Incident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Hemodialysis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Patients: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A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Propensity-Matched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Cohort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Study.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Am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J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Nephrol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2017;46:288–297.</w:t>
      </w:r>
    </w:p>
    <w:p w:rsidR="00833AB1" w:rsidRPr="00E531DC" w:rsidRDefault="00833AB1" w:rsidP="00797C03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>Locatelli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F,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Altieri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P,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Andrulli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S,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et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al.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Hemofiltration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and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hemodiafiltration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reduce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intradialytic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hypotension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in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ESRD.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J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Am</w:t>
      </w:r>
      <w:r w:rsidR="00797C03" w:rsidRPr="00E531DC">
        <w:rPr>
          <w:rFonts w:ascii="Times New Roman" w:hAnsi="Times New Roman" w:cs="Times New Roman"/>
          <w:sz w:val="20"/>
          <w:szCs w:val="20"/>
        </w:rPr>
        <w:t>. S</w:t>
      </w:r>
      <w:r w:rsidRPr="00E531DC">
        <w:rPr>
          <w:rFonts w:ascii="Times New Roman" w:hAnsi="Times New Roman" w:cs="Times New Roman"/>
          <w:sz w:val="20"/>
          <w:szCs w:val="20"/>
        </w:rPr>
        <w:t>o</w:t>
      </w:r>
      <w:r w:rsidR="00797C03" w:rsidRPr="00E531DC">
        <w:rPr>
          <w:rFonts w:ascii="Times New Roman" w:hAnsi="Times New Roman" w:cs="Times New Roman"/>
          <w:sz w:val="20"/>
          <w:szCs w:val="20"/>
        </w:rPr>
        <w:t>c N</w:t>
      </w:r>
      <w:r w:rsidRPr="00E531DC">
        <w:rPr>
          <w:rFonts w:ascii="Times New Roman" w:hAnsi="Times New Roman" w:cs="Times New Roman"/>
          <w:sz w:val="20"/>
          <w:szCs w:val="20"/>
        </w:rPr>
        <w:t>ephrol.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2011;21:1798–1807.</w:t>
      </w:r>
    </w:p>
    <w:p w:rsidR="00BC478F" w:rsidRPr="00E531DC" w:rsidRDefault="00833AB1" w:rsidP="00797C03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</w:rPr>
        <w:t>Ping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Jia,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Wei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Jin,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Ji</w:t>
      </w:r>
      <w:r w:rsidR="00797C03" w:rsidRPr="00E531DC">
        <w:rPr>
          <w:rFonts w:ascii="Times New Roman" w:hAnsi="Times New Roman" w:cs="Times New Roman"/>
          <w:sz w:val="20"/>
          <w:szCs w:val="20"/>
        </w:rPr>
        <w:t>e T</w:t>
      </w:r>
      <w:r w:rsidRPr="00E531DC">
        <w:rPr>
          <w:rFonts w:ascii="Times New Roman" w:hAnsi="Times New Roman" w:cs="Times New Roman"/>
          <w:sz w:val="20"/>
          <w:szCs w:val="20"/>
        </w:rPr>
        <w:t>eng</w:t>
      </w:r>
      <w:r w:rsidR="00797C03" w:rsidRPr="00E531DC">
        <w:rPr>
          <w:rFonts w:ascii="Times New Roman" w:hAnsi="Times New Roman" w:cs="Times New Roman"/>
          <w:sz w:val="20"/>
          <w:szCs w:val="20"/>
        </w:rPr>
        <w:t>, e</w:t>
      </w:r>
      <w:r w:rsidRPr="00E531DC">
        <w:rPr>
          <w:rFonts w:ascii="Times New Roman" w:hAnsi="Times New Roman" w:cs="Times New Roman"/>
          <w:sz w:val="20"/>
          <w:szCs w:val="20"/>
        </w:rPr>
        <w:t>t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al.</w:t>
      </w:r>
      <w:r w:rsidR="0029645F" w:rsidRPr="00E531DC">
        <w:rPr>
          <w:rFonts w:ascii="Times New Roman" w:hAnsi="Times New Roman" w:cs="Times New Roman"/>
          <w:sz w:val="20"/>
          <w:szCs w:val="20"/>
        </w:rPr>
        <w:t>, (</w:t>
      </w:r>
      <w:r w:rsidRPr="00E531DC">
        <w:rPr>
          <w:rFonts w:ascii="Times New Roman" w:hAnsi="Times New Roman" w:cs="Times New Roman"/>
          <w:sz w:val="20"/>
          <w:szCs w:val="20"/>
        </w:rPr>
        <w:t>2016):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Acute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Effects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of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Hemodiafiltratio</w:t>
      </w:r>
      <w:r w:rsidR="00797C03" w:rsidRPr="00E531DC">
        <w:rPr>
          <w:rFonts w:ascii="Times New Roman" w:hAnsi="Times New Roman" w:cs="Times New Roman"/>
          <w:sz w:val="20"/>
          <w:szCs w:val="20"/>
        </w:rPr>
        <w:t>n V</w:t>
      </w:r>
      <w:r w:rsidRPr="00E531DC">
        <w:rPr>
          <w:rFonts w:ascii="Times New Roman" w:hAnsi="Times New Roman" w:cs="Times New Roman"/>
          <w:sz w:val="20"/>
          <w:szCs w:val="20"/>
        </w:rPr>
        <w:t>ersus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Conventional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Hemodialysis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on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Endothelial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Function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and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Inflammation,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A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Randomized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Crossover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Study</w:t>
      </w:r>
      <w:r w:rsidR="00797C03" w:rsidRPr="00E531DC">
        <w:rPr>
          <w:rFonts w:ascii="Times New Roman" w:hAnsi="Times New Roman" w:cs="Times New Roman"/>
          <w:sz w:val="20"/>
          <w:szCs w:val="20"/>
        </w:rPr>
        <w:t>. M</w:t>
      </w:r>
      <w:r w:rsidRPr="00E531DC">
        <w:rPr>
          <w:rFonts w:ascii="Times New Roman" w:hAnsi="Times New Roman" w:cs="Times New Roman"/>
          <w:sz w:val="20"/>
          <w:szCs w:val="20"/>
        </w:rPr>
        <w:t>edicine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_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Volume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95,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Number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16,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April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2016</w:t>
      </w:r>
      <w:r w:rsidR="003173F9" w:rsidRPr="00E531DC">
        <w:rPr>
          <w:rFonts w:ascii="Times New Roman" w:hAnsi="Times New Roman" w:cs="Times New Roman"/>
          <w:sz w:val="20"/>
          <w:szCs w:val="20"/>
          <w:lang w:bidi="ar-EG"/>
        </w:rPr>
        <w:t>.</w:t>
      </w:r>
    </w:p>
    <w:p w:rsidR="0029645F" w:rsidRPr="00E531DC" w:rsidRDefault="00833AB1" w:rsidP="00797C03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E531DC">
        <w:rPr>
          <w:rFonts w:ascii="Times New Roman" w:hAnsi="Times New Roman" w:cs="Times New Roman"/>
          <w:sz w:val="20"/>
          <w:szCs w:val="20"/>
        </w:rPr>
        <w:t>Tiranathanagul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K,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Praditpornsilpa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K,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Katavetin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P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et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al.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On-line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hemodiafiltrationin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Southeast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Asia: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a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three-year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prospective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study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of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a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single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center.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The</w:t>
      </w:r>
      <w:r w:rsidR="00797C03" w:rsidRPr="00E531DC">
        <w:rPr>
          <w:rFonts w:ascii="Times New Roman" w:hAnsi="Times New Roman" w:cs="Times New Roman"/>
          <w:sz w:val="20"/>
          <w:szCs w:val="20"/>
        </w:rPr>
        <w:t>r A</w:t>
      </w:r>
      <w:r w:rsidRPr="00E531DC">
        <w:rPr>
          <w:rFonts w:ascii="Times New Roman" w:hAnsi="Times New Roman" w:cs="Times New Roman"/>
          <w:sz w:val="20"/>
          <w:szCs w:val="20"/>
        </w:rPr>
        <w:t>pher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Dial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2009;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13:</w:t>
      </w:r>
      <w:r w:rsidR="0029645F" w:rsidRPr="00E531DC">
        <w:rPr>
          <w:rFonts w:ascii="Times New Roman" w:hAnsi="Times New Roman" w:cs="Times New Roman"/>
          <w:sz w:val="20"/>
          <w:szCs w:val="20"/>
        </w:rPr>
        <w:t xml:space="preserve"> </w:t>
      </w:r>
      <w:r w:rsidRPr="00E531DC">
        <w:rPr>
          <w:rFonts w:ascii="Times New Roman" w:hAnsi="Times New Roman" w:cs="Times New Roman"/>
          <w:sz w:val="20"/>
          <w:szCs w:val="20"/>
        </w:rPr>
        <w:t>56–62</w:t>
      </w:r>
      <w:r w:rsidR="003173F9" w:rsidRPr="00E531DC">
        <w:rPr>
          <w:rFonts w:ascii="Times New Roman" w:hAnsi="Times New Roman" w:cs="Times New Roman"/>
          <w:sz w:val="20"/>
          <w:szCs w:val="20"/>
        </w:rPr>
        <w:t>.</w:t>
      </w:r>
    </w:p>
    <w:p w:rsidR="0029645F" w:rsidRPr="00E531DC" w:rsidRDefault="0029645F" w:rsidP="00797C03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  <w:sectPr w:rsidR="0029645F" w:rsidRPr="00E531DC" w:rsidSect="00797C03">
          <w:footnotePr>
            <w:numFmt w:val="chicago"/>
          </w:footnotePr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BC478F" w:rsidRPr="00E531DC" w:rsidRDefault="00BC478F" w:rsidP="00797C03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950CDE" w:rsidRPr="00E531DC" w:rsidRDefault="00950CDE" w:rsidP="00797C03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29645F" w:rsidRPr="00E531DC" w:rsidRDefault="0029645F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B5574B" w:rsidRPr="00E531DC" w:rsidRDefault="0029645F" w:rsidP="00797C03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E531DC">
        <w:rPr>
          <w:rFonts w:ascii="Times New Roman" w:hAnsi="Times New Roman" w:cs="Times New Roman"/>
          <w:sz w:val="20"/>
          <w:szCs w:val="20"/>
        </w:rPr>
        <w:t>1/20/2018</w:t>
      </w:r>
    </w:p>
    <w:sectPr w:rsidR="00B5574B" w:rsidRPr="00E531DC" w:rsidSect="0029645F">
      <w:footnotePr>
        <w:numFmt w:val="chicago"/>
      </w:footnotePr>
      <w:type w:val="continuous"/>
      <w:pgSz w:w="12242" w:h="15842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6FE" w:rsidRDefault="00B416FE" w:rsidP="004602AD">
      <w:pPr>
        <w:spacing w:after="0" w:line="240" w:lineRule="auto"/>
      </w:pPr>
      <w:r>
        <w:separator/>
      </w:r>
    </w:p>
  </w:endnote>
  <w:endnote w:type="continuationSeparator" w:id="1">
    <w:p w:rsidR="00B416FE" w:rsidRDefault="00B416FE" w:rsidP="0046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45F" w:rsidRPr="00630E63" w:rsidRDefault="0018185E" w:rsidP="00630E63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30E63">
      <w:rPr>
        <w:rFonts w:ascii="Times New Roman" w:hAnsi="Times New Roman" w:cs="Times New Roman"/>
        <w:sz w:val="20"/>
      </w:rPr>
      <w:fldChar w:fldCharType="begin"/>
    </w:r>
    <w:r w:rsidR="00630E63" w:rsidRPr="00630E63">
      <w:rPr>
        <w:rFonts w:ascii="Times New Roman" w:hAnsi="Times New Roman" w:cs="Times New Roman"/>
        <w:sz w:val="20"/>
      </w:rPr>
      <w:instrText xml:space="preserve"> page </w:instrText>
    </w:r>
    <w:r w:rsidRPr="00630E63">
      <w:rPr>
        <w:rFonts w:ascii="Times New Roman" w:hAnsi="Times New Roman" w:cs="Times New Roman"/>
        <w:sz w:val="20"/>
      </w:rPr>
      <w:fldChar w:fldCharType="separate"/>
    </w:r>
    <w:r w:rsidR="00972744">
      <w:rPr>
        <w:rFonts w:ascii="Times New Roman" w:hAnsi="Times New Roman" w:cs="Times New Roman"/>
        <w:noProof/>
        <w:sz w:val="20"/>
      </w:rPr>
      <w:t>59</w:t>
    </w:r>
    <w:r w:rsidRPr="00630E63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45F" w:rsidRPr="00630E63" w:rsidRDefault="0018185E" w:rsidP="00630E63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30E63">
      <w:rPr>
        <w:rFonts w:ascii="Times New Roman" w:hAnsi="Times New Roman" w:cs="Times New Roman"/>
        <w:sz w:val="20"/>
      </w:rPr>
      <w:fldChar w:fldCharType="begin"/>
    </w:r>
    <w:r w:rsidR="00630E63" w:rsidRPr="00630E63">
      <w:rPr>
        <w:rFonts w:ascii="Times New Roman" w:hAnsi="Times New Roman" w:cs="Times New Roman"/>
        <w:sz w:val="20"/>
      </w:rPr>
      <w:instrText xml:space="preserve"> page </w:instrText>
    </w:r>
    <w:r w:rsidRPr="00630E63">
      <w:rPr>
        <w:rFonts w:ascii="Times New Roman" w:hAnsi="Times New Roman" w:cs="Times New Roman"/>
        <w:sz w:val="20"/>
      </w:rPr>
      <w:fldChar w:fldCharType="separate"/>
    </w:r>
    <w:r w:rsidR="00972744">
      <w:rPr>
        <w:rFonts w:ascii="Times New Roman" w:hAnsi="Times New Roman" w:cs="Times New Roman"/>
        <w:noProof/>
        <w:sz w:val="20"/>
      </w:rPr>
      <w:t>61</w:t>
    </w:r>
    <w:r w:rsidRPr="00630E63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92" w:rsidRPr="00630E63" w:rsidRDefault="0018185E" w:rsidP="00630E63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630E63">
      <w:rPr>
        <w:rFonts w:ascii="Times New Roman" w:hAnsi="Times New Roman" w:cs="Times New Roman"/>
        <w:sz w:val="20"/>
      </w:rPr>
      <w:fldChar w:fldCharType="begin"/>
    </w:r>
    <w:r w:rsidR="00630E63" w:rsidRPr="00630E63">
      <w:rPr>
        <w:rFonts w:ascii="Times New Roman" w:hAnsi="Times New Roman" w:cs="Times New Roman"/>
        <w:sz w:val="20"/>
      </w:rPr>
      <w:instrText xml:space="preserve"> page </w:instrText>
    </w:r>
    <w:r w:rsidRPr="00630E63">
      <w:rPr>
        <w:rFonts w:ascii="Times New Roman" w:hAnsi="Times New Roman" w:cs="Times New Roman"/>
        <w:sz w:val="20"/>
      </w:rPr>
      <w:fldChar w:fldCharType="separate"/>
    </w:r>
    <w:r w:rsidR="00972744">
      <w:rPr>
        <w:rFonts w:ascii="Times New Roman" w:hAnsi="Times New Roman" w:cs="Times New Roman"/>
        <w:noProof/>
        <w:sz w:val="20"/>
      </w:rPr>
      <w:t>64</w:t>
    </w:r>
    <w:r w:rsidRPr="00630E63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6FE" w:rsidRDefault="00B416FE" w:rsidP="004602AD">
      <w:pPr>
        <w:spacing w:after="0" w:line="240" w:lineRule="auto"/>
      </w:pPr>
      <w:r>
        <w:separator/>
      </w:r>
    </w:p>
  </w:footnote>
  <w:footnote w:type="continuationSeparator" w:id="1">
    <w:p w:rsidR="00B416FE" w:rsidRDefault="00B416FE" w:rsidP="00460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63" w:rsidRPr="00630E63" w:rsidRDefault="00630E63" w:rsidP="00630E6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630E63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30E63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630E63">
      <w:rPr>
        <w:rFonts w:ascii="Times New Roman" w:hAnsi="Times New Roman" w:cs="Times New Roman"/>
        <w:iCs/>
        <w:sz w:val="20"/>
        <w:szCs w:val="20"/>
      </w:rPr>
      <w:t>201</w:t>
    </w:r>
    <w:r w:rsidRPr="00630E63">
      <w:rPr>
        <w:rFonts w:ascii="Times New Roman" w:hAnsi="Times New Roman" w:cs="Times New Roman" w:hint="eastAsia"/>
        <w:iCs/>
        <w:sz w:val="20"/>
        <w:szCs w:val="20"/>
      </w:rPr>
      <w:t>8</w:t>
    </w:r>
    <w:r w:rsidRPr="00630E63">
      <w:rPr>
        <w:rFonts w:ascii="Times New Roman" w:hAnsi="Times New Roman" w:cs="Times New Roman"/>
        <w:iCs/>
        <w:sz w:val="20"/>
        <w:szCs w:val="20"/>
      </w:rPr>
      <w:t>;</w:t>
    </w:r>
    <w:r w:rsidRPr="00630E63">
      <w:rPr>
        <w:rFonts w:ascii="Times New Roman" w:hAnsi="Times New Roman" w:cs="Times New Roman" w:hint="eastAsia"/>
        <w:iCs/>
        <w:sz w:val="20"/>
        <w:szCs w:val="20"/>
      </w:rPr>
      <w:t>10</w:t>
    </w:r>
    <w:r w:rsidRPr="00630E63">
      <w:rPr>
        <w:rFonts w:ascii="Times New Roman" w:hAnsi="Times New Roman" w:cs="Times New Roman"/>
        <w:iCs/>
        <w:sz w:val="20"/>
        <w:szCs w:val="20"/>
      </w:rPr>
      <w:t>(</w:t>
    </w:r>
    <w:r w:rsidRPr="00630E63">
      <w:rPr>
        <w:rFonts w:ascii="Times New Roman" w:hAnsi="Times New Roman" w:cs="Times New Roman" w:hint="eastAsia"/>
        <w:iCs/>
        <w:sz w:val="20"/>
        <w:szCs w:val="20"/>
      </w:rPr>
      <w:t>1</w:t>
    </w:r>
    <w:r w:rsidRPr="00630E63">
      <w:rPr>
        <w:rFonts w:ascii="Times New Roman" w:hAnsi="Times New Roman" w:cs="Times New Roman"/>
        <w:iCs/>
        <w:sz w:val="20"/>
        <w:szCs w:val="20"/>
      </w:rPr>
      <w:t xml:space="preserve">)  </w:t>
    </w:r>
    <w:r w:rsidRPr="00630E63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630E63">
      <w:rPr>
        <w:rFonts w:ascii="Times New Roman" w:hAnsi="Times New Roman" w:cs="Times New Roman"/>
        <w:iCs/>
        <w:sz w:val="20"/>
        <w:szCs w:val="20"/>
      </w:rPr>
      <w:t xml:space="preserve"> </w:t>
    </w:r>
    <w:r w:rsidRPr="00630E63">
      <w:rPr>
        <w:rFonts w:ascii="Times New Roman" w:hAnsi="Times New Roman" w:cs="Times New Roman" w:hint="eastAsia"/>
        <w:iCs/>
        <w:sz w:val="20"/>
        <w:szCs w:val="20"/>
      </w:rPr>
      <w:tab/>
    </w:r>
    <w:r w:rsidRPr="00630E63">
      <w:rPr>
        <w:rFonts w:ascii="Times New Roman" w:hAnsi="Times New Roman" w:cs="Times New Roman"/>
        <w:iCs/>
        <w:sz w:val="20"/>
        <w:szCs w:val="20"/>
      </w:rPr>
      <w:t xml:space="preserve">    </w:t>
    </w:r>
    <w:r w:rsidRPr="00630E63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630E63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</w:p>
  <w:p w:rsidR="00630E63" w:rsidRPr="00630E63" w:rsidRDefault="00630E63" w:rsidP="00630E63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63" w:rsidRPr="00630E63" w:rsidRDefault="00630E63" w:rsidP="00630E6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630E63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30E63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630E63">
      <w:rPr>
        <w:rFonts w:ascii="Times New Roman" w:hAnsi="Times New Roman" w:cs="Times New Roman"/>
        <w:iCs/>
        <w:sz w:val="20"/>
        <w:szCs w:val="20"/>
      </w:rPr>
      <w:t>201</w:t>
    </w:r>
    <w:r w:rsidRPr="00630E63">
      <w:rPr>
        <w:rFonts w:ascii="Times New Roman" w:hAnsi="Times New Roman" w:cs="Times New Roman" w:hint="eastAsia"/>
        <w:iCs/>
        <w:sz w:val="20"/>
        <w:szCs w:val="20"/>
      </w:rPr>
      <w:t>8</w:t>
    </w:r>
    <w:r w:rsidRPr="00630E63">
      <w:rPr>
        <w:rFonts w:ascii="Times New Roman" w:hAnsi="Times New Roman" w:cs="Times New Roman"/>
        <w:iCs/>
        <w:sz w:val="20"/>
        <w:szCs w:val="20"/>
      </w:rPr>
      <w:t>;</w:t>
    </w:r>
    <w:r w:rsidRPr="00630E63">
      <w:rPr>
        <w:rFonts w:ascii="Times New Roman" w:hAnsi="Times New Roman" w:cs="Times New Roman" w:hint="eastAsia"/>
        <w:iCs/>
        <w:sz w:val="20"/>
        <w:szCs w:val="20"/>
      </w:rPr>
      <w:t>10</w:t>
    </w:r>
    <w:r w:rsidRPr="00630E63">
      <w:rPr>
        <w:rFonts w:ascii="Times New Roman" w:hAnsi="Times New Roman" w:cs="Times New Roman"/>
        <w:iCs/>
        <w:sz w:val="20"/>
        <w:szCs w:val="20"/>
      </w:rPr>
      <w:t>(</w:t>
    </w:r>
    <w:r w:rsidRPr="00630E63">
      <w:rPr>
        <w:rFonts w:ascii="Times New Roman" w:hAnsi="Times New Roman" w:cs="Times New Roman" w:hint="eastAsia"/>
        <w:iCs/>
        <w:sz w:val="20"/>
        <w:szCs w:val="20"/>
      </w:rPr>
      <w:t>1</w:t>
    </w:r>
    <w:r w:rsidRPr="00630E63">
      <w:rPr>
        <w:rFonts w:ascii="Times New Roman" w:hAnsi="Times New Roman" w:cs="Times New Roman"/>
        <w:iCs/>
        <w:sz w:val="20"/>
        <w:szCs w:val="20"/>
      </w:rPr>
      <w:t xml:space="preserve">)  </w:t>
    </w:r>
    <w:r w:rsidRPr="00630E63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630E63">
      <w:rPr>
        <w:rFonts w:ascii="Times New Roman" w:hAnsi="Times New Roman" w:cs="Times New Roman"/>
        <w:iCs/>
        <w:sz w:val="20"/>
        <w:szCs w:val="20"/>
      </w:rPr>
      <w:t xml:space="preserve"> </w:t>
    </w:r>
    <w:r w:rsidRPr="00630E63">
      <w:rPr>
        <w:rFonts w:ascii="Times New Roman" w:hAnsi="Times New Roman" w:cs="Times New Roman" w:hint="eastAsia"/>
        <w:iCs/>
        <w:sz w:val="20"/>
        <w:szCs w:val="20"/>
      </w:rPr>
      <w:tab/>
    </w:r>
    <w:r w:rsidRPr="00630E63">
      <w:rPr>
        <w:rFonts w:ascii="Times New Roman" w:hAnsi="Times New Roman" w:cs="Times New Roman"/>
        <w:iCs/>
        <w:sz w:val="20"/>
        <w:szCs w:val="20"/>
      </w:rPr>
      <w:t xml:space="preserve">    </w:t>
    </w:r>
    <w:r w:rsidRPr="00630E63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630E63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</w:p>
  <w:p w:rsidR="00630E63" w:rsidRPr="00630E63" w:rsidRDefault="00630E63" w:rsidP="00630E63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63" w:rsidRPr="00630E63" w:rsidRDefault="00630E63" w:rsidP="00630E63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630E63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630E63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630E63">
      <w:rPr>
        <w:rFonts w:ascii="Times New Roman" w:hAnsi="Times New Roman" w:cs="Times New Roman"/>
        <w:iCs/>
        <w:sz w:val="20"/>
        <w:szCs w:val="20"/>
      </w:rPr>
      <w:t>201</w:t>
    </w:r>
    <w:r w:rsidRPr="00630E63">
      <w:rPr>
        <w:rFonts w:ascii="Times New Roman" w:hAnsi="Times New Roman" w:cs="Times New Roman" w:hint="eastAsia"/>
        <w:iCs/>
        <w:sz w:val="20"/>
        <w:szCs w:val="20"/>
      </w:rPr>
      <w:t>8</w:t>
    </w:r>
    <w:r w:rsidRPr="00630E63">
      <w:rPr>
        <w:rFonts w:ascii="Times New Roman" w:hAnsi="Times New Roman" w:cs="Times New Roman"/>
        <w:iCs/>
        <w:sz w:val="20"/>
        <w:szCs w:val="20"/>
      </w:rPr>
      <w:t>;</w:t>
    </w:r>
    <w:r w:rsidRPr="00630E63">
      <w:rPr>
        <w:rFonts w:ascii="Times New Roman" w:hAnsi="Times New Roman" w:cs="Times New Roman" w:hint="eastAsia"/>
        <w:iCs/>
        <w:sz w:val="20"/>
        <w:szCs w:val="20"/>
      </w:rPr>
      <w:t>10</w:t>
    </w:r>
    <w:r w:rsidRPr="00630E63">
      <w:rPr>
        <w:rFonts w:ascii="Times New Roman" w:hAnsi="Times New Roman" w:cs="Times New Roman"/>
        <w:iCs/>
        <w:sz w:val="20"/>
        <w:szCs w:val="20"/>
      </w:rPr>
      <w:t>(</w:t>
    </w:r>
    <w:r w:rsidRPr="00630E63">
      <w:rPr>
        <w:rFonts w:ascii="Times New Roman" w:hAnsi="Times New Roman" w:cs="Times New Roman" w:hint="eastAsia"/>
        <w:iCs/>
        <w:sz w:val="20"/>
        <w:szCs w:val="20"/>
      </w:rPr>
      <w:t>1</w:t>
    </w:r>
    <w:r w:rsidRPr="00630E63">
      <w:rPr>
        <w:rFonts w:ascii="Times New Roman" w:hAnsi="Times New Roman" w:cs="Times New Roman"/>
        <w:iCs/>
        <w:sz w:val="20"/>
        <w:szCs w:val="20"/>
      </w:rPr>
      <w:t xml:space="preserve">)  </w:t>
    </w:r>
    <w:r w:rsidRPr="00630E63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630E63">
      <w:rPr>
        <w:rFonts w:ascii="Times New Roman" w:hAnsi="Times New Roman" w:cs="Times New Roman"/>
        <w:iCs/>
        <w:sz w:val="20"/>
        <w:szCs w:val="20"/>
      </w:rPr>
      <w:t xml:space="preserve"> </w:t>
    </w:r>
    <w:r w:rsidRPr="00630E63">
      <w:rPr>
        <w:rFonts w:ascii="Times New Roman" w:hAnsi="Times New Roman" w:cs="Times New Roman" w:hint="eastAsia"/>
        <w:iCs/>
        <w:sz w:val="20"/>
        <w:szCs w:val="20"/>
      </w:rPr>
      <w:tab/>
    </w:r>
    <w:r w:rsidRPr="00630E63">
      <w:rPr>
        <w:rFonts w:ascii="Times New Roman" w:hAnsi="Times New Roman" w:cs="Times New Roman"/>
        <w:iCs/>
        <w:sz w:val="20"/>
        <w:szCs w:val="20"/>
      </w:rPr>
      <w:t xml:space="preserve">    </w:t>
    </w:r>
    <w:r w:rsidRPr="00630E63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630E63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</w:p>
  <w:p w:rsidR="00630E63" w:rsidRPr="00630E63" w:rsidRDefault="00630E63" w:rsidP="00630E63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hybridMultilevel"/>
    <w:tmpl w:val="FB72F3A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A44D9D"/>
    <w:multiLevelType w:val="hybridMultilevel"/>
    <w:tmpl w:val="71DC5D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5C60DB"/>
    <w:multiLevelType w:val="hybridMultilevel"/>
    <w:tmpl w:val="F186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F0C2D"/>
    <w:multiLevelType w:val="hybridMultilevel"/>
    <w:tmpl w:val="138AE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D1D9B"/>
    <w:multiLevelType w:val="hybridMultilevel"/>
    <w:tmpl w:val="F1B08AFA"/>
    <w:lvl w:ilvl="0" w:tplc="54162C20">
      <w:start w:val="1"/>
      <w:numFmt w:val="decimal"/>
      <w:lvlText w:val="%1"/>
      <w:lvlJc w:val="righ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0251F4"/>
    <w:multiLevelType w:val="hybridMultilevel"/>
    <w:tmpl w:val="E398D79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0F5F"/>
    <w:multiLevelType w:val="hybridMultilevel"/>
    <w:tmpl w:val="57B67AEA"/>
    <w:lvl w:ilvl="0" w:tplc="F7529F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15515"/>
    <w:multiLevelType w:val="hybridMultilevel"/>
    <w:tmpl w:val="EBF485D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2E4709"/>
    <w:multiLevelType w:val="hybridMultilevel"/>
    <w:tmpl w:val="15DCFFD8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A1AB3"/>
    <w:multiLevelType w:val="hybridMultilevel"/>
    <w:tmpl w:val="FC0AD0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14D24"/>
    <w:multiLevelType w:val="hybridMultilevel"/>
    <w:tmpl w:val="60E6E5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8E7C66"/>
    <w:multiLevelType w:val="hybridMultilevel"/>
    <w:tmpl w:val="2F08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72A48"/>
    <w:multiLevelType w:val="hybridMultilevel"/>
    <w:tmpl w:val="73D89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A1ADF"/>
    <w:multiLevelType w:val="hybridMultilevel"/>
    <w:tmpl w:val="1182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C1897"/>
    <w:multiLevelType w:val="hybridMultilevel"/>
    <w:tmpl w:val="0B2AB5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F7970"/>
    <w:multiLevelType w:val="hybridMultilevel"/>
    <w:tmpl w:val="57B67AEA"/>
    <w:lvl w:ilvl="0" w:tplc="F7529F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67C5A"/>
    <w:multiLevelType w:val="hybridMultilevel"/>
    <w:tmpl w:val="D3D29C9A"/>
    <w:lvl w:ilvl="0" w:tplc="C568A3D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701A6B"/>
    <w:multiLevelType w:val="hybridMultilevel"/>
    <w:tmpl w:val="3D60FAE0"/>
    <w:lvl w:ilvl="0" w:tplc="3950026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4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703464"/>
    <w:multiLevelType w:val="hybridMultilevel"/>
    <w:tmpl w:val="36F49930"/>
    <w:lvl w:ilvl="0" w:tplc="04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F92342"/>
    <w:multiLevelType w:val="hybridMultilevel"/>
    <w:tmpl w:val="16DAEB50"/>
    <w:lvl w:ilvl="0" w:tplc="CBE6BC16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9"/>
  </w:num>
  <w:num w:numId="5">
    <w:abstractNumId w:val="16"/>
  </w:num>
  <w:num w:numId="6">
    <w:abstractNumId w:val="1"/>
  </w:num>
  <w:num w:numId="7">
    <w:abstractNumId w:val="15"/>
  </w:num>
  <w:num w:numId="8">
    <w:abstractNumId w:val="14"/>
  </w:num>
  <w:num w:numId="9">
    <w:abstractNumId w:val="12"/>
  </w:num>
  <w:num w:numId="10">
    <w:abstractNumId w:val="5"/>
  </w:num>
  <w:num w:numId="11">
    <w:abstractNumId w:val="7"/>
  </w:num>
  <w:num w:numId="12">
    <w:abstractNumId w:val="6"/>
  </w:num>
  <w:num w:numId="13">
    <w:abstractNumId w:val="11"/>
  </w:num>
  <w:num w:numId="14">
    <w:abstractNumId w:val="0"/>
  </w:num>
  <w:num w:numId="15">
    <w:abstractNumId w:val="13"/>
  </w:num>
  <w:num w:numId="16">
    <w:abstractNumId w:val="4"/>
  </w:num>
  <w:num w:numId="17">
    <w:abstractNumId w:val="18"/>
  </w:num>
  <w:num w:numId="18">
    <w:abstractNumId w:val="2"/>
  </w:num>
  <w:num w:numId="19">
    <w:abstractNumId w:val="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8674"/>
  </w:hdrShapeDefaults>
  <w:footnotePr>
    <w:numFmt w:val="chicago"/>
    <w:footnote w:id="0"/>
    <w:footnote w:id="1"/>
  </w:footnotePr>
  <w:endnotePr>
    <w:endnote w:id="0"/>
    <w:endnote w:id="1"/>
  </w:endnotePr>
  <w:compat>
    <w:useFELayout/>
  </w:compat>
  <w:rsids>
    <w:rsidRoot w:val="00B40FD0"/>
    <w:rsid w:val="00000AA8"/>
    <w:rsid w:val="00016B1E"/>
    <w:rsid w:val="0002331D"/>
    <w:rsid w:val="000352EB"/>
    <w:rsid w:val="000564D5"/>
    <w:rsid w:val="000655E2"/>
    <w:rsid w:val="00071ACC"/>
    <w:rsid w:val="000806BF"/>
    <w:rsid w:val="000B1CAB"/>
    <w:rsid w:val="000B50CC"/>
    <w:rsid w:val="000C1E95"/>
    <w:rsid w:val="000C2FF8"/>
    <w:rsid w:val="000C67F0"/>
    <w:rsid w:val="000C7B60"/>
    <w:rsid w:val="00104892"/>
    <w:rsid w:val="00111D59"/>
    <w:rsid w:val="00131946"/>
    <w:rsid w:val="00144D72"/>
    <w:rsid w:val="00164750"/>
    <w:rsid w:val="001655C8"/>
    <w:rsid w:val="00167BF1"/>
    <w:rsid w:val="00180571"/>
    <w:rsid w:val="0018185E"/>
    <w:rsid w:val="0018391B"/>
    <w:rsid w:val="00183A2D"/>
    <w:rsid w:val="00186F82"/>
    <w:rsid w:val="001A3D9C"/>
    <w:rsid w:val="001C2C8D"/>
    <w:rsid w:val="001D4BC8"/>
    <w:rsid w:val="001D5F55"/>
    <w:rsid w:val="001E4490"/>
    <w:rsid w:val="001F780E"/>
    <w:rsid w:val="0020317B"/>
    <w:rsid w:val="0021246C"/>
    <w:rsid w:val="00214B6F"/>
    <w:rsid w:val="002355FA"/>
    <w:rsid w:val="00240C1B"/>
    <w:rsid w:val="00260611"/>
    <w:rsid w:val="00264DEE"/>
    <w:rsid w:val="0029645F"/>
    <w:rsid w:val="002B054E"/>
    <w:rsid w:val="002C2679"/>
    <w:rsid w:val="002D5E6E"/>
    <w:rsid w:val="002F4A61"/>
    <w:rsid w:val="00307036"/>
    <w:rsid w:val="003173F9"/>
    <w:rsid w:val="00322117"/>
    <w:rsid w:val="003271E9"/>
    <w:rsid w:val="0033226A"/>
    <w:rsid w:val="00334177"/>
    <w:rsid w:val="003366BB"/>
    <w:rsid w:val="003419A9"/>
    <w:rsid w:val="00347DEB"/>
    <w:rsid w:val="00350EDF"/>
    <w:rsid w:val="00360ADE"/>
    <w:rsid w:val="00373B04"/>
    <w:rsid w:val="0038170F"/>
    <w:rsid w:val="00386824"/>
    <w:rsid w:val="003A50B7"/>
    <w:rsid w:val="003B7646"/>
    <w:rsid w:val="003C0AF6"/>
    <w:rsid w:val="003C437D"/>
    <w:rsid w:val="003C5DBC"/>
    <w:rsid w:val="003E092A"/>
    <w:rsid w:val="003E107E"/>
    <w:rsid w:val="003E14FD"/>
    <w:rsid w:val="003E5A34"/>
    <w:rsid w:val="003F098D"/>
    <w:rsid w:val="003F31B2"/>
    <w:rsid w:val="003F6717"/>
    <w:rsid w:val="00401A55"/>
    <w:rsid w:val="0041108C"/>
    <w:rsid w:val="0041393C"/>
    <w:rsid w:val="00422977"/>
    <w:rsid w:val="0045134A"/>
    <w:rsid w:val="004602AD"/>
    <w:rsid w:val="00462A68"/>
    <w:rsid w:val="0046358E"/>
    <w:rsid w:val="00472C56"/>
    <w:rsid w:val="0047765B"/>
    <w:rsid w:val="00485AF1"/>
    <w:rsid w:val="00492724"/>
    <w:rsid w:val="00495E76"/>
    <w:rsid w:val="004A0688"/>
    <w:rsid w:val="004B7BAD"/>
    <w:rsid w:val="004B7EBF"/>
    <w:rsid w:val="004C443A"/>
    <w:rsid w:val="004C6B08"/>
    <w:rsid w:val="004C6BDA"/>
    <w:rsid w:val="004C7513"/>
    <w:rsid w:val="004E2FAA"/>
    <w:rsid w:val="004F28CC"/>
    <w:rsid w:val="0050166A"/>
    <w:rsid w:val="00510889"/>
    <w:rsid w:val="005168C3"/>
    <w:rsid w:val="005455B1"/>
    <w:rsid w:val="00547F23"/>
    <w:rsid w:val="00551BEA"/>
    <w:rsid w:val="00551D50"/>
    <w:rsid w:val="005579FE"/>
    <w:rsid w:val="00573EC1"/>
    <w:rsid w:val="00597424"/>
    <w:rsid w:val="005B021B"/>
    <w:rsid w:val="005B26B2"/>
    <w:rsid w:val="005F7793"/>
    <w:rsid w:val="00606D25"/>
    <w:rsid w:val="0061185B"/>
    <w:rsid w:val="00623C29"/>
    <w:rsid w:val="00630E63"/>
    <w:rsid w:val="006331CA"/>
    <w:rsid w:val="00642686"/>
    <w:rsid w:val="00650506"/>
    <w:rsid w:val="00651A2B"/>
    <w:rsid w:val="00654607"/>
    <w:rsid w:val="00654784"/>
    <w:rsid w:val="00661B24"/>
    <w:rsid w:val="00662A10"/>
    <w:rsid w:val="0067785C"/>
    <w:rsid w:val="0068232D"/>
    <w:rsid w:val="00697384"/>
    <w:rsid w:val="006A6112"/>
    <w:rsid w:val="006B2F32"/>
    <w:rsid w:val="006C0AF3"/>
    <w:rsid w:val="006C5214"/>
    <w:rsid w:val="006D7DFB"/>
    <w:rsid w:val="006E6380"/>
    <w:rsid w:val="00713BF3"/>
    <w:rsid w:val="007234EF"/>
    <w:rsid w:val="00730CE1"/>
    <w:rsid w:val="00733F05"/>
    <w:rsid w:val="0074005D"/>
    <w:rsid w:val="00743F90"/>
    <w:rsid w:val="007447EF"/>
    <w:rsid w:val="00752F8C"/>
    <w:rsid w:val="00770716"/>
    <w:rsid w:val="00790D44"/>
    <w:rsid w:val="00797C03"/>
    <w:rsid w:val="007A2C59"/>
    <w:rsid w:val="007B47F5"/>
    <w:rsid w:val="007C7624"/>
    <w:rsid w:val="007D197D"/>
    <w:rsid w:val="007D2110"/>
    <w:rsid w:val="007D3743"/>
    <w:rsid w:val="007D793A"/>
    <w:rsid w:val="007F2118"/>
    <w:rsid w:val="00815197"/>
    <w:rsid w:val="00824F1C"/>
    <w:rsid w:val="00833AB1"/>
    <w:rsid w:val="008433F9"/>
    <w:rsid w:val="00846E82"/>
    <w:rsid w:val="00850BAC"/>
    <w:rsid w:val="0085185E"/>
    <w:rsid w:val="00874EFE"/>
    <w:rsid w:val="008A1939"/>
    <w:rsid w:val="008B062F"/>
    <w:rsid w:val="008B2A3D"/>
    <w:rsid w:val="008C5532"/>
    <w:rsid w:val="008E2E58"/>
    <w:rsid w:val="008E3B2D"/>
    <w:rsid w:val="00901B16"/>
    <w:rsid w:val="00903732"/>
    <w:rsid w:val="009039AF"/>
    <w:rsid w:val="00905841"/>
    <w:rsid w:val="009100F8"/>
    <w:rsid w:val="00922DB3"/>
    <w:rsid w:val="0092573C"/>
    <w:rsid w:val="0092676C"/>
    <w:rsid w:val="00930AAE"/>
    <w:rsid w:val="00933714"/>
    <w:rsid w:val="00947402"/>
    <w:rsid w:val="00950CDE"/>
    <w:rsid w:val="00952665"/>
    <w:rsid w:val="0096031D"/>
    <w:rsid w:val="00972744"/>
    <w:rsid w:val="00992BDA"/>
    <w:rsid w:val="00996E24"/>
    <w:rsid w:val="009B3DFB"/>
    <w:rsid w:val="009C3CE2"/>
    <w:rsid w:val="009D0F40"/>
    <w:rsid w:val="009D190F"/>
    <w:rsid w:val="009E7788"/>
    <w:rsid w:val="00A15EA7"/>
    <w:rsid w:val="00A21220"/>
    <w:rsid w:val="00A5178C"/>
    <w:rsid w:val="00A61FF3"/>
    <w:rsid w:val="00A7106A"/>
    <w:rsid w:val="00A767D1"/>
    <w:rsid w:val="00A77E57"/>
    <w:rsid w:val="00A900EA"/>
    <w:rsid w:val="00A91580"/>
    <w:rsid w:val="00AA2B66"/>
    <w:rsid w:val="00AC367D"/>
    <w:rsid w:val="00AC3F2A"/>
    <w:rsid w:val="00AD2165"/>
    <w:rsid w:val="00AD478D"/>
    <w:rsid w:val="00AE5ACD"/>
    <w:rsid w:val="00AF2F2F"/>
    <w:rsid w:val="00AF34CE"/>
    <w:rsid w:val="00B0260C"/>
    <w:rsid w:val="00B300BD"/>
    <w:rsid w:val="00B346B3"/>
    <w:rsid w:val="00B40FD0"/>
    <w:rsid w:val="00B416FE"/>
    <w:rsid w:val="00B5574B"/>
    <w:rsid w:val="00B62517"/>
    <w:rsid w:val="00B62C22"/>
    <w:rsid w:val="00B63072"/>
    <w:rsid w:val="00B652B8"/>
    <w:rsid w:val="00B7092D"/>
    <w:rsid w:val="00B733B5"/>
    <w:rsid w:val="00B9287E"/>
    <w:rsid w:val="00BA62FA"/>
    <w:rsid w:val="00BA7901"/>
    <w:rsid w:val="00BB7146"/>
    <w:rsid w:val="00BC25CC"/>
    <w:rsid w:val="00BC3F03"/>
    <w:rsid w:val="00BC478F"/>
    <w:rsid w:val="00BC6636"/>
    <w:rsid w:val="00BD074F"/>
    <w:rsid w:val="00C1530D"/>
    <w:rsid w:val="00C15E9D"/>
    <w:rsid w:val="00C264C0"/>
    <w:rsid w:val="00C30EA4"/>
    <w:rsid w:val="00C31E2B"/>
    <w:rsid w:val="00C332E3"/>
    <w:rsid w:val="00C367C4"/>
    <w:rsid w:val="00C409A1"/>
    <w:rsid w:val="00C50CDB"/>
    <w:rsid w:val="00C630D0"/>
    <w:rsid w:val="00C63ED9"/>
    <w:rsid w:val="00C719F2"/>
    <w:rsid w:val="00C72E5A"/>
    <w:rsid w:val="00C762E8"/>
    <w:rsid w:val="00C77133"/>
    <w:rsid w:val="00C85B33"/>
    <w:rsid w:val="00C92D1E"/>
    <w:rsid w:val="00CA02BB"/>
    <w:rsid w:val="00CA3172"/>
    <w:rsid w:val="00CC22E9"/>
    <w:rsid w:val="00CE1FFA"/>
    <w:rsid w:val="00CF1003"/>
    <w:rsid w:val="00D126BD"/>
    <w:rsid w:val="00D15F8C"/>
    <w:rsid w:val="00D279F0"/>
    <w:rsid w:val="00D4176C"/>
    <w:rsid w:val="00D41DCC"/>
    <w:rsid w:val="00D445F3"/>
    <w:rsid w:val="00D552CC"/>
    <w:rsid w:val="00D60804"/>
    <w:rsid w:val="00D619BE"/>
    <w:rsid w:val="00D71FAD"/>
    <w:rsid w:val="00D87767"/>
    <w:rsid w:val="00DA054A"/>
    <w:rsid w:val="00DA5981"/>
    <w:rsid w:val="00DC592D"/>
    <w:rsid w:val="00DD000E"/>
    <w:rsid w:val="00DD6352"/>
    <w:rsid w:val="00E04851"/>
    <w:rsid w:val="00E13527"/>
    <w:rsid w:val="00E34714"/>
    <w:rsid w:val="00E43710"/>
    <w:rsid w:val="00E531DC"/>
    <w:rsid w:val="00E652DB"/>
    <w:rsid w:val="00E75116"/>
    <w:rsid w:val="00E86499"/>
    <w:rsid w:val="00E87BC6"/>
    <w:rsid w:val="00EA4BD4"/>
    <w:rsid w:val="00EC24F9"/>
    <w:rsid w:val="00EC3F7A"/>
    <w:rsid w:val="00ED2CCB"/>
    <w:rsid w:val="00EE68B3"/>
    <w:rsid w:val="00EF7510"/>
    <w:rsid w:val="00F237E6"/>
    <w:rsid w:val="00F23818"/>
    <w:rsid w:val="00F27E58"/>
    <w:rsid w:val="00F443E6"/>
    <w:rsid w:val="00F72384"/>
    <w:rsid w:val="00F750EF"/>
    <w:rsid w:val="00F81097"/>
    <w:rsid w:val="00FA225E"/>
    <w:rsid w:val="00FB1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85C"/>
    <w:pPr>
      <w:ind w:left="720"/>
      <w:contextualSpacing/>
    </w:pPr>
  </w:style>
  <w:style w:type="paragraph" w:styleId="NormalWeb">
    <w:name w:val="Normal (Web)"/>
    <w:basedOn w:val="Normal"/>
    <w:unhideWhenUsed/>
    <w:rsid w:val="00850B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Header Char Char Char Char,Header Char Char Char"/>
    <w:basedOn w:val="Normal"/>
    <w:link w:val="HeaderChar"/>
    <w:uiPriority w:val="99"/>
    <w:unhideWhenUsed/>
    <w:rsid w:val="00850B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 Char Char Char Char,Header Char Char Char Char1"/>
    <w:basedOn w:val="DefaultParagraphFont"/>
    <w:link w:val="Header"/>
    <w:uiPriority w:val="99"/>
    <w:rsid w:val="00850BAC"/>
  </w:style>
  <w:style w:type="table" w:styleId="TableGrid">
    <w:name w:val="Table Grid"/>
    <w:basedOn w:val="TableNormal"/>
    <w:uiPriority w:val="59"/>
    <w:rsid w:val="007F2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3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F31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1B2"/>
  </w:style>
  <w:style w:type="character" w:styleId="CommentReference">
    <w:name w:val="annotation reference"/>
    <w:basedOn w:val="DefaultParagraphFont"/>
    <w:uiPriority w:val="99"/>
    <w:semiHidden/>
    <w:unhideWhenUsed/>
    <w:rsid w:val="00B92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7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22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2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25E"/>
    <w:rPr>
      <w:vertAlign w:val="superscript"/>
    </w:rPr>
  </w:style>
  <w:style w:type="character" w:styleId="Emphasis">
    <w:name w:val="Emphasis"/>
    <w:uiPriority w:val="20"/>
    <w:qFormat/>
    <w:rsid w:val="0045134A"/>
    <w:rPr>
      <w:i/>
      <w:iCs/>
    </w:rPr>
  </w:style>
  <w:style w:type="character" w:customStyle="1" w:styleId="apple-converted-space">
    <w:name w:val="apple-converted-space"/>
    <w:basedOn w:val="DefaultParagraphFont"/>
    <w:rsid w:val="00167BF1"/>
  </w:style>
  <w:style w:type="character" w:styleId="Hyperlink">
    <w:name w:val="Hyperlink"/>
    <w:basedOn w:val="DefaultParagraphFont"/>
    <w:uiPriority w:val="99"/>
    <w:unhideWhenUsed/>
    <w:rsid w:val="002D5E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85C"/>
    <w:pPr>
      <w:ind w:left="720"/>
      <w:contextualSpacing/>
    </w:pPr>
  </w:style>
  <w:style w:type="paragraph" w:styleId="NormalWeb">
    <w:name w:val="Normal (Web)"/>
    <w:basedOn w:val="Normal"/>
    <w:unhideWhenUsed/>
    <w:rsid w:val="00850B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Header Char Char Char Char,Header Char Char Char"/>
    <w:basedOn w:val="Normal"/>
    <w:link w:val="HeaderChar"/>
    <w:uiPriority w:val="99"/>
    <w:unhideWhenUsed/>
    <w:rsid w:val="00850B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 Char Char Char Char,Header Char Char Char Char1"/>
    <w:basedOn w:val="DefaultParagraphFont"/>
    <w:link w:val="Header"/>
    <w:uiPriority w:val="99"/>
    <w:rsid w:val="00850BAC"/>
  </w:style>
  <w:style w:type="table" w:styleId="TableGrid">
    <w:name w:val="Table Grid"/>
    <w:basedOn w:val="TableNormal"/>
    <w:uiPriority w:val="59"/>
    <w:rsid w:val="007F2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3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F31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1B2"/>
  </w:style>
  <w:style w:type="character" w:styleId="CommentReference">
    <w:name w:val="annotation reference"/>
    <w:basedOn w:val="DefaultParagraphFont"/>
    <w:uiPriority w:val="99"/>
    <w:semiHidden/>
    <w:unhideWhenUsed/>
    <w:rsid w:val="00B92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7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22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2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25E"/>
    <w:rPr>
      <w:vertAlign w:val="superscript"/>
    </w:rPr>
  </w:style>
  <w:style w:type="character" w:styleId="Emphasis">
    <w:name w:val="Emphasis"/>
    <w:uiPriority w:val="20"/>
    <w:qFormat/>
    <w:rsid w:val="0045134A"/>
    <w:rPr>
      <w:i/>
      <w:iCs/>
    </w:rPr>
  </w:style>
  <w:style w:type="character" w:customStyle="1" w:styleId="apple-converted-space">
    <w:name w:val="apple-converted-space"/>
    <w:basedOn w:val="DefaultParagraphFont"/>
    <w:rsid w:val="0016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shaheen1988@gmail.com" TargetMode="Externa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http://www.dx.doi.org/10.7537/marsrsj100118.09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sciencepub.net/researche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EG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Mean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HDF</c:v>
                </c:pt>
                <c:pt idx="1">
                  <c:v>HF</c:v>
                </c:pt>
                <c:pt idx="2">
                  <c:v>LF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>
                  <c:v>18.559999999999999</c:v>
                </c:pt>
                <c:pt idx="1">
                  <c:v>23.479999999999986</c:v>
                </c:pt>
                <c:pt idx="2">
                  <c:v>36.4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21-487D-A88C-3DAC4FC877FA}"/>
            </c:ext>
          </c:extLst>
        </c:ser>
        <c:shape val="cylinder"/>
        <c:axId val="78185216"/>
        <c:axId val="78186752"/>
        <c:axId val="0"/>
      </c:bar3DChart>
      <c:catAx>
        <c:axId val="7818521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en-US" sz="1000" b="1"/>
            </a:pPr>
            <a:endParaRPr lang="ar-EG"/>
          </a:p>
        </c:txPr>
        <c:crossAx val="78186752"/>
        <c:crosses val="autoZero"/>
        <c:auto val="1"/>
        <c:lblAlgn val="ctr"/>
        <c:lblOffset val="100"/>
      </c:catAx>
      <c:valAx>
        <c:axId val="78186752"/>
        <c:scaling>
          <c:orientation val="minMax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 lang="en-US" sz="1000" b="1"/>
            </a:pPr>
            <a:endParaRPr lang="ar-EG"/>
          </a:p>
        </c:txPr>
        <c:crossAx val="7818521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EG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Mean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HDF</c:v>
                </c:pt>
                <c:pt idx="1">
                  <c:v>HF</c:v>
                </c:pt>
                <c:pt idx="2">
                  <c:v>LF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>
                  <c:v>9.49</c:v>
                </c:pt>
                <c:pt idx="1">
                  <c:v>8.1</c:v>
                </c:pt>
                <c:pt idx="2">
                  <c:v>7.08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D1-46CB-9C33-4799C8DBC89A}"/>
            </c:ext>
          </c:extLst>
        </c:ser>
        <c:shape val="cylinder"/>
        <c:axId val="115537408"/>
        <c:axId val="115538944"/>
        <c:axId val="0"/>
      </c:bar3DChart>
      <c:catAx>
        <c:axId val="11553740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en-US" sz="1000" b="1"/>
            </a:pPr>
            <a:endParaRPr lang="ar-EG"/>
          </a:p>
        </c:txPr>
        <c:crossAx val="115538944"/>
        <c:crosses val="autoZero"/>
        <c:auto val="1"/>
        <c:lblAlgn val="ctr"/>
        <c:lblOffset val="100"/>
      </c:catAx>
      <c:valAx>
        <c:axId val="115538944"/>
        <c:scaling>
          <c:orientation val="minMax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 lang="en-US" sz="1000" b="1"/>
            </a:pPr>
            <a:endParaRPr lang="ar-EG"/>
          </a:p>
        </c:txPr>
        <c:crossAx val="11553740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EG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Mean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HDF</c:v>
                </c:pt>
                <c:pt idx="1">
                  <c:v>HF</c:v>
                </c:pt>
                <c:pt idx="2">
                  <c:v>LF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>
                  <c:v>416.79487179487177</c:v>
                </c:pt>
                <c:pt idx="1">
                  <c:v>606.34999999999798</c:v>
                </c:pt>
                <c:pt idx="2">
                  <c:v>774.65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9B-476F-ACC6-6C72826C7596}"/>
            </c:ext>
          </c:extLst>
        </c:ser>
        <c:shape val="cylinder"/>
        <c:axId val="94280704"/>
        <c:axId val="96981760"/>
        <c:axId val="0"/>
      </c:bar3DChart>
      <c:catAx>
        <c:axId val="9428070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en-US" sz="1000" b="1"/>
            </a:pPr>
            <a:endParaRPr lang="ar-EG"/>
          </a:p>
        </c:txPr>
        <c:crossAx val="96981760"/>
        <c:crosses val="autoZero"/>
        <c:auto val="1"/>
        <c:lblAlgn val="ctr"/>
        <c:lblOffset val="100"/>
      </c:catAx>
      <c:valAx>
        <c:axId val="96981760"/>
        <c:scaling>
          <c:orientation val="minMax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 lang="en-US" sz="1000" b="1"/>
            </a:pPr>
            <a:endParaRPr lang="ar-EG"/>
          </a:p>
        </c:txPr>
        <c:crossAx val="9428070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3932F-50D1-4AFD-8FEE-82159CF6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ahmed</dc:creator>
  <cp:lastModifiedBy>drmonazaki</cp:lastModifiedBy>
  <cp:revision>2</cp:revision>
  <cp:lastPrinted>2018-01-23T03:02:00Z</cp:lastPrinted>
  <dcterms:created xsi:type="dcterms:W3CDTF">2018-01-28T12:09:00Z</dcterms:created>
  <dcterms:modified xsi:type="dcterms:W3CDTF">2018-01-28T12:09:00Z</dcterms:modified>
</cp:coreProperties>
</file>