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8" w:rsidRPr="00A26C68" w:rsidRDefault="000729C3" w:rsidP="00A26C6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32"/>
          <w:lang w:eastAsia="zh-CN" w:bidi="ar-EG"/>
        </w:rPr>
      </w:pPr>
      <w:r w:rsidRPr="00A26C68">
        <w:rPr>
          <w:rFonts w:ascii="Times New Roman" w:hAnsi="Times New Roman" w:cs="Times New Roman"/>
          <w:b/>
          <w:bCs/>
          <w:sz w:val="20"/>
          <w:szCs w:val="32"/>
        </w:rPr>
        <w:t xml:space="preserve">Development and validation of method for analysis of ceftiofur hydrochloride and ceftiofur sodium by using </w:t>
      </w:r>
      <w:r w:rsidRPr="00A26C68">
        <w:rPr>
          <w:rFonts w:ascii="Times New Roman" w:hAnsi="Times New Roman" w:cs="Times New Roman"/>
          <w:b/>
          <w:bCs/>
          <w:sz w:val="20"/>
          <w:szCs w:val="32"/>
          <w:lang w:bidi="ar-EG"/>
        </w:rPr>
        <w:t>high performance liquid chromatography</w:t>
      </w:r>
    </w:p>
    <w:p w:rsidR="00A26C68" w:rsidRPr="00A26C68" w:rsidRDefault="00A26C68" w:rsidP="00A26C6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32"/>
          <w:lang w:eastAsia="zh-CN" w:bidi="ar-EG"/>
        </w:rPr>
      </w:pPr>
    </w:p>
    <w:p w:rsidR="00A26C68" w:rsidRPr="00A26C68" w:rsidRDefault="003E5E3E" w:rsidP="00A26C68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  <w:lang w:eastAsia="zh-CN"/>
        </w:rPr>
      </w:pPr>
      <w:r w:rsidRPr="00A26C68">
        <w:rPr>
          <w:rFonts w:ascii="Times New Roman" w:hAnsi="Times New Roman" w:cs="Times New Roman"/>
          <w:bCs/>
          <w:sz w:val="20"/>
          <w:szCs w:val="24"/>
        </w:rPr>
        <w:t>Elham A. Mobarez, Hanan A. Azoz, Maha S. Abd-Elhafeez</w:t>
      </w:r>
    </w:p>
    <w:p w:rsidR="00A26C68" w:rsidRPr="00A26C68" w:rsidRDefault="00A26C68" w:rsidP="00A26C68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  <w:lang w:eastAsia="zh-CN"/>
        </w:rPr>
      </w:pPr>
    </w:p>
    <w:p w:rsidR="00030A83" w:rsidRPr="00A26C68" w:rsidRDefault="00030A83" w:rsidP="00A26C6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40"/>
          <w:lang w:bidi="ar-EG"/>
        </w:rPr>
      </w:pPr>
      <w:r w:rsidRPr="00A26C68">
        <w:rPr>
          <w:rFonts w:ascii="Times New Roman" w:hAnsi="Times New Roman" w:cs="Times New Roman"/>
          <w:sz w:val="20"/>
          <w:szCs w:val="24"/>
        </w:rPr>
        <w:t>Biochemistry, Toxicology and Feed Deficiency Dept. (Pharmacology</w:t>
      </w:r>
      <w:r w:rsidR="00A26C68" w:rsidRPr="00A26C68">
        <w:rPr>
          <w:rFonts w:ascii="Times New Roman" w:hAnsi="Times New Roman" w:cs="Times New Roman"/>
          <w:sz w:val="20"/>
          <w:szCs w:val="24"/>
        </w:rPr>
        <w:t xml:space="preserve"> &amp; </w:t>
      </w:r>
      <w:r w:rsidRPr="00A26C68">
        <w:rPr>
          <w:rFonts w:ascii="Times New Roman" w:hAnsi="Times New Roman" w:cs="Times New Roman"/>
          <w:sz w:val="20"/>
          <w:szCs w:val="24"/>
        </w:rPr>
        <w:t>Pyrogen Unit)</w:t>
      </w:r>
      <w:r w:rsidR="0089079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, </w:t>
      </w:r>
      <w:r w:rsidRPr="00A26C68">
        <w:rPr>
          <w:rFonts w:ascii="Times New Roman" w:hAnsi="Times New Roman" w:cs="Times New Roman"/>
          <w:sz w:val="20"/>
          <w:szCs w:val="24"/>
        </w:rPr>
        <w:t>Animal Health Research Institute –Dokki- Egypt</w:t>
      </w:r>
    </w:p>
    <w:p w:rsidR="00A26C68" w:rsidRPr="00A26C68" w:rsidRDefault="00890794" w:rsidP="00A26C68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4"/>
          <w:lang w:eastAsia="zh-CN" w:bidi="ar-EG"/>
        </w:rPr>
      </w:pPr>
      <w:hyperlink r:id="rId7" w:history="1">
        <w:r w:rsidRPr="00F12DAB">
          <w:rPr>
            <w:rStyle w:val="Hyperlink"/>
            <w:rFonts w:ascii="Times New Roman" w:hAnsi="Times New Roman" w:cs="Times New Roman"/>
            <w:sz w:val="20"/>
            <w:szCs w:val="24"/>
            <w:lang w:bidi="ar-EG"/>
          </w:rPr>
          <w:t>Elham_pharmacology@yahoo.com</w:t>
        </w:r>
      </w:hyperlink>
      <w:r>
        <w:rPr>
          <w:rFonts w:ascii="Times New Roman" w:hAnsi="Times New Roman" w:cs="Times New Roman" w:hint="eastAsia"/>
          <w:sz w:val="20"/>
          <w:szCs w:val="24"/>
          <w:lang w:eastAsia="zh-CN" w:bidi="ar-EG"/>
        </w:rPr>
        <w:t xml:space="preserve"> </w:t>
      </w:r>
    </w:p>
    <w:p w:rsidR="00A26C68" w:rsidRPr="00A26C68" w:rsidRDefault="00A26C68" w:rsidP="00A26C68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 w:bidi="ar-EG"/>
        </w:rPr>
      </w:pPr>
    </w:p>
    <w:p w:rsidR="00704CBF" w:rsidRPr="00A26C68" w:rsidRDefault="00FB13C5" w:rsidP="00A26C6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b/>
          <w:bCs/>
          <w:sz w:val="20"/>
          <w:szCs w:val="32"/>
          <w:lang w:bidi="ar-EG"/>
        </w:rPr>
        <w:t>Abstract</w:t>
      </w:r>
      <w:r w:rsidR="00A26C68" w:rsidRPr="00A26C68">
        <w:rPr>
          <w:rFonts w:ascii="Times New Roman" w:hAnsi="Times New Roman" w:cs="Times New Roman" w:hint="eastAsia"/>
          <w:b/>
          <w:bCs/>
          <w:sz w:val="20"/>
          <w:szCs w:val="32"/>
          <w:lang w:eastAsia="zh-CN" w:bidi="ar-EG"/>
        </w:rPr>
        <w:t xml:space="preserve">: </w:t>
      </w:r>
      <w:r w:rsidR="00704CBF" w:rsidRPr="00A26C68">
        <w:rPr>
          <w:rFonts w:ascii="Times New Roman" w:hAnsi="Times New Roman" w:cs="Times New Roman"/>
          <w:sz w:val="20"/>
          <w:szCs w:val="28"/>
        </w:rPr>
        <w:t xml:space="preserve">An isocratic high-performance liquid chromatographic </w:t>
      </w:r>
      <w:r w:rsidR="0044453A" w:rsidRPr="00A26C68">
        <w:rPr>
          <w:rFonts w:ascii="Times New Roman" w:hAnsi="Times New Roman" w:cs="Times New Roman"/>
          <w:sz w:val="20"/>
          <w:szCs w:val="28"/>
        </w:rPr>
        <w:t xml:space="preserve">(HPLC) </w:t>
      </w:r>
      <w:r w:rsidR="00704CBF" w:rsidRPr="00A26C68">
        <w:rPr>
          <w:rFonts w:ascii="Times New Roman" w:hAnsi="Times New Roman" w:cs="Times New Roman"/>
          <w:sz w:val="20"/>
          <w:szCs w:val="28"/>
        </w:rPr>
        <w:t xml:space="preserve">method has been developed for assay of </w:t>
      </w:r>
      <w:r w:rsidR="008F2AC8" w:rsidRPr="00A26C68">
        <w:rPr>
          <w:rFonts w:ascii="Times New Roman" w:hAnsi="Times New Roman" w:cs="Times New Roman"/>
          <w:sz w:val="20"/>
          <w:szCs w:val="28"/>
        </w:rPr>
        <w:t xml:space="preserve">ceftiofur hydrochloride and ceftiofur sodium </w:t>
      </w:r>
      <w:r w:rsidR="00704CBF" w:rsidRPr="00A26C68">
        <w:rPr>
          <w:rFonts w:ascii="Times New Roman" w:hAnsi="Times New Roman" w:cs="Times New Roman"/>
          <w:sz w:val="20"/>
          <w:szCs w:val="28"/>
        </w:rPr>
        <w:t>in drug substance and in sterile powder for injection. Chromatography was performed on a 250 mm</w:t>
      </w:r>
      <w:r w:rsidR="00AD2ACD" w:rsidRPr="00A26C68">
        <w:rPr>
          <w:rFonts w:ascii="Times New Roman" w:hAnsi="Times New Roman" w:cs="Times New Roman"/>
          <w:sz w:val="20"/>
          <w:szCs w:val="28"/>
        </w:rPr>
        <w:t>,</w:t>
      </w:r>
      <w:r w:rsidR="00704CBF" w:rsidRPr="00A26C68">
        <w:rPr>
          <w:rFonts w:ascii="Times New Roman" w:hAnsi="Times New Roman" w:cs="Times New Roman"/>
          <w:sz w:val="20"/>
          <w:szCs w:val="28"/>
        </w:rPr>
        <w:t xml:space="preserve"> 4.6 mm, 5 </w:t>
      </w:r>
      <w:r w:rsidR="008F2AC8" w:rsidRPr="00A26C68">
        <w:rPr>
          <w:rFonts w:ascii="Times New Roman" w:hAnsi="Times New Roman" w:cs="Times New Roman"/>
          <w:sz w:val="20"/>
          <w:szCs w:val="28"/>
        </w:rPr>
        <w:t>µ</w:t>
      </w:r>
      <w:r w:rsidR="00704CBF" w:rsidRPr="00A26C68">
        <w:rPr>
          <w:rFonts w:ascii="Times New Roman" w:hAnsi="Times New Roman" w:cs="Times New Roman"/>
          <w:sz w:val="20"/>
          <w:szCs w:val="28"/>
        </w:rPr>
        <w:t>m particle, C</w:t>
      </w:r>
      <w:r w:rsidR="00704CBF" w:rsidRPr="00A26C68">
        <w:rPr>
          <w:rFonts w:ascii="Times New Roman" w:hAnsi="Times New Roman" w:cs="Times New Roman"/>
          <w:sz w:val="20"/>
          <w:szCs w:val="28"/>
          <w:vertAlign w:val="subscript"/>
        </w:rPr>
        <w:t>18</w:t>
      </w:r>
      <w:r w:rsidR="00704CBF" w:rsidRPr="00A26C68">
        <w:rPr>
          <w:rFonts w:ascii="Times New Roman" w:hAnsi="Times New Roman" w:cs="Times New Roman"/>
          <w:sz w:val="20"/>
          <w:szCs w:val="28"/>
        </w:rPr>
        <w:t xml:space="preserve"> column with a </w:t>
      </w:r>
      <w:r w:rsidR="003423B0" w:rsidRPr="00A26C68">
        <w:rPr>
          <w:rFonts w:ascii="Times New Roman" w:hAnsi="Times New Roman" w:cs="Times New Roman"/>
          <w:sz w:val="20"/>
          <w:szCs w:val="28"/>
        </w:rPr>
        <w:t>(</w:t>
      </w:r>
      <w:r w:rsidR="00CF531D" w:rsidRPr="00A26C68">
        <w:rPr>
          <w:rFonts w:ascii="Times New Roman" w:hAnsi="Times New Roman" w:cs="Times New Roman"/>
          <w:sz w:val="20"/>
          <w:szCs w:val="28"/>
        </w:rPr>
        <w:t>25:75)</w:t>
      </w:r>
      <w:r w:rsidR="0015069D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42406" w:rsidRPr="00A26C68">
        <w:rPr>
          <w:rFonts w:ascii="Times New Roman" w:hAnsi="Times New Roman" w:cs="Times New Roman"/>
          <w:sz w:val="20"/>
          <w:szCs w:val="28"/>
        </w:rPr>
        <w:t xml:space="preserve">0.1% </w:t>
      </w:r>
      <w:r w:rsidR="00704CBF" w:rsidRPr="00A26C68">
        <w:rPr>
          <w:rFonts w:ascii="Times New Roman" w:hAnsi="Times New Roman" w:cs="Times New Roman"/>
          <w:sz w:val="20"/>
          <w:szCs w:val="28"/>
        </w:rPr>
        <w:t xml:space="preserve">mixture of </w:t>
      </w:r>
      <w:r w:rsidR="00CF531D" w:rsidRPr="00A26C68">
        <w:rPr>
          <w:rFonts w:ascii="Times New Roman" w:hAnsi="Times New Roman" w:cs="Times New Roman"/>
          <w:sz w:val="20"/>
          <w:szCs w:val="28"/>
        </w:rPr>
        <w:t>(Acetonitrile: de-ionized water)</w:t>
      </w:r>
      <w:r w:rsidR="007B63E1" w:rsidRPr="00A26C68">
        <w:rPr>
          <w:rFonts w:ascii="Times New Roman" w:hAnsi="Times New Roman" w:cs="Times New Roman"/>
          <w:sz w:val="20"/>
          <w:szCs w:val="28"/>
        </w:rPr>
        <w:t xml:space="preserve"> trifloroacetic acid</w:t>
      </w:r>
      <w:r w:rsidR="00842406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04CBF" w:rsidRPr="00A26C68">
        <w:rPr>
          <w:rFonts w:ascii="Times New Roman" w:hAnsi="Times New Roman" w:cs="Times New Roman"/>
          <w:sz w:val="20"/>
          <w:szCs w:val="28"/>
        </w:rPr>
        <w:t xml:space="preserve">as mobile </w:t>
      </w:r>
      <w:r w:rsidR="00240F69" w:rsidRPr="00A26C68">
        <w:rPr>
          <w:rFonts w:ascii="Times New Roman" w:hAnsi="Times New Roman" w:cs="Times New Roman"/>
          <w:sz w:val="20"/>
          <w:szCs w:val="28"/>
        </w:rPr>
        <w:t>phase, at a flow rate of 1.0 ml/</w:t>
      </w:r>
      <w:r w:rsidR="00704CBF" w:rsidRPr="00A26C68">
        <w:rPr>
          <w:rFonts w:ascii="Times New Roman" w:hAnsi="Times New Roman" w:cs="Times New Roman"/>
          <w:sz w:val="20"/>
          <w:szCs w:val="28"/>
        </w:rPr>
        <w:t>min</w:t>
      </w:r>
      <w:r w:rsidR="00240F69" w:rsidRPr="00A26C68">
        <w:rPr>
          <w:rFonts w:ascii="Times New Roman" w:hAnsi="Times New Roman" w:cs="Times New Roman"/>
          <w:sz w:val="20"/>
          <w:szCs w:val="28"/>
        </w:rPr>
        <w:t>. at 35</w:t>
      </w:r>
      <w:r w:rsidR="00240F69" w:rsidRPr="00A26C68">
        <w:rPr>
          <w:rFonts w:ascii="Times New Roman" w:hAnsi="Times New Roman" w:cs="Times New Roman"/>
          <w:sz w:val="20"/>
          <w:szCs w:val="28"/>
          <w:vertAlign w:val="superscript"/>
        </w:rPr>
        <w:t>o</w:t>
      </w:r>
      <w:r w:rsidR="00200B73" w:rsidRPr="00A26C68">
        <w:rPr>
          <w:rFonts w:ascii="Times New Roman" w:hAnsi="Times New Roman" w:cs="Times New Roman"/>
          <w:sz w:val="20"/>
          <w:szCs w:val="28"/>
        </w:rPr>
        <w:t>C</w:t>
      </w:r>
      <w:r w:rsidR="00240F69" w:rsidRPr="00A26C68">
        <w:rPr>
          <w:rFonts w:ascii="Times New Roman" w:hAnsi="Times New Roman" w:cs="Times New Roman"/>
          <w:sz w:val="20"/>
          <w:szCs w:val="28"/>
        </w:rPr>
        <w:t>.</w:t>
      </w:r>
      <w:r w:rsidR="00704CBF" w:rsidRPr="00A26C68">
        <w:rPr>
          <w:rFonts w:ascii="Times New Roman" w:hAnsi="Times New Roman" w:cs="Times New Roman"/>
          <w:sz w:val="20"/>
          <w:szCs w:val="28"/>
        </w:rPr>
        <w:t xml:space="preserve"> The separation was monitored by UV detection at 292 nm. Validation of the method for linearity and range, intra and inter-day precision, accuracy, specificity, recovery, robustness, and limits of quantification and detection yielded good results</w:t>
      </w:r>
      <w:r w:rsidR="00BB6603" w:rsidRPr="00A26C68">
        <w:rPr>
          <w:rFonts w:ascii="Times New Roman" w:hAnsi="Times New Roman" w:cs="Times New Roman"/>
          <w:sz w:val="20"/>
          <w:szCs w:val="28"/>
        </w:rPr>
        <w:t>. The calibration plot was linear from 0.5–5</w:t>
      </w:r>
      <w:r w:rsidR="007F6BF9" w:rsidRPr="00A26C68">
        <w:rPr>
          <w:rFonts w:ascii="Times New Roman" w:hAnsi="Times New Roman" w:cs="Times New Roman"/>
          <w:sz w:val="20"/>
          <w:szCs w:val="28"/>
        </w:rPr>
        <w:t>0</w:t>
      </w:r>
      <w:r w:rsidR="00BB6603" w:rsidRPr="00A26C68">
        <w:rPr>
          <w:rFonts w:ascii="Times New Roman" w:hAnsi="Times New Roman" w:cs="Times New Roman"/>
          <w:sz w:val="20"/>
          <w:szCs w:val="28"/>
        </w:rPr>
        <w:t xml:space="preserve">µg/mL </w:t>
      </w:r>
      <w:r w:rsidR="00704CBF" w:rsidRPr="00A26C68">
        <w:rPr>
          <w:rFonts w:ascii="Times New Roman" w:hAnsi="Times New Roman" w:cs="Times New Roman"/>
          <w:sz w:val="20"/>
          <w:szCs w:val="28"/>
        </w:rPr>
        <w:t xml:space="preserve">and the correlation coefficient was </w:t>
      </w:r>
      <w:r w:rsidR="00842406" w:rsidRPr="00A26C68">
        <w:rPr>
          <w:rFonts w:ascii="Times New Roman" w:hAnsi="Times New Roman" w:cs="Times New Roman"/>
          <w:sz w:val="20"/>
          <w:szCs w:val="28"/>
        </w:rPr>
        <w:t>0.9999</w:t>
      </w:r>
      <w:r w:rsidR="006164F3" w:rsidRPr="00A26C68">
        <w:rPr>
          <w:rFonts w:ascii="Times New Roman" w:hAnsi="Times New Roman" w:cs="Times New Roman"/>
          <w:sz w:val="20"/>
          <w:szCs w:val="28"/>
        </w:rPr>
        <w:t xml:space="preserve"> for both ceftiofur hydrochloride and ceftiofur sodium</w:t>
      </w:r>
      <w:r w:rsidR="00704CBF" w:rsidRPr="00A26C68">
        <w:rPr>
          <w:rFonts w:ascii="Times New Roman" w:hAnsi="Times New Roman" w:cs="Times New Roman"/>
          <w:sz w:val="20"/>
          <w:szCs w:val="28"/>
        </w:rPr>
        <w:t xml:space="preserve">. </w:t>
      </w:r>
      <w:r w:rsidR="00BB6603" w:rsidRPr="00A26C68">
        <w:rPr>
          <w:rFonts w:ascii="Times New Roman" w:hAnsi="Times New Roman" w:cs="Times New Roman"/>
          <w:sz w:val="20"/>
          <w:szCs w:val="28"/>
        </w:rPr>
        <w:t>Limit of detection (LOD) for ceftiofur hydrochloride was 0.03µg/ml and for ceftiofur sodium was 0.02µg/ml. Limit of quantification (LOQ) for ceftiofur hydrochloride was 0.1µg/ml and for ceftiofur sodium was 0.06µg/ml.</w:t>
      </w:r>
      <w:r w:rsidR="00097F3E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344A8" w:rsidRPr="00A26C68">
        <w:rPr>
          <w:rFonts w:ascii="Times New Roman" w:hAnsi="Times New Roman" w:cs="Times New Roman"/>
          <w:sz w:val="20"/>
          <w:szCs w:val="28"/>
        </w:rPr>
        <w:t>The proposed method is highly sensitive,</w:t>
      </w:r>
      <w:r w:rsidR="004109DE" w:rsidRPr="00A26C68">
        <w:rPr>
          <w:rFonts w:ascii="Times New Roman" w:hAnsi="Times New Roman" w:cs="Times New Roman"/>
          <w:sz w:val="20"/>
          <w:szCs w:val="28"/>
        </w:rPr>
        <w:t xml:space="preserve"> accurate and</w:t>
      </w:r>
      <w:r w:rsidR="001344A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66BCB" w:rsidRPr="00A26C68">
        <w:rPr>
          <w:rFonts w:ascii="Times New Roman" w:hAnsi="Times New Roman" w:cs="Times New Roman"/>
          <w:sz w:val="20"/>
          <w:szCs w:val="28"/>
        </w:rPr>
        <w:t>precise and</w:t>
      </w:r>
      <w:r w:rsidR="00704CBF" w:rsidRPr="00A26C68">
        <w:rPr>
          <w:rFonts w:ascii="Times New Roman" w:hAnsi="Times New Roman" w:cs="Times New Roman"/>
          <w:sz w:val="20"/>
          <w:szCs w:val="28"/>
        </w:rPr>
        <w:t xml:space="preserve"> could be used for routine analysis of </w:t>
      </w:r>
      <w:r w:rsidR="00AD2ACD" w:rsidRPr="00A26C68">
        <w:rPr>
          <w:rFonts w:ascii="Times New Roman" w:hAnsi="Times New Roman" w:cs="Times New Roman"/>
          <w:sz w:val="20"/>
          <w:szCs w:val="28"/>
        </w:rPr>
        <w:t>ceftiofur hydrochloride and ceftiofur sodium in drug substance and in sterile powder for injection</w:t>
      </w:r>
      <w:r w:rsidR="00704CBF" w:rsidRPr="00A26C68">
        <w:rPr>
          <w:rFonts w:ascii="Times New Roman" w:hAnsi="Times New Roman" w:cs="Times New Roman"/>
          <w:sz w:val="20"/>
          <w:szCs w:val="28"/>
        </w:rPr>
        <w:t>.</w:t>
      </w:r>
    </w:p>
    <w:p w:rsidR="00A26C68" w:rsidRPr="00A26C68" w:rsidRDefault="00A26C68" w:rsidP="001348B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  <w:lang w:eastAsia="zh-CN"/>
        </w:rPr>
      </w:pPr>
      <w:r w:rsidRPr="00A26C68">
        <w:rPr>
          <w:rFonts w:ascii="Times New Roman" w:hAnsi="Times New Roman" w:cs="Times New Roman" w:hint="eastAsia"/>
          <w:sz w:val="20"/>
          <w:szCs w:val="20"/>
        </w:rPr>
        <w:t>[</w:t>
      </w:r>
      <w:r w:rsidRPr="00A26C68">
        <w:rPr>
          <w:rFonts w:ascii="Times New Roman" w:hAnsi="Times New Roman" w:cs="Times New Roman"/>
          <w:bCs/>
          <w:sz w:val="20"/>
          <w:szCs w:val="24"/>
        </w:rPr>
        <w:t>Elham A. Mobarez, Hanan A. Azoz, Maha S. Abd-Elhafeez</w:t>
      </w:r>
      <w:r w:rsidRPr="00A26C68">
        <w:rPr>
          <w:rFonts w:ascii="Times New Roman" w:hAnsi="Times New Roman" w:cs="Times New Roman"/>
          <w:sz w:val="20"/>
          <w:szCs w:val="20"/>
        </w:rPr>
        <w:t>.</w:t>
      </w:r>
      <w:r w:rsidRPr="00A26C68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32"/>
        </w:rPr>
        <w:t xml:space="preserve">Development and validation of method for analysis of ceftiofur hydrochloride and ceftiofur sodium by using </w:t>
      </w:r>
      <w:r w:rsidRPr="00A26C68">
        <w:rPr>
          <w:rFonts w:ascii="Times New Roman" w:hAnsi="Times New Roman" w:cs="Times New Roman"/>
          <w:b/>
          <w:bCs/>
          <w:sz w:val="20"/>
          <w:szCs w:val="32"/>
          <w:lang w:bidi="ar-EG"/>
        </w:rPr>
        <w:t>high performance liquid chromatography</w:t>
      </w:r>
      <w:r w:rsidRPr="00A26C68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A26C68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A26C68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A26C68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Pr="00A26C68">
        <w:rPr>
          <w:rFonts w:ascii="Times New Roman" w:hAnsi="Times New Roman" w:cs="Times New Roman"/>
          <w:bCs/>
          <w:sz w:val="20"/>
          <w:szCs w:val="20"/>
        </w:rPr>
        <w:t>;</w:t>
      </w:r>
      <w:r w:rsidRPr="00A26C68">
        <w:rPr>
          <w:rFonts w:ascii="Times New Roman" w:hAnsi="Times New Roman" w:cs="Times New Roman" w:hint="eastAsia"/>
          <w:bCs/>
          <w:sz w:val="20"/>
          <w:szCs w:val="20"/>
        </w:rPr>
        <w:t>10</w:t>
      </w:r>
      <w:r w:rsidRPr="00A26C68">
        <w:rPr>
          <w:rFonts w:ascii="Times New Roman" w:hAnsi="Times New Roman" w:cs="Times New Roman"/>
          <w:bCs/>
          <w:sz w:val="20"/>
          <w:szCs w:val="20"/>
        </w:rPr>
        <w:t>(</w:t>
      </w:r>
      <w:r w:rsidRPr="00A26C68">
        <w:rPr>
          <w:rFonts w:ascii="Times New Roman" w:hAnsi="Times New Roman" w:cs="Times New Roman" w:hint="eastAsia"/>
          <w:bCs/>
          <w:sz w:val="20"/>
          <w:szCs w:val="20"/>
        </w:rPr>
        <w:t>2</w:t>
      </w:r>
      <w:r w:rsidRPr="00A26C68">
        <w:rPr>
          <w:rFonts w:ascii="Times New Roman" w:hAnsi="Times New Roman" w:cs="Times New Roman"/>
          <w:bCs/>
          <w:sz w:val="20"/>
          <w:szCs w:val="20"/>
        </w:rPr>
        <w:t>):</w:t>
      </w:r>
      <w:r w:rsidR="00C55369">
        <w:rPr>
          <w:rFonts w:ascii="Times New Roman" w:hAnsi="Times New Roman" w:cs="Times New Roman"/>
          <w:noProof/>
          <w:color w:val="000000"/>
          <w:sz w:val="20"/>
          <w:szCs w:val="20"/>
        </w:rPr>
        <w:t>7-15</w:t>
      </w:r>
      <w:r w:rsidRPr="00A26C68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A26C68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A26C68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8" w:history="1">
        <w:r w:rsidRPr="00A26C68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http://www.sciencepub.net/researcher</w:t>
        </w:r>
      </w:hyperlink>
      <w:r w:rsidRPr="00A26C68">
        <w:rPr>
          <w:rFonts w:ascii="Times New Roman" w:hAnsi="Times New Roman" w:cs="Times New Roman"/>
          <w:bCs/>
          <w:sz w:val="20"/>
          <w:szCs w:val="20"/>
        </w:rPr>
        <w:t>.</w:t>
      </w:r>
      <w:r w:rsidRPr="00A26C6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A26C68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2</w:t>
      </w:r>
      <w:r w:rsidRPr="00A26C68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A26C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A26C68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A26C68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r</w:t>
        </w:r>
        <w:r w:rsidRPr="00A26C68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sj</w:t>
        </w:r>
        <w:r w:rsidRPr="00A26C68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100218.</w:t>
        </w:r>
        <w:r w:rsidRPr="00A26C68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Pr="00A26C68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2</w:t>
        </w:r>
      </w:hyperlink>
      <w:r w:rsidRPr="00A26C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A26C68" w:rsidRPr="00A26C68" w:rsidRDefault="00A26C68" w:rsidP="00A26C68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FD1464" w:rsidRPr="00A26C68" w:rsidRDefault="00FD1464" w:rsidP="001348B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  <w:lang w:bidi="ar-EG"/>
        </w:rPr>
        <w:t>Key words</w:t>
      </w:r>
      <w:r w:rsidR="009F7DE4" w:rsidRPr="00A26C68">
        <w:rPr>
          <w:rFonts w:ascii="Times New Roman" w:hAnsi="Times New Roman" w:cs="Times New Roman"/>
          <w:b/>
          <w:bCs/>
          <w:sz w:val="20"/>
          <w:szCs w:val="28"/>
          <w:lang w:bidi="ar-EG"/>
        </w:rPr>
        <w:t>:</w:t>
      </w:r>
      <w:r w:rsidR="009F7DE4" w:rsidRPr="00A26C68">
        <w:rPr>
          <w:rFonts w:ascii="Times New Roman" w:hAnsi="Times New Roman" w:cs="Times New Roman"/>
          <w:sz w:val="20"/>
          <w:szCs w:val="28"/>
        </w:rPr>
        <w:t xml:space="preserve"> ceftiofur hydrochloride, ceftiofur sodium, HPLC, validation</w:t>
      </w:r>
    </w:p>
    <w:p w:rsidR="00A26C68" w:rsidRPr="00A26C68" w:rsidRDefault="00A26C68" w:rsidP="00A26C6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bidi="ar-EG"/>
        </w:rPr>
      </w:pPr>
    </w:p>
    <w:p w:rsidR="00A26C68" w:rsidRPr="00A26C68" w:rsidRDefault="00A26C68" w:rsidP="00A26C6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bidi="ar-EG"/>
        </w:rPr>
        <w:sectPr w:rsidR="00A26C68" w:rsidRPr="00A26C68" w:rsidSect="00C55369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7"/>
          <w:cols w:space="720"/>
          <w:docGrid w:linePitch="360"/>
        </w:sectPr>
      </w:pPr>
    </w:p>
    <w:p w:rsidR="000729C3" w:rsidRPr="00A26C68" w:rsidRDefault="003861F2" w:rsidP="00A26C6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bidi="ar-EG"/>
        </w:rPr>
      </w:pPr>
      <w:r w:rsidRPr="00A26C68">
        <w:rPr>
          <w:rFonts w:ascii="Times New Roman" w:hAnsi="Times New Roman" w:cs="Times New Roman"/>
          <w:b/>
          <w:bCs/>
          <w:sz w:val="20"/>
          <w:szCs w:val="32"/>
          <w:lang w:bidi="ar-EG"/>
        </w:rPr>
        <w:lastRenderedPageBreak/>
        <w:t>Introduction</w:t>
      </w:r>
    </w:p>
    <w:p w:rsidR="00FB09A4" w:rsidRPr="00A26C68" w:rsidRDefault="00FB09A4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eastAsia="Times New Roman" w:hAnsi="Times New Roman" w:cs="Times New Roman"/>
          <w:sz w:val="20"/>
          <w:szCs w:val="28"/>
        </w:rPr>
        <w:t xml:space="preserve">Ceftiofur, a </w:t>
      </w:r>
      <w:r w:rsidRPr="00A26C68">
        <w:rPr>
          <w:rFonts w:ascii="Times New Roman" w:hAnsi="Times New Roman" w:cs="Times New Roman"/>
          <w:sz w:val="20"/>
          <w:szCs w:val="28"/>
        </w:rPr>
        <w:t xml:space="preserve">third-generation </w:t>
      </w:r>
      <w:r w:rsidRPr="00A26C68">
        <w:rPr>
          <w:rFonts w:ascii="Times New Roman" w:eastAsia="Times New Roman" w:hAnsi="Times New Roman" w:cs="Times New Roman"/>
          <w:sz w:val="20"/>
          <w:szCs w:val="28"/>
        </w:rPr>
        <w:t xml:space="preserve">cephalosporin, is active against gram-positive and gram-negative pathogens of veterinary importance, including </w:t>
      </w:r>
      <w:r w:rsidRPr="00A26C68">
        <w:rPr>
          <w:rFonts w:ascii="Times New Roman" w:hAnsi="Times New Roman" w:cs="Times New Roman"/>
          <w:sz w:val="20"/>
          <w:szCs w:val="28"/>
        </w:rPr>
        <w:t>β</w:t>
      </w:r>
      <w:r w:rsidRPr="00A26C68">
        <w:rPr>
          <w:rFonts w:ascii="Times New Roman" w:eastAsia="Times New Roman" w:hAnsi="Times New Roman" w:cs="Times New Roman"/>
          <w:sz w:val="20"/>
          <w:szCs w:val="28"/>
        </w:rPr>
        <w:t xml:space="preserve"> -lactamase-producing strains</w:t>
      </w:r>
      <w:r w:rsidR="00C23288" w:rsidRPr="00A26C68">
        <w:rPr>
          <w:rFonts w:ascii="Times New Roman" w:eastAsia="Times New Roman" w:hAnsi="Times New Roman" w:cs="Times New Roman"/>
          <w:sz w:val="20"/>
          <w:szCs w:val="28"/>
        </w:rPr>
        <w:t xml:space="preserve"> (</w:t>
      </w:r>
      <w:r w:rsidR="00857E90" w:rsidRPr="00A26C68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Annapurna </w:t>
      </w:r>
      <w:r w:rsidR="00857E90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3E29D6" w:rsidRPr="00A26C68">
        <w:rPr>
          <w:rFonts w:ascii="Times New Roman" w:hAnsi="Times New Roman" w:cs="Times New Roman"/>
          <w:b/>
          <w:bCs/>
          <w:sz w:val="20"/>
          <w:szCs w:val="28"/>
        </w:rPr>
        <w:t>.,</w:t>
      </w:r>
      <w:r w:rsidR="00857E90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2009</w:t>
      </w:r>
      <w:r w:rsidR="003E29D6" w:rsidRPr="00A26C68">
        <w:rPr>
          <w:rFonts w:ascii="Times New Roman" w:hAnsi="Times New Roman" w:cs="Times New Roman"/>
          <w:b/>
          <w:bCs/>
          <w:sz w:val="20"/>
          <w:szCs w:val="28"/>
        </w:rPr>
        <w:t>;</w:t>
      </w:r>
      <w:r w:rsidR="00035BF9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C23288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>Arrioja,</w:t>
      </w:r>
      <w:r w:rsidR="003E29D6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 </w:t>
      </w:r>
      <w:r w:rsidR="00C23288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>2001</w:t>
      </w:r>
      <w:r w:rsidR="003E29D6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>;</w:t>
      </w:r>
      <w:r w:rsidR="00035BF9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 </w:t>
      </w:r>
      <w:r w:rsidR="003E1435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>Beconi</w:t>
      </w:r>
      <w:r w:rsidR="00035BF9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 </w:t>
      </w:r>
      <w:r w:rsidR="00BA01BA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and </w:t>
      </w:r>
      <w:r w:rsidR="00BA01BA" w:rsidRPr="00A26C68">
        <w:rPr>
          <w:rFonts w:ascii="Times New Roman" w:hAnsi="Times New Roman" w:cs="Times New Roman"/>
          <w:b/>
          <w:bCs/>
          <w:sz w:val="20"/>
          <w:szCs w:val="28"/>
        </w:rPr>
        <w:t>Smith</w:t>
      </w:r>
      <w:r w:rsidR="003E29D6" w:rsidRPr="00A26C68">
        <w:rPr>
          <w:rFonts w:ascii="Times New Roman" w:hAnsi="Times New Roman" w:cs="Times New Roman"/>
          <w:b/>
          <w:bCs/>
          <w:sz w:val="20"/>
          <w:szCs w:val="28"/>
        </w:rPr>
        <w:t>,</w:t>
      </w:r>
      <w:r w:rsidR="003E1435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 1996</w:t>
      </w:r>
      <w:r w:rsidR="003E29D6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>;</w:t>
      </w:r>
      <w:r w:rsidR="003E1435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 </w:t>
      </w:r>
      <w:r w:rsidR="00FF1C5E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Tyczkowska </w:t>
      </w:r>
      <w:r w:rsidR="00FF1C5E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FF1C5E" w:rsidRPr="00A26C68">
        <w:rPr>
          <w:rFonts w:ascii="Times New Roman" w:hAnsi="Times New Roman" w:cs="Times New Roman"/>
          <w:b/>
          <w:bCs/>
          <w:sz w:val="20"/>
          <w:szCs w:val="28"/>
        </w:rPr>
        <w:t>.,1994</w:t>
      </w:r>
      <w:r w:rsidR="003E29D6" w:rsidRPr="00A26C68">
        <w:rPr>
          <w:rFonts w:ascii="Times New Roman" w:hAnsi="Times New Roman" w:cs="Times New Roman"/>
          <w:b/>
          <w:bCs/>
          <w:sz w:val="20"/>
          <w:szCs w:val="28"/>
        </w:rPr>
        <w:t>;</w:t>
      </w:r>
      <w:r w:rsidR="00FF1C5E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3E1435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>Watts</w:t>
      </w:r>
      <w:r w:rsidR="00035BF9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 </w:t>
      </w:r>
      <w:r w:rsidR="003E1435" w:rsidRPr="00A26C68"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</w:rPr>
        <w:t>et</w:t>
      </w:r>
      <w:r w:rsidR="003E29D6" w:rsidRPr="00A26C68"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</w:rPr>
        <w:t xml:space="preserve"> </w:t>
      </w:r>
      <w:r w:rsidR="003E1435" w:rsidRPr="00A26C68"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</w:rPr>
        <w:t>al</w:t>
      </w:r>
      <w:r w:rsidR="003E1435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.,1994 and Samitz </w:t>
      </w:r>
      <w:r w:rsidR="003E1435" w:rsidRPr="00A26C68"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</w:rPr>
        <w:t>et</w:t>
      </w:r>
      <w:r w:rsidR="00741E2A" w:rsidRPr="00A26C68"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</w:rPr>
        <w:t xml:space="preserve"> </w:t>
      </w:r>
      <w:r w:rsidR="003E1435" w:rsidRPr="00A26C68"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</w:rPr>
        <w:t>al</w:t>
      </w:r>
      <w:r w:rsidR="003E29D6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>.,</w:t>
      </w:r>
      <w:r w:rsidR="003E1435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 1996</w:t>
      </w:r>
      <w:r w:rsidR="003E1435" w:rsidRPr="00A26C68">
        <w:rPr>
          <w:rFonts w:ascii="Times New Roman" w:eastAsia="Times New Roman" w:hAnsi="Times New Roman" w:cs="Times New Roman"/>
          <w:sz w:val="20"/>
          <w:szCs w:val="28"/>
        </w:rPr>
        <w:t>)</w:t>
      </w:r>
      <w:r w:rsidR="001348B4" w:rsidRPr="00A26C68">
        <w:rPr>
          <w:rFonts w:ascii="Times New Roman" w:hAnsi="Times New Roman" w:cs="Times New Roman"/>
          <w:sz w:val="20"/>
          <w:szCs w:val="28"/>
        </w:rPr>
        <w:t>.</w:t>
      </w:r>
      <w:r w:rsidR="001348B4">
        <w:rPr>
          <w:rFonts w:ascii="Times New Roman" w:hAnsi="Times New Roman" w:cs="Times New Roman"/>
          <w:sz w:val="20"/>
          <w:szCs w:val="28"/>
        </w:rPr>
        <w:t xml:space="preserve"> </w:t>
      </w:r>
      <w:r w:rsidR="001348B4" w:rsidRPr="00A26C68">
        <w:rPr>
          <w:rFonts w:ascii="Times New Roman" w:hAnsi="Times New Roman" w:cs="Times New Roman"/>
          <w:sz w:val="20"/>
          <w:szCs w:val="28"/>
        </w:rPr>
        <w:t>C</w:t>
      </w:r>
      <w:r w:rsidRPr="00A26C68">
        <w:rPr>
          <w:rFonts w:ascii="Times New Roman" w:hAnsi="Times New Roman" w:cs="Times New Roman"/>
          <w:sz w:val="20"/>
          <w:szCs w:val="28"/>
        </w:rPr>
        <w:t>lassification of cephalosporins is based on their antibacterial spectrum, on their metabolic stability, against hydrolysis by the β-lactamases of different organisms, or on their chemistry (</w:t>
      </w:r>
      <w:r w:rsidR="002D4392" w:rsidRPr="00A26C68">
        <w:rPr>
          <w:rFonts w:ascii="Times New Roman" w:hAnsi="Times New Roman" w:cs="Times New Roman"/>
          <w:b/>
          <w:bCs/>
          <w:sz w:val="20"/>
          <w:szCs w:val="28"/>
        </w:rPr>
        <w:t>Dalhoff, 1998</w:t>
      </w:r>
      <w:r w:rsidRPr="00A26C68">
        <w:rPr>
          <w:rFonts w:ascii="Times New Roman" w:hAnsi="Times New Roman" w:cs="Times New Roman"/>
          <w:sz w:val="20"/>
          <w:szCs w:val="28"/>
        </w:rPr>
        <w:t>).</w:t>
      </w:r>
    </w:p>
    <w:p w:rsidR="00FB09A4" w:rsidRPr="00A26C68" w:rsidRDefault="00FB09A4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eastAsia="Times New Roman" w:hAnsi="Times New Roman" w:cs="Times New Roman"/>
          <w:sz w:val="20"/>
          <w:szCs w:val="28"/>
        </w:rPr>
        <w:t xml:space="preserve">As </w:t>
      </w:r>
      <w:r w:rsidR="00E02E5D" w:rsidRPr="00A26C68">
        <w:rPr>
          <w:rFonts w:ascii="Times New Roman" w:eastAsia="Times New Roman" w:hAnsi="Times New Roman" w:cs="Times New Roman"/>
          <w:sz w:val="20"/>
          <w:szCs w:val="28"/>
        </w:rPr>
        <w:t>well as</w:t>
      </w:r>
      <w:r w:rsidRPr="00A26C68">
        <w:rPr>
          <w:rFonts w:ascii="Times New Roman" w:eastAsia="Times New Roman" w:hAnsi="Times New Roman" w:cs="Times New Roman"/>
          <w:sz w:val="20"/>
          <w:szCs w:val="28"/>
        </w:rPr>
        <w:t xml:space="preserve"> other cephalosporins, ceftiofur is bactericidal in vitro, resulting from inhibition of cell wall synthesis</w:t>
      </w:r>
      <w:r w:rsidR="005963B6" w:rsidRPr="00A26C68">
        <w:rPr>
          <w:rFonts w:ascii="Times New Roman" w:hAnsi="Times New Roman" w:cs="Times New Roman"/>
          <w:sz w:val="20"/>
          <w:szCs w:val="28"/>
        </w:rPr>
        <w:t xml:space="preserve"> of susceptible multiplying bacteria</w:t>
      </w:r>
      <w:r w:rsidRPr="00A26C68">
        <w:rPr>
          <w:rFonts w:ascii="Times New Roman" w:eastAsia="Times New Roman" w:hAnsi="Times New Roman" w:cs="Times New Roman"/>
          <w:sz w:val="20"/>
          <w:szCs w:val="28"/>
        </w:rPr>
        <w:t xml:space="preserve">. </w:t>
      </w:r>
      <w:r w:rsidR="00663912" w:rsidRPr="00A26C68">
        <w:rPr>
          <w:rFonts w:ascii="Times New Roman" w:hAnsi="Times New Roman" w:cs="Times New Roman"/>
          <w:sz w:val="20"/>
          <w:szCs w:val="28"/>
        </w:rPr>
        <w:t>It has a broad range of in vitro activity against a variety of pathogens, including many species of Pasturella, Streptococcus, Staphylococcus, Salmonella, and Escherichia coli</w:t>
      </w:r>
      <w:r w:rsidR="00D4586A" w:rsidRPr="00A26C68">
        <w:rPr>
          <w:rFonts w:ascii="Times New Roman" w:hAnsi="Times New Roman" w:cs="Times New Roman"/>
          <w:sz w:val="20"/>
          <w:szCs w:val="28"/>
        </w:rPr>
        <w:t xml:space="preserve"> (</w:t>
      </w:r>
      <w:r w:rsidR="00741E2A" w:rsidRPr="00A26C68">
        <w:rPr>
          <w:rFonts w:ascii="Times New Roman" w:hAnsi="Times New Roman" w:cs="Times New Roman"/>
          <w:b/>
          <w:bCs/>
          <w:sz w:val="20"/>
          <w:szCs w:val="28"/>
        </w:rPr>
        <w:t>Keerthisikha</w:t>
      </w:r>
      <w:r w:rsidR="00D4586A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741E2A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741E2A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., </w:t>
      </w:r>
      <w:r w:rsidR="00D4586A" w:rsidRPr="00A26C68">
        <w:rPr>
          <w:rFonts w:ascii="Times New Roman" w:hAnsi="Times New Roman" w:cs="Times New Roman"/>
          <w:b/>
          <w:bCs/>
          <w:sz w:val="20"/>
          <w:szCs w:val="28"/>
        </w:rPr>
        <w:t>2013</w:t>
      </w:r>
      <w:r w:rsidR="00D4586A" w:rsidRPr="00A26C68">
        <w:rPr>
          <w:rFonts w:ascii="Times New Roman" w:hAnsi="Times New Roman" w:cs="Times New Roman"/>
          <w:sz w:val="20"/>
          <w:szCs w:val="28"/>
        </w:rPr>
        <w:t>)</w:t>
      </w:r>
      <w:r w:rsidR="00663912" w:rsidRPr="00A26C68">
        <w:rPr>
          <w:rFonts w:ascii="Times New Roman" w:hAnsi="Times New Roman" w:cs="Times New Roman"/>
          <w:sz w:val="20"/>
          <w:szCs w:val="28"/>
        </w:rPr>
        <w:t xml:space="preserve">. </w:t>
      </w:r>
      <w:r w:rsidR="005963B6" w:rsidRPr="00A26C68">
        <w:rPr>
          <w:rFonts w:ascii="Times New Roman" w:eastAsia="Times New Roman" w:hAnsi="Times New Roman" w:cs="Times New Roman"/>
          <w:sz w:val="20"/>
          <w:szCs w:val="28"/>
        </w:rPr>
        <w:t>Ceftiofur can be synthesized in different salt forms.</w:t>
      </w:r>
    </w:p>
    <w:p w:rsidR="00F27E3A" w:rsidRPr="00A26C68" w:rsidRDefault="00E13E04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 xml:space="preserve">Ceftiofur </w:t>
      </w:r>
      <w:r w:rsidR="00E02E5D" w:rsidRPr="00A26C68">
        <w:rPr>
          <w:rFonts w:ascii="Times New Roman" w:hAnsi="Times New Roman" w:cs="Times New Roman"/>
          <w:sz w:val="20"/>
          <w:szCs w:val="28"/>
        </w:rPr>
        <w:t>sodium</w:t>
      </w:r>
      <w:r w:rsidRPr="00A26C68">
        <w:rPr>
          <w:rFonts w:ascii="Times New Roman" w:hAnsi="Times New Roman" w:cs="Times New Roman"/>
          <w:sz w:val="20"/>
          <w:szCs w:val="28"/>
        </w:rPr>
        <w:t xml:space="preserve"> is </w:t>
      </w:r>
      <w:r w:rsidR="00E02E5D" w:rsidRPr="00A26C68">
        <w:rPr>
          <w:rFonts w:ascii="Times New Roman" w:hAnsi="Times New Roman" w:cs="Times New Roman"/>
          <w:sz w:val="20"/>
          <w:szCs w:val="28"/>
        </w:rPr>
        <w:t>injected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E02E5D" w:rsidRPr="00A26C68">
        <w:rPr>
          <w:rFonts w:ascii="Times New Roman" w:hAnsi="Times New Roman" w:cs="Times New Roman"/>
          <w:sz w:val="20"/>
          <w:szCs w:val="28"/>
        </w:rPr>
        <w:t>intramuscularly</w:t>
      </w:r>
      <w:r w:rsidRPr="00A26C68">
        <w:rPr>
          <w:rFonts w:ascii="Times New Roman" w:hAnsi="Times New Roman" w:cs="Times New Roman"/>
          <w:sz w:val="20"/>
          <w:szCs w:val="28"/>
        </w:rPr>
        <w:t xml:space="preserve"> for treatment of some respiratory diseases in beef cattle, dairy cattle</w:t>
      </w:r>
      <w:r w:rsidR="00E71124" w:rsidRPr="00A26C68">
        <w:rPr>
          <w:rFonts w:ascii="Times New Roman" w:hAnsi="Times New Roman" w:cs="Times New Roman"/>
          <w:sz w:val="20"/>
          <w:szCs w:val="28"/>
        </w:rPr>
        <w:t xml:space="preserve"> (</w:t>
      </w:r>
      <w:r w:rsidR="00E71124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Young-Hee </w:t>
      </w:r>
      <w:r w:rsidR="00E71124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E71124" w:rsidRPr="00A26C68">
        <w:rPr>
          <w:rFonts w:ascii="Times New Roman" w:hAnsi="Times New Roman" w:cs="Times New Roman"/>
          <w:b/>
          <w:bCs/>
          <w:sz w:val="20"/>
          <w:szCs w:val="28"/>
        </w:rPr>
        <w:t>., 2011</w:t>
      </w:r>
      <w:r w:rsidR="00E71124" w:rsidRPr="00A26C68">
        <w:rPr>
          <w:rFonts w:ascii="Times New Roman" w:hAnsi="Times New Roman" w:cs="Times New Roman"/>
          <w:sz w:val="20"/>
          <w:szCs w:val="28"/>
        </w:rPr>
        <w:t>)</w:t>
      </w:r>
      <w:r w:rsidRPr="00A26C68">
        <w:rPr>
          <w:rFonts w:ascii="Times New Roman" w:hAnsi="Times New Roman" w:cs="Times New Roman"/>
          <w:sz w:val="20"/>
          <w:szCs w:val="28"/>
        </w:rPr>
        <w:t>, swine, and chickens, and to treat interdigital dermatitis in cattle</w:t>
      </w:r>
      <w:r w:rsidR="0048687C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E86EC6" w:rsidRPr="00A26C68">
        <w:rPr>
          <w:rFonts w:ascii="Times New Roman" w:hAnsi="Times New Roman" w:cs="Times New Roman"/>
          <w:sz w:val="20"/>
          <w:szCs w:val="28"/>
        </w:rPr>
        <w:t>(</w:t>
      </w:r>
      <w:r w:rsidR="00584D63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Salmon </w:t>
      </w:r>
      <w:r w:rsidR="00584D63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584D63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., </w:t>
      </w:r>
      <w:r w:rsidR="00E86EC6" w:rsidRPr="00A26C68">
        <w:rPr>
          <w:rFonts w:ascii="Times New Roman" w:hAnsi="Times New Roman" w:cs="Times New Roman"/>
          <w:b/>
          <w:bCs/>
          <w:sz w:val="20"/>
          <w:szCs w:val="28"/>
        </w:rPr>
        <w:t>1</w:t>
      </w:r>
      <w:r w:rsidR="00584D63" w:rsidRPr="00A26C68">
        <w:rPr>
          <w:rFonts w:ascii="Times New Roman" w:hAnsi="Times New Roman" w:cs="Times New Roman"/>
          <w:b/>
          <w:bCs/>
          <w:sz w:val="20"/>
          <w:szCs w:val="28"/>
        </w:rPr>
        <w:t>995</w:t>
      </w:r>
      <w:r w:rsidR="00E86EC6" w:rsidRPr="00A26C68">
        <w:rPr>
          <w:rFonts w:ascii="Times New Roman" w:hAnsi="Times New Roman" w:cs="Times New Roman"/>
          <w:sz w:val="20"/>
          <w:szCs w:val="28"/>
        </w:rPr>
        <w:t>)</w:t>
      </w:r>
      <w:r w:rsidRPr="00A26C68">
        <w:rPr>
          <w:rFonts w:ascii="Times New Roman" w:hAnsi="Times New Roman" w:cs="Times New Roman"/>
          <w:sz w:val="20"/>
          <w:szCs w:val="28"/>
        </w:rPr>
        <w:t>. It has also been assessed for treatment of mastitis and other septic conditions in cattle</w:t>
      </w:r>
      <w:r w:rsidR="002D6709" w:rsidRPr="00A26C68">
        <w:rPr>
          <w:rFonts w:ascii="Times New Roman" w:hAnsi="Times New Roman" w:cs="Times New Roman"/>
          <w:sz w:val="20"/>
          <w:szCs w:val="28"/>
        </w:rPr>
        <w:t xml:space="preserve"> (</w:t>
      </w:r>
      <w:r w:rsidR="00584D63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Erskine </w:t>
      </w:r>
      <w:r w:rsidR="00584D63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584D63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., 1995 and Stanek </w:t>
      </w:r>
      <w:r w:rsidR="00584D63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584D63" w:rsidRPr="00A26C68">
        <w:rPr>
          <w:rFonts w:ascii="Times New Roman" w:hAnsi="Times New Roman" w:cs="Times New Roman"/>
          <w:b/>
          <w:bCs/>
          <w:sz w:val="20"/>
          <w:szCs w:val="28"/>
        </w:rPr>
        <w:t>., 1998</w:t>
      </w:r>
      <w:r w:rsidR="002D6709" w:rsidRPr="00A26C68">
        <w:rPr>
          <w:rFonts w:ascii="Times New Roman" w:hAnsi="Times New Roman" w:cs="Times New Roman"/>
          <w:sz w:val="20"/>
          <w:szCs w:val="28"/>
        </w:rPr>
        <w:t>)</w:t>
      </w:r>
      <w:r w:rsidRPr="00A26C68">
        <w:rPr>
          <w:rFonts w:ascii="Times New Roman" w:hAnsi="Times New Roman" w:cs="Times New Roman"/>
          <w:sz w:val="20"/>
          <w:szCs w:val="28"/>
        </w:rPr>
        <w:t xml:space="preserve">. </w:t>
      </w:r>
      <w:r w:rsidR="00397D7C" w:rsidRPr="00A26C68">
        <w:rPr>
          <w:rFonts w:ascii="Times New Roman" w:eastAsia="Times New Roman" w:hAnsi="Times New Roman" w:cs="Times New Roman"/>
          <w:sz w:val="20"/>
          <w:szCs w:val="28"/>
        </w:rPr>
        <w:t xml:space="preserve">The hydrochloride salt of ceftiofur </w:t>
      </w:r>
      <w:r w:rsidR="00397D7C" w:rsidRPr="00A26C68">
        <w:rPr>
          <w:rFonts w:ascii="Times New Roman" w:hAnsi="Times New Roman" w:cs="Times New Roman"/>
          <w:sz w:val="20"/>
          <w:szCs w:val="28"/>
        </w:rPr>
        <w:t xml:space="preserve">was developed as a </w:t>
      </w:r>
      <w:r w:rsidR="00397D7C" w:rsidRPr="00A26C68">
        <w:rPr>
          <w:rFonts w:ascii="Times New Roman" w:hAnsi="Times New Roman" w:cs="Times New Roman"/>
          <w:sz w:val="20"/>
          <w:szCs w:val="28"/>
        </w:rPr>
        <w:lastRenderedPageBreak/>
        <w:t>sterile oil suspension</w:t>
      </w:r>
      <w:r w:rsidR="00E02E5D" w:rsidRPr="00A26C68">
        <w:rPr>
          <w:rFonts w:ascii="Times New Roman" w:hAnsi="Times New Roman" w:cs="Times New Roman"/>
          <w:sz w:val="20"/>
          <w:szCs w:val="28"/>
        </w:rPr>
        <w:t xml:space="preserve"> which is more stable form</w:t>
      </w:r>
      <w:r w:rsidR="00397D7C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97D7C" w:rsidRPr="00A26C68">
        <w:rPr>
          <w:rFonts w:ascii="Times New Roman" w:eastAsia="Times New Roman" w:hAnsi="Times New Roman" w:cs="Times New Roman"/>
          <w:sz w:val="20"/>
          <w:szCs w:val="28"/>
        </w:rPr>
        <w:t>and approved for treatment of swine and bovine respiratory disease (BRD)</w:t>
      </w:r>
      <w:r w:rsidR="00041E89" w:rsidRPr="00A26C68">
        <w:rPr>
          <w:rFonts w:ascii="Times New Roman" w:hAnsi="Times New Roman" w:cs="Times New Roman"/>
          <w:sz w:val="20"/>
          <w:szCs w:val="28"/>
        </w:rPr>
        <w:t xml:space="preserve"> (</w:t>
      </w:r>
      <w:r w:rsidR="005E354F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Brown </w:t>
      </w:r>
      <w:r w:rsidR="005E354F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5E354F" w:rsidRPr="00A26C68">
        <w:rPr>
          <w:rFonts w:ascii="Times New Roman" w:hAnsi="Times New Roman" w:cs="Times New Roman"/>
          <w:b/>
          <w:bCs/>
          <w:sz w:val="20"/>
          <w:szCs w:val="28"/>
        </w:rPr>
        <w:t>., 1999</w:t>
      </w:r>
      <w:r w:rsidR="00041E89" w:rsidRPr="00A26C68">
        <w:rPr>
          <w:rFonts w:ascii="Times New Roman" w:hAnsi="Times New Roman" w:cs="Times New Roman"/>
          <w:sz w:val="20"/>
          <w:szCs w:val="28"/>
        </w:rPr>
        <w:t>).</w:t>
      </w:r>
    </w:p>
    <w:p w:rsidR="00314E95" w:rsidRPr="00A26C68" w:rsidRDefault="00F9644F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C31327" w:rsidRPr="00A26C68">
        <w:rPr>
          <w:rFonts w:ascii="Times New Roman" w:hAnsi="Times New Roman" w:cs="Times New Roman"/>
          <w:sz w:val="20"/>
          <w:szCs w:val="28"/>
        </w:rPr>
        <w:t xml:space="preserve"> presence of methoxyimino side chain and </w:t>
      </w:r>
      <w:r w:rsidR="00E13E04" w:rsidRPr="00A26C68">
        <w:rPr>
          <w:rFonts w:ascii="Times New Roman" w:hAnsi="Times New Roman" w:cs="Times New Roman"/>
          <w:sz w:val="20"/>
          <w:szCs w:val="28"/>
        </w:rPr>
        <w:t xml:space="preserve">aminothiazole group of third-generation cephalosporins </w:t>
      </w:r>
      <w:r w:rsidR="00C31327" w:rsidRPr="00A26C68">
        <w:rPr>
          <w:rFonts w:ascii="Times New Roman" w:hAnsi="Times New Roman" w:cs="Times New Roman"/>
          <w:sz w:val="20"/>
          <w:szCs w:val="28"/>
        </w:rPr>
        <w:t xml:space="preserve">lead to good activity against Gram-positive bacteria </w:t>
      </w:r>
      <w:r w:rsidR="00E13E04" w:rsidRPr="00A26C68">
        <w:rPr>
          <w:rFonts w:ascii="Times New Roman" w:hAnsi="Times New Roman" w:cs="Times New Roman"/>
          <w:sz w:val="20"/>
          <w:szCs w:val="28"/>
        </w:rPr>
        <w:t>and</w:t>
      </w:r>
      <w:r w:rsidR="00C31327" w:rsidRPr="00A26C68">
        <w:rPr>
          <w:rFonts w:ascii="Times New Roman" w:hAnsi="Times New Roman" w:cs="Times New Roman"/>
          <w:sz w:val="20"/>
          <w:szCs w:val="28"/>
        </w:rPr>
        <w:t xml:space="preserve"> which is resistant to many β-lactamases (</w:t>
      </w:r>
      <w:r w:rsidR="00C31327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Neu, 1992 and Yancey </w:t>
      </w:r>
      <w:r w:rsidR="00C31327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C31327" w:rsidRPr="00A26C68">
        <w:rPr>
          <w:rFonts w:ascii="Times New Roman" w:hAnsi="Times New Roman" w:cs="Times New Roman"/>
          <w:b/>
          <w:bCs/>
          <w:sz w:val="20"/>
          <w:szCs w:val="28"/>
        </w:rPr>
        <w:t>., 1987</w:t>
      </w:r>
      <w:r w:rsidR="00C31327" w:rsidRPr="00A26C68">
        <w:rPr>
          <w:rFonts w:ascii="Times New Roman" w:hAnsi="Times New Roman" w:cs="Times New Roman"/>
          <w:sz w:val="20"/>
          <w:szCs w:val="28"/>
        </w:rPr>
        <w:t>)</w:t>
      </w:r>
      <w:r w:rsidR="00E13E04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sz w:val="20"/>
          <w:szCs w:val="28"/>
        </w:rPr>
        <w:t xml:space="preserve"> so that</w:t>
      </w:r>
      <w:r w:rsidR="00E13E04" w:rsidRPr="00A26C68">
        <w:rPr>
          <w:rFonts w:ascii="Times New Roman" w:hAnsi="Times New Roman" w:cs="Times New Roman"/>
          <w:sz w:val="20"/>
          <w:szCs w:val="28"/>
        </w:rPr>
        <w:t xml:space="preserve"> ceftiofur is typically active against Gram</w:t>
      </w:r>
      <w:r w:rsidR="00DB17FD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E13E04" w:rsidRPr="00A26C68">
        <w:rPr>
          <w:rFonts w:ascii="Times New Roman" w:hAnsi="Times New Roman" w:cs="Times New Roman"/>
          <w:sz w:val="20"/>
          <w:szCs w:val="28"/>
        </w:rPr>
        <w:t>negative bacteria</w:t>
      </w:r>
      <w:r w:rsidRPr="00A26C68">
        <w:rPr>
          <w:rFonts w:ascii="Times New Roman" w:hAnsi="Times New Roman" w:cs="Times New Roman"/>
          <w:sz w:val="20"/>
          <w:szCs w:val="28"/>
        </w:rPr>
        <w:t xml:space="preserve"> as well as Gram-positive bacteria</w:t>
      </w:r>
      <w:r w:rsidR="00B17A82" w:rsidRPr="00A26C68">
        <w:rPr>
          <w:rFonts w:ascii="Times New Roman" w:hAnsi="Times New Roman" w:cs="Times New Roman"/>
          <w:sz w:val="20"/>
          <w:szCs w:val="28"/>
        </w:rPr>
        <w:t>.</w:t>
      </w:r>
    </w:p>
    <w:p w:rsidR="00A26C68" w:rsidRPr="00A26C68" w:rsidRDefault="00DF71C0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sz w:val="20"/>
          <w:szCs w:val="28"/>
        </w:rPr>
        <w:t>Ceftiofur,</w:t>
      </w:r>
      <w:r w:rsidRPr="00A26C68">
        <w:rPr>
          <w:rFonts w:ascii="Times New Roman" w:hAnsi="Times New Roman" w:cs="Times New Roman"/>
          <w:color w:val="212121"/>
          <w:sz w:val="20"/>
          <w:szCs w:val="28"/>
          <w:shd w:val="clear" w:color="auto" w:fill="FFFFFF"/>
        </w:rPr>
        <w:t xml:space="preserve"> (6R,7R)-7-</w:t>
      </w:r>
      <w:r w:rsidR="00035BF9" w:rsidRPr="00A26C68">
        <w:rPr>
          <w:rFonts w:ascii="Times New Roman" w:hAnsi="Times New Roman" w:cs="Times New Roman"/>
          <w:color w:val="212121"/>
          <w:sz w:val="20"/>
          <w:szCs w:val="28"/>
          <w:shd w:val="clear" w:color="auto" w:fill="FFFFFF"/>
        </w:rPr>
        <w:t xml:space="preserve">[ </w:t>
      </w:r>
      <w:r w:rsidR="00A26C68" w:rsidRPr="00A26C68">
        <w:rPr>
          <w:rFonts w:ascii="Times New Roman" w:hAnsi="Times New Roman" w:cs="Times New Roman"/>
          <w:color w:val="212121"/>
          <w:sz w:val="20"/>
          <w:szCs w:val="28"/>
          <w:shd w:val="clear" w:color="auto" w:fill="FFFFFF"/>
        </w:rPr>
        <w:t>[ (</w:t>
      </w:r>
      <w:r w:rsidRPr="00A26C68">
        <w:rPr>
          <w:rFonts w:ascii="Times New Roman" w:hAnsi="Times New Roman" w:cs="Times New Roman"/>
          <w:color w:val="212121"/>
          <w:sz w:val="20"/>
          <w:szCs w:val="28"/>
          <w:shd w:val="clear" w:color="auto" w:fill="FFFFFF"/>
        </w:rPr>
        <w:t>2Z)-2-(2-amino-1,3-thiazol-4-yl)-2-methoxyiminoacetyl]amino]-3-(furan-2-carbonylsulfanylmethyl)-8-oxo-5-thia-1-azabicycl</w:t>
      </w:r>
      <w:r w:rsidR="00035BF9" w:rsidRPr="00A26C68">
        <w:rPr>
          <w:rFonts w:ascii="Times New Roman" w:hAnsi="Times New Roman" w:cs="Times New Roman"/>
          <w:color w:val="212121"/>
          <w:sz w:val="20"/>
          <w:szCs w:val="28"/>
          <w:shd w:val="clear" w:color="auto" w:fill="FFFFFF"/>
        </w:rPr>
        <w:t>o [</w:t>
      </w:r>
      <w:r w:rsidRPr="00A26C68">
        <w:rPr>
          <w:rFonts w:ascii="Times New Roman" w:hAnsi="Times New Roman" w:cs="Times New Roman"/>
          <w:color w:val="212121"/>
          <w:sz w:val="20"/>
          <w:szCs w:val="28"/>
          <w:shd w:val="clear" w:color="auto" w:fill="FFFFFF"/>
        </w:rPr>
        <w:t>4.2.0]oct-2-ene-2-carboxylic acid</w:t>
      </w:r>
      <w:r w:rsidRPr="00A26C68">
        <w:rPr>
          <w:rFonts w:ascii="Times New Roman" w:hAnsi="Times New Roman" w:cs="Times New Roman"/>
          <w:sz w:val="20"/>
          <w:szCs w:val="28"/>
        </w:rPr>
        <w:t xml:space="preserve"> (Merck</w:t>
      </w:r>
      <w:r w:rsidR="00035BF9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2001) (Fig</w:t>
      </w:r>
      <w:r w:rsidR="00A83CAE" w:rsidRPr="00A26C68">
        <w:rPr>
          <w:rFonts w:ascii="Times New Roman" w:hAnsi="Times New Roman" w:cs="Times New Roman"/>
          <w:sz w:val="20"/>
          <w:szCs w:val="28"/>
        </w:rPr>
        <w:t>ure</w:t>
      </w:r>
      <w:r w:rsidRPr="00A26C68">
        <w:rPr>
          <w:rFonts w:ascii="Times New Roman" w:hAnsi="Times New Roman" w:cs="Times New Roman"/>
          <w:sz w:val="20"/>
          <w:szCs w:val="28"/>
        </w:rPr>
        <w:t xml:space="preserve"> 1)</w:t>
      </w:r>
      <w:r w:rsidR="00890794">
        <w:rPr>
          <w:rFonts w:ascii="Times New Roman" w:hAnsi="Times New Roman" w:cs="Times New Roman" w:hint="eastAsia"/>
          <w:sz w:val="20"/>
          <w:szCs w:val="28"/>
          <w:lang w:eastAsia="zh-CN"/>
        </w:rPr>
        <w:t>.</w:t>
      </w:r>
    </w:p>
    <w:p w:rsidR="00A26C68" w:rsidRPr="00A26C68" w:rsidRDefault="00F45A0E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A26C68">
        <w:rPr>
          <w:rFonts w:ascii="Times New Roman" w:hAnsi="Times New Roman" w:cs="Times New Roman"/>
          <w:noProof/>
          <w:sz w:val="20"/>
          <w:szCs w:val="28"/>
          <w:lang w:eastAsia="zh-CN"/>
        </w:rPr>
        <w:drawing>
          <wp:inline distT="0" distB="0" distL="0" distR="0">
            <wp:extent cx="2215266" cy="1526650"/>
            <wp:effectExtent l="19050" t="0" r="0" b="0"/>
            <wp:docPr id="2" name="Picture 1" descr="https://upload.wikimedia.org/wikipedia/commons/1/11/Ceftiof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1/11/Ceftiofu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49" cy="153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  <w:r w:rsidRPr="00A26C68">
        <w:rPr>
          <w:rFonts w:ascii="Times New Roman" w:hAnsi="Times New Roman" w:cs="Times New Roman"/>
          <w:sz w:val="20"/>
          <w:szCs w:val="24"/>
        </w:rPr>
        <w:t>(Figure 1) The chemical structure of ceftiofur</w:t>
      </w:r>
    </w:p>
    <w:p w:rsidR="00890794" w:rsidRPr="00A26C68" w:rsidRDefault="00890794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</w:p>
    <w:p w:rsidR="00E0502E" w:rsidRPr="00A26C68" w:rsidRDefault="00E02E5D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lastRenderedPageBreak/>
        <w:t>Ceftiofur was analysed by s</w:t>
      </w:r>
      <w:r w:rsidR="00DB1BF9" w:rsidRPr="00A26C68">
        <w:rPr>
          <w:rFonts w:ascii="Times New Roman" w:hAnsi="Times New Roman" w:cs="Times New Roman"/>
          <w:sz w:val="20"/>
          <w:szCs w:val="28"/>
        </w:rPr>
        <w:t>everal analytical HPLC methods, with different detection modes, have been published for the determination 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its</w:t>
      </w:r>
      <w:r w:rsidR="00DB1BF9" w:rsidRPr="00A26C68">
        <w:rPr>
          <w:rFonts w:ascii="Times New Roman" w:hAnsi="Times New Roman" w:cs="Times New Roman"/>
          <w:sz w:val="20"/>
          <w:szCs w:val="28"/>
        </w:rPr>
        <w:t xml:space="preserve"> residues in bovine milk and biological fluids (</w:t>
      </w:r>
      <w:r w:rsidR="009F3E3F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Tyczkowska </w:t>
      </w:r>
      <w:r w:rsidR="009F3E3F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9F3E3F" w:rsidRPr="00A26C68">
        <w:rPr>
          <w:rFonts w:ascii="Times New Roman" w:hAnsi="Times New Roman" w:cs="Times New Roman"/>
          <w:b/>
          <w:bCs/>
          <w:sz w:val="20"/>
          <w:szCs w:val="28"/>
        </w:rPr>
        <w:t>.,</w:t>
      </w:r>
      <w:r w:rsidR="00CF2A0A" w:rsidRPr="00A26C68">
        <w:rPr>
          <w:rFonts w:ascii="Times New Roman" w:hAnsi="Times New Roman" w:cs="Times New Roman"/>
          <w:b/>
          <w:bCs/>
          <w:sz w:val="20"/>
          <w:szCs w:val="28"/>
        </w:rPr>
        <w:t>1993</w:t>
      </w:r>
      <w:r w:rsidR="00207996" w:rsidRPr="00A26C68">
        <w:rPr>
          <w:rFonts w:ascii="Times New Roman" w:hAnsi="Times New Roman" w:cs="Times New Roman"/>
          <w:b/>
          <w:bCs/>
          <w:sz w:val="20"/>
          <w:szCs w:val="28"/>
        </w:rPr>
        <w:t>;</w:t>
      </w:r>
      <w:r w:rsidR="00CF2A0A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666BCB" w:rsidRPr="00A26C68">
        <w:rPr>
          <w:rFonts w:ascii="Times New Roman" w:hAnsi="Times New Roman" w:cs="Times New Roman"/>
          <w:b/>
          <w:bCs/>
          <w:sz w:val="20"/>
          <w:szCs w:val="28"/>
        </w:rPr>
        <w:t>Keever</w:t>
      </w:r>
      <w:r w:rsidR="00A71BF5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A71BF5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A71BF5" w:rsidRPr="00A26C68">
        <w:rPr>
          <w:rFonts w:ascii="Times New Roman" w:hAnsi="Times New Roman" w:cs="Times New Roman"/>
          <w:b/>
          <w:bCs/>
          <w:sz w:val="20"/>
          <w:szCs w:val="28"/>
        </w:rPr>
        <w:t>., 1998</w:t>
      </w:r>
      <w:r w:rsidR="00207996" w:rsidRPr="00A26C68">
        <w:rPr>
          <w:rFonts w:ascii="Times New Roman" w:hAnsi="Times New Roman" w:cs="Times New Roman"/>
          <w:b/>
          <w:bCs/>
          <w:sz w:val="20"/>
          <w:szCs w:val="28"/>
        </w:rPr>
        <w:t>;</w:t>
      </w:r>
      <w:r w:rsidR="00A71BF5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Sorensen</w:t>
      </w:r>
      <w:r w:rsidR="00B66AF0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and Snor</w:t>
      </w:r>
      <w:r w:rsidR="00666BCB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, </w:t>
      </w:r>
      <w:r w:rsidR="00A71BF5" w:rsidRPr="00A26C68">
        <w:rPr>
          <w:rFonts w:ascii="Times New Roman" w:hAnsi="Times New Roman" w:cs="Times New Roman"/>
          <w:b/>
          <w:bCs/>
          <w:sz w:val="20"/>
          <w:szCs w:val="28"/>
        </w:rPr>
        <w:t>2000</w:t>
      </w:r>
      <w:r w:rsidR="00207996" w:rsidRPr="00A26C68">
        <w:rPr>
          <w:rFonts w:ascii="Times New Roman" w:hAnsi="Times New Roman" w:cs="Times New Roman"/>
          <w:b/>
          <w:bCs/>
          <w:sz w:val="20"/>
          <w:szCs w:val="28"/>
        </w:rPr>
        <w:t>;</w:t>
      </w:r>
      <w:r w:rsidR="00A71BF5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Bruno</w:t>
      </w:r>
      <w:r w:rsidR="00666BCB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A71BF5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A71BF5" w:rsidRPr="00A26C68">
        <w:rPr>
          <w:rFonts w:ascii="Times New Roman" w:hAnsi="Times New Roman" w:cs="Times New Roman"/>
          <w:b/>
          <w:bCs/>
          <w:sz w:val="20"/>
          <w:szCs w:val="28"/>
        </w:rPr>
        <w:t>., 2001</w:t>
      </w:r>
      <w:r w:rsidR="00207996" w:rsidRPr="00A26C68">
        <w:rPr>
          <w:rFonts w:ascii="Times New Roman" w:hAnsi="Times New Roman" w:cs="Times New Roman"/>
          <w:b/>
          <w:bCs/>
          <w:sz w:val="20"/>
          <w:szCs w:val="28"/>
        </w:rPr>
        <w:t>;</w:t>
      </w:r>
      <w:r w:rsidR="00A71BF5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Makeswaran </w:t>
      </w:r>
      <w:r w:rsidR="00A71BF5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</w:t>
      </w:r>
      <w:r w:rsidR="001621A7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l</w:t>
      </w:r>
      <w:r w:rsidR="00A71BF5" w:rsidRPr="00A26C68">
        <w:rPr>
          <w:rFonts w:ascii="Times New Roman" w:hAnsi="Times New Roman" w:cs="Times New Roman"/>
          <w:b/>
          <w:bCs/>
          <w:sz w:val="20"/>
          <w:szCs w:val="28"/>
        </w:rPr>
        <w:t>., 2005</w:t>
      </w:r>
      <w:r w:rsidR="00207996" w:rsidRPr="00A26C68">
        <w:rPr>
          <w:rFonts w:ascii="Times New Roman" w:hAnsi="Times New Roman" w:cs="Times New Roman"/>
          <w:b/>
          <w:bCs/>
          <w:sz w:val="20"/>
          <w:szCs w:val="28"/>
        </w:rPr>
        <w:t>;</w:t>
      </w:r>
      <w:r w:rsidR="00A71BF5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Jacobson </w:t>
      </w:r>
      <w:r w:rsidR="00A71BF5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A71BF5" w:rsidRPr="00A26C68">
        <w:rPr>
          <w:rFonts w:ascii="Times New Roman" w:hAnsi="Times New Roman" w:cs="Times New Roman"/>
          <w:b/>
          <w:bCs/>
          <w:sz w:val="20"/>
          <w:szCs w:val="28"/>
        </w:rPr>
        <w:t>., 2006</w:t>
      </w:r>
      <w:r w:rsidR="004E7CED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and</w:t>
      </w:r>
      <w:r w:rsidR="00035BF9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4E7CED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Keerthisikha </w:t>
      </w:r>
      <w:r w:rsidR="004E7CED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et al</w:t>
      </w:r>
      <w:r w:rsidR="004E7CED" w:rsidRPr="00A26C68">
        <w:rPr>
          <w:rFonts w:ascii="Times New Roman" w:hAnsi="Times New Roman" w:cs="Times New Roman"/>
          <w:b/>
          <w:bCs/>
          <w:sz w:val="20"/>
          <w:szCs w:val="28"/>
        </w:rPr>
        <w:t>., 2013</w:t>
      </w:r>
      <w:r w:rsidR="00DB1BF9" w:rsidRPr="00A26C68">
        <w:rPr>
          <w:rFonts w:ascii="Times New Roman" w:hAnsi="Times New Roman" w:cs="Times New Roman"/>
          <w:sz w:val="20"/>
          <w:szCs w:val="28"/>
        </w:rPr>
        <w:t>)</w:t>
      </w:r>
      <w:r w:rsidR="0078673F" w:rsidRPr="00A26C68">
        <w:rPr>
          <w:rFonts w:ascii="Times New Roman" w:hAnsi="Times New Roman" w:cs="Times New Roman"/>
          <w:sz w:val="20"/>
          <w:szCs w:val="28"/>
        </w:rPr>
        <w:t>.</w:t>
      </w:r>
    </w:p>
    <w:p w:rsidR="0078673F" w:rsidRPr="00A26C68" w:rsidRDefault="00466DC7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 xml:space="preserve">Our study was performed </w:t>
      </w:r>
      <w:r w:rsidR="0078673F" w:rsidRPr="00A26C68">
        <w:rPr>
          <w:rFonts w:ascii="Times New Roman" w:hAnsi="Times New Roman" w:cs="Times New Roman"/>
          <w:sz w:val="20"/>
          <w:szCs w:val="28"/>
        </w:rPr>
        <w:t>t</w:t>
      </w:r>
      <w:r w:rsidR="00A34E16" w:rsidRPr="00A26C68">
        <w:rPr>
          <w:rFonts w:ascii="Times New Roman" w:hAnsi="Times New Roman" w:cs="Times New Roman"/>
          <w:sz w:val="20"/>
          <w:szCs w:val="28"/>
        </w:rPr>
        <w:t>o</w:t>
      </w:r>
      <w:r w:rsidR="0078673F" w:rsidRPr="00A26C68">
        <w:rPr>
          <w:rFonts w:ascii="Times New Roman" w:hAnsi="Times New Roman" w:cs="Times New Roman"/>
          <w:sz w:val="20"/>
          <w:szCs w:val="28"/>
        </w:rPr>
        <w:t xml:space="preserve"> develop</w:t>
      </w:r>
      <w:r w:rsidR="00A34E16" w:rsidRPr="00A26C68">
        <w:rPr>
          <w:rFonts w:ascii="Times New Roman" w:hAnsi="Times New Roman" w:cs="Times New Roman"/>
          <w:sz w:val="20"/>
          <w:szCs w:val="28"/>
        </w:rPr>
        <w:t xml:space="preserve"> and validate </w:t>
      </w:r>
      <w:r w:rsidR="0078673F" w:rsidRPr="00A26C68">
        <w:rPr>
          <w:rFonts w:ascii="Times New Roman" w:hAnsi="Times New Roman" w:cs="Times New Roman"/>
          <w:sz w:val="20"/>
          <w:szCs w:val="28"/>
        </w:rPr>
        <w:t xml:space="preserve">a simple isocratic </w:t>
      </w:r>
      <w:r w:rsidR="002D2AA8" w:rsidRPr="00A26C68">
        <w:rPr>
          <w:rFonts w:ascii="Times New Roman" w:hAnsi="Times New Roman" w:cs="Times New Roman"/>
          <w:sz w:val="20"/>
          <w:szCs w:val="28"/>
        </w:rPr>
        <w:t>HP</w:t>
      </w:r>
      <w:r w:rsidR="0078673F" w:rsidRPr="00A26C68">
        <w:rPr>
          <w:rFonts w:ascii="Times New Roman" w:hAnsi="Times New Roman" w:cs="Times New Roman"/>
          <w:sz w:val="20"/>
          <w:szCs w:val="28"/>
        </w:rPr>
        <w:t xml:space="preserve">LC method with UV detection for analysis </w:t>
      </w:r>
      <w:r w:rsidR="000C35CD" w:rsidRPr="00A26C68">
        <w:rPr>
          <w:rFonts w:ascii="Times New Roman" w:hAnsi="Times New Roman" w:cs="Times New Roman"/>
          <w:sz w:val="20"/>
          <w:szCs w:val="28"/>
        </w:rPr>
        <w:t>of</w:t>
      </w:r>
      <w:r w:rsidR="00254EF5" w:rsidRPr="00A26C68">
        <w:rPr>
          <w:rFonts w:ascii="Times New Roman" w:hAnsi="Times New Roman" w:cs="Times New Roman"/>
          <w:sz w:val="20"/>
          <w:szCs w:val="28"/>
        </w:rPr>
        <w:t xml:space="preserve"> ceftiofur sodium and ceftiofur</w:t>
      </w:r>
      <w:r w:rsidR="000C35CD" w:rsidRPr="00A26C68">
        <w:rPr>
          <w:rFonts w:ascii="Times New Roman" w:hAnsi="Times New Roman" w:cs="Times New Roman"/>
          <w:sz w:val="20"/>
          <w:szCs w:val="28"/>
        </w:rPr>
        <w:t xml:space="preserve"> hydrochloride </w:t>
      </w:r>
      <w:r w:rsidR="0078673F" w:rsidRPr="00A26C68">
        <w:rPr>
          <w:rFonts w:ascii="Times New Roman" w:hAnsi="Times New Roman" w:cs="Times New Roman"/>
          <w:sz w:val="20"/>
          <w:szCs w:val="28"/>
        </w:rPr>
        <w:t xml:space="preserve">in </w:t>
      </w:r>
      <w:r w:rsidRPr="00A26C68">
        <w:rPr>
          <w:rFonts w:ascii="Times New Roman" w:hAnsi="Times New Roman" w:cs="Times New Roman"/>
          <w:sz w:val="20"/>
          <w:szCs w:val="28"/>
        </w:rPr>
        <w:t xml:space="preserve">injectable </w:t>
      </w:r>
      <w:r w:rsidR="0015069D" w:rsidRPr="00A26C68">
        <w:rPr>
          <w:rFonts w:ascii="Times New Roman" w:hAnsi="Times New Roman" w:cs="Times New Roman"/>
          <w:sz w:val="20"/>
          <w:szCs w:val="28"/>
        </w:rPr>
        <w:t xml:space="preserve">suspension </w:t>
      </w:r>
      <w:r w:rsidR="0078673F" w:rsidRPr="00A26C68">
        <w:rPr>
          <w:rFonts w:ascii="Times New Roman" w:hAnsi="Times New Roman" w:cs="Times New Roman"/>
          <w:sz w:val="20"/>
          <w:szCs w:val="28"/>
        </w:rPr>
        <w:t xml:space="preserve">drug and in sterile powder for </w:t>
      </w:r>
      <w:r w:rsidRPr="00A26C68">
        <w:rPr>
          <w:rFonts w:ascii="Times New Roman" w:hAnsi="Times New Roman" w:cs="Times New Roman"/>
          <w:sz w:val="20"/>
          <w:szCs w:val="28"/>
        </w:rPr>
        <w:t>injection</w:t>
      </w:r>
      <w:r w:rsidR="0078673F" w:rsidRPr="00A26C68">
        <w:rPr>
          <w:rFonts w:ascii="Times New Roman" w:hAnsi="Times New Roman" w:cs="Times New Roman"/>
          <w:sz w:val="20"/>
          <w:szCs w:val="28"/>
        </w:rPr>
        <w:t xml:space="preserve"> and to evaluate the stability of the drug by use of </w:t>
      </w:r>
      <w:r w:rsidR="00254EF5" w:rsidRPr="00A26C68">
        <w:rPr>
          <w:rFonts w:ascii="Times New Roman" w:hAnsi="Times New Roman" w:cs="Times New Roman"/>
          <w:sz w:val="20"/>
          <w:szCs w:val="28"/>
        </w:rPr>
        <w:t>multi wave detector</w:t>
      </w:r>
      <w:r w:rsidR="0078673F" w:rsidRPr="00A26C68">
        <w:rPr>
          <w:rFonts w:ascii="Times New Roman" w:hAnsi="Times New Roman" w:cs="Times New Roman"/>
          <w:sz w:val="20"/>
          <w:szCs w:val="28"/>
        </w:rPr>
        <w:t>. The method use</w:t>
      </w:r>
      <w:r w:rsidRPr="00A26C68">
        <w:rPr>
          <w:rFonts w:ascii="Times New Roman" w:hAnsi="Times New Roman" w:cs="Times New Roman"/>
          <w:sz w:val="20"/>
          <w:szCs w:val="28"/>
        </w:rPr>
        <w:t>d</w:t>
      </w:r>
      <w:r w:rsidR="0078673F" w:rsidRPr="00A26C68">
        <w:rPr>
          <w:rFonts w:ascii="Times New Roman" w:hAnsi="Times New Roman" w:cs="Times New Roman"/>
          <w:sz w:val="20"/>
          <w:szCs w:val="28"/>
        </w:rPr>
        <w:t xml:space="preserve"> a simple mobile phase, UV–visible detection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which</w:t>
      </w:r>
      <w:r w:rsidR="0078673F" w:rsidRPr="00A26C68">
        <w:rPr>
          <w:rFonts w:ascii="Times New Roman" w:hAnsi="Times New Roman" w:cs="Times New Roman"/>
          <w:sz w:val="20"/>
          <w:szCs w:val="28"/>
        </w:rPr>
        <w:t xml:space="preserve"> is performed at room temperature, and does not require complicated sample preparation.</w:t>
      </w: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AA5869" w:rsidRPr="00A26C68" w:rsidRDefault="00AA5869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Material and methods</w:t>
      </w:r>
    </w:p>
    <w:p w:rsidR="007B3BBF" w:rsidRPr="00A26C68" w:rsidRDefault="007B3BBF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u w:val="single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  <w:u w:val="single"/>
        </w:rPr>
        <w:t>Experimental:</w:t>
      </w:r>
    </w:p>
    <w:p w:rsidR="00921561" w:rsidRPr="00A26C68" w:rsidRDefault="007B3BBF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Samples:</w:t>
      </w:r>
    </w:p>
    <w:p w:rsidR="00813219" w:rsidRPr="00A26C68" w:rsidRDefault="009959BC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Ceftiofur reference substance</w:t>
      </w:r>
      <w:r w:rsidR="006F0D01" w:rsidRPr="00A26C68">
        <w:rPr>
          <w:rFonts w:ascii="Times New Roman" w:hAnsi="Times New Roman" w:cs="Times New Roman"/>
          <w:sz w:val="20"/>
          <w:szCs w:val="28"/>
        </w:rPr>
        <w:t>s (ceftiofur sodium and ceftiofur hydrochloride) were</w:t>
      </w:r>
      <w:r w:rsidRPr="00A26C68">
        <w:rPr>
          <w:rFonts w:ascii="Times New Roman" w:hAnsi="Times New Roman" w:cs="Times New Roman"/>
          <w:sz w:val="20"/>
          <w:szCs w:val="28"/>
        </w:rPr>
        <w:t xml:space="preserve"> kindly supplied by </w:t>
      </w:r>
      <w:r w:rsidR="00C96C06" w:rsidRPr="00A26C68">
        <w:rPr>
          <w:rFonts w:ascii="Times New Roman" w:hAnsi="Times New Roman" w:cs="Times New Roman"/>
          <w:sz w:val="20"/>
          <w:szCs w:val="28"/>
        </w:rPr>
        <w:t>Sigma</w:t>
      </w:r>
      <w:r w:rsidRPr="00A26C68">
        <w:rPr>
          <w:rFonts w:ascii="Times New Roman" w:hAnsi="Times New Roman" w:cs="Times New Roman"/>
          <w:sz w:val="20"/>
          <w:szCs w:val="28"/>
        </w:rPr>
        <w:t>-</w:t>
      </w:r>
      <w:r w:rsidR="00C96C06" w:rsidRPr="00A26C68">
        <w:rPr>
          <w:rFonts w:ascii="Times New Roman" w:hAnsi="Times New Roman" w:cs="Times New Roman"/>
          <w:sz w:val="20"/>
          <w:szCs w:val="28"/>
        </w:rPr>
        <w:t>Aldrich Co.</w:t>
      </w:r>
    </w:p>
    <w:p w:rsidR="001348B4" w:rsidRDefault="009959BC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Pharmaceutical</w:t>
      </w:r>
      <w:r w:rsidR="00C927C5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product containing ceftiofur sodium</w:t>
      </w:r>
      <w:r w:rsidR="00322A9B" w:rsidRPr="00A26C68">
        <w:rPr>
          <w:rFonts w:ascii="Times New Roman" w:hAnsi="Times New Roman" w:cs="Times New Roman"/>
          <w:sz w:val="20"/>
          <w:szCs w:val="28"/>
        </w:rPr>
        <w:t xml:space="preserve"> (</w:t>
      </w:r>
      <w:r w:rsidR="00112E55" w:rsidRPr="00A26C68">
        <w:rPr>
          <w:rFonts w:ascii="Times New Roman" w:hAnsi="Times New Roman" w:cs="Times New Roman"/>
          <w:sz w:val="20"/>
          <w:szCs w:val="28"/>
        </w:rPr>
        <w:t>Kenafur</w:t>
      </w:r>
      <w:r w:rsidR="00322A9B" w:rsidRPr="00A26C68">
        <w:rPr>
          <w:rFonts w:ascii="Times New Roman" w:hAnsi="Times New Roman" w:cs="Times New Roman"/>
          <w:sz w:val="20"/>
          <w:szCs w:val="28"/>
          <w:vertAlign w:val="superscript"/>
        </w:rPr>
        <w:t>®</w:t>
      </w:r>
      <w:r w:rsidR="00322A9B" w:rsidRPr="00A26C68">
        <w:rPr>
          <w:rFonts w:ascii="Times New Roman" w:hAnsi="Times New Roman" w:cs="Times New Roman"/>
          <w:sz w:val="20"/>
          <w:szCs w:val="28"/>
        </w:rPr>
        <w:t>)</w:t>
      </w:r>
      <w:r w:rsidR="00322A9B" w:rsidRPr="00A26C6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 obtained commercially; according to the label claims the products contained 1 g</w:t>
      </w:r>
      <w:r w:rsidR="000C5941" w:rsidRPr="00A26C68">
        <w:rPr>
          <w:rFonts w:ascii="Times New Roman" w:hAnsi="Times New Roman" w:cs="Times New Roman"/>
          <w:sz w:val="20"/>
          <w:szCs w:val="28"/>
        </w:rPr>
        <w:t>m</w:t>
      </w:r>
      <w:r w:rsidRPr="00A26C68">
        <w:rPr>
          <w:rFonts w:ascii="Times New Roman" w:hAnsi="Times New Roman" w:cs="Times New Roman"/>
          <w:sz w:val="20"/>
          <w:szCs w:val="28"/>
        </w:rPr>
        <w:t xml:space="preserve"> ceftiofur sodium powder for injectio</w:t>
      </w:r>
      <w:r w:rsidR="001348B4" w:rsidRPr="00A26C68">
        <w:rPr>
          <w:rFonts w:ascii="Times New Roman" w:hAnsi="Times New Roman" w:cs="Times New Roman"/>
          <w:sz w:val="20"/>
          <w:szCs w:val="28"/>
        </w:rPr>
        <w:t>n</w:t>
      </w:r>
      <w:r w:rsidR="001348B4">
        <w:rPr>
          <w:rFonts w:ascii="Times New Roman" w:hAnsi="Times New Roman" w:cs="Times New Roman"/>
          <w:sz w:val="20"/>
          <w:szCs w:val="28"/>
        </w:rPr>
        <w:t>.</w:t>
      </w:r>
    </w:p>
    <w:p w:rsidR="007B3BBF" w:rsidRPr="00A26C68" w:rsidRDefault="00C927C5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Pharmaceutical product containing ceftiofur hydrochloride</w:t>
      </w:r>
      <w:r w:rsidR="00DE215E" w:rsidRPr="00A26C68">
        <w:rPr>
          <w:rFonts w:ascii="Times New Roman" w:hAnsi="Times New Roman" w:cs="Times New Roman"/>
          <w:sz w:val="20"/>
          <w:szCs w:val="28"/>
        </w:rPr>
        <w:t xml:space="preserve"> (</w:t>
      </w:r>
      <w:r w:rsidR="00DE4D60" w:rsidRPr="00A26C68">
        <w:rPr>
          <w:rFonts w:ascii="Times New Roman" w:hAnsi="Times New Roman" w:cs="Times New Roman"/>
          <w:sz w:val="20"/>
          <w:szCs w:val="28"/>
        </w:rPr>
        <w:t>Excenel</w:t>
      </w:r>
      <w:r w:rsidR="00EE31CC" w:rsidRPr="00A26C68">
        <w:rPr>
          <w:rFonts w:ascii="Times New Roman" w:eastAsia="Times New Roman" w:hAnsi="Times New Roman" w:cs="Times New Roman"/>
          <w:bCs/>
          <w:sz w:val="20"/>
          <w:szCs w:val="28"/>
          <w:vertAlign w:val="superscript"/>
        </w:rPr>
        <w:t xml:space="preserve"> ®</w:t>
      </w:r>
      <w:r w:rsidR="00DE215E" w:rsidRPr="00A26C68">
        <w:rPr>
          <w:rFonts w:ascii="Times New Roman" w:hAnsi="Times New Roman" w:cs="Times New Roman"/>
          <w:sz w:val="20"/>
          <w:szCs w:val="28"/>
        </w:rPr>
        <w:t>)</w:t>
      </w:r>
      <w:r w:rsidRPr="00A26C68">
        <w:rPr>
          <w:rFonts w:ascii="Times New Roman" w:hAnsi="Times New Roman" w:cs="Times New Roman"/>
          <w:sz w:val="20"/>
          <w:szCs w:val="28"/>
        </w:rPr>
        <w:t xml:space="preserve"> was obtained</w:t>
      </w:r>
      <w:r w:rsidR="00C856AE" w:rsidRPr="00A26C68">
        <w:rPr>
          <w:rFonts w:ascii="Times New Roman" w:hAnsi="Times New Roman" w:cs="Times New Roman"/>
          <w:sz w:val="20"/>
          <w:szCs w:val="28"/>
        </w:rPr>
        <w:t xml:space="preserve"> from Pharmacia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&amp; </w:t>
      </w:r>
      <w:r w:rsidR="00C856AE" w:rsidRPr="00A26C68">
        <w:rPr>
          <w:rFonts w:ascii="Times New Roman" w:hAnsi="Times New Roman" w:cs="Times New Roman"/>
          <w:sz w:val="20"/>
          <w:szCs w:val="28"/>
        </w:rPr>
        <w:t xml:space="preserve">Upjohn Co. a </w:t>
      </w:r>
      <w:r w:rsidR="000C5941" w:rsidRPr="00A26C68">
        <w:rPr>
          <w:rFonts w:ascii="Times New Roman" w:hAnsi="Times New Roman" w:cs="Times New Roman"/>
          <w:sz w:val="20"/>
          <w:szCs w:val="28"/>
        </w:rPr>
        <w:t xml:space="preserve">division </w:t>
      </w:r>
      <w:r w:rsidR="00C856AE" w:rsidRPr="00A26C68">
        <w:rPr>
          <w:rFonts w:ascii="Times New Roman" w:hAnsi="Times New Roman" w:cs="Times New Roman"/>
          <w:sz w:val="20"/>
          <w:szCs w:val="28"/>
        </w:rPr>
        <w:t>of Pfizer, Inc.</w:t>
      </w:r>
      <w:r w:rsidR="00464EA3" w:rsidRPr="00A26C68">
        <w:rPr>
          <w:rFonts w:ascii="Times New Roman" w:hAnsi="Times New Roman" w:cs="Times New Roman"/>
          <w:sz w:val="20"/>
          <w:szCs w:val="28"/>
        </w:rPr>
        <w:t xml:space="preserve"> (</w:t>
      </w:r>
      <w:r w:rsidR="00BF1930" w:rsidRPr="00A26C68">
        <w:rPr>
          <w:rFonts w:ascii="Times New Roman" w:hAnsi="Times New Roman" w:cs="Times New Roman"/>
          <w:sz w:val="20"/>
          <w:szCs w:val="28"/>
        </w:rPr>
        <w:t>50 mg ceftiofur/</w:t>
      </w:r>
      <w:r w:rsidR="00464EA3" w:rsidRPr="00A26C68">
        <w:rPr>
          <w:rFonts w:ascii="Times New Roman" w:hAnsi="Times New Roman" w:cs="Times New Roman"/>
          <w:sz w:val="20"/>
          <w:szCs w:val="28"/>
        </w:rPr>
        <w:t>m</w:t>
      </w:r>
      <w:r w:rsidR="00A15FA2" w:rsidRPr="00A26C68">
        <w:rPr>
          <w:rFonts w:ascii="Times New Roman" w:hAnsi="Times New Roman" w:cs="Times New Roman"/>
          <w:sz w:val="20"/>
          <w:szCs w:val="28"/>
        </w:rPr>
        <w:t>l</w:t>
      </w:r>
      <w:r w:rsidR="00464EA3" w:rsidRPr="00A26C68">
        <w:rPr>
          <w:rFonts w:ascii="Times New Roman" w:hAnsi="Times New Roman" w:cs="Times New Roman"/>
          <w:sz w:val="20"/>
          <w:szCs w:val="28"/>
        </w:rPr>
        <w:t>)</w:t>
      </w:r>
      <w:r w:rsidR="00DE0BE4" w:rsidRPr="00A26C68">
        <w:rPr>
          <w:rFonts w:ascii="Times New Roman" w:hAnsi="Times New Roman" w:cs="Times New Roman"/>
          <w:sz w:val="20"/>
          <w:szCs w:val="28"/>
        </w:rPr>
        <w:t>.</w:t>
      </w:r>
    </w:p>
    <w:p w:rsidR="00B565B6" w:rsidRPr="00A26C68" w:rsidRDefault="00B565B6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</w:rPr>
      </w:pPr>
      <w:r w:rsidRPr="00A26C68">
        <w:rPr>
          <w:rFonts w:ascii="Times New Roman" w:hAnsi="Times New Roman" w:cs="Times New Roman"/>
          <w:b/>
          <w:bCs/>
          <w:sz w:val="20"/>
          <w:szCs w:val="32"/>
        </w:rPr>
        <w:t>Reagents and Solvents:</w:t>
      </w:r>
    </w:p>
    <w:p w:rsidR="002A58DC" w:rsidRPr="00A26C68" w:rsidRDefault="002A58DC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Acetonitrile was HPLC grade (Honeywell Co, Germany,).</w:t>
      </w:r>
    </w:p>
    <w:p w:rsidR="00E17809" w:rsidRPr="00A26C68" w:rsidRDefault="002A58DC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De-ionized water</w:t>
      </w:r>
      <w:r w:rsidR="00F85835" w:rsidRPr="00A26C68">
        <w:rPr>
          <w:rFonts w:ascii="Times New Roman" w:hAnsi="Times New Roman" w:cs="Times New Roman"/>
          <w:sz w:val="20"/>
          <w:szCs w:val="28"/>
        </w:rPr>
        <w:t xml:space="preserve"> (DW)</w:t>
      </w:r>
      <w:r w:rsidRPr="00A26C68">
        <w:rPr>
          <w:rFonts w:ascii="Times New Roman" w:hAnsi="Times New Roman" w:cs="Times New Roman"/>
          <w:sz w:val="20"/>
          <w:szCs w:val="28"/>
        </w:rPr>
        <w:t xml:space="preserve"> was obtained from </w:t>
      </w:r>
      <w:r w:rsidR="00E17809" w:rsidRPr="00A26C68">
        <w:rPr>
          <w:rFonts w:ascii="Times New Roman" w:hAnsi="Times New Roman" w:cs="Times New Roman"/>
          <w:sz w:val="20"/>
          <w:szCs w:val="28"/>
        </w:rPr>
        <w:t>a Milli-Q-system (Millipore, Molsheim, France).</w:t>
      </w:r>
    </w:p>
    <w:p w:rsidR="00322A9B" w:rsidRPr="00A26C68" w:rsidRDefault="00EA477B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u w:val="single"/>
        </w:rPr>
      </w:pPr>
      <w:r w:rsidRPr="00A26C68">
        <w:rPr>
          <w:rFonts w:ascii="Times New Roman" w:hAnsi="Times New Roman" w:cs="Times New Roman"/>
          <w:sz w:val="20"/>
          <w:szCs w:val="28"/>
        </w:rPr>
        <w:t xml:space="preserve">Trifluoroacetic </w:t>
      </w:r>
      <w:r w:rsidR="00C104B7" w:rsidRPr="00A26C68">
        <w:rPr>
          <w:rFonts w:ascii="Times New Roman" w:hAnsi="Times New Roman" w:cs="Times New Roman"/>
          <w:sz w:val="20"/>
          <w:szCs w:val="28"/>
        </w:rPr>
        <w:t>acid</w:t>
      </w:r>
      <w:r w:rsidR="00A61329" w:rsidRPr="00A26C68">
        <w:rPr>
          <w:rFonts w:ascii="Times New Roman" w:hAnsi="Times New Roman" w:cs="Times New Roman"/>
          <w:sz w:val="20"/>
          <w:szCs w:val="28"/>
        </w:rPr>
        <w:t xml:space="preserve"> and </w:t>
      </w:r>
      <w:r w:rsidR="00A15FA2" w:rsidRPr="00A26C68">
        <w:rPr>
          <w:rFonts w:ascii="Times New Roman" w:hAnsi="Times New Roman" w:cs="Times New Roman"/>
          <w:sz w:val="20"/>
          <w:szCs w:val="28"/>
        </w:rPr>
        <w:t>d</w:t>
      </w:r>
      <w:r w:rsidR="00A61329" w:rsidRPr="00A26C68">
        <w:rPr>
          <w:rFonts w:ascii="Times New Roman" w:hAnsi="Times New Roman" w:cs="Times New Roman"/>
          <w:sz w:val="20"/>
          <w:szCs w:val="28"/>
        </w:rPr>
        <w:t xml:space="preserve">imethylformamide </w:t>
      </w:r>
      <w:r w:rsidR="00466DC7" w:rsidRPr="00A26C68">
        <w:rPr>
          <w:rFonts w:ascii="Times New Roman" w:hAnsi="Times New Roman" w:cs="Times New Roman"/>
          <w:sz w:val="20"/>
          <w:szCs w:val="28"/>
        </w:rPr>
        <w:t>(</w:t>
      </w:r>
      <w:r w:rsidR="00C104B7" w:rsidRPr="00A26C68">
        <w:rPr>
          <w:rFonts w:ascii="Times New Roman" w:hAnsi="Times New Roman" w:cs="Times New Roman"/>
          <w:sz w:val="20"/>
          <w:szCs w:val="28"/>
        </w:rPr>
        <w:t xml:space="preserve"> analytical grade</w:t>
      </w:r>
      <w:r w:rsidR="00466DC7" w:rsidRPr="00A26C68">
        <w:rPr>
          <w:rFonts w:ascii="Times New Roman" w:hAnsi="Times New Roman" w:cs="Times New Roman"/>
          <w:sz w:val="20"/>
          <w:szCs w:val="28"/>
        </w:rPr>
        <w:t>)</w:t>
      </w:r>
      <w:r w:rsidR="00207996" w:rsidRPr="00A26C68">
        <w:rPr>
          <w:rFonts w:ascii="Times New Roman" w:hAnsi="Times New Roman" w:cs="Times New Roman"/>
          <w:sz w:val="20"/>
          <w:szCs w:val="28"/>
        </w:rPr>
        <w:t>.</w:t>
      </w:r>
    </w:p>
    <w:p w:rsidR="002A58DC" w:rsidRPr="00A26C68" w:rsidRDefault="000C4571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Instrument and Analytical Conditions</w:t>
      </w:r>
      <w:r w:rsidR="00491130" w:rsidRPr="00A26C68">
        <w:rPr>
          <w:rFonts w:ascii="Times New Roman" w:hAnsi="Times New Roman" w:cs="Times New Roman"/>
          <w:b/>
          <w:bCs/>
          <w:sz w:val="20"/>
          <w:szCs w:val="28"/>
        </w:rPr>
        <w:t>:</w:t>
      </w:r>
    </w:p>
    <w:p w:rsidR="009D39A0" w:rsidRPr="00A26C68" w:rsidRDefault="00A07ABC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7B637C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HPLC system consists</w:t>
      </w:r>
      <w:r w:rsidR="007B637C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7B637C" w:rsidRPr="00A26C68">
        <w:rPr>
          <w:rFonts w:ascii="Times New Roman" w:hAnsi="Times New Roman" w:cs="Times New Roman"/>
          <w:sz w:val="20"/>
          <w:szCs w:val="28"/>
        </w:rPr>
        <w:t xml:space="preserve"> quaternary pump, mode</w:t>
      </w:r>
      <w:r w:rsidR="00207996" w:rsidRPr="00A26C68">
        <w:rPr>
          <w:rFonts w:ascii="Times New Roman" w:hAnsi="Times New Roman" w:cs="Times New Roman"/>
          <w:sz w:val="20"/>
          <w:szCs w:val="28"/>
        </w:rPr>
        <w:t>l 1</w:t>
      </w:r>
      <w:r w:rsidR="007B637C" w:rsidRPr="00A26C68">
        <w:rPr>
          <w:rFonts w:ascii="Times New Roman" w:hAnsi="Times New Roman" w:cs="Times New Roman"/>
          <w:sz w:val="20"/>
          <w:szCs w:val="28"/>
        </w:rPr>
        <w:t>200, an autosampler injector and UV-Vis detector (Agilent).</w:t>
      </w:r>
      <w:r w:rsidR="00032D7D" w:rsidRPr="00A26C68">
        <w:rPr>
          <w:rFonts w:ascii="Times New Roman" w:hAnsi="Times New Roman" w:cs="Times New Roman"/>
          <w:sz w:val="20"/>
          <w:szCs w:val="28"/>
        </w:rPr>
        <w:t xml:space="preserve"> The dete</w:t>
      </w:r>
      <w:r w:rsidR="00C61B15" w:rsidRPr="00A26C68">
        <w:rPr>
          <w:rFonts w:ascii="Times New Roman" w:hAnsi="Times New Roman" w:cs="Times New Roman"/>
          <w:sz w:val="20"/>
          <w:szCs w:val="28"/>
        </w:rPr>
        <w:t xml:space="preserve">ctor was set at 292 nm and peak </w:t>
      </w:r>
      <w:r w:rsidR="00032D7D" w:rsidRPr="00A26C68">
        <w:rPr>
          <w:rFonts w:ascii="Times New Roman" w:hAnsi="Times New Roman" w:cs="Times New Roman"/>
          <w:sz w:val="20"/>
          <w:szCs w:val="28"/>
        </w:rPr>
        <w:t>areas were integrated</w:t>
      </w:r>
      <w:r w:rsidR="002A7406" w:rsidRPr="00A26C68">
        <w:rPr>
          <w:rFonts w:ascii="Times New Roman" w:hAnsi="Times New Roman" w:cs="Times New Roman"/>
          <w:sz w:val="20"/>
          <w:szCs w:val="28"/>
        </w:rPr>
        <w:t xml:space="preserve"> automatically by computer by use software. Compounds were separated on a pre-packed</w:t>
      </w:r>
      <w:r w:rsidR="001E2264" w:rsidRPr="00A26C68">
        <w:rPr>
          <w:rFonts w:ascii="Times New Roman" w:hAnsi="Times New Roman" w:cs="Times New Roman"/>
          <w:sz w:val="20"/>
          <w:szCs w:val="28"/>
        </w:rPr>
        <w:t xml:space="preserve"> 250 mm,</w:t>
      </w:r>
      <w:r w:rsidR="002A7406" w:rsidRPr="00A26C68">
        <w:rPr>
          <w:rFonts w:ascii="Times New Roman" w:hAnsi="Times New Roman" w:cs="Times New Roman"/>
          <w:sz w:val="20"/>
          <w:szCs w:val="28"/>
        </w:rPr>
        <w:t xml:space="preserve"> 4.6 mm i.d., 5 </w:t>
      </w:r>
      <w:r w:rsidR="00C61B15" w:rsidRPr="00A26C68">
        <w:rPr>
          <w:rFonts w:ascii="Times New Roman" w:hAnsi="Times New Roman" w:cs="Times New Roman"/>
          <w:sz w:val="20"/>
          <w:szCs w:val="28"/>
        </w:rPr>
        <w:t>µ</w:t>
      </w:r>
      <w:r w:rsidR="002A7406" w:rsidRPr="00A26C68">
        <w:rPr>
          <w:rFonts w:ascii="Times New Roman" w:hAnsi="Times New Roman" w:cs="Times New Roman"/>
          <w:sz w:val="20"/>
          <w:szCs w:val="28"/>
        </w:rPr>
        <w:t>m particle size, C</w:t>
      </w:r>
      <w:r w:rsidR="002A7406" w:rsidRPr="00A26C68">
        <w:rPr>
          <w:rFonts w:ascii="Times New Roman" w:hAnsi="Times New Roman" w:cs="Times New Roman"/>
          <w:sz w:val="20"/>
          <w:szCs w:val="28"/>
          <w:vertAlign w:val="subscript"/>
        </w:rPr>
        <w:t>18</w:t>
      </w:r>
      <w:r w:rsidR="002A7406" w:rsidRPr="00A26C68">
        <w:rPr>
          <w:rFonts w:ascii="Times New Roman" w:hAnsi="Times New Roman" w:cs="Times New Roman"/>
          <w:sz w:val="20"/>
          <w:szCs w:val="28"/>
        </w:rPr>
        <w:t xml:space="preserve"> column from </w:t>
      </w:r>
      <w:r w:rsidR="00D71672" w:rsidRPr="00A26C68">
        <w:rPr>
          <w:rFonts w:ascii="Times New Roman" w:hAnsi="Times New Roman" w:cs="Times New Roman"/>
          <w:sz w:val="20"/>
          <w:szCs w:val="28"/>
        </w:rPr>
        <w:t>Agilent</w:t>
      </w:r>
      <w:r w:rsidR="002A7406" w:rsidRPr="00A26C68">
        <w:rPr>
          <w:rFonts w:ascii="Times New Roman" w:hAnsi="Times New Roman" w:cs="Times New Roman"/>
          <w:sz w:val="20"/>
          <w:szCs w:val="28"/>
        </w:rPr>
        <w:t>.</w:t>
      </w:r>
    </w:p>
    <w:p w:rsidR="00491130" w:rsidRPr="00A26C68" w:rsidRDefault="0065348B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eastAsia="Times New Roman" w:hAnsi="Times New Roman" w:cs="Times New Roman"/>
          <w:bCs/>
          <w:sz w:val="20"/>
          <w:szCs w:val="28"/>
        </w:rPr>
        <w:t>The mobile phase</w:t>
      </w:r>
      <w:r w:rsidR="002A7406" w:rsidRPr="00A26C68">
        <w:rPr>
          <w:rFonts w:ascii="Times New Roman" w:eastAsia="Times New Roman" w:hAnsi="Times New Roman" w:cs="Times New Roman"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 (25:75)</w:t>
      </w:r>
      <w:r w:rsidR="00C4048E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 xml:space="preserve">0.1% mixture of (Acetonitrile: de-ionized water) </w:t>
      </w:r>
      <w:r w:rsidR="002A7406" w:rsidRPr="00A26C68">
        <w:rPr>
          <w:rFonts w:ascii="Times New Roman" w:eastAsia="Times New Roman" w:hAnsi="Times New Roman" w:cs="Times New Roman"/>
          <w:bCs/>
          <w:sz w:val="20"/>
          <w:szCs w:val="28"/>
        </w:rPr>
        <w:t>Trifluoroacetic</w:t>
      </w:r>
      <w:r w:rsidR="00C4048E" w:rsidRPr="00A26C68">
        <w:rPr>
          <w:rFonts w:ascii="Times New Roman" w:eastAsia="Times New Roman" w:hAnsi="Times New Roman" w:cs="Times New Roman"/>
          <w:bCs/>
          <w:sz w:val="20"/>
          <w:szCs w:val="28"/>
        </w:rPr>
        <w:t xml:space="preserve"> </w:t>
      </w:r>
      <w:r w:rsidR="002A7406" w:rsidRPr="00A26C68">
        <w:rPr>
          <w:rFonts w:ascii="Times New Roman" w:eastAsia="Times New Roman" w:hAnsi="Times New Roman" w:cs="Times New Roman"/>
          <w:bCs/>
          <w:sz w:val="20"/>
          <w:szCs w:val="28"/>
        </w:rPr>
        <w:t>acid</w:t>
      </w:r>
      <w:r w:rsidR="002A7406" w:rsidRPr="00A26C68">
        <w:rPr>
          <w:rFonts w:ascii="Times New Roman" w:hAnsi="Times New Roman" w:cs="Times New Roman"/>
          <w:sz w:val="20"/>
          <w:szCs w:val="28"/>
        </w:rPr>
        <w:t xml:space="preserve">; the flow rate of 1.0 ml/ min. </w:t>
      </w:r>
      <w:r w:rsidR="0084604B" w:rsidRPr="00A26C68">
        <w:rPr>
          <w:rFonts w:ascii="Times New Roman" w:hAnsi="Times New Roman" w:cs="Times New Roman"/>
          <w:sz w:val="20"/>
          <w:szCs w:val="28"/>
        </w:rPr>
        <w:t>The injection volume was 20 µl. The column</w:t>
      </w:r>
      <w:r w:rsidR="002A7406" w:rsidRPr="00A26C68">
        <w:rPr>
          <w:rFonts w:ascii="Times New Roman" w:hAnsi="Times New Roman" w:cs="Times New Roman"/>
          <w:sz w:val="20"/>
          <w:szCs w:val="28"/>
        </w:rPr>
        <w:t xml:space="preserve"> was performed at a temperature of (35</w:t>
      </w:r>
      <w:r w:rsidR="002A7406" w:rsidRPr="00A26C68">
        <w:rPr>
          <w:rFonts w:ascii="Times New Roman" w:hAnsi="Times New Roman" w:cs="Times New Roman"/>
          <w:sz w:val="20"/>
          <w:szCs w:val="28"/>
          <w:vertAlign w:val="superscript"/>
        </w:rPr>
        <w:t>o</w:t>
      </w:r>
      <w:r w:rsidR="0084604B" w:rsidRPr="00A26C68">
        <w:rPr>
          <w:rFonts w:ascii="Times New Roman" w:hAnsi="Times New Roman" w:cs="Times New Roman"/>
          <w:sz w:val="20"/>
          <w:szCs w:val="28"/>
        </w:rPr>
        <w:t>C</w:t>
      </w:r>
      <w:r w:rsidR="002A7406" w:rsidRPr="00A26C68">
        <w:rPr>
          <w:rFonts w:ascii="Times New Roman" w:hAnsi="Times New Roman" w:cs="Times New Roman"/>
          <w:sz w:val="20"/>
          <w:szCs w:val="28"/>
        </w:rPr>
        <w:t>). Before use the mobile phase was filtered through a 0.45 µm nylon membrane filter and degassed with ultrasonic bath for 15 min. Quantitative analysis was</w:t>
      </w:r>
      <w:r w:rsidR="008E08C2" w:rsidRPr="00A26C68">
        <w:rPr>
          <w:rFonts w:ascii="Times New Roman" w:hAnsi="Times New Roman" w:cs="Times New Roman"/>
          <w:sz w:val="20"/>
          <w:szCs w:val="28"/>
        </w:rPr>
        <w:t xml:space="preserve"> performed and calculated from area under curves extrapolated automatically by the software</w:t>
      </w:r>
      <w:r w:rsidR="00563B43" w:rsidRPr="00A26C68">
        <w:rPr>
          <w:rFonts w:ascii="Times New Roman" w:hAnsi="Times New Roman" w:cs="Times New Roman"/>
          <w:sz w:val="20"/>
          <w:szCs w:val="28"/>
        </w:rPr>
        <w:t>.</w:t>
      </w:r>
    </w:p>
    <w:p w:rsidR="0003002E" w:rsidRPr="00A26C68" w:rsidRDefault="0003002E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eastAsia="zh-CN"/>
        </w:rPr>
      </w:pPr>
      <w:r w:rsidRPr="00A26C68">
        <w:rPr>
          <w:rFonts w:ascii="Times New Roman" w:hAnsi="Times New Roman" w:cs="Times New Roman"/>
          <w:b/>
          <w:bCs/>
          <w:sz w:val="20"/>
          <w:szCs w:val="32"/>
        </w:rPr>
        <w:lastRenderedPageBreak/>
        <w:t>Procedure:</w:t>
      </w:r>
    </w:p>
    <w:p w:rsidR="00A22267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  <w:t>Re</w:t>
      </w:r>
      <w:r w:rsidR="00A22267" w:rsidRPr="00A26C68">
        <w:rPr>
          <w:rFonts w:ascii="Times New Roman" w:hAnsi="Times New Roman" w:cs="Times New Roman"/>
          <w:b/>
          <w:bCs/>
          <w:sz w:val="20"/>
          <w:szCs w:val="28"/>
        </w:rPr>
        <w:t>ference Standard</w:t>
      </w:r>
    </w:p>
    <w:p w:rsidR="00944F14" w:rsidRPr="00A26C68" w:rsidRDefault="00A22267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An amount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04CBF" w:rsidRPr="00A26C68">
        <w:rPr>
          <w:rFonts w:ascii="Times New Roman" w:hAnsi="Times New Roman" w:cs="Times New Roman"/>
          <w:sz w:val="20"/>
          <w:szCs w:val="28"/>
        </w:rPr>
        <w:t>each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reference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75C7" w:rsidRPr="00A26C68">
        <w:rPr>
          <w:rFonts w:ascii="Times New Roman" w:hAnsi="Times New Roman" w:cs="Times New Roman"/>
          <w:sz w:val="20"/>
          <w:szCs w:val="28"/>
        </w:rPr>
        <w:t>equivalent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75C7"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75C7" w:rsidRPr="00A26C68">
        <w:rPr>
          <w:rFonts w:ascii="Times New Roman" w:hAnsi="Times New Roman" w:cs="Times New Roman"/>
          <w:sz w:val="20"/>
          <w:szCs w:val="28"/>
        </w:rPr>
        <w:t>10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accurately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weigh</w:t>
      </w:r>
      <w:r w:rsidR="00704CBF" w:rsidRPr="00A26C68">
        <w:rPr>
          <w:rFonts w:ascii="Times New Roman" w:hAnsi="Times New Roman" w:cs="Times New Roman"/>
          <w:sz w:val="20"/>
          <w:szCs w:val="28"/>
        </w:rPr>
        <w:t>t</w:t>
      </w:r>
      <w:r w:rsidRPr="00A26C68">
        <w:rPr>
          <w:rFonts w:ascii="Times New Roman" w:hAnsi="Times New Roman" w:cs="Times New Roman"/>
          <w:sz w:val="20"/>
          <w:szCs w:val="28"/>
        </w:rPr>
        <w:t>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transferred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75C7" w:rsidRPr="00A26C68">
        <w:rPr>
          <w:rFonts w:ascii="Times New Roman" w:hAnsi="Times New Roman" w:cs="Times New Roman"/>
          <w:sz w:val="20"/>
          <w:szCs w:val="28"/>
        </w:rPr>
        <w:t>10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</w:t>
      </w:r>
      <w:r w:rsidR="00A15FA2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volumetric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flask</w:t>
      </w:r>
      <w:r w:rsidR="00B96336" w:rsidRPr="00A26C68">
        <w:rPr>
          <w:rFonts w:ascii="Times New Roman" w:hAnsi="Times New Roman" w:cs="Times New Roman"/>
          <w:sz w:val="20"/>
          <w:szCs w:val="28"/>
        </w:rPr>
        <w:t>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96336" w:rsidRPr="00A26C68">
        <w:rPr>
          <w:rFonts w:ascii="Times New Roman" w:hAnsi="Times New Roman" w:cs="Times New Roman"/>
          <w:sz w:val="20"/>
          <w:szCs w:val="28"/>
        </w:rPr>
        <w:t>D</w:t>
      </w:r>
      <w:r w:rsidR="00AF75D0" w:rsidRPr="00A26C68">
        <w:rPr>
          <w:rFonts w:ascii="Times New Roman" w:hAnsi="Times New Roman" w:cs="Times New Roman"/>
          <w:sz w:val="20"/>
          <w:szCs w:val="28"/>
        </w:rPr>
        <w:t>e-ionized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F75D0" w:rsidRPr="00A26C68">
        <w:rPr>
          <w:rFonts w:ascii="Times New Roman" w:hAnsi="Times New Roman" w:cs="Times New Roman"/>
          <w:sz w:val="20"/>
          <w:szCs w:val="28"/>
        </w:rPr>
        <w:t>water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04CBF"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04CBF" w:rsidRPr="00A26C68">
        <w:rPr>
          <w:rFonts w:ascii="Times New Roman" w:hAnsi="Times New Roman" w:cs="Times New Roman"/>
          <w:sz w:val="20"/>
          <w:szCs w:val="28"/>
        </w:rPr>
        <w:t>added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volume,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give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final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96336" w:rsidRPr="00A26C68">
        <w:rPr>
          <w:rFonts w:ascii="Times New Roman" w:hAnsi="Times New Roman" w:cs="Times New Roman"/>
          <w:sz w:val="20"/>
          <w:szCs w:val="28"/>
        </w:rPr>
        <w:t>concentration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96336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96336" w:rsidRPr="00A26C68">
        <w:rPr>
          <w:rFonts w:ascii="Times New Roman" w:hAnsi="Times New Roman" w:cs="Times New Roman"/>
          <w:sz w:val="20"/>
          <w:szCs w:val="28"/>
        </w:rPr>
        <w:t>1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0165DA" w:rsidRPr="00A26C68">
        <w:rPr>
          <w:rFonts w:ascii="Times New Roman" w:hAnsi="Times New Roman" w:cs="Times New Roman"/>
          <w:sz w:val="20"/>
          <w:szCs w:val="28"/>
        </w:rPr>
        <w:t>m</w:t>
      </w:r>
      <w:r w:rsidR="00AF75D0" w:rsidRPr="00A26C68">
        <w:rPr>
          <w:rFonts w:ascii="Times New Roman" w:hAnsi="Times New Roman" w:cs="Times New Roman"/>
          <w:sz w:val="20"/>
          <w:szCs w:val="28"/>
        </w:rPr>
        <w:t>g/ml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96336" w:rsidRPr="00A26C68">
        <w:rPr>
          <w:rFonts w:ascii="Times New Roman" w:hAnsi="Times New Roman" w:cs="Times New Roman"/>
          <w:sz w:val="20"/>
          <w:szCs w:val="28"/>
        </w:rPr>
        <w:t>(stock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96336" w:rsidRPr="00A26C68">
        <w:rPr>
          <w:rFonts w:ascii="Times New Roman" w:hAnsi="Times New Roman" w:cs="Times New Roman"/>
          <w:sz w:val="20"/>
          <w:szCs w:val="28"/>
        </w:rPr>
        <w:t>solution)</w:t>
      </w:r>
      <w:r w:rsidR="00A575C7" w:rsidRPr="00A26C68">
        <w:rPr>
          <w:rFonts w:ascii="Times New Roman" w:hAnsi="Times New Roman" w:cs="Times New Roman"/>
          <w:sz w:val="20"/>
          <w:szCs w:val="28"/>
        </w:rPr>
        <w:t>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75C7" w:rsidRPr="00A26C68">
        <w:rPr>
          <w:rFonts w:ascii="Times New Roman" w:hAnsi="Times New Roman" w:cs="Times New Roman"/>
          <w:sz w:val="20"/>
          <w:szCs w:val="28"/>
        </w:rPr>
        <w:t>1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75C7" w:rsidRPr="00A26C68">
        <w:rPr>
          <w:rFonts w:ascii="Times New Roman" w:hAnsi="Times New Roman" w:cs="Times New Roman"/>
          <w:sz w:val="20"/>
          <w:szCs w:val="28"/>
        </w:rPr>
        <w:t>m</w:t>
      </w:r>
      <w:r w:rsidR="00A15FA2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solution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transferred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75C7"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75C7" w:rsidRPr="00A26C68">
        <w:rPr>
          <w:rFonts w:ascii="Times New Roman" w:hAnsi="Times New Roman" w:cs="Times New Roman"/>
          <w:sz w:val="20"/>
          <w:szCs w:val="28"/>
        </w:rPr>
        <w:t>10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75C7" w:rsidRPr="00A26C68">
        <w:rPr>
          <w:rFonts w:ascii="Times New Roman" w:hAnsi="Times New Roman" w:cs="Times New Roman"/>
          <w:sz w:val="20"/>
          <w:szCs w:val="28"/>
        </w:rPr>
        <w:t>m</w:t>
      </w:r>
      <w:r w:rsidR="00A15FA2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75C7" w:rsidRPr="00A26C68">
        <w:rPr>
          <w:rFonts w:ascii="Times New Roman" w:hAnsi="Times New Roman" w:cs="Times New Roman"/>
          <w:sz w:val="20"/>
          <w:szCs w:val="28"/>
        </w:rPr>
        <w:t>volumetric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75C7" w:rsidRPr="00A26C68">
        <w:rPr>
          <w:rFonts w:ascii="Times New Roman" w:hAnsi="Times New Roman" w:cs="Times New Roman"/>
          <w:sz w:val="20"/>
          <w:szCs w:val="28"/>
        </w:rPr>
        <w:t>flask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diluted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volume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with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DW</w:t>
      </w:r>
      <w:r w:rsidRPr="00A26C68">
        <w:rPr>
          <w:rFonts w:ascii="Times New Roman" w:hAnsi="Times New Roman" w:cs="Times New Roman"/>
          <w:sz w:val="20"/>
          <w:szCs w:val="28"/>
        </w:rPr>
        <w:t>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giving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final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75C7" w:rsidRPr="00A26C68">
        <w:rPr>
          <w:rFonts w:ascii="Times New Roman" w:hAnsi="Times New Roman" w:cs="Times New Roman"/>
          <w:sz w:val="20"/>
          <w:szCs w:val="28"/>
        </w:rPr>
        <w:t>100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F75D0" w:rsidRPr="00A26C68">
        <w:rPr>
          <w:rFonts w:ascii="Times New Roman" w:hAnsi="Times New Roman" w:cs="Times New Roman"/>
          <w:sz w:val="20"/>
          <w:szCs w:val="28"/>
        </w:rPr>
        <w:t>µg/ml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D6FBC" w:rsidRPr="00A26C68">
        <w:rPr>
          <w:rFonts w:ascii="Times New Roman" w:hAnsi="Times New Roman" w:cs="Times New Roman"/>
          <w:sz w:val="20"/>
          <w:szCs w:val="28"/>
        </w:rPr>
        <w:t>(intermediate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D6FBC" w:rsidRPr="00A26C68">
        <w:rPr>
          <w:rFonts w:ascii="Times New Roman" w:hAnsi="Times New Roman" w:cs="Times New Roman"/>
          <w:sz w:val="20"/>
          <w:szCs w:val="28"/>
        </w:rPr>
        <w:t>solution)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from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which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working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standards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prepared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(0.5,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1,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2,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5,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10,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20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260D" w:rsidRPr="00A26C68">
        <w:rPr>
          <w:rFonts w:ascii="Times New Roman" w:hAnsi="Times New Roman" w:cs="Times New Roman"/>
          <w:sz w:val="20"/>
          <w:szCs w:val="28"/>
        </w:rPr>
        <w:t>50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F75D0" w:rsidRPr="00A26C68">
        <w:rPr>
          <w:rFonts w:ascii="Times New Roman" w:hAnsi="Times New Roman" w:cs="Times New Roman"/>
          <w:sz w:val="20"/>
          <w:szCs w:val="28"/>
        </w:rPr>
        <w:t>µg/ml</w:t>
      </w:r>
      <w:r w:rsidR="0016260D" w:rsidRPr="00A26C68">
        <w:rPr>
          <w:rFonts w:ascii="Times New Roman" w:hAnsi="Times New Roman" w:cs="Times New Roman"/>
          <w:sz w:val="20"/>
          <w:szCs w:val="28"/>
        </w:rPr>
        <w:t>)</w:t>
      </w:r>
      <w:r w:rsidR="00A83CAE" w:rsidRPr="00A26C68">
        <w:rPr>
          <w:rFonts w:ascii="Times New Roman" w:hAnsi="Times New Roman" w:cs="Times New Roman"/>
          <w:sz w:val="20"/>
          <w:szCs w:val="28"/>
        </w:rPr>
        <w:t>.</w:t>
      </w:r>
    </w:p>
    <w:p w:rsidR="009E5666" w:rsidRPr="00A26C68" w:rsidRDefault="009E5666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Assay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EC6937" w:rsidRPr="00A26C68">
        <w:rPr>
          <w:rFonts w:ascii="Times New Roman" w:hAnsi="Times New Roman" w:cs="Times New Roman"/>
          <w:b/>
          <w:bCs/>
          <w:sz w:val="20"/>
          <w:szCs w:val="28"/>
        </w:rPr>
        <w:t>(</w:t>
      </w:r>
      <w:r w:rsidR="005D402C" w:rsidRPr="00A26C68">
        <w:rPr>
          <w:rFonts w:ascii="Times New Roman" w:hAnsi="Times New Roman" w:cs="Times New Roman"/>
          <w:b/>
          <w:bCs/>
          <w:sz w:val="20"/>
          <w:szCs w:val="28"/>
        </w:rPr>
        <w:t>Kenafur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EC6937" w:rsidRPr="00A26C68">
        <w:rPr>
          <w:rFonts w:ascii="Times New Roman" w:eastAsia="Times New Roman" w:hAnsi="Times New Roman" w:cs="Times New Roman"/>
          <w:b/>
          <w:bCs/>
          <w:sz w:val="20"/>
          <w:szCs w:val="28"/>
          <w:vertAlign w:val="superscript"/>
        </w:rPr>
        <w:t>®</w:t>
      </w:r>
      <w:r w:rsidR="00EC6937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>)</w:t>
      </w:r>
    </w:p>
    <w:p w:rsidR="00F85835" w:rsidRPr="00A26C68" w:rsidRDefault="00A50CDA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powder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1</w:t>
      </w:r>
      <w:r w:rsidR="00F85835" w:rsidRPr="00A26C68">
        <w:rPr>
          <w:rFonts w:ascii="Times New Roman" w:hAnsi="Times New Roman" w:cs="Times New Roman"/>
          <w:sz w:val="20"/>
          <w:szCs w:val="28"/>
        </w:rPr>
        <w:t>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mg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accurately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weighed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transferred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10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m</w:t>
      </w:r>
      <w:r w:rsidR="004A55E7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volumetric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flask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5835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DW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added,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volume,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give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final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1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0165DA" w:rsidRPr="00A26C68">
        <w:rPr>
          <w:rFonts w:ascii="Times New Roman" w:hAnsi="Times New Roman" w:cs="Times New Roman"/>
          <w:sz w:val="20"/>
          <w:szCs w:val="28"/>
        </w:rPr>
        <w:t>m</w:t>
      </w:r>
      <w:r w:rsidR="00A376E1" w:rsidRPr="00A26C68">
        <w:rPr>
          <w:rFonts w:ascii="Times New Roman" w:hAnsi="Times New Roman" w:cs="Times New Roman"/>
          <w:sz w:val="20"/>
          <w:szCs w:val="28"/>
        </w:rPr>
        <w:t>g/ml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(stock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solution)</w:t>
      </w:r>
      <w:r w:rsidR="00F85835" w:rsidRPr="00A26C68">
        <w:rPr>
          <w:rFonts w:ascii="Times New Roman" w:hAnsi="Times New Roman" w:cs="Times New Roman"/>
          <w:sz w:val="20"/>
          <w:szCs w:val="28"/>
        </w:rPr>
        <w:t>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93DE3" w:rsidRPr="00A26C68">
        <w:rPr>
          <w:rFonts w:ascii="Times New Roman" w:hAnsi="Times New Roman" w:cs="Times New Roman"/>
          <w:sz w:val="20"/>
          <w:szCs w:val="28"/>
        </w:rPr>
        <w:t>One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</w:t>
      </w:r>
      <w:r w:rsidR="004A55E7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solution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transferred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10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</w:t>
      </w:r>
      <w:r w:rsidR="00A83CAE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volumetric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flask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diluted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volume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with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0009D" w:rsidRPr="00A26C68">
        <w:rPr>
          <w:rFonts w:ascii="Times New Roman" w:hAnsi="Times New Roman" w:cs="Times New Roman"/>
          <w:sz w:val="20"/>
          <w:szCs w:val="28"/>
        </w:rPr>
        <w:t>De-ionized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0009D" w:rsidRPr="00A26C68">
        <w:rPr>
          <w:rFonts w:ascii="Times New Roman" w:hAnsi="Times New Roman" w:cs="Times New Roman"/>
          <w:sz w:val="20"/>
          <w:szCs w:val="28"/>
        </w:rPr>
        <w:t>water</w:t>
      </w:r>
      <w:r w:rsidRPr="00A26C68">
        <w:rPr>
          <w:rFonts w:ascii="Times New Roman" w:hAnsi="Times New Roman" w:cs="Times New Roman"/>
          <w:sz w:val="20"/>
          <w:szCs w:val="28"/>
        </w:rPr>
        <w:t>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giving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final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</w:t>
      </w:r>
      <w:r w:rsidR="00CF0299" w:rsidRPr="00A26C68">
        <w:rPr>
          <w:rFonts w:ascii="Times New Roman" w:hAnsi="Times New Roman" w:cs="Times New Roman"/>
          <w:sz w:val="20"/>
          <w:szCs w:val="28"/>
        </w:rPr>
        <w:t>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F0299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F0299" w:rsidRPr="00A26C68">
        <w:rPr>
          <w:rFonts w:ascii="Times New Roman" w:hAnsi="Times New Roman" w:cs="Times New Roman"/>
          <w:sz w:val="20"/>
          <w:szCs w:val="28"/>
        </w:rPr>
        <w:t>100</w:t>
      </w:r>
      <w:r w:rsidR="00A376E1" w:rsidRPr="00A26C68">
        <w:rPr>
          <w:rFonts w:ascii="Times New Roman" w:hAnsi="Times New Roman" w:cs="Times New Roman"/>
          <w:sz w:val="20"/>
          <w:szCs w:val="28"/>
        </w:rPr>
        <w:t>µg/ml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(intermediate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solution).</w:t>
      </w:r>
    </w:p>
    <w:p w:rsidR="00856683" w:rsidRPr="00A26C68" w:rsidRDefault="00856683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Assay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7A06EE" w:rsidRPr="00A26C68">
        <w:rPr>
          <w:rFonts w:ascii="Times New Roman" w:hAnsi="Times New Roman" w:cs="Times New Roman"/>
          <w:b/>
          <w:bCs/>
          <w:sz w:val="20"/>
          <w:szCs w:val="28"/>
        </w:rPr>
        <w:t>(</w:t>
      </w:r>
      <w:r w:rsidR="00B91AF8" w:rsidRPr="00A26C68">
        <w:rPr>
          <w:rFonts w:ascii="Times New Roman" w:hAnsi="Times New Roman" w:cs="Times New Roman"/>
          <w:b/>
          <w:bCs/>
          <w:sz w:val="20"/>
          <w:szCs w:val="28"/>
        </w:rPr>
        <w:t>Excenel</w:t>
      </w:r>
      <w:r w:rsidR="00A26C68" w:rsidRPr="00A26C68">
        <w:rPr>
          <w:rFonts w:ascii="Times New Roman" w:eastAsia="Times New Roman" w:hAnsi="Times New Roman" w:cs="Times New Roman"/>
          <w:b/>
          <w:bCs/>
          <w:sz w:val="20"/>
          <w:szCs w:val="28"/>
          <w:vertAlign w:val="superscript"/>
        </w:rPr>
        <w:t xml:space="preserve"> </w:t>
      </w:r>
      <w:r w:rsidR="007A06EE" w:rsidRPr="00A26C68">
        <w:rPr>
          <w:rFonts w:ascii="Times New Roman" w:eastAsia="Times New Roman" w:hAnsi="Times New Roman" w:cs="Times New Roman"/>
          <w:b/>
          <w:bCs/>
          <w:sz w:val="20"/>
          <w:szCs w:val="28"/>
          <w:vertAlign w:val="superscript"/>
        </w:rPr>
        <w:t>®</w:t>
      </w:r>
      <w:r w:rsidR="007A06EE" w:rsidRPr="00A26C68">
        <w:rPr>
          <w:rFonts w:ascii="Times New Roman" w:eastAsia="Times New Roman" w:hAnsi="Times New Roman" w:cs="Times New Roman"/>
          <w:b/>
          <w:bCs/>
          <w:sz w:val="20"/>
          <w:szCs w:val="28"/>
        </w:rPr>
        <w:t>)</w:t>
      </w:r>
    </w:p>
    <w:p w:rsidR="00856683" w:rsidRPr="00A26C68" w:rsidRDefault="00856683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37C57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37C57" w:rsidRPr="00A26C68">
        <w:rPr>
          <w:rFonts w:ascii="Times New Roman" w:hAnsi="Times New Roman" w:cs="Times New Roman"/>
          <w:sz w:val="20"/>
          <w:szCs w:val="28"/>
        </w:rPr>
        <w:t>suspension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1</w:t>
      </w:r>
      <w:r w:rsidR="00C37C57" w:rsidRPr="00A26C68">
        <w:rPr>
          <w:rFonts w:ascii="Times New Roman" w:hAnsi="Times New Roman" w:cs="Times New Roman"/>
          <w:sz w:val="20"/>
          <w:szCs w:val="28"/>
        </w:rPr>
        <w:t>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37C57" w:rsidRPr="00A26C68">
        <w:rPr>
          <w:rFonts w:ascii="Times New Roman" w:hAnsi="Times New Roman" w:cs="Times New Roman"/>
          <w:sz w:val="20"/>
          <w:szCs w:val="28"/>
        </w:rPr>
        <w:t>m</w:t>
      </w:r>
      <w:r w:rsidR="004A55E7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transferred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10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</w:t>
      </w:r>
      <w:r w:rsidR="004A55E7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volumetric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flask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37C57" w:rsidRPr="00A26C68">
        <w:rPr>
          <w:rFonts w:ascii="Times New Roman" w:hAnsi="Times New Roman" w:cs="Times New Roman"/>
          <w:sz w:val="20"/>
          <w:szCs w:val="28"/>
        </w:rPr>
        <w:t>Dimethylformamide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added,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volume,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give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final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1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5069D" w:rsidRPr="00A26C68">
        <w:rPr>
          <w:rFonts w:ascii="Times New Roman" w:hAnsi="Times New Roman" w:cs="Times New Roman"/>
          <w:sz w:val="20"/>
          <w:szCs w:val="28"/>
        </w:rPr>
        <w:t>m</w:t>
      </w:r>
      <w:r w:rsidR="00A376E1" w:rsidRPr="00A26C68">
        <w:rPr>
          <w:rFonts w:ascii="Times New Roman" w:hAnsi="Times New Roman" w:cs="Times New Roman"/>
          <w:sz w:val="20"/>
          <w:szCs w:val="28"/>
        </w:rPr>
        <w:t>g/ml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(stock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solution).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1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</w:t>
      </w:r>
      <w:r w:rsidR="00591660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solution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transferred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10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</w:t>
      </w:r>
      <w:r w:rsidR="004A55E7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volumetric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flask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diluted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volume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with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0009D" w:rsidRPr="00A26C68">
        <w:rPr>
          <w:rFonts w:ascii="Times New Roman" w:hAnsi="Times New Roman" w:cs="Times New Roman"/>
          <w:sz w:val="20"/>
          <w:szCs w:val="28"/>
        </w:rPr>
        <w:t>De-ionized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0009D" w:rsidRPr="00A26C68">
        <w:rPr>
          <w:rFonts w:ascii="Times New Roman" w:hAnsi="Times New Roman" w:cs="Times New Roman"/>
          <w:sz w:val="20"/>
          <w:szCs w:val="28"/>
        </w:rPr>
        <w:t>water</w:t>
      </w:r>
      <w:r w:rsidRPr="00A26C68">
        <w:rPr>
          <w:rFonts w:ascii="Times New Roman" w:hAnsi="Times New Roman" w:cs="Times New Roman"/>
          <w:sz w:val="20"/>
          <w:szCs w:val="28"/>
        </w:rPr>
        <w:t>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giving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final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100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376E1" w:rsidRPr="00A26C68">
        <w:rPr>
          <w:rFonts w:ascii="Times New Roman" w:hAnsi="Times New Roman" w:cs="Times New Roman"/>
          <w:sz w:val="20"/>
          <w:szCs w:val="28"/>
        </w:rPr>
        <w:t>µ</w:t>
      </w:r>
      <w:r w:rsidR="00A34B25" w:rsidRPr="00A26C68">
        <w:rPr>
          <w:rFonts w:ascii="Times New Roman" w:hAnsi="Times New Roman" w:cs="Times New Roman"/>
          <w:sz w:val="20"/>
          <w:szCs w:val="28"/>
        </w:rPr>
        <w:t>g/m</w:t>
      </w:r>
      <w:r w:rsidR="00CF0299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(intermediate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solution).</w:t>
      </w:r>
    </w:p>
    <w:p w:rsidR="00856683" w:rsidRPr="00A26C68" w:rsidRDefault="00CB2D0A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</w:rPr>
      </w:pPr>
      <w:r w:rsidRPr="00A26C68">
        <w:rPr>
          <w:rFonts w:ascii="Times New Roman" w:hAnsi="Times New Roman" w:cs="Times New Roman"/>
          <w:b/>
          <w:bCs/>
          <w:sz w:val="20"/>
          <w:szCs w:val="32"/>
        </w:rPr>
        <w:t>Method</w:t>
      </w:r>
      <w:r w:rsidR="00A26C68" w:rsidRPr="00A26C68">
        <w:rPr>
          <w:rFonts w:ascii="Times New Roman" w:hAnsi="Times New Roman" w:cs="Times New Roman"/>
          <w:b/>
          <w:bCs/>
          <w:sz w:val="20"/>
          <w:szCs w:val="32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32"/>
        </w:rPr>
        <w:t>Validation</w:t>
      </w:r>
      <w:r w:rsidR="00CA5BF6" w:rsidRPr="00A26C68">
        <w:rPr>
          <w:rFonts w:ascii="Times New Roman" w:hAnsi="Times New Roman" w:cs="Times New Roman"/>
          <w:b/>
          <w:bCs/>
          <w:sz w:val="20"/>
          <w:szCs w:val="32"/>
        </w:rPr>
        <w:t>:</w:t>
      </w:r>
    </w:p>
    <w:p w:rsidR="00F42CC2" w:rsidRPr="00A26C68" w:rsidRDefault="00F42CC2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It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process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which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established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laboratory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studies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ensure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that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performance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characteristics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meet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requirements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intended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analytical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applic</w:t>
      </w:r>
      <w:r w:rsidR="00F501C1" w:rsidRPr="00A26C68">
        <w:rPr>
          <w:rFonts w:ascii="Times New Roman" w:hAnsi="Times New Roman" w:cs="Times New Roman"/>
          <w:sz w:val="20"/>
          <w:szCs w:val="28"/>
        </w:rPr>
        <w:t>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according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International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conference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harmonization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technical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requirements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registration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pharmaceuticals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human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use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(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4034E0" w:rsidRPr="00A26C68">
        <w:rPr>
          <w:rFonts w:ascii="Times New Roman" w:hAnsi="Times New Roman" w:cs="Times New Roman"/>
          <w:b/>
          <w:bCs/>
          <w:sz w:val="20"/>
          <w:szCs w:val="28"/>
        </w:rPr>
        <w:t>ICH</w:t>
      </w:r>
      <w:r w:rsidR="001A546A" w:rsidRPr="00A26C68">
        <w:rPr>
          <w:rFonts w:ascii="Times New Roman" w:hAnsi="Times New Roman" w:cs="Times New Roman"/>
          <w:b/>
          <w:bCs/>
          <w:sz w:val="20"/>
          <w:szCs w:val="28"/>
        </w:rPr>
        <w:t>,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4034E0" w:rsidRPr="00A26C68">
        <w:rPr>
          <w:rFonts w:ascii="Times New Roman" w:hAnsi="Times New Roman" w:cs="Times New Roman"/>
          <w:b/>
          <w:bCs/>
          <w:sz w:val="20"/>
          <w:szCs w:val="28"/>
        </w:rPr>
        <w:t>2005</w:t>
      </w:r>
      <w:r w:rsidR="00F501C1" w:rsidRPr="00A26C68">
        <w:rPr>
          <w:rFonts w:ascii="Times New Roman" w:hAnsi="Times New Roman" w:cs="Times New Roman"/>
          <w:sz w:val="20"/>
          <w:szCs w:val="28"/>
        </w:rPr>
        <w:t>).</w:t>
      </w:r>
    </w:p>
    <w:p w:rsidR="00F42CC2" w:rsidRPr="00A26C68" w:rsidRDefault="001348B4" w:rsidP="001348B4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  <w:t>1-</w:t>
      </w:r>
      <w:r w:rsidR="00F42CC2" w:rsidRPr="00A26C68">
        <w:rPr>
          <w:rFonts w:ascii="Times New Roman" w:hAnsi="Times New Roman" w:cs="Times New Roman"/>
          <w:b/>
          <w:bCs/>
          <w:sz w:val="20"/>
          <w:szCs w:val="28"/>
        </w:rPr>
        <w:t>Linearity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b/>
          <w:bCs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b/>
          <w:bCs/>
          <w:sz w:val="20"/>
          <w:szCs w:val="28"/>
        </w:rPr>
        <w:t>range:</w:t>
      </w:r>
    </w:p>
    <w:p w:rsidR="00F42CC2" w:rsidRPr="00A26C68" w:rsidRDefault="00F42CC2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Linearity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perfo</w:t>
      </w:r>
      <w:r w:rsidR="007C5FDE" w:rsidRPr="00A26C68">
        <w:rPr>
          <w:rFonts w:ascii="Times New Roman" w:hAnsi="Times New Roman" w:cs="Times New Roman"/>
          <w:sz w:val="20"/>
          <w:szCs w:val="28"/>
        </w:rPr>
        <w:t>rmed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C5FDE"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C5FDE" w:rsidRPr="00A26C68">
        <w:rPr>
          <w:rFonts w:ascii="Times New Roman" w:hAnsi="Times New Roman" w:cs="Times New Roman"/>
          <w:sz w:val="20"/>
          <w:szCs w:val="28"/>
        </w:rPr>
        <w:t>preparing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C5FDE" w:rsidRPr="00A26C68">
        <w:rPr>
          <w:rFonts w:ascii="Times New Roman" w:hAnsi="Times New Roman" w:cs="Times New Roman"/>
          <w:sz w:val="20"/>
          <w:szCs w:val="28"/>
        </w:rPr>
        <w:t>7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different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concentrations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drug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Linearity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defined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squared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correlation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coefficient,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which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should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0.99</w:t>
      </w:r>
      <w:r w:rsidR="007C5FDE" w:rsidRPr="00A26C68">
        <w:rPr>
          <w:rFonts w:ascii="Times New Roman" w:hAnsi="Times New Roman" w:cs="Times New Roman"/>
          <w:sz w:val="20"/>
          <w:szCs w:val="28"/>
        </w:rPr>
        <w:t>9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(r</w:t>
      </w:r>
      <w:r w:rsidRPr="00A26C68">
        <w:rPr>
          <w:rFonts w:ascii="Times New Roman" w:hAnsi="Times New Roman" w:cs="Times New Roman"/>
          <w:sz w:val="20"/>
          <w:szCs w:val="28"/>
          <w:vertAlign w:val="superscript"/>
        </w:rPr>
        <w:t>2</w:t>
      </w:r>
      <w:r w:rsidR="00F501C1" w:rsidRPr="00A26C68">
        <w:rPr>
          <w:rFonts w:ascii="Times New Roman" w:hAnsi="Times New Roman" w:cs="Times New Roman"/>
          <w:sz w:val="20"/>
          <w:szCs w:val="28"/>
        </w:rPr>
        <w:t>).</w:t>
      </w:r>
    </w:p>
    <w:p w:rsidR="00F42CC2" w:rsidRPr="00A26C68" w:rsidRDefault="00AA5869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2-</w:t>
      </w:r>
      <w:r w:rsidR="00F42CC2" w:rsidRPr="00A26C68">
        <w:rPr>
          <w:rFonts w:ascii="Times New Roman" w:hAnsi="Times New Roman" w:cs="Times New Roman"/>
          <w:b/>
          <w:bCs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b/>
          <w:bCs/>
          <w:sz w:val="20"/>
          <w:szCs w:val="28"/>
        </w:rPr>
        <w:t>Precision:</w:t>
      </w:r>
    </w:p>
    <w:p w:rsidR="00F42CC2" w:rsidRPr="00A26C68" w:rsidRDefault="00F42CC2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It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conducted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using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5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replicates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solutions.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Acceptance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crit</w:t>
      </w:r>
      <w:r w:rsidR="00F501C1" w:rsidRPr="00A26C68">
        <w:rPr>
          <w:rFonts w:ascii="Times New Roman" w:hAnsi="Times New Roman" w:cs="Times New Roman"/>
          <w:sz w:val="20"/>
          <w:szCs w:val="28"/>
        </w:rPr>
        <w:t>eria: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D03B4" w:rsidRPr="00A26C68">
        <w:rPr>
          <w:rFonts w:ascii="Times New Roman" w:hAnsi="Times New Roman" w:cs="Times New Roman"/>
          <w:sz w:val="20"/>
          <w:szCs w:val="28"/>
        </w:rPr>
        <w:t>Relative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D03B4"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D03B4" w:rsidRPr="00A26C68">
        <w:rPr>
          <w:rFonts w:ascii="Times New Roman" w:hAnsi="Times New Roman" w:cs="Times New Roman"/>
          <w:sz w:val="20"/>
          <w:szCs w:val="28"/>
        </w:rPr>
        <w:t>deviation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D03B4" w:rsidRPr="00A26C68">
        <w:rPr>
          <w:rFonts w:ascii="Times New Roman" w:hAnsi="Times New Roman" w:cs="Times New Roman"/>
          <w:sz w:val="20"/>
          <w:szCs w:val="28"/>
        </w:rPr>
        <w:t>(</w:t>
      </w:r>
      <w:r w:rsidR="00F501C1" w:rsidRPr="00A26C68">
        <w:rPr>
          <w:rFonts w:ascii="Times New Roman" w:hAnsi="Times New Roman" w:cs="Times New Roman"/>
          <w:sz w:val="20"/>
          <w:szCs w:val="28"/>
        </w:rPr>
        <w:t>RSD</w:t>
      </w:r>
      <w:r w:rsidR="002D03B4" w:rsidRPr="00A26C68">
        <w:rPr>
          <w:rFonts w:ascii="Times New Roman" w:hAnsi="Times New Roman" w:cs="Times New Roman"/>
          <w:sz w:val="20"/>
          <w:szCs w:val="28"/>
        </w:rPr>
        <w:t>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≤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B0958" w:rsidRPr="00A26C68">
        <w:rPr>
          <w:rFonts w:ascii="Times New Roman" w:hAnsi="Times New Roman" w:cs="Times New Roman"/>
          <w:sz w:val="20"/>
          <w:szCs w:val="28"/>
        </w:rPr>
        <w:t>2</w:t>
      </w:r>
      <w:r w:rsidR="00F501C1" w:rsidRPr="00A26C68">
        <w:rPr>
          <w:rFonts w:ascii="Times New Roman" w:hAnsi="Times New Roman" w:cs="Times New Roman"/>
          <w:sz w:val="20"/>
          <w:szCs w:val="28"/>
        </w:rPr>
        <w:t>%.</w:t>
      </w:r>
    </w:p>
    <w:p w:rsidR="00F42CC2" w:rsidRPr="00A26C68" w:rsidRDefault="00AA5869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3-</w:t>
      </w:r>
      <w:r w:rsidR="00F42CC2" w:rsidRPr="00A26C68">
        <w:rPr>
          <w:rFonts w:ascii="Times New Roman" w:hAnsi="Times New Roman" w:cs="Times New Roman"/>
          <w:b/>
          <w:bCs/>
          <w:sz w:val="20"/>
          <w:szCs w:val="28"/>
        </w:rPr>
        <w:t>Selectivity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b/>
          <w:bCs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b/>
          <w:bCs/>
          <w:sz w:val="20"/>
          <w:szCs w:val="28"/>
        </w:rPr>
        <w:t>specificity:</w:t>
      </w:r>
    </w:p>
    <w:p w:rsidR="00F42CC2" w:rsidRPr="00A26C68" w:rsidRDefault="00F42CC2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Verification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selectivity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conducted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evaluating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addition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each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drug</w:t>
      </w:r>
      <w:r w:rsidRPr="00A26C68">
        <w:rPr>
          <w:rFonts w:ascii="Times New Roman" w:hAnsi="Times New Roman" w:cs="Times New Roman"/>
          <w:sz w:val="20"/>
          <w:szCs w:val="28"/>
        </w:rPr>
        <w:t>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Acceptance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criteria: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no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interference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between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peaks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impurities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extrac</w:t>
      </w:r>
      <w:r w:rsidR="00F501C1" w:rsidRPr="00A26C68">
        <w:rPr>
          <w:rFonts w:ascii="Times New Roman" w:hAnsi="Times New Roman" w:cs="Times New Roman"/>
          <w:sz w:val="20"/>
          <w:szCs w:val="28"/>
        </w:rPr>
        <w:t>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01C1" w:rsidRPr="00A26C68">
        <w:rPr>
          <w:rFonts w:ascii="Times New Roman" w:hAnsi="Times New Roman" w:cs="Times New Roman"/>
          <w:sz w:val="20"/>
          <w:szCs w:val="28"/>
        </w:rPr>
        <w:t>solvents.</w:t>
      </w:r>
    </w:p>
    <w:p w:rsidR="00F42CC2" w:rsidRPr="00A26C68" w:rsidRDefault="00AA5869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4-</w:t>
      </w:r>
      <w:r w:rsidR="00F42CC2" w:rsidRPr="00A26C68">
        <w:rPr>
          <w:rFonts w:ascii="Times New Roman" w:hAnsi="Times New Roman" w:cs="Times New Roman"/>
          <w:b/>
          <w:bCs/>
          <w:sz w:val="20"/>
          <w:szCs w:val="28"/>
        </w:rPr>
        <w:t>Accuracy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b/>
          <w:bCs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b/>
          <w:bCs/>
          <w:sz w:val="20"/>
          <w:szCs w:val="28"/>
        </w:rPr>
        <w:t>recovery:</w:t>
      </w:r>
    </w:p>
    <w:p w:rsidR="00F42CC2" w:rsidRPr="00A26C68" w:rsidRDefault="00F42CC2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additions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at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different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concentrations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are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prepared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adding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known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quantities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lastRenderedPageBreak/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each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47FF4" w:rsidRPr="00A26C68">
        <w:rPr>
          <w:rFonts w:ascii="Times New Roman" w:hAnsi="Times New Roman" w:cs="Times New Roman"/>
          <w:sz w:val="20"/>
          <w:szCs w:val="28"/>
        </w:rPr>
        <w:t>drug</w:t>
      </w:r>
      <w:r w:rsidRPr="00A26C68">
        <w:rPr>
          <w:rFonts w:ascii="Times New Roman" w:hAnsi="Times New Roman" w:cs="Times New Roman"/>
          <w:sz w:val="20"/>
          <w:szCs w:val="28"/>
        </w:rPr>
        <w:t>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Those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samples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analyzed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against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solutions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same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concentrations.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accuracy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calculated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from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test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results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percentage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recovery.</w:t>
      </w:r>
    </w:p>
    <w:p w:rsidR="00B83B2C" w:rsidRPr="00A26C68" w:rsidRDefault="00AA5869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5-</w:t>
      </w:r>
      <w:r w:rsidR="00B83B2C" w:rsidRPr="00A26C68">
        <w:rPr>
          <w:rFonts w:ascii="Times New Roman" w:hAnsi="Times New Roman" w:cs="Times New Roman"/>
          <w:b/>
          <w:bCs/>
          <w:sz w:val="20"/>
          <w:szCs w:val="28"/>
        </w:rPr>
        <w:t>Limit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B83B2C" w:rsidRPr="00A26C68">
        <w:rPr>
          <w:rFonts w:ascii="Times New Roman" w:hAnsi="Times New Roman" w:cs="Times New Roman"/>
          <w:b/>
          <w:bCs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B83B2C" w:rsidRPr="00A26C68">
        <w:rPr>
          <w:rFonts w:ascii="Times New Roman" w:hAnsi="Times New Roman" w:cs="Times New Roman"/>
          <w:b/>
          <w:bCs/>
          <w:sz w:val="20"/>
          <w:szCs w:val="28"/>
        </w:rPr>
        <w:t>Detection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B83B2C" w:rsidRPr="00A26C68">
        <w:rPr>
          <w:rFonts w:ascii="Times New Roman" w:hAnsi="Times New Roman" w:cs="Times New Roman"/>
          <w:b/>
          <w:bCs/>
          <w:sz w:val="20"/>
          <w:szCs w:val="28"/>
        </w:rPr>
        <w:t>(LOD)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B83B2C" w:rsidRPr="00A26C68">
        <w:rPr>
          <w:rFonts w:ascii="Times New Roman" w:hAnsi="Times New Roman" w:cs="Times New Roman"/>
          <w:b/>
          <w:bCs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B83B2C" w:rsidRPr="00A26C68">
        <w:rPr>
          <w:rFonts w:ascii="Times New Roman" w:hAnsi="Times New Roman" w:cs="Times New Roman"/>
          <w:b/>
          <w:bCs/>
          <w:sz w:val="20"/>
          <w:szCs w:val="28"/>
        </w:rPr>
        <w:t>Quantification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B83B2C" w:rsidRPr="00A26C68">
        <w:rPr>
          <w:rFonts w:ascii="Times New Roman" w:hAnsi="Times New Roman" w:cs="Times New Roman"/>
          <w:b/>
          <w:bCs/>
          <w:sz w:val="20"/>
          <w:szCs w:val="28"/>
        </w:rPr>
        <w:t>(LOQ):</w:t>
      </w:r>
    </w:p>
    <w:p w:rsidR="00B83B2C" w:rsidRPr="00A26C68" w:rsidRDefault="00B83B2C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They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calculated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from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Based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deviation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(S)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intercept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slope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(b)</w:t>
      </w:r>
    </w:p>
    <w:p w:rsidR="00B83B2C" w:rsidRPr="00A26C68" w:rsidRDefault="00B83B2C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LOD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=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3.3×S/b</w:t>
      </w:r>
    </w:p>
    <w:p w:rsidR="00B83B2C" w:rsidRPr="00A26C68" w:rsidRDefault="00B83B2C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LOQ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=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10×S/b</w:t>
      </w:r>
    </w:p>
    <w:p w:rsidR="00F42CC2" w:rsidRPr="00A26C68" w:rsidRDefault="00AA5869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6-</w:t>
      </w:r>
      <w:r w:rsidR="00F42CC2" w:rsidRPr="00A26C68">
        <w:rPr>
          <w:rFonts w:ascii="Times New Roman" w:hAnsi="Times New Roman" w:cs="Times New Roman"/>
          <w:b/>
          <w:bCs/>
          <w:sz w:val="20"/>
          <w:szCs w:val="28"/>
        </w:rPr>
        <w:t>Robustness:</w:t>
      </w:r>
    </w:p>
    <w:p w:rsidR="004C4F22" w:rsidRPr="00A26C68" w:rsidRDefault="009A664C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robustness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analytical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procedure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extent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remain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unaffected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small,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but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deliberate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changes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parameters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provides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clue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reliability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during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normal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usage.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factors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chosen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study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detection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wavelength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(nm),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temperature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(°C),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flow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rate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(ml/min)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mobile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phase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percentage.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sz w:val="20"/>
          <w:szCs w:val="28"/>
        </w:rPr>
        <w:t>Acceptance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sz w:val="20"/>
          <w:szCs w:val="28"/>
        </w:rPr>
        <w:t>criteria: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sz w:val="20"/>
          <w:szCs w:val="28"/>
        </w:rPr>
        <w:t>pooled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sz w:val="20"/>
          <w:szCs w:val="28"/>
        </w:rPr>
        <w:t>RSD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sz w:val="20"/>
          <w:szCs w:val="28"/>
        </w:rPr>
        <w:t>not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sz w:val="20"/>
          <w:szCs w:val="28"/>
        </w:rPr>
        <w:t>more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sz w:val="20"/>
          <w:szCs w:val="28"/>
        </w:rPr>
        <w:t>than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EA2D37" w:rsidRPr="00A26C68">
        <w:rPr>
          <w:rFonts w:ascii="Times New Roman" w:hAnsi="Times New Roman" w:cs="Times New Roman"/>
          <w:sz w:val="20"/>
          <w:szCs w:val="28"/>
        </w:rPr>
        <w:t>2</w:t>
      </w:r>
      <w:r w:rsidR="00F42CC2" w:rsidRPr="00A26C68">
        <w:rPr>
          <w:rFonts w:ascii="Times New Roman" w:hAnsi="Times New Roman" w:cs="Times New Roman"/>
          <w:sz w:val="20"/>
          <w:szCs w:val="28"/>
        </w:rPr>
        <w:t>%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sz w:val="20"/>
          <w:szCs w:val="28"/>
        </w:rPr>
        <w:t>every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sz w:val="20"/>
          <w:szCs w:val="28"/>
        </w:rPr>
        <w:t>change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42CC2" w:rsidRPr="00A26C68">
        <w:rPr>
          <w:rFonts w:ascii="Times New Roman" w:hAnsi="Times New Roman" w:cs="Times New Roman"/>
          <w:sz w:val="20"/>
          <w:szCs w:val="28"/>
        </w:rPr>
        <w:t>item.</w:t>
      </w:r>
    </w:p>
    <w:p w:rsidR="008438D3" w:rsidRPr="00A26C68" w:rsidRDefault="00AA5869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7-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8438D3" w:rsidRPr="00A26C68">
        <w:rPr>
          <w:rFonts w:ascii="Times New Roman" w:hAnsi="Times New Roman" w:cs="Times New Roman"/>
          <w:b/>
          <w:bCs/>
          <w:sz w:val="20"/>
          <w:szCs w:val="28"/>
        </w:rPr>
        <w:t>System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8438D3" w:rsidRPr="00A26C68">
        <w:rPr>
          <w:rFonts w:ascii="Times New Roman" w:hAnsi="Times New Roman" w:cs="Times New Roman"/>
          <w:b/>
          <w:bCs/>
          <w:sz w:val="20"/>
          <w:szCs w:val="28"/>
        </w:rPr>
        <w:t>Suitability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8438D3" w:rsidRPr="00A26C68">
        <w:rPr>
          <w:rFonts w:ascii="Times New Roman" w:hAnsi="Times New Roman" w:cs="Times New Roman"/>
          <w:b/>
          <w:bCs/>
          <w:sz w:val="20"/>
          <w:szCs w:val="28"/>
        </w:rPr>
        <w:t>Test:</w:t>
      </w:r>
    </w:p>
    <w:p w:rsidR="008438D3" w:rsidRDefault="008438D3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sz w:val="20"/>
          <w:szCs w:val="28"/>
        </w:rPr>
        <w:t>Relative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deviations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retention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time,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tailing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factor,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number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theoretical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plates,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peak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area,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capacity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factor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measured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test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system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suitability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22FB5" w:rsidRPr="00A26C68">
        <w:rPr>
          <w:rFonts w:ascii="Times New Roman" w:hAnsi="Times New Roman" w:cs="Times New Roman"/>
          <w:sz w:val="20"/>
          <w:szCs w:val="28"/>
        </w:rPr>
        <w:t>(</w:t>
      </w:r>
      <w:r w:rsidR="00CF35B5" w:rsidRPr="00A26C68">
        <w:rPr>
          <w:rFonts w:ascii="Times New Roman" w:hAnsi="Times New Roman" w:cs="Times New Roman"/>
          <w:b/>
          <w:bCs/>
          <w:sz w:val="20"/>
          <w:szCs w:val="28"/>
        </w:rPr>
        <w:t>United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CF35B5" w:rsidRPr="00A26C68">
        <w:rPr>
          <w:rFonts w:ascii="Times New Roman" w:hAnsi="Times New Roman" w:cs="Times New Roman"/>
          <w:b/>
          <w:bCs/>
          <w:sz w:val="20"/>
          <w:szCs w:val="28"/>
        </w:rPr>
        <w:t>States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CF35B5" w:rsidRPr="00A26C68">
        <w:rPr>
          <w:rFonts w:ascii="Times New Roman" w:hAnsi="Times New Roman" w:cs="Times New Roman"/>
          <w:b/>
          <w:bCs/>
          <w:sz w:val="20"/>
          <w:szCs w:val="28"/>
        </w:rPr>
        <w:t>pharmacopeia</w:t>
      </w:r>
      <w:r w:rsidR="004A55E7" w:rsidRPr="00A26C68">
        <w:rPr>
          <w:rFonts w:ascii="Times New Roman" w:hAnsi="Times New Roman" w:cs="Times New Roman"/>
          <w:b/>
          <w:bCs/>
          <w:sz w:val="20"/>
          <w:szCs w:val="28"/>
        </w:rPr>
        <w:t>,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CF35B5" w:rsidRPr="00A26C68">
        <w:rPr>
          <w:rFonts w:ascii="Times New Roman" w:hAnsi="Times New Roman" w:cs="Times New Roman"/>
          <w:b/>
          <w:bCs/>
          <w:sz w:val="20"/>
          <w:szCs w:val="28"/>
        </w:rPr>
        <w:t>2017</w:t>
      </w:r>
      <w:r w:rsidR="00B22FB5" w:rsidRPr="00A26C68">
        <w:rPr>
          <w:rFonts w:ascii="Times New Roman" w:hAnsi="Times New Roman" w:cs="Times New Roman"/>
          <w:sz w:val="20"/>
          <w:szCs w:val="28"/>
        </w:rPr>
        <w:t>)</w:t>
      </w:r>
    </w:p>
    <w:p w:rsidR="001348B4" w:rsidRPr="00A26C68" w:rsidRDefault="001348B4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234DB4" w:rsidRPr="00A26C68" w:rsidRDefault="00234DB4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</w:rPr>
      </w:pPr>
      <w:r w:rsidRPr="00A26C68">
        <w:rPr>
          <w:rFonts w:ascii="Times New Roman" w:hAnsi="Times New Roman" w:cs="Times New Roman"/>
          <w:b/>
          <w:bCs/>
          <w:sz w:val="20"/>
          <w:szCs w:val="32"/>
        </w:rPr>
        <w:t>Results</w:t>
      </w:r>
      <w:r w:rsidR="00A26C68" w:rsidRPr="00A26C68">
        <w:rPr>
          <w:rFonts w:ascii="Times New Roman" w:hAnsi="Times New Roman" w:cs="Times New Roman"/>
          <w:b/>
          <w:bCs/>
          <w:sz w:val="20"/>
          <w:szCs w:val="32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32"/>
        </w:rPr>
        <w:t>and</w:t>
      </w:r>
      <w:r w:rsidR="00A26C68" w:rsidRPr="00A26C68">
        <w:rPr>
          <w:rFonts w:ascii="Times New Roman" w:hAnsi="Times New Roman" w:cs="Times New Roman"/>
          <w:b/>
          <w:bCs/>
          <w:sz w:val="20"/>
          <w:szCs w:val="32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32"/>
        </w:rPr>
        <w:t>Discussion</w:t>
      </w:r>
    </w:p>
    <w:p w:rsidR="0080072F" w:rsidRPr="00A26C68" w:rsidRDefault="00C16731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Choice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analytical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depends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factors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such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nature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drug,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complexity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sample,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intended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use.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this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study,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chromatographic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conditions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affected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physicochemical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properties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15B71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15B71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15B71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DB6255" w:rsidRPr="00A26C68">
        <w:rPr>
          <w:rFonts w:ascii="Times New Roman" w:hAnsi="Times New Roman" w:cs="Times New Roman"/>
          <w:sz w:val="20"/>
          <w:szCs w:val="28"/>
        </w:rPr>
        <w:t>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example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solubility,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polarity,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UV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B6255" w:rsidRPr="00A26C68">
        <w:rPr>
          <w:rFonts w:ascii="Times New Roman" w:hAnsi="Times New Roman" w:cs="Times New Roman"/>
          <w:sz w:val="20"/>
          <w:szCs w:val="28"/>
        </w:rPr>
        <w:t>absorption.</w:t>
      </w:r>
    </w:p>
    <w:p w:rsidR="00E67EAF" w:rsidRPr="00A26C68" w:rsidRDefault="00DB6255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objective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study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develop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HPLC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assay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2D715B" w:rsidRPr="00A26C68">
        <w:rPr>
          <w:rFonts w:ascii="Times New Roman" w:hAnsi="Times New Roman" w:cs="Times New Roman"/>
          <w:sz w:val="20"/>
          <w:szCs w:val="28"/>
        </w:rPr>
        <w:t>nalysis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D715B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D715B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63E7F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63E7F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63E7F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63E7F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D715B" w:rsidRPr="00A26C68">
        <w:rPr>
          <w:rFonts w:ascii="Times New Roman" w:hAnsi="Times New Roman" w:cs="Times New Roman"/>
          <w:sz w:val="20"/>
          <w:szCs w:val="28"/>
        </w:rPr>
        <w:t>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D715B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EB0BD6" w:rsidRPr="00A26C68">
        <w:rPr>
          <w:rFonts w:ascii="Times New Roman" w:hAnsi="Times New Roman" w:cs="Times New Roman"/>
          <w:sz w:val="20"/>
          <w:szCs w:val="28"/>
        </w:rPr>
        <w:t>injectable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5069D" w:rsidRPr="00A26C68">
        <w:rPr>
          <w:rFonts w:ascii="Times New Roman" w:hAnsi="Times New Roman" w:cs="Times New Roman"/>
          <w:sz w:val="20"/>
          <w:szCs w:val="28"/>
        </w:rPr>
        <w:t>suspension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substance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powder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injection</w:t>
      </w:r>
      <w:r w:rsidR="00BC3170" w:rsidRPr="00A26C68">
        <w:rPr>
          <w:rFonts w:ascii="Times New Roman" w:hAnsi="Times New Roman" w:cs="Times New Roman"/>
          <w:sz w:val="20"/>
          <w:szCs w:val="28"/>
        </w:rPr>
        <w:t>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Mobile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lastRenderedPageBreak/>
        <w:t>phase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selection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based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peak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properties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(symmetry,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number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theoretical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plates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ED4389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ED4389" w:rsidRPr="00A26C68">
        <w:rPr>
          <w:rFonts w:ascii="Times New Roman" w:hAnsi="Times New Roman" w:cs="Times New Roman"/>
          <w:sz w:val="20"/>
          <w:szCs w:val="28"/>
        </w:rPr>
        <w:t>capacity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factor),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run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time,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ease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preparation,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cost.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This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uses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simple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mobile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phase,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which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can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be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regarded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more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useful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routine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A5B3D" w:rsidRPr="00A26C68">
        <w:rPr>
          <w:rFonts w:ascii="Times New Roman" w:hAnsi="Times New Roman" w:cs="Times New Roman"/>
          <w:sz w:val="20"/>
          <w:szCs w:val="28"/>
        </w:rPr>
        <w:t>analysis.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Retention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time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repeatability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during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precision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studies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found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be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excellent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all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solutions.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retention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time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4075A" w:rsidRPr="00A26C68">
        <w:rPr>
          <w:rFonts w:ascii="Times New Roman" w:hAnsi="Times New Roman" w:cs="Times New Roman"/>
          <w:sz w:val="20"/>
          <w:szCs w:val="28"/>
        </w:rPr>
        <w:t>7.8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min,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satisfactory.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gave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sharp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symmetrical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peak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when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chromatographed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under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conditions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described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above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(Fig</w:t>
      </w:r>
      <w:r w:rsidR="00A83CAE" w:rsidRPr="00A26C68">
        <w:rPr>
          <w:rFonts w:ascii="Times New Roman" w:hAnsi="Times New Roman" w:cs="Times New Roman"/>
          <w:sz w:val="20"/>
          <w:szCs w:val="28"/>
        </w:rPr>
        <w:t>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3055" w:rsidRPr="00A26C68">
        <w:rPr>
          <w:rFonts w:ascii="Times New Roman" w:hAnsi="Times New Roman" w:cs="Times New Roman"/>
          <w:sz w:val="20"/>
          <w:szCs w:val="28"/>
        </w:rPr>
        <w:t>2).</w:t>
      </w:r>
    </w:p>
    <w:p w:rsidR="003A730B" w:rsidRPr="00A26C68" w:rsidRDefault="003A730B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u w:val="single"/>
        </w:rPr>
      </w:pPr>
      <w:r w:rsidRPr="00A26C68">
        <w:rPr>
          <w:rFonts w:ascii="Times New Roman" w:hAnsi="Times New Roman" w:cs="Times New Roman"/>
          <w:b/>
          <w:bCs/>
          <w:sz w:val="20"/>
          <w:szCs w:val="32"/>
          <w:u w:val="single"/>
        </w:rPr>
        <w:t>Method</w:t>
      </w:r>
      <w:r w:rsidR="00A26C68" w:rsidRPr="00A26C68">
        <w:rPr>
          <w:rFonts w:ascii="Times New Roman" w:hAnsi="Times New Roman" w:cs="Times New Roman"/>
          <w:b/>
          <w:bCs/>
          <w:sz w:val="20"/>
          <w:szCs w:val="32"/>
          <w:u w:val="single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32"/>
          <w:u w:val="single"/>
        </w:rPr>
        <w:t>Validation</w:t>
      </w:r>
    </w:p>
    <w:p w:rsidR="000410B7" w:rsidRPr="00A26C68" w:rsidRDefault="000410B7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Linearity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range:</w:t>
      </w:r>
    </w:p>
    <w:p w:rsidR="00C91188" w:rsidRPr="00A26C68" w:rsidRDefault="00D71200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calibration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plots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constructed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plotting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peak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area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against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concentration.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linearity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proposed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investigated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range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0.50–50.0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µg/ml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test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concentration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D7333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D7333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C3A62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with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correlation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coefficient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D7333" w:rsidRPr="00A26C68">
        <w:rPr>
          <w:rFonts w:ascii="Times New Roman" w:hAnsi="Times New Roman" w:cs="Times New Roman"/>
          <w:sz w:val="20"/>
          <w:szCs w:val="28"/>
        </w:rPr>
        <w:t>(r</w:t>
      </w:r>
      <w:r w:rsidR="003D7333" w:rsidRPr="00A26C68">
        <w:rPr>
          <w:rFonts w:ascii="Times New Roman" w:hAnsi="Times New Roman" w:cs="Times New Roman"/>
          <w:sz w:val="20"/>
          <w:szCs w:val="28"/>
          <w:vertAlign w:val="superscript"/>
        </w:rPr>
        <w:t>2</w:t>
      </w:r>
      <w:r w:rsidR="003D7333" w:rsidRPr="00A26C68">
        <w:rPr>
          <w:rFonts w:ascii="Times New Roman" w:hAnsi="Times New Roman" w:cs="Times New Roman"/>
          <w:sz w:val="20"/>
          <w:szCs w:val="28"/>
        </w:rPr>
        <w:t>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0.9999</w:t>
      </w:r>
      <w:r w:rsidR="00884011" w:rsidRPr="00A26C68">
        <w:rPr>
          <w:rFonts w:ascii="Times New Roman" w:hAnsi="Times New Roman" w:cs="Times New Roman"/>
          <w:sz w:val="20"/>
          <w:szCs w:val="28"/>
        </w:rPr>
        <w:t>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representative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linear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regression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equation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(</w:t>
      </w:r>
      <w:r w:rsidR="002A1E7B" w:rsidRPr="00A26C68">
        <w:rPr>
          <w:rFonts w:ascii="Times New Roman" w:hAnsi="Times New Roman" w:cs="Times New Roman"/>
          <w:sz w:val="20"/>
          <w:szCs w:val="28"/>
        </w:rPr>
        <w:t>T</w:t>
      </w:r>
      <w:r w:rsidR="00251D81" w:rsidRPr="00A26C68">
        <w:rPr>
          <w:rFonts w:ascii="Times New Roman" w:hAnsi="Times New Roman" w:cs="Times New Roman"/>
          <w:sz w:val="20"/>
          <w:szCs w:val="28"/>
        </w:rPr>
        <w:t>ables,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1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&amp; </w:t>
      </w:r>
      <w:r w:rsidR="00251D81" w:rsidRPr="00A26C68">
        <w:rPr>
          <w:rFonts w:ascii="Times New Roman" w:hAnsi="Times New Roman" w:cs="Times New Roman"/>
          <w:sz w:val="20"/>
          <w:szCs w:val="28"/>
        </w:rPr>
        <w:t>2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fig</w:t>
      </w:r>
      <w:r w:rsidR="002A1E7B" w:rsidRPr="00A26C68">
        <w:rPr>
          <w:rFonts w:ascii="Times New Roman" w:hAnsi="Times New Roman" w:cs="Times New Roman"/>
          <w:sz w:val="20"/>
          <w:szCs w:val="28"/>
        </w:rPr>
        <w:t>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2)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=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41D5" w:rsidRPr="00A26C68">
        <w:rPr>
          <w:rFonts w:ascii="Times New Roman" w:hAnsi="Times New Roman" w:cs="Times New Roman"/>
          <w:sz w:val="20"/>
          <w:szCs w:val="28"/>
        </w:rPr>
        <w:t>126.22</w:t>
      </w:r>
      <w:r w:rsidRPr="00A26C68">
        <w:rPr>
          <w:rFonts w:ascii="Times New Roman" w:hAnsi="Times New Roman" w:cs="Times New Roman"/>
          <w:sz w:val="20"/>
          <w:szCs w:val="28"/>
        </w:rPr>
        <w:t>x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+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841D5" w:rsidRPr="00A26C68">
        <w:rPr>
          <w:rFonts w:ascii="Times New Roman" w:hAnsi="Times New Roman" w:cs="Times New Roman"/>
          <w:sz w:val="20"/>
          <w:szCs w:val="28"/>
        </w:rPr>
        <w:t>4.8679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316C9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316C9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(</w:t>
      </w:r>
      <w:r w:rsidR="002A1E7B" w:rsidRPr="00A26C68">
        <w:rPr>
          <w:rFonts w:ascii="Times New Roman" w:hAnsi="Times New Roman" w:cs="Times New Roman"/>
          <w:sz w:val="20"/>
          <w:szCs w:val="28"/>
        </w:rPr>
        <w:t>T</w:t>
      </w:r>
      <w:r w:rsidR="00251D81" w:rsidRPr="00A26C68">
        <w:rPr>
          <w:rFonts w:ascii="Times New Roman" w:hAnsi="Times New Roman" w:cs="Times New Roman"/>
          <w:sz w:val="20"/>
          <w:szCs w:val="28"/>
        </w:rPr>
        <w:t>ables,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3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&amp; </w:t>
      </w:r>
      <w:r w:rsidR="00251D81" w:rsidRPr="00A26C68">
        <w:rPr>
          <w:rFonts w:ascii="Times New Roman" w:hAnsi="Times New Roman" w:cs="Times New Roman"/>
          <w:sz w:val="20"/>
          <w:szCs w:val="28"/>
        </w:rPr>
        <w:t>4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66BCB" w:rsidRPr="00A26C68">
        <w:rPr>
          <w:rFonts w:ascii="Times New Roman" w:hAnsi="Times New Roman" w:cs="Times New Roman"/>
          <w:sz w:val="20"/>
          <w:szCs w:val="28"/>
        </w:rPr>
        <w:t>figure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51D81" w:rsidRPr="00A26C68">
        <w:rPr>
          <w:rFonts w:ascii="Times New Roman" w:hAnsi="Times New Roman" w:cs="Times New Roman"/>
          <w:sz w:val="20"/>
          <w:szCs w:val="28"/>
        </w:rPr>
        <w:t>3)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316C9"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486374" w:rsidRPr="00A26C68">
        <w:rPr>
          <w:rFonts w:ascii="Times New Roman" w:hAnsi="Times New Roman" w:cs="Times New Roman"/>
          <w:sz w:val="20"/>
          <w:szCs w:val="28"/>
        </w:rPr>
        <w:t>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486374" w:rsidRPr="00A26C68">
        <w:rPr>
          <w:rFonts w:ascii="Times New Roman" w:hAnsi="Times New Roman" w:cs="Times New Roman"/>
          <w:sz w:val="20"/>
          <w:szCs w:val="28"/>
        </w:rPr>
        <w:t>=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486374" w:rsidRPr="00A26C68">
        <w:rPr>
          <w:rFonts w:ascii="Times New Roman" w:hAnsi="Times New Roman" w:cs="Times New Roman"/>
          <w:sz w:val="20"/>
          <w:szCs w:val="28"/>
          <w:lang w:bidi="ar-EG"/>
        </w:rPr>
        <w:t>102.1</w:t>
      </w:r>
      <w:r w:rsidR="00486374" w:rsidRPr="00A26C68">
        <w:rPr>
          <w:rFonts w:ascii="Times New Roman" w:hAnsi="Times New Roman" w:cs="Times New Roman"/>
          <w:sz w:val="20"/>
          <w:szCs w:val="28"/>
        </w:rPr>
        <w:t>x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486374" w:rsidRPr="00A26C68">
        <w:rPr>
          <w:rFonts w:ascii="Times New Roman" w:hAnsi="Times New Roman" w:cs="Times New Roman"/>
          <w:sz w:val="20"/>
          <w:szCs w:val="28"/>
        </w:rPr>
        <w:t>+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486374" w:rsidRPr="00A26C68">
        <w:rPr>
          <w:rFonts w:ascii="Times New Roman" w:hAnsi="Times New Roman" w:cs="Times New Roman"/>
          <w:sz w:val="20"/>
          <w:szCs w:val="28"/>
          <w:lang w:bidi="ar-EG"/>
        </w:rPr>
        <w:t>8.9445</w:t>
      </w:r>
      <w:r w:rsidR="00EE1BB5" w:rsidRPr="00A26C68">
        <w:rPr>
          <w:rFonts w:ascii="Times New Roman" w:hAnsi="Times New Roman" w:cs="Times New Roman"/>
          <w:sz w:val="20"/>
          <w:szCs w:val="28"/>
          <w:lang w:bidi="ar-EG"/>
        </w:rPr>
        <w:t>.</w:t>
      </w:r>
    </w:p>
    <w:p w:rsid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C91188" w:rsidRPr="00A26C68" w:rsidRDefault="00C91188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Table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(1):</w:t>
      </w:r>
      <w:r w:rsidR="00A26C68" w:rsidRPr="00A26C68">
        <w:rPr>
          <w:rFonts w:ascii="Times New Roman" w:hAnsi="Times New Roman" w:cs="Times New Roman"/>
          <w:b/>
          <w:bCs/>
          <w:noProof/>
          <w:sz w:val="20"/>
          <w:szCs w:val="28"/>
          <w:lang w:val="en-GB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concentrations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316C9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316C9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316C9" w:rsidRPr="00A26C68">
        <w:rPr>
          <w:rFonts w:ascii="Times New Roman" w:hAnsi="Times New Roman" w:cs="Times New Roman"/>
          <w:sz w:val="20"/>
          <w:szCs w:val="28"/>
        </w:rPr>
        <w:t>(µg/</w:t>
      </w:r>
      <w:r w:rsidRPr="00A26C68">
        <w:rPr>
          <w:rFonts w:ascii="Times New Roman" w:hAnsi="Times New Roman" w:cs="Times New Roman"/>
          <w:sz w:val="20"/>
          <w:szCs w:val="28"/>
        </w:rPr>
        <w:t>m</w:t>
      </w:r>
      <w:r w:rsidR="001316C9" w:rsidRPr="00A26C68">
        <w:rPr>
          <w:rFonts w:ascii="Times New Roman" w:hAnsi="Times New Roman" w:cs="Times New Roman"/>
          <w:sz w:val="20"/>
          <w:szCs w:val="28"/>
        </w:rPr>
        <w:t>l</w:t>
      </w:r>
      <w:r w:rsidRPr="00A26C68">
        <w:rPr>
          <w:rFonts w:ascii="Times New Roman" w:hAnsi="Times New Roman" w:cs="Times New Roman"/>
          <w:sz w:val="20"/>
          <w:szCs w:val="28"/>
        </w:rPr>
        <w:t>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their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corresponding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peak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response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automatically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using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HPLC.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771"/>
        <w:gridCol w:w="2478"/>
        <w:gridCol w:w="1270"/>
      </w:tblGrid>
      <w:tr w:rsidR="00A26C68" w:rsidRPr="00A26C68" w:rsidTr="00A26C68">
        <w:trPr>
          <w:jc w:val="center"/>
        </w:trPr>
        <w:tc>
          <w:tcPr>
            <w:tcW w:w="853" w:type="pct"/>
            <w:vAlign w:val="center"/>
          </w:tcPr>
          <w:p w:rsidR="003108A2" w:rsidRPr="00A26C68" w:rsidRDefault="003108A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RT</w:t>
            </w:r>
          </w:p>
        </w:tc>
        <w:tc>
          <w:tcPr>
            <w:tcW w:w="2742" w:type="pct"/>
            <w:vAlign w:val="center"/>
          </w:tcPr>
          <w:p w:rsidR="003108A2" w:rsidRPr="00A26C68" w:rsidRDefault="003108A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Amount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(µg/ml)</w:t>
            </w:r>
          </w:p>
        </w:tc>
        <w:tc>
          <w:tcPr>
            <w:tcW w:w="1405" w:type="pct"/>
            <w:vAlign w:val="center"/>
          </w:tcPr>
          <w:p w:rsidR="003108A2" w:rsidRPr="00A26C68" w:rsidRDefault="003108A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Area</w:t>
            </w:r>
          </w:p>
        </w:tc>
      </w:tr>
      <w:tr w:rsidR="00A26C68" w:rsidRPr="00A26C68" w:rsidTr="00A26C68">
        <w:trPr>
          <w:jc w:val="center"/>
        </w:trPr>
        <w:tc>
          <w:tcPr>
            <w:tcW w:w="853" w:type="pct"/>
            <w:vMerge w:val="restar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7.89</w:t>
            </w:r>
          </w:p>
        </w:tc>
        <w:tc>
          <w:tcPr>
            <w:tcW w:w="2742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0.5</w:t>
            </w:r>
          </w:p>
        </w:tc>
        <w:tc>
          <w:tcPr>
            <w:tcW w:w="1405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62.5</w:t>
            </w:r>
          </w:p>
        </w:tc>
      </w:tr>
      <w:tr w:rsidR="00A26C68" w:rsidRPr="00A26C68" w:rsidTr="00A26C68">
        <w:trPr>
          <w:jc w:val="center"/>
        </w:trPr>
        <w:tc>
          <w:tcPr>
            <w:tcW w:w="853" w:type="pct"/>
            <w:vMerge/>
            <w:vAlign w:val="center"/>
          </w:tcPr>
          <w:p w:rsidR="003108A2" w:rsidRPr="00A26C68" w:rsidRDefault="003108A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742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1405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125.66</w:t>
            </w:r>
          </w:p>
        </w:tc>
      </w:tr>
      <w:tr w:rsidR="00A26C68" w:rsidRPr="00A26C68" w:rsidTr="00A26C68">
        <w:trPr>
          <w:jc w:val="center"/>
        </w:trPr>
        <w:tc>
          <w:tcPr>
            <w:tcW w:w="853" w:type="pct"/>
            <w:vMerge/>
            <w:vAlign w:val="center"/>
          </w:tcPr>
          <w:p w:rsidR="003108A2" w:rsidRPr="00A26C68" w:rsidRDefault="003108A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742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</w:t>
            </w:r>
          </w:p>
        </w:tc>
        <w:tc>
          <w:tcPr>
            <w:tcW w:w="1405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251.16</w:t>
            </w:r>
          </w:p>
        </w:tc>
      </w:tr>
      <w:tr w:rsidR="00A26C68" w:rsidRPr="00A26C68" w:rsidTr="00A26C68">
        <w:trPr>
          <w:jc w:val="center"/>
        </w:trPr>
        <w:tc>
          <w:tcPr>
            <w:tcW w:w="853" w:type="pct"/>
            <w:vMerge/>
            <w:vAlign w:val="center"/>
          </w:tcPr>
          <w:p w:rsidR="003108A2" w:rsidRPr="00A26C68" w:rsidRDefault="003108A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742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5</w:t>
            </w:r>
          </w:p>
        </w:tc>
        <w:tc>
          <w:tcPr>
            <w:tcW w:w="1405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625.67</w:t>
            </w:r>
          </w:p>
        </w:tc>
      </w:tr>
      <w:tr w:rsidR="00A26C68" w:rsidRPr="00A26C68" w:rsidTr="00A26C68">
        <w:trPr>
          <w:jc w:val="center"/>
        </w:trPr>
        <w:tc>
          <w:tcPr>
            <w:tcW w:w="853" w:type="pct"/>
            <w:vMerge/>
            <w:vAlign w:val="center"/>
          </w:tcPr>
          <w:p w:rsidR="003108A2" w:rsidRPr="00A26C68" w:rsidRDefault="003108A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742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</w:t>
            </w:r>
          </w:p>
        </w:tc>
        <w:tc>
          <w:tcPr>
            <w:tcW w:w="1405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1265.88</w:t>
            </w:r>
          </w:p>
        </w:tc>
      </w:tr>
      <w:tr w:rsidR="00A26C68" w:rsidRPr="00A26C68" w:rsidTr="00A26C68">
        <w:trPr>
          <w:jc w:val="center"/>
        </w:trPr>
        <w:tc>
          <w:tcPr>
            <w:tcW w:w="853" w:type="pct"/>
            <w:vMerge/>
            <w:vAlign w:val="center"/>
          </w:tcPr>
          <w:p w:rsidR="003108A2" w:rsidRPr="00A26C68" w:rsidRDefault="003108A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742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20</w:t>
            </w:r>
          </w:p>
        </w:tc>
        <w:tc>
          <w:tcPr>
            <w:tcW w:w="1405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2574</w:t>
            </w:r>
          </w:p>
        </w:tc>
      </w:tr>
      <w:tr w:rsidR="00A26C68" w:rsidRPr="00A26C68" w:rsidTr="00A26C68">
        <w:trPr>
          <w:jc w:val="center"/>
        </w:trPr>
        <w:tc>
          <w:tcPr>
            <w:tcW w:w="853" w:type="pct"/>
            <w:vMerge/>
            <w:vAlign w:val="center"/>
          </w:tcPr>
          <w:p w:rsidR="003108A2" w:rsidRPr="00A26C68" w:rsidRDefault="003108A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742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50</w:t>
            </w:r>
          </w:p>
        </w:tc>
        <w:tc>
          <w:tcPr>
            <w:tcW w:w="1405" w:type="pct"/>
            <w:vAlign w:val="center"/>
          </w:tcPr>
          <w:p w:rsidR="003108A2" w:rsidRPr="00A26C68" w:rsidRDefault="003108A2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6299.6</w:t>
            </w:r>
          </w:p>
        </w:tc>
      </w:tr>
    </w:tbl>
    <w:p w:rsid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i/>
          <w:iCs/>
          <w:sz w:val="20"/>
          <w:szCs w:val="28"/>
          <w:lang w:eastAsia="zh-CN"/>
        </w:rPr>
      </w:pPr>
    </w:p>
    <w:p w:rsidR="00890794" w:rsidRPr="00A26C68" w:rsidRDefault="00890794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i/>
          <w:iCs/>
          <w:sz w:val="20"/>
          <w:szCs w:val="28"/>
          <w:lang w:eastAsia="zh-CN"/>
        </w:rPr>
        <w:sectPr w:rsidR="00890794" w:rsidRPr="00A26C68" w:rsidSect="0069645E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A26C68" w:rsidRPr="001348B4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</w:pPr>
    </w:p>
    <w:p w:rsidR="00C91188" w:rsidRPr="001348B4" w:rsidRDefault="00C91188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48B4">
        <w:rPr>
          <w:rFonts w:ascii="Times New Roman" w:hAnsi="Times New Roman" w:cs="Times New Roman"/>
          <w:b/>
          <w:bCs/>
          <w:iCs/>
          <w:sz w:val="20"/>
          <w:szCs w:val="20"/>
        </w:rPr>
        <w:t>Table</w:t>
      </w:r>
      <w:r w:rsidR="00A26C68" w:rsidRPr="001348B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1348B4">
        <w:rPr>
          <w:rFonts w:ascii="Times New Roman" w:hAnsi="Times New Roman" w:cs="Times New Roman"/>
          <w:b/>
          <w:bCs/>
          <w:iCs/>
          <w:sz w:val="20"/>
          <w:szCs w:val="20"/>
        </w:rPr>
        <w:t>(2):</w:t>
      </w:r>
      <w:r w:rsidR="00A26C68" w:rsidRPr="001348B4">
        <w:rPr>
          <w:rFonts w:ascii="Times New Roman" w:hAnsi="Times New Roman" w:cs="Times New Roman"/>
          <w:sz w:val="20"/>
          <w:szCs w:val="20"/>
        </w:rPr>
        <w:t xml:space="preserve"> </w:t>
      </w:r>
      <w:r w:rsidRPr="001348B4">
        <w:rPr>
          <w:rFonts w:ascii="Times New Roman" w:hAnsi="Times New Roman" w:cs="Times New Roman"/>
          <w:sz w:val="20"/>
          <w:szCs w:val="20"/>
        </w:rPr>
        <w:t>Assay</w:t>
      </w:r>
      <w:r w:rsidR="00A26C68" w:rsidRPr="001348B4">
        <w:rPr>
          <w:rFonts w:ascii="Times New Roman" w:hAnsi="Times New Roman" w:cs="Times New Roman"/>
          <w:sz w:val="20"/>
          <w:szCs w:val="20"/>
        </w:rPr>
        <w:t xml:space="preserve"> </w:t>
      </w:r>
      <w:r w:rsidRPr="001348B4">
        <w:rPr>
          <w:rFonts w:ascii="Times New Roman" w:hAnsi="Times New Roman" w:cs="Times New Roman"/>
          <w:sz w:val="20"/>
          <w:szCs w:val="20"/>
        </w:rPr>
        <w:t>validation</w:t>
      </w:r>
      <w:r w:rsidR="00A26C68" w:rsidRPr="001348B4">
        <w:rPr>
          <w:rFonts w:ascii="Times New Roman" w:hAnsi="Times New Roman" w:cs="Times New Roman"/>
          <w:sz w:val="20"/>
          <w:szCs w:val="20"/>
        </w:rPr>
        <w:t xml:space="preserve"> </w:t>
      </w:r>
      <w:r w:rsidRPr="001348B4">
        <w:rPr>
          <w:rFonts w:ascii="Times New Roman" w:hAnsi="Times New Roman" w:cs="Times New Roman"/>
          <w:sz w:val="20"/>
          <w:szCs w:val="20"/>
        </w:rPr>
        <w:t>sheet</w:t>
      </w:r>
      <w:r w:rsidR="00A26C68" w:rsidRPr="001348B4">
        <w:rPr>
          <w:rFonts w:ascii="Times New Roman" w:hAnsi="Times New Roman" w:cs="Times New Roman"/>
          <w:sz w:val="20"/>
          <w:szCs w:val="20"/>
        </w:rPr>
        <w:t xml:space="preserve"> </w:t>
      </w:r>
      <w:r w:rsidR="00FC2875" w:rsidRPr="001348B4">
        <w:rPr>
          <w:rFonts w:ascii="Times New Roman" w:hAnsi="Times New Roman" w:cs="Times New Roman"/>
          <w:sz w:val="20"/>
          <w:szCs w:val="20"/>
        </w:rPr>
        <w:t>for</w:t>
      </w:r>
      <w:r w:rsidR="00A26C68" w:rsidRPr="001348B4">
        <w:rPr>
          <w:rFonts w:ascii="Times New Roman" w:hAnsi="Times New Roman" w:cs="Times New Roman"/>
          <w:sz w:val="20"/>
          <w:szCs w:val="20"/>
        </w:rPr>
        <w:t xml:space="preserve"> </w:t>
      </w:r>
      <w:r w:rsidR="00FC2875" w:rsidRPr="001348B4">
        <w:rPr>
          <w:rFonts w:ascii="Times New Roman" w:hAnsi="Times New Roman" w:cs="Times New Roman"/>
          <w:sz w:val="20"/>
          <w:szCs w:val="20"/>
        </w:rPr>
        <w:t>ceftiofur</w:t>
      </w:r>
      <w:r w:rsidR="00A26C68" w:rsidRPr="001348B4">
        <w:rPr>
          <w:rFonts w:ascii="Times New Roman" w:hAnsi="Times New Roman" w:cs="Times New Roman"/>
          <w:sz w:val="20"/>
          <w:szCs w:val="20"/>
        </w:rPr>
        <w:t xml:space="preserve"> </w:t>
      </w:r>
      <w:r w:rsidR="00FC2875" w:rsidRPr="001348B4">
        <w:rPr>
          <w:rFonts w:ascii="Times New Roman" w:hAnsi="Times New Roman" w:cs="Times New Roman"/>
          <w:sz w:val="20"/>
          <w:szCs w:val="20"/>
        </w:rPr>
        <w:t>hydrochloride</w:t>
      </w:r>
      <w:r w:rsidRPr="001348B4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136"/>
        <w:gridCol w:w="5338"/>
      </w:tblGrid>
      <w:tr w:rsidR="00C91188" w:rsidRPr="001348B4" w:rsidTr="00A26C68">
        <w:trPr>
          <w:jc w:val="center"/>
        </w:trPr>
        <w:tc>
          <w:tcPr>
            <w:tcW w:w="2183" w:type="pct"/>
            <w:vAlign w:val="center"/>
          </w:tcPr>
          <w:p w:rsidR="00C91188" w:rsidRPr="001348B4" w:rsidRDefault="00C9118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1348B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Parameters</w:t>
            </w:r>
          </w:p>
        </w:tc>
        <w:tc>
          <w:tcPr>
            <w:tcW w:w="2817" w:type="pct"/>
            <w:vAlign w:val="center"/>
          </w:tcPr>
          <w:p w:rsidR="00C91188" w:rsidRPr="001348B4" w:rsidRDefault="00C9118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1348B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Value</w:t>
            </w:r>
          </w:p>
        </w:tc>
      </w:tr>
      <w:tr w:rsidR="00C91188" w:rsidRPr="001348B4" w:rsidTr="00A26C68">
        <w:trPr>
          <w:jc w:val="center"/>
        </w:trPr>
        <w:tc>
          <w:tcPr>
            <w:tcW w:w="2183" w:type="pct"/>
            <w:vAlign w:val="center"/>
          </w:tcPr>
          <w:p w:rsidR="00C91188" w:rsidRPr="001348B4" w:rsidRDefault="00C9118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Linearity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range</w:t>
            </w:r>
          </w:p>
        </w:tc>
        <w:tc>
          <w:tcPr>
            <w:tcW w:w="2817" w:type="pct"/>
            <w:vAlign w:val="center"/>
          </w:tcPr>
          <w:p w:rsidR="00C91188" w:rsidRPr="001348B4" w:rsidRDefault="00C9118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0.5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˗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="000F0735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5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0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µg/ml</w:t>
            </w:r>
          </w:p>
        </w:tc>
      </w:tr>
      <w:tr w:rsidR="00C91188" w:rsidRPr="001348B4" w:rsidTr="00A26C68">
        <w:trPr>
          <w:jc w:val="center"/>
        </w:trPr>
        <w:tc>
          <w:tcPr>
            <w:tcW w:w="2183" w:type="pct"/>
            <w:vAlign w:val="center"/>
          </w:tcPr>
          <w:p w:rsidR="00C91188" w:rsidRPr="001348B4" w:rsidRDefault="00C9118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ar-EG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Correlation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coefficient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(r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vertAlign w:val="superscript"/>
                <w:lang w:bidi="ar-EG"/>
              </w:rPr>
              <w:t>2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)</w:t>
            </w:r>
          </w:p>
        </w:tc>
        <w:tc>
          <w:tcPr>
            <w:tcW w:w="2817" w:type="pct"/>
            <w:vAlign w:val="center"/>
          </w:tcPr>
          <w:p w:rsidR="00C91188" w:rsidRPr="001348B4" w:rsidRDefault="00C9118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0.999</w:t>
            </w:r>
            <w:r w:rsidR="006B4950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9</w:t>
            </w:r>
          </w:p>
        </w:tc>
      </w:tr>
      <w:tr w:rsidR="00C91188" w:rsidRPr="001348B4" w:rsidTr="00A26C68">
        <w:trPr>
          <w:jc w:val="center"/>
        </w:trPr>
        <w:tc>
          <w:tcPr>
            <w:tcW w:w="2183" w:type="pct"/>
            <w:vAlign w:val="center"/>
          </w:tcPr>
          <w:p w:rsidR="00C91188" w:rsidRPr="001348B4" w:rsidRDefault="00C9118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ar-EG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Slope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(a)</w:t>
            </w:r>
          </w:p>
        </w:tc>
        <w:tc>
          <w:tcPr>
            <w:tcW w:w="2817" w:type="pct"/>
            <w:vAlign w:val="center"/>
          </w:tcPr>
          <w:p w:rsidR="00C91188" w:rsidRPr="001348B4" w:rsidRDefault="006B4950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126</w:t>
            </w:r>
            <w:r w:rsidR="00C9118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.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22</w:t>
            </w:r>
          </w:p>
        </w:tc>
      </w:tr>
      <w:tr w:rsidR="00C91188" w:rsidRPr="001348B4" w:rsidTr="00A26C68">
        <w:trPr>
          <w:jc w:val="center"/>
        </w:trPr>
        <w:tc>
          <w:tcPr>
            <w:tcW w:w="2183" w:type="pct"/>
            <w:vAlign w:val="center"/>
          </w:tcPr>
          <w:p w:rsidR="00C91188" w:rsidRPr="001348B4" w:rsidRDefault="00C9118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Intercept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(b)</w:t>
            </w:r>
          </w:p>
        </w:tc>
        <w:tc>
          <w:tcPr>
            <w:tcW w:w="2817" w:type="pct"/>
            <w:vAlign w:val="center"/>
          </w:tcPr>
          <w:p w:rsidR="00C91188" w:rsidRPr="001348B4" w:rsidRDefault="006B4950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4.8679</w:t>
            </w:r>
          </w:p>
        </w:tc>
      </w:tr>
      <w:tr w:rsidR="00C91188" w:rsidRPr="001348B4" w:rsidTr="00A26C68">
        <w:trPr>
          <w:jc w:val="center"/>
        </w:trPr>
        <w:tc>
          <w:tcPr>
            <w:tcW w:w="2183" w:type="pct"/>
            <w:vAlign w:val="center"/>
          </w:tcPr>
          <w:p w:rsidR="00C91188" w:rsidRPr="001348B4" w:rsidRDefault="00C9118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Regression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equation</w:t>
            </w:r>
          </w:p>
        </w:tc>
        <w:tc>
          <w:tcPr>
            <w:tcW w:w="2817" w:type="pct"/>
            <w:vAlign w:val="center"/>
          </w:tcPr>
          <w:p w:rsidR="00C91188" w:rsidRPr="001348B4" w:rsidRDefault="005A7513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Area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=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126.22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="00C9118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×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="00C9118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Amount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="00C9118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+</w:t>
            </w:r>
            <w:r w:rsidR="00A26C68"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 xml:space="preserve"> </w:t>
            </w:r>
            <w:r w:rsidRPr="001348B4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4.8679</w:t>
            </w:r>
          </w:p>
        </w:tc>
      </w:tr>
    </w:tbl>
    <w:p w:rsidR="001348B4" w:rsidRPr="001348B4" w:rsidRDefault="001348B4" w:rsidP="001348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8B4">
        <w:rPr>
          <w:rFonts w:ascii="Times New Roman" w:hAnsi="Times New Roman" w:cs="Times New Roman"/>
          <w:b/>
          <w:bCs/>
          <w:sz w:val="20"/>
          <w:szCs w:val="20"/>
        </w:rPr>
        <w:t>Table (3):</w:t>
      </w:r>
      <w:r w:rsidRPr="001348B4">
        <w:rPr>
          <w:rFonts w:ascii="Times New Roman" w:hAnsi="Times New Roman" w:cs="Times New Roman"/>
          <w:b/>
          <w:bCs/>
          <w:noProof/>
          <w:sz w:val="20"/>
          <w:szCs w:val="20"/>
          <w:lang w:val="en-GB"/>
        </w:rPr>
        <w:t xml:space="preserve"> </w:t>
      </w:r>
      <w:r w:rsidRPr="001348B4">
        <w:rPr>
          <w:rFonts w:ascii="Times New Roman" w:hAnsi="Times New Roman" w:cs="Times New Roman"/>
          <w:sz w:val="20"/>
          <w:szCs w:val="20"/>
        </w:rPr>
        <w:t>The concentrations of ceftiofur sodium (µg/ml) and their corresponding peak response automatically using HPLC.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374"/>
        <w:gridCol w:w="1720"/>
        <w:gridCol w:w="4415"/>
        <w:gridCol w:w="1965"/>
      </w:tblGrid>
      <w:tr w:rsidR="001348B4" w:rsidRPr="001348B4" w:rsidTr="0023054D">
        <w:trPr>
          <w:jc w:val="center"/>
        </w:trPr>
        <w:tc>
          <w:tcPr>
            <w:tcW w:w="725" w:type="pct"/>
            <w:vAlign w:val="center"/>
          </w:tcPr>
          <w:p w:rsidR="001348B4" w:rsidRPr="001348B4" w:rsidRDefault="001348B4" w:rsidP="0023054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RT</w:t>
            </w:r>
          </w:p>
        </w:tc>
        <w:tc>
          <w:tcPr>
            <w:tcW w:w="908" w:type="pct"/>
            <w:vAlign w:val="center"/>
          </w:tcPr>
          <w:p w:rsidR="001348B4" w:rsidRPr="001348B4" w:rsidRDefault="001348B4" w:rsidP="0023054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2330" w:type="pct"/>
            <w:vAlign w:val="center"/>
          </w:tcPr>
          <w:p w:rsidR="001348B4" w:rsidRPr="001348B4" w:rsidRDefault="001348B4" w:rsidP="0023054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Amount (µg/ml)</w:t>
            </w:r>
          </w:p>
        </w:tc>
        <w:tc>
          <w:tcPr>
            <w:tcW w:w="1038" w:type="pct"/>
            <w:vAlign w:val="center"/>
          </w:tcPr>
          <w:p w:rsidR="001348B4" w:rsidRPr="001348B4" w:rsidRDefault="001348B4" w:rsidP="0023054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</w:t>
            </w:r>
          </w:p>
        </w:tc>
      </w:tr>
      <w:tr w:rsidR="001348B4" w:rsidRPr="001348B4" w:rsidTr="0023054D">
        <w:trPr>
          <w:jc w:val="center"/>
        </w:trPr>
        <w:tc>
          <w:tcPr>
            <w:tcW w:w="725" w:type="pct"/>
            <w:vMerge w:val="restar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7.89</w:t>
            </w:r>
          </w:p>
        </w:tc>
        <w:tc>
          <w:tcPr>
            <w:tcW w:w="90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0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3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52.304</w:t>
            </w:r>
          </w:p>
        </w:tc>
      </w:tr>
      <w:tr w:rsidR="001348B4" w:rsidRPr="001348B4" w:rsidTr="0023054D">
        <w:trPr>
          <w:jc w:val="center"/>
        </w:trPr>
        <w:tc>
          <w:tcPr>
            <w:tcW w:w="725" w:type="pct"/>
            <w:vMerge/>
            <w:vAlign w:val="center"/>
          </w:tcPr>
          <w:p w:rsidR="001348B4" w:rsidRPr="001348B4" w:rsidRDefault="001348B4" w:rsidP="0023054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0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97.612</w:t>
            </w:r>
          </w:p>
        </w:tc>
      </w:tr>
      <w:tr w:rsidR="001348B4" w:rsidRPr="001348B4" w:rsidTr="0023054D">
        <w:trPr>
          <w:jc w:val="center"/>
        </w:trPr>
        <w:tc>
          <w:tcPr>
            <w:tcW w:w="725" w:type="pct"/>
            <w:vMerge/>
            <w:vAlign w:val="center"/>
          </w:tcPr>
          <w:p w:rsidR="001348B4" w:rsidRPr="001348B4" w:rsidRDefault="001348B4" w:rsidP="0023054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30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193.57</w:t>
            </w:r>
          </w:p>
        </w:tc>
      </w:tr>
      <w:tr w:rsidR="001348B4" w:rsidRPr="001348B4" w:rsidTr="0023054D">
        <w:trPr>
          <w:jc w:val="center"/>
        </w:trPr>
        <w:tc>
          <w:tcPr>
            <w:tcW w:w="725" w:type="pct"/>
            <w:vMerge/>
            <w:vAlign w:val="center"/>
          </w:tcPr>
          <w:p w:rsidR="001348B4" w:rsidRPr="001348B4" w:rsidRDefault="001348B4" w:rsidP="0023054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30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520.28</w:t>
            </w:r>
          </w:p>
        </w:tc>
      </w:tr>
      <w:tr w:rsidR="001348B4" w:rsidRPr="001348B4" w:rsidTr="0023054D">
        <w:trPr>
          <w:jc w:val="center"/>
        </w:trPr>
        <w:tc>
          <w:tcPr>
            <w:tcW w:w="725" w:type="pct"/>
            <w:vMerge/>
            <w:vAlign w:val="center"/>
          </w:tcPr>
          <w:p w:rsidR="001348B4" w:rsidRPr="001348B4" w:rsidRDefault="001348B4" w:rsidP="0023054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30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1007.8</w:t>
            </w:r>
          </w:p>
        </w:tc>
      </w:tr>
      <w:tr w:rsidR="001348B4" w:rsidRPr="001348B4" w:rsidTr="0023054D">
        <w:trPr>
          <w:jc w:val="center"/>
        </w:trPr>
        <w:tc>
          <w:tcPr>
            <w:tcW w:w="725" w:type="pct"/>
            <w:vMerge/>
            <w:vAlign w:val="center"/>
          </w:tcPr>
          <w:p w:rsidR="001348B4" w:rsidRPr="001348B4" w:rsidRDefault="001348B4" w:rsidP="0023054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30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1989.3</w:t>
            </w:r>
          </w:p>
        </w:tc>
      </w:tr>
      <w:tr w:rsidR="001348B4" w:rsidRPr="001348B4" w:rsidTr="0023054D">
        <w:trPr>
          <w:jc w:val="center"/>
        </w:trPr>
        <w:tc>
          <w:tcPr>
            <w:tcW w:w="725" w:type="pct"/>
            <w:vMerge/>
            <w:vAlign w:val="center"/>
          </w:tcPr>
          <w:p w:rsidR="001348B4" w:rsidRPr="001348B4" w:rsidRDefault="001348B4" w:rsidP="0023054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30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38" w:type="pct"/>
            <w:vAlign w:val="center"/>
          </w:tcPr>
          <w:p w:rsidR="001348B4" w:rsidRPr="001348B4" w:rsidRDefault="001348B4" w:rsidP="0023054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4">
              <w:rPr>
                <w:rFonts w:ascii="Times New Roman" w:hAnsi="Times New Roman" w:cs="Times New Roman"/>
                <w:sz w:val="18"/>
                <w:szCs w:val="18"/>
              </w:rPr>
              <w:t>5112.5</w:t>
            </w:r>
          </w:p>
        </w:tc>
      </w:tr>
    </w:tbl>
    <w:p w:rsidR="001348B4" w:rsidRPr="001348B4" w:rsidRDefault="001348B4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eastAsia="zh-CN"/>
        </w:rPr>
      </w:pPr>
    </w:p>
    <w:p w:rsidR="001348B4" w:rsidRDefault="001348B4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8"/>
          <w:lang w:eastAsia="zh-CN"/>
        </w:rPr>
      </w:pPr>
    </w:p>
    <w:p w:rsidR="00A84963" w:rsidRPr="00A26C68" w:rsidRDefault="00B1715E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8"/>
        </w:rPr>
      </w:pPr>
      <w:r w:rsidRPr="00A26C68">
        <w:rPr>
          <w:rFonts w:ascii="Times New Roman" w:hAnsi="Times New Roman" w:cs="Times New Roman"/>
          <w:i/>
          <w:iCs/>
          <w:noProof/>
          <w:sz w:val="20"/>
          <w:szCs w:val="28"/>
          <w:lang w:eastAsia="zh-CN"/>
        </w:rPr>
        <w:drawing>
          <wp:inline distT="0" distB="0" distL="0" distR="0">
            <wp:extent cx="4282605" cy="2608028"/>
            <wp:effectExtent l="19050" t="0" r="22695" b="1822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94639" w:rsidRDefault="00994639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Fig</w:t>
      </w:r>
      <w:r w:rsidR="009767DB" w:rsidRPr="00A26C68">
        <w:rPr>
          <w:rFonts w:ascii="Times New Roman" w:hAnsi="Times New Roman" w:cs="Times New Roman"/>
          <w:b/>
          <w:bCs/>
          <w:sz w:val="20"/>
          <w:szCs w:val="28"/>
        </w:rPr>
        <w:t>ure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(2)</w:t>
      </w:r>
      <w:r w:rsidR="00A26C68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curve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hydrochloride</w:t>
      </w:r>
    </w:p>
    <w:p w:rsid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8D2BDA" w:rsidRPr="00A26C68" w:rsidRDefault="008D2BDA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Table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(</w:t>
      </w:r>
      <w:r w:rsidR="00247FBC" w:rsidRPr="00A26C68">
        <w:rPr>
          <w:rFonts w:ascii="Times New Roman" w:hAnsi="Times New Roman" w:cs="Times New Roman"/>
          <w:b/>
          <w:bCs/>
          <w:sz w:val="20"/>
          <w:szCs w:val="28"/>
        </w:rPr>
        <w:t>4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):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Assay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validation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sheet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74ED9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74ED9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74ED9" w:rsidRPr="00A26C68">
        <w:rPr>
          <w:rFonts w:ascii="Times New Roman" w:hAnsi="Times New Roman" w:cs="Times New Roman"/>
          <w:sz w:val="20"/>
          <w:szCs w:val="28"/>
        </w:rPr>
        <w:t>sodium</w:t>
      </w:r>
      <w:r w:rsidRPr="00A26C68">
        <w:rPr>
          <w:rFonts w:ascii="Times New Roman" w:hAnsi="Times New Roman" w:cs="Times New Roman"/>
          <w:sz w:val="20"/>
          <w:szCs w:val="28"/>
        </w:rPr>
        <w:t>.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218"/>
        <w:gridCol w:w="5256"/>
      </w:tblGrid>
      <w:tr w:rsidR="008D2BDA" w:rsidRPr="00A26C68" w:rsidTr="00A26C68">
        <w:trPr>
          <w:jc w:val="center"/>
        </w:trPr>
        <w:tc>
          <w:tcPr>
            <w:tcW w:w="2226" w:type="pct"/>
            <w:vAlign w:val="center"/>
          </w:tcPr>
          <w:p w:rsidR="008D2BDA" w:rsidRPr="00A26C68" w:rsidRDefault="008D2BDA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lang w:bidi="ar-EG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8"/>
                <w:lang w:bidi="ar-EG"/>
              </w:rPr>
              <w:t>Parameters</w:t>
            </w:r>
          </w:p>
        </w:tc>
        <w:tc>
          <w:tcPr>
            <w:tcW w:w="2774" w:type="pct"/>
            <w:vAlign w:val="center"/>
          </w:tcPr>
          <w:p w:rsidR="008D2BDA" w:rsidRPr="00A26C68" w:rsidRDefault="008D2BDA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lang w:bidi="ar-EG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8"/>
                <w:lang w:bidi="ar-EG"/>
              </w:rPr>
              <w:t>Value</w:t>
            </w:r>
          </w:p>
        </w:tc>
      </w:tr>
      <w:tr w:rsidR="008D2BDA" w:rsidRPr="00A26C68" w:rsidTr="00A26C68">
        <w:trPr>
          <w:jc w:val="center"/>
        </w:trPr>
        <w:tc>
          <w:tcPr>
            <w:tcW w:w="2226" w:type="pct"/>
            <w:vAlign w:val="center"/>
          </w:tcPr>
          <w:p w:rsidR="008D2BDA" w:rsidRPr="00A26C68" w:rsidRDefault="008D2BDA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  <w:lang w:bidi="ar-EG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Linearity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range</w:t>
            </w:r>
          </w:p>
        </w:tc>
        <w:tc>
          <w:tcPr>
            <w:tcW w:w="2774" w:type="pct"/>
            <w:vAlign w:val="center"/>
          </w:tcPr>
          <w:p w:rsidR="008D2BDA" w:rsidRPr="00A26C68" w:rsidRDefault="008D2BDA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  <w:lang w:bidi="ar-EG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0.5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˗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50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µg/ml</w:t>
            </w:r>
          </w:p>
        </w:tc>
      </w:tr>
      <w:tr w:rsidR="008D2BDA" w:rsidRPr="00A26C68" w:rsidTr="00A26C68">
        <w:trPr>
          <w:jc w:val="center"/>
        </w:trPr>
        <w:tc>
          <w:tcPr>
            <w:tcW w:w="2226" w:type="pct"/>
            <w:vAlign w:val="center"/>
          </w:tcPr>
          <w:p w:rsidR="008D2BDA" w:rsidRPr="00A26C68" w:rsidRDefault="008D2BDA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u w:val="single"/>
                <w:lang w:bidi="ar-EG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Correlation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coefficient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(r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vertAlign w:val="superscript"/>
                <w:lang w:bidi="ar-EG"/>
              </w:rPr>
              <w:t>2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)</w:t>
            </w:r>
          </w:p>
        </w:tc>
        <w:tc>
          <w:tcPr>
            <w:tcW w:w="2774" w:type="pct"/>
            <w:vAlign w:val="center"/>
          </w:tcPr>
          <w:p w:rsidR="008D2BDA" w:rsidRPr="00A26C68" w:rsidRDefault="008D2BDA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  <w:lang w:bidi="ar-EG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0.9999</w:t>
            </w:r>
          </w:p>
        </w:tc>
      </w:tr>
      <w:tr w:rsidR="008D2BDA" w:rsidRPr="00A26C68" w:rsidTr="00A26C68">
        <w:trPr>
          <w:jc w:val="center"/>
        </w:trPr>
        <w:tc>
          <w:tcPr>
            <w:tcW w:w="2226" w:type="pct"/>
            <w:vAlign w:val="center"/>
          </w:tcPr>
          <w:p w:rsidR="008D2BDA" w:rsidRPr="00A26C68" w:rsidRDefault="008D2BDA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u w:val="single"/>
                <w:lang w:bidi="ar-EG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Slope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(a)</w:t>
            </w:r>
          </w:p>
        </w:tc>
        <w:tc>
          <w:tcPr>
            <w:tcW w:w="2774" w:type="pct"/>
            <w:vAlign w:val="center"/>
          </w:tcPr>
          <w:p w:rsidR="008D2BDA" w:rsidRPr="00A26C68" w:rsidRDefault="008D2BDA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  <w:lang w:bidi="ar-EG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1</w:t>
            </w:r>
            <w:r w:rsidR="00096101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02.1</w:t>
            </w:r>
          </w:p>
        </w:tc>
      </w:tr>
      <w:tr w:rsidR="008D2BDA" w:rsidRPr="00A26C68" w:rsidTr="00A26C68">
        <w:trPr>
          <w:jc w:val="center"/>
        </w:trPr>
        <w:tc>
          <w:tcPr>
            <w:tcW w:w="2226" w:type="pct"/>
            <w:vAlign w:val="center"/>
          </w:tcPr>
          <w:p w:rsidR="008D2BDA" w:rsidRPr="00A26C68" w:rsidRDefault="008D2BDA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  <w:lang w:bidi="ar-EG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Intercept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(b)</w:t>
            </w:r>
          </w:p>
        </w:tc>
        <w:tc>
          <w:tcPr>
            <w:tcW w:w="2774" w:type="pct"/>
            <w:vAlign w:val="center"/>
          </w:tcPr>
          <w:p w:rsidR="008D2BDA" w:rsidRPr="00A26C68" w:rsidRDefault="00096101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  <w:lang w:bidi="ar-EG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8.9445</w:t>
            </w:r>
          </w:p>
        </w:tc>
      </w:tr>
      <w:tr w:rsidR="008D2BDA" w:rsidRPr="00A26C68" w:rsidTr="00A26C68">
        <w:trPr>
          <w:jc w:val="center"/>
        </w:trPr>
        <w:tc>
          <w:tcPr>
            <w:tcW w:w="2226" w:type="pct"/>
            <w:vAlign w:val="center"/>
          </w:tcPr>
          <w:p w:rsidR="008D2BDA" w:rsidRPr="00A26C68" w:rsidRDefault="008D2BDA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  <w:lang w:bidi="ar-EG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Regression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equation</w:t>
            </w:r>
          </w:p>
        </w:tc>
        <w:tc>
          <w:tcPr>
            <w:tcW w:w="2774" w:type="pct"/>
            <w:vAlign w:val="center"/>
          </w:tcPr>
          <w:p w:rsidR="008D2BDA" w:rsidRPr="00A26C68" w:rsidRDefault="00B5377D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  <w:lang w:bidi="ar-EG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Area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=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102.1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="008D2BDA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×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="008D2BDA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Amount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="008D2BDA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+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  <w:lang w:bidi="ar-EG"/>
              </w:rPr>
              <w:t>8.9445</w:t>
            </w:r>
          </w:p>
        </w:tc>
      </w:tr>
    </w:tbl>
    <w:p w:rsid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/>
        </w:rPr>
      </w:pPr>
    </w:p>
    <w:p w:rsidR="008D2BDA" w:rsidRPr="00A26C68" w:rsidRDefault="00096101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i/>
          <w:iCs/>
          <w:noProof/>
          <w:sz w:val="20"/>
          <w:szCs w:val="28"/>
          <w:lang w:eastAsia="zh-CN"/>
        </w:rPr>
        <w:drawing>
          <wp:inline distT="0" distB="0" distL="0" distR="0">
            <wp:extent cx="4457534" cy="2615979"/>
            <wp:effectExtent l="19050" t="0" r="19216" b="0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D775C" w:rsidRPr="00A26C68" w:rsidRDefault="00BD775C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Fig</w:t>
      </w:r>
      <w:r w:rsidR="009767DB" w:rsidRPr="00A26C68">
        <w:rPr>
          <w:rFonts w:ascii="Times New Roman" w:hAnsi="Times New Roman" w:cs="Times New Roman"/>
          <w:b/>
          <w:bCs/>
          <w:sz w:val="20"/>
          <w:szCs w:val="28"/>
        </w:rPr>
        <w:t>ure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(</w:t>
      </w:r>
      <w:r w:rsidR="0041749A" w:rsidRPr="00A26C68">
        <w:rPr>
          <w:rFonts w:ascii="Times New Roman" w:hAnsi="Times New Roman" w:cs="Times New Roman"/>
          <w:b/>
          <w:bCs/>
          <w:sz w:val="20"/>
          <w:szCs w:val="28"/>
        </w:rPr>
        <w:t>3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)</w:t>
      </w:r>
      <w:r w:rsidR="00591660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>:</w:t>
      </w:r>
      <w:r w:rsidR="00A26C68" w:rsidRPr="00A26C68">
        <w:rPr>
          <w:rFonts w:ascii="Times New Roman" w:hAnsi="Times New Roman" w:cs="Times New Roman"/>
          <w:b/>
          <w:bCs/>
          <w:i/>
          <w:i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curve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1C5B" w:rsidRPr="00A26C68">
        <w:rPr>
          <w:rFonts w:ascii="Times New Roman" w:hAnsi="Times New Roman" w:cs="Times New Roman"/>
          <w:sz w:val="20"/>
          <w:szCs w:val="28"/>
        </w:rPr>
        <w:t>sodium</w:t>
      </w: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  <w:sectPr w:rsidR="00A26C68" w:rsidRPr="00A26C68" w:rsidSect="0069645E">
          <w:headerReference w:type="default" r:id="rId17"/>
          <w:footerReference w:type="default" r:id="rId18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410B7" w:rsidRPr="00A26C68" w:rsidRDefault="000410B7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lastRenderedPageBreak/>
        <w:t>Method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Precision:</w:t>
      </w:r>
    </w:p>
    <w:p w:rsidR="00074E5C" w:rsidRPr="00A26C68" w:rsidRDefault="00074E5C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repeatability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(intraday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precision)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calculated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RSD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assays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same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range.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RSD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0.</w:t>
      </w:r>
      <w:r w:rsidR="003108A2" w:rsidRPr="00A26C68">
        <w:rPr>
          <w:rFonts w:ascii="Times New Roman" w:hAnsi="Times New Roman" w:cs="Times New Roman"/>
          <w:sz w:val="20"/>
          <w:szCs w:val="28"/>
        </w:rPr>
        <w:t>03</w:t>
      </w:r>
      <w:r w:rsidRPr="00A26C68">
        <w:rPr>
          <w:rFonts w:ascii="Times New Roman" w:hAnsi="Times New Roman" w:cs="Times New Roman"/>
          <w:sz w:val="20"/>
          <w:szCs w:val="28"/>
        </w:rPr>
        <w:t>%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7CBC" w:rsidRPr="00A26C68">
        <w:rPr>
          <w:rFonts w:ascii="Times New Roman" w:hAnsi="Times New Roman" w:cs="Times New Roman"/>
          <w:sz w:val="20"/>
          <w:szCs w:val="28"/>
        </w:rPr>
        <w:t>0.</w:t>
      </w:r>
      <w:r w:rsidR="00C0243F" w:rsidRPr="00A26C68">
        <w:rPr>
          <w:rFonts w:ascii="Times New Roman" w:hAnsi="Times New Roman" w:cs="Times New Roman"/>
          <w:sz w:val="20"/>
          <w:szCs w:val="28"/>
        </w:rPr>
        <w:t>24</w:t>
      </w:r>
      <w:r w:rsidRPr="00A26C68">
        <w:rPr>
          <w:rFonts w:ascii="Times New Roman" w:hAnsi="Times New Roman" w:cs="Times New Roman"/>
          <w:sz w:val="20"/>
          <w:szCs w:val="28"/>
        </w:rPr>
        <w:t>%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sodium</w:t>
      </w:r>
      <w:r w:rsidRPr="00A26C68">
        <w:rPr>
          <w:rFonts w:ascii="Times New Roman" w:hAnsi="Times New Roman" w:cs="Times New Roman"/>
          <w:sz w:val="20"/>
          <w:szCs w:val="28"/>
        </w:rPr>
        <w:t>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experimental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results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obtained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lastRenderedPageBreak/>
        <w:t>from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determination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listed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Table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1.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24824" w:rsidRPr="00A26C68">
        <w:rPr>
          <w:rFonts w:ascii="Times New Roman" w:hAnsi="Times New Roman" w:cs="Times New Roman"/>
          <w:sz w:val="20"/>
          <w:szCs w:val="28"/>
        </w:rPr>
        <w:t>relative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24824"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24824" w:rsidRPr="00A26C68">
        <w:rPr>
          <w:rFonts w:ascii="Times New Roman" w:hAnsi="Times New Roman" w:cs="Times New Roman"/>
          <w:sz w:val="20"/>
          <w:szCs w:val="28"/>
        </w:rPr>
        <w:t>variation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(%)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intermediate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precision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determined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assay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samples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24824" w:rsidRPr="00A26C68">
        <w:rPr>
          <w:rFonts w:ascii="Times New Roman" w:hAnsi="Times New Roman" w:cs="Times New Roman"/>
          <w:sz w:val="20"/>
          <w:szCs w:val="28"/>
        </w:rPr>
        <w:t>six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different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days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0243F" w:rsidRPr="00A26C68">
        <w:rPr>
          <w:rFonts w:ascii="Times New Roman" w:hAnsi="Times New Roman" w:cs="Times New Roman"/>
          <w:sz w:val="20"/>
          <w:szCs w:val="28"/>
        </w:rPr>
        <w:t>0.2</w:t>
      </w:r>
      <w:r w:rsidR="0024031C" w:rsidRPr="00A26C68">
        <w:rPr>
          <w:rFonts w:ascii="Times New Roman" w:hAnsi="Times New Roman" w:cs="Times New Roman"/>
          <w:sz w:val="20"/>
          <w:szCs w:val="28"/>
        </w:rPr>
        <w:t>7</w:t>
      </w:r>
      <w:r w:rsidR="00A24824" w:rsidRPr="00A26C68">
        <w:rPr>
          <w:rFonts w:ascii="Times New Roman" w:hAnsi="Times New Roman" w:cs="Times New Roman"/>
          <w:sz w:val="20"/>
          <w:szCs w:val="28"/>
        </w:rPr>
        <w:t>%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24824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0243F" w:rsidRPr="00A26C68">
        <w:rPr>
          <w:rFonts w:ascii="Times New Roman" w:hAnsi="Times New Roman" w:cs="Times New Roman"/>
          <w:sz w:val="20"/>
          <w:szCs w:val="28"/>
        </w:rPr>
        <w:t>0.49</w:t>
      </w:r>
      <w:r w:rsidR="00A24824" w:rsidRPr="00A26C68">
        <w:rPr>
          <w:rFonts w:ascii="Times New Roman" w:hAnsi="Times New Roman" w:cs="Times New Roman"/>
          <w:sz w:val="20"/>
          <w:szCs w:val="28"/>
        </w:rPr>
        <w:t>%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B6F3D" w:rsidRPr="00A26C68">
        <w:rPr>
          <w:rFonts w:ascii="Times New Roman" w:hAnsi="Times New Roman" w:cs="Times New Roman"/>
          <w:sz w:val="20"/>
          <w:szCs w:val="28"/>
        </w:rPr>
        <w:t>sodium</w:t>
      </w:r>
      <w:r w:rsidRPr="00A26C68">
        <w:rPr>
          <w:rFonts w:ascii="Times New Roman" w:hAnsi="Times New Roman" w:cs="Times New Roman"/>
          <w:sz w:val="20"/>
          <w:szCs w:val="28"/>
        </w:rPr>
        <w:t>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respectively.</w:t>
      </w: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  <w:sectPr w:rsidR="00A26C68" w:rsidRPr="00A26C68" w:rsidSect="0069645E">
          <w:headerReference w:type="default" r:id="rId19"/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35BF9" w:rsidRDefault="00035BF9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/>
        </w:rPr>
      </w:pPr>
    </w:p>
    <w:p w:rsidR="001348B4" w:rsidRDefault="001348B4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/>
        </w:rPr>
      </w:pPr>
    </w:p>
    <w:p w:rsidR="001F07B0" w:rsidRPr="00A26C68" w:rsidRDefault="001F07B0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Table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</w:t>
      </w:r>
      <w:r w:rsidR="005A7006" w:rsidRPr="00A26C68">
        <w:rPr>
          <w:rFonts w:ascii="Times New Roman" w:hAnsi="Times New Roman" w:cs="Times New Roman"/>
          <w:sz w:val="20"/>
          <w:szCs w:val="28"/>
        </w:rPr>
        <w:t>5</w:t>
      </w:r>
      <w:r w:rsidRPr="00A26C68">
        <w:rPr>
          <w:rFonts w:ascii="Times New Roman" w:hAnsi="Times New Roman" w:cs="Times New Roman"/>
          <w:sz w:val="20"/>
          <w:szCs w:val="28"/>
        </w:rPr>
        <w:t>):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Intraday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interday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precision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01D3" w:rsidRPr="00A26C68">
        <w:rPr>
          <w:rFonts w:ascii="Times New Roman" w:hAnsi="Times New Roman" w:cs="Times New Roman"/>
          <w:sz w:val="20"/>
          <w:szCs w:val="28"/>
        </w:rPr>
        <w:t>data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01D3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01D3" w:rsidRPr="00A26C68">
        <w:rPr>
          <w:rFonts w:ascii="Times New Roman" w:hAnsi="Times New Roman" w:cs="Times New Roman"/>
          <w:sz w:val="20"/>
          <w:szCs w:val="28"/>
        </w:rPr>
        <w:t>estimation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01D3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73BFC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73BFC" w:rsidRPr="00A26C68">
        <w:rPr>
          <w:rFonts w:ascii="Times New Roman" w:hAnsi="Times New Roman" w:cs="Times New Roman"/>
          <w:sz w:val="20"/>
          <w:szCs w:val="28"/>
        </w:rPr>
        <w:t>hydrochloride</w:t>
      </w:r>
      <w:r w:rsidRPr="00A26C68">
        <w:rPr>
          <w:rFonts w:ascii="Times New Roman" w:hAnsi="Times New Roman" w:cs="Times New Roman"/>
          <w:sz w:val="20"/>
          <w:szCs w:val="28"/>
        </w:rPr>
        <w:t>.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050"/>
        <w:gridCol w:w="1559"/>
        <w:gridCol w:w="3479"/>
        <w:gridCol w:w="3386"/>
      </w:tblGrid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1F07B0" w:rsidRPr="00A26C68" w:rsidRDefault="001F07B0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Ser.</w:t>
            </w:r>
            <w:r w:rsidR="001348B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No.</w:t>
            </w:r>
          </w:p>
        </w:tc>
        <w:tc>
          <w:tcPr>
            <w:tcW w:w="823" w:type="pct"/>
            <w:vAlign w:val="center"/>
          </w:tcPr>
          <w:p w:rsidR="001F07B0" w:rsidRPr="00A26C68" w:rsidRDefault="001F07B0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Conc.</w:t>
            </w:r>
            <w:r w:rsidR="001348B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(µg/ml)</w:t>
            </w:r>
          </w:p>
        </w:tc>
        <w:tc>
          <w:tcPr>
            <w:tcW w:w="1836" w:type="pct"/>
            <w:vAlign w:val="center"/>
          </w:tcPr>
          <w:p w:rsidR="001F07B0" w:rsidRPr="00A26C68" w:rsidRDefault="001F07B0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Peaks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areas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in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the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same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day</w:t>
            </w:r>
          </w:p>
        </w:tc>
        <w:tc>
          <w:tcPr>
            <w:tcW w:w="1787" w:type="pct"/>
            <w:vAlign w:val="center"/>
          </w:tcPr>
          <w:p w:rsidR="001F07B0" w:rsidRPr="00A26C68" w:rsidRDefault="001F07B0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Peaks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areas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in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six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days</w:t>
            </w:r>
          </w:p>
        </w:tc>
      </w:tr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23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36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251.16</w:t>
            </w:r>
          </w:p>
        </w:tc>
        <w:tc>
          <w:tcPr>
            <w:tcW w:w="1787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251.16</w:t>
            </w:r>
          </w:p>
        </w:tc>
      </w:tr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23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36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251.11</w:t>
            </w:r>
          </w:p>
        </w:tc>
        <w:tc>
          <w:tcPr>
            <w:tcW w:w="1787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250.11</w:t>
            </w:r>
          </w:p>
        </w:tc>
      </w:tr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23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36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250.998</w:t>
            </w:r>
          </w:p>
        </w:tc>
        <w:tc>
          <w:tcPr>
            <w:tcW w:w="1787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250.998</w:t>
            </w:r>
          </w:p>
        </w:tc>
      </w:tr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23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36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251.12</w:t>
            </w:r>
          </w:p>
        </w:tc>
        <w:tc>
          <w:tcPr>
            <w:tcW w:w="1787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251.92</w:t>
            </w:r>
          </w:p>
        </w:tc>
      </w:tr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23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36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250.998</w:t>
            </w:r>
          </w:p>
        </w:tc>
        <w:tc>
          <w:tcPr>
            <w:tcW w:w="1787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250.998</w:t>
            </w:r>
          </w:p>
        </w:tc>
      </w:tr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823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36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251.14</w:t>
            </w:r>
          </w:p>
        </w:tc>
        <w:tc>
          <w:tcPr>
            <w:tcW w:w="1787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250.14</w:t>
            </w:r>
          </w:p>
        </w:tc>
      </w:tr>
      <w:tr w:rsidR="00A26C68" w:rsidRPr="00A26C68" w:rsidTr="001348B4">
        <w:trPr>
          <w:jc w:val="center"/>
        </w:trPr>
        <w:tc>
          <w:tcPr>
            <w:tcW w:w="1377" w:type="pct"/>
            <w:gridSpan w:val="2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Mean</w:t>
            </w:r>
          </w:p>
        </w:tc>
        <w:tc>
          <w:tcPr>
            <w:tcW w:w="1836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251.0877</w:t>
            </w:r>
          </w:p>
        </w:tc>
        <w:tc>
          <w:tcPr>
            <w:tcW w:w="1787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250.8877</w:t>
            </w:r>
          </w:p>
        </w:tc>
      </w:tr>
      <w:tr w:rsidR="00A26C68" w:rsidRPr="00A26C68" w:rsidTr="001348B4">
        <w:trPr>
          <w:jc w:val="center"/>
        </w:trPr>
        <w:tc>
          <w:tcPr>
            <w:tcW w:w="1377" w:type="pct"/>
            <w:gridSpan w:val="2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SD</w:t>
            </w:r>
          </w:p>
        </w:tc>
        <w:tc>
          <w:tcPr>
            <w:tcW w:w="1836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0.071548</w:t>
            </w:r>
          </w:p>
        </w:tc>
        <w:tc>
          <w:tcPr>
            <w:tcW w:w="1787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0.682348</w:t>
            </w:r>
          </w:p>
        </w:tc>
      </w:tr>
      <w:tr w:rsidR="00A26C68" w:rsidRPr="00A26C68" w:rsidTr="001348B4">
        <w:trPr>
          <w:jc w:val="center"/>
        </w:trPr>
        <w:tc>
          <w:tcPr>
            <w:tcW w:w="1377" w:type="pct"/>
            <w:gridSpan w:val="2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RSD%</w:t>
            </w:r>
          </w:p>
        </w:tc>
        <w:tc>
          <w:tcPr>
            <w:tcW w:w="1836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0.028495</w:t>
            </w:r>
          </w:p>
        </w:tc>
        <w:tc>
          <w:tcPr>
            <w:tcW w:w="1787" w:type="pct"/>
            <w:vAlign w:val="center"/>
          </w:tcPr>
          <w:p w:rsidR="00CB3328" w:rsidRPr="00A26C68" w:rsidRDefault="00CB3328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0.271974</w:t>
            </w:r>
          </w:p>
        </w:tc>
      </w:tr>
    </w:tbl>
    <w:p w:rsidR="00035BF9" w:rsidRPr="00A26C68" w:rsidRDefault="00035BF9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/>
        </w:rPr>
      </w:pPr>
    </w:p>
    <w:p w:rsidR="00866922" w:rsidRPr="00A26C68" w:rsidRDefault="005A7006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Table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(6</w:t>
      </w:r>
      <w:r w:rsidR="00866922" w:rsidRPr="00A26C68">
        <w:rPr>
          <w:rFonts w:ascii="Times New Roman" w:hAnsi="Times New Roman" w:cs="Times New Roman"/>
          <w:sz w:val="20"/>
          <w:szCs w:val="28"/>
        </w:rPr>
        <w:t>):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66922" w:rsidRPr="00A26C68">
        <w:rPr>
          <w:rFonts w:ascii="Times New Roman" w:hAnsi="Times New Roman" w:cs="Times New Roman"/>
          <w:sz w:val="20"/>
          <w:szCs w:val="28"/>
        </w:rPr>
        <w:t>Intraday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66922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66922" w:rsidRPr="00A26C68">
        <w:rPr>
          <w:rFonts w:ascii="Times New Roman" w:hAnsi="Times New Roman" w:cs="Times New Roman"/>
          <w:sz w:val="20"/>
          <w:szCs w:val="28"/>
        </w:rPr>
        <w:t>interday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66922" w:rsidRPr="00A26C68">
        <w:rPr>
          <w:rFonts w:ascii="Times New Roman" w:hAnsi="Times New Roman" w:cs="Times New Roman"/>
          <w:sz w:val="20"/>
          <w:szCs w:val="28"/>
        </w:rPr>
        <w:t>precision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01D3" w:rsidRPr="00A26C68">
        <w:rPr>
          <w:rFonts w:ascii="Times New Roman" w:hAnsi="Times New Roman" w:cs="Times New Roman"/>
          <w:sz w:val="20"/>
          <w:szCs w:val="28"/>
        </w:rPr>
        <w:t>data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01D3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01D3" w:rsidRPr="00A26C68">
        <w:rPr>
          <w:rFonts w:ascii="Times New Roman" w:hAnsi="Times New Roman" w:cs="Times New Roman"/>
          <w:sz w:val="20"/>
          <w:szCs w:val="28"/>
        </w:rPr>
        <w:t>estimation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601D3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66922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66922" w:rsidRPr="00A26C68">
        <w:rPr>
          <w:rFonts w:ascii="Times New Roman" w:hAnsi="Times New Roman" w:cs="Times New Roman"/>
          <w:sz w:val="20"/>
          <w:szCs w:val="28"/>
        </w:rPr>
        <w:t>sodium.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050"/>
        <w:gridCol w:w="1275"/>
        <w:gridCol w:w="3763"/>
        <w:gridCol w:w="3386"/>
      </w:tblGrid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866922" w:rsidRPr="00A26C68" w:rsidRDefault="0086692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Ser.</w:t>
            </w:r>
            <w:r w:rsid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No.</w:t>
            </w:r>
          </w:p>
        </w:tc>
        <w:tc>
          <w:tcPr>
            <w:tcW w:w="673" w:type="pct"/>
            <w:vAlign w:val="center"/>
          </w:tcPr>
          <w:p w:rsidR="00866922" w:rsidRPr="00A26C68" w:rsidRDefault="0086692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Conc.</w:t>
            </w:r>
            <w:r w:rsid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(µg/ml)</w:t>
            </w:r>
          </w:p>
        </w:tc>
        <w:tc>
          <w:tcPr>
            <w:tcW w:w="1986" w:type="pct"/>
            <w:vAlign w:val="center"/>
          </w:tcPr>
          <w:p w:rsidR="00866922" w:rsidRPr="00A26C68" w:rsidRDefault="0086692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Peaks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areas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in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the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same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day</w:t>
            </w:r>
          </w:p>
        </w:tc>
        <w:tc>
          <w:tcPr>
            <w:tcW w:w="1787" w:type="pct"/>
            <w:vAlign w:val="center"/>
          </w:tcPr>
          <w:p w:rsidR="00866922" w:rsidRPr="00A26C68" w:rsidRDefault="0086692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Peaks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areas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in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six</w:t>
            </w:r>
            <w:r w:rsidR="00A26C68" w:rsidRPr="00A26C6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days</w:t>
            </w:r>
          </w:p>
        </w:tc>
      </w:tr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673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86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192.75</w:t>
            </w:r>
          </w:p>
        </w:tc>
        <w:tc>
          <w:tcPr>
            <w:tcW w:w="1787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193.75</w:t>
            </w:r>
          </w:p>
        </w:tc>
      </w:tr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673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86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192.62</w:t>
            </w:r>
          </w:p>
        </w:tc>
        <w:tc>
          <w:tcPr>
            <w:tcW w:w="1787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192.62</w:t>
            </w:r>
          </w:p>
        </w:tc>
      </w:tr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673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86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191.62</w:t>
            </w:r>
          </w:p>
        </w:tc>
        <w:tc>
          <w:tcPr>
            <w:tcW w:w="1787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191.62</w:t>
            </w:r>
          </w:p>
        </w:tc>
      </w:tr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673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86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192.55</w:t>
            </w:r>
          </w:p>
        </w:tc>
        <w:tc>
          <w:tcPr>
            <w:tcW w:w="1787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191.55</w:t>
            </w:r>
          </w:p>
        </w:tc>
      </w:tr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673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86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192.58</w:t>
            </w:r>
          </w:p>
        </w:tc>
        <w:tc>
          <w:tcPr>
            <w:tcW w:w="1787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193.58</w:t>
            </w:r>
          </w:p>
        </w:tc>
      </w:tr>
      <w:tr w:rsidR="00A26C68" w:rsidRPr="00A26C68" w:rsidTr="001348B4">
        <w:trPr>
          <w:jc w:val="center"/>
        </w:trPr>
        <w:tc>
          <w:tcPr>
            <w:tcW w:w="554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673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86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192.98</w:t>
            </w:r>
          </w:p>
        </w:tc>
        <w:tc>
          <w:tcPr>
            <w:tcW w:w="1787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192.98</w:t>
            </w:r>
          </w:p>
        </w:tc>
      </w:tr>
      <w:tr w:rsidR="00A26C68" w:rsidRPr="00A26C68" w:rsidTr="001348B4">
        <w:trPr>
          <w:jc w:val="center"/>
        </w:trPr>
        <w:tc>
          <w:tcPr>
            <w:tcW w:w="1227" w:type="pct"/>
            <w:gridSpan w:val="2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Mean</w:t>
            </w:r>
          </w:p>
        </w:tc>
        <w:tc>
          <w:tcPr>
            <w:tcW w:w="1986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192.5167</w:t>
            </w:r>
          </w:p>
        </w:tc>
        <w:tc>
          <w:tcPr>
            <w:tcW w:w="1787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192.6833</w:t>
            </w:r>
          </w:p>
        </w:tc>
      </w:tr>
      <w:tr w:rsidR="00A26C68" w:rsidRPr="00A26C68" w:rsidTr="001348B4">
        <w:trPr>
          <w:jc w:val="center"/>
        </w:trPr>
        <w:tc>
          <w:tcPr>
            <w:tcW w:w="1227" w:type="pct"/>
            <w:gridSpan w:val="2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SD</w:t>
            </w:r>
          </w:p>
        </w:tc>
        <w:tc>
          <w:tcPr>
            <w:tcW w:w="1986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0.466676</w:t>
            </w:r>
          </w:p>
        </w:tc>
        <w:tc>
          <w:tcPr>
            <w:tcW w:w="1787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0.943285</w:t>
            </w:r>
          </w:p>
        </w:tc>
      </w:tr>
      <w:tr w:rsidR="00A26C68" w:rsidRPr="00A26C68" w:rsidTr="001348B4">
        <w:trPr>
          <w:jc w:val="center"/>
        </w:trPr>
        <w:tc>
          <w:tcPr>
            <w:tcW w:w="1227" w:type="pct"/>
            <w:gridSpan w:val="2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RSD%</w:t>
            </w:r>
          </w:p>
        </w:tc>
        <w:tc>
          <w:tcPr>
            <w:tcW w:w="1986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0.242408</w:t>
            </w:r>
          </w:p>
        </w:tc>
        <w:tc>
          <w:tcPr>
            <w:tcW w:w="1787" w:type="pct"/>
            <w:vAlign w:val="center"/>
          </w:tcPr>
          <w:p w:rsidR="00F66B45" w:rsidRPr="00A26C68" w:rsidRDefault="00F66B4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26C68">
              <w:rPr>
                <w:rFonts w:ascii="Times New Roman" w:hAnsi="Times New Roman" w:cs="Times New Roman"/>
                <w:sz w:val="20"/>
                <w:szCs w:val="28"/>
              </w:rPr>
              <w:t>0.489552</w:t>
            </w:r>
          </w:p>
        </w:tc>
      </w:tr>
    </w:tbl>
    <w:p w:rsid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1348B4" w:rsidRPr="00A26C68" w:rsidRDefault="001348B4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  <w:sectPr w:rsidR="00A26C68" w:rsidRPr="00A26C68" w:rsidSect="0069645E">
          <w:headerReference w:type="default" r:id="rId21"/>
          <w:footerReference w:type="default" r:id="rId22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410B7" w:rsidRPr="00A26C68" w:rsidRDefault="000410B7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lastRenderedPageBreak/>
        <w:t>Selectivity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specificity:</w:t>
      </w:r>
    </w:p>
    <w:p w:rsidR="00CB346A" w:rsidRPr="00A26C68" w:rsidRDefault="00C43ED0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chromatogram</w:t>
      </w:r>
      <w:r w:rsidR="00307674" w:rsidRPr="00A26C68">
        <w:rPr>
          <w:rFonts w:ascii="Times New Roman" w:hAnsi="Times New Roman" w:cs="Times New Roman"/>
          <w:sz w:val="20"/>
          <w:szCs w:val="28"/>
        </w:rPr>
        <w:t>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2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µg/ml)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(2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µg/ml)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(Kenafur®)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acquired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developed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indicated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A1E7B" w:rsidRPr="00A26C68">
        <w:rPr>
          <w:rFonts w:ascii="Times New Roman" w:hAnsi="Times New Roman" w:cs="Times New Roman"/>
          <w:sz w:val="20"/>
          <w:szCs w:val="28"/>
        </w:rPr>
        <w:t>f</w:t>
      </w:r>
      <w:r w:rsidRPr="00A26C68">
        <w:rPr>
          <w:rFonts w:ascii="Times New Roman" w:hAnsi="Times New Roman" w:cs="Times New Roman"/>
          <w:sz w:val="20"/>
          <w:szCs w:val="28"/>
        </w:rPr>
        <w:t>igures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(4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&amp; </w:t>
      </w:r>
      <w:r w:rsidRPr="00A26C68">
        <w:rPr>
          <w:rFonts w:ascii="Times New Roman" w:hAnsi="Times New Roman" w:cs="Times New Roman"/>
          <w:sz w:val="20"/>
          <w:szCs w:val="28"/>
        </w:rPr>
        <w:t>5).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Also,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representative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chromatograms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pure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(2µg/ml)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lastRenderedPageBreak/>
        <w:t>(Excenel®)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at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concentration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2µg/ml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are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shown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A1E7B" w:rsidRPr="00A26C68">
        <w:rPr>
          <w:rFonts w:ascii="Times New Roman" w:hAnsi="Times New Roman" w:cs="Times New Roman"/>
          <w:sz w:val="20"/>
          <w:szCs w:val="28"/>
        </w:rPr>
        <w:t>f</w:t>
      </w:r>
      <w:r w:rsidR="00307674" w:rsidRPr="00A26C68">
        <w:rPr>
          <w:rFonts w:ascii="Times New Roman" w:hAnsi="Times New Roman" w:cs="Times New Roman"/>
          <w:sz w:val="20"/>
          <w:szCs w:val="28"/>
        </w:rPr>
        <w:t>ig</w:t>
      </w:r>
      <w:r w:rsidR="002A1E7B" w:rsidRPr="00A26C68">
        <w:rPr>
          <w:rFonts w:ascii="Times New Roman" w:hAnsi="Times New Roman" w:cs="Times New Roman"/>
          <w:sz w:val="20"/>
          <w:szCs w:val="28"/>
        </w:rPr>
        <w:t>ures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(6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&amp; </w:t>
      </w:r>
      <w:r w:rsidR="00307674" w:rsidRPr="00A26C68">
        <w:rPr>
          <w:rFonts w:ascii="Times New Roman" w:hAnsi="Times New Roman" w:cs="Times New Roman"/>
          <w:sz w:val="20"/>
          <w:szCs w:val="28"/>
        </w:rPr>
        <w:t>7).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No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matrix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interferences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observed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chromatograms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no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interfering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peaks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obtained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with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same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retention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time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(RT)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A07A4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94AAE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94AAE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peak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hydrochloride.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retention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time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(RT)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017F8B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017F8B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07674"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0A2913" w:rsidRPr="00A26C68">
        <w:rPr>
          <w:rFonts w:ascii="Times New Roman" w:hAnsi="Times New Roman" w:cs="Times New Roman"/>
          <w:sz w:val="20"/>
          <w:szCs w:val="28"/>
        </w:rPr>
        <w:t>7.89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minutes.</w:t>
      </w: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  <w:sectPr w:rsidR="00A26C68" w:rsidRPr="00A26C68" w:rsidSect="0069645E">
          <w:headerReference w:type="default" r:id="rId23"/>
          <w:footerReference w:type="default" r:id="rId24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35BF9" w:rsidRDefault="00035BF9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1348B4" w:rsidRPr="00A26C68" w:rsidRDefault="001348B4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CB346A" w:rsidRPr="00A26C68" w:rsidRDefault="00A3754A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noProof/>
          <w:sz w:val="20"/>
          <w:szCs w:val="28"/>
          <w:lang w:eastAsia="zh-CN"/>
        </w:rPr>
        <w:drawing>
          <wp:inline distT="0" distB="0" distL="0" distR="0">
            <wp:extent cx="5942495" cy="2186609"/>
            <wp:effectExtent l="19050" t="0" r="1105" b="0"/>
            <wp:docPr id="7" name="Picture 3" descr="C:\Users\maher\Desktop\New folder\2 sod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er\Desktop\New folder\2 sod - Copy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46A" w:rsidRDefault="00CB346A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sz w:val="20"/>
          <w:szCs w:val="28"/>
        </w:rPr>
        <w:t>Fig</w:t>
      </w:r>
      <w:r w:rsidR="009767DB" w:rsidRPr="00A26C68">
        <w:rPr>
          <w:rFonts w:ascii="Times New Roman" w:hAnsi="Times New Roman" w:cs="Times New Roman"/>
          <w:sz w:val="20"/>
          <w:szCs w:val="28"/>
        </w:rPr>
        <w:t>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</w:t>
      </w:r>
      <w:r w:rsidR="005A7006" w:rsidRPr="00A26C68">
        <w:rPr>
          <w:rFonts w:ascii="Times New Roman" w:hAnsi="Times New Roman" w:cs="Times New Roman"/>
          <w:sz w:val="20"/>
          <w:szCs w:val="28"/>
        </w:rPr>
        <w:t>4</w:t>
      </w:r>
      <w:r w:rsidRPr="00A26C68">
        <w:rPr>
          <w:rFonts w:ascii="Times New Roman" w:hAnsi="Times New Roman" w:cs="Times New Roman"/>
          <w:sz w:val="20"/>
          <w:szCs w:val="28"/>
        </w:rPr>
        <w:t>)</w:t>
      </w:r>
      <w:r w:rsidR="00FF7ED0" w:rsidRPr="00A26C68">
        <w:rPr>
          <w:rFonts w:ascii="Times New Roman" w:hAnsi="Times New Roman" w:cs="Times New Roman"/>
          <w:sz w:val="20"/>
          <w:szCs w:val="28"/>
        </w:rPr>
        <w:t>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Chromatogram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0A2913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0A2913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0A2913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2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µg/ml.</w:t>
      </w:r>
    </w:p>
    <w:p w:rsidR="00890794" w:rsidRPr="00A26C68" w:rsidRDefault="00890794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8"/>
          <w:lang w:eastAsia="zh-CN"/>
        </w:rPr>
      </w:pPr>
    </w:p>
    <w:p w:rsidR="00CB346A" w:rsidRPr="00A26C68" w:rsidRDefault="009A5542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noProof/>
          <w:sz w:val="20"/>
          <w:szCs w:val="28"/>
          <w:lang w:eastAsia="zh-CN"/>
        </w:rPr>
        <w:lastRenderedPageBreak/>
        <w:drawing>
          <wp:inline distT="0" distB="0" distL="0" distR="0">
            <wp:extent cx="5942497" cy="2194560"/>
            <wp:effectExtent l="19050" t="0" r="1103" b="0"/>
            <wp:docPr id="9" name="Picture 4" descr="C:\Users\maher\Desktop\New folder\2 s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er\Desktop\New folder\2 sod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4967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46A" w:rsidRDefault="005A7006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sz w:val="20"/>
          <w:szCs w:val="28"/>
        </w:rPr>
        <w:t>Fig</w:t>
      </w:r>
      <w:r w:rsidR="009767DB" w:rsidRPr="00A26C68">
        <w:rPr>
          <w:rFonts w:ascii="Times New Roman" w:hAnsi="Times New Roman" w:cs="Times New Roman"/>
          <w:sz w:val="20"/>
          <w:szCs w:val="28"/>
        </w:rPr>
        <w:t>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(5</w:t>
      </w:r>
      <w:r w:rsidR="00CB346A" w:rsidRPr="00A26C68">
        <w:rPr>
          <w:rFonts w:ascii="Times New Roman" w:hAnsi="Times New Roman" w:cs="Times New Roman"/>
          <w:sz w:val="20"/>
          <w:szCs w:val="28"/>
        </w:rPr>
        <w:t>)</w:t>
      </w:r>
      <w:r w:rsidR="009627CB" w:rsidRPr="00A26C68">
        <w:rPr>
          <w:rFonts w:ascii="Times New Roman" w:hAnsi="Times New Roman" w:cs="Times New Roman"/>
          <w:sz w:val="20"/>
          <w:szCs w:val="28"/>
        </w:rPr>
        <w:t>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Chromatogram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B346A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A5E40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A5E40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A5E40" w:rsidRPr="00A26C68">
        <w:rPr>
          <w:rFonts w:ascii="Times New Roman" w:eastAsia="Times New Roman" w:hAnsi="Times New Roman" w:cs="Times New Roman"/>
          <w:bCs/>
          <w:sz w:val="20"/>
          <w:szCs w:val="28"/>
        </w:rPr>
        <w:t>(Kenafur</w:t>
      </w:r>
      <w:r w:rsidR="00FA5E40" w:rsidRPr="00A26C68">
        <w:rPr>
          <w:rFonts w:ascii="Times New Roman" w:eastAsia="Times New Roman" w:hAnsi="Times New Roman" w:cs="Times New Roman"/>
          <w:bCs/>
          <w:sz w:val="20"/>
          <w:szCs w:val="28"/>
          <w:vertAlign w:val="superscript"/>
        </w:rPr>
        <w:t>®</w:t>
      </w:r>
      <w:r w:rsidR="00FA5E40" w:rsidRPr="00A26C68">
        <w:rPr>
          <w:rFonts w:ascii="Times New Roman" w:eastAsia="Times New Roman" w:hAnsi="Times New Roman" w:cs="Times New Roman"/>
          <w:bCs/>
          <w:sz w:val="20"/>
          <w:szCs w:val="28"/>
        </w:rPr>
        <w:t>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A5E40" w:rsidRPr="00A26C68">
        <w:rPr>
          <w:rFonts w:ascii="Times New Roman" w:hAnsi="Times New Roman" w:cs="Times New Roman"/>
          <w:sz w:val="20"/>
          <w:szCs w:val="28"/>
        </w:rPr>
        <w:t>at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A5E40"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A5E40" w:rsidRPr="00A26C68">
        <w:rPr>
          <w:rFonts w:ascii="Times New Roman" w:hAnsi="Times New Roman" w:cs="Times New Roman"/>
          <w:sz w:val="20"/>
          <w:szCs w:val="28"/>
        </w:rPr>
        <w:t>concentration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A5E40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F7ED0" w:rsidRPr="00A26C68">
        <w:rPr>
          <w:rFonts w:ascii="Times New Roman" w:hAnsi="Times New Roman" w:cs="Times New Roman"/>
          <w:sz w:val="20"/>
          <w:szCs w:val="28"/>
        </w:rPr>
        <w:t>2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F7ED0" w:rsidRPr="00A26C68">
        <w:rPr>
          <w:rFonts w:ascii="Times New Roman" w:hAnsi="Times New Roman" w:cs="Times New Roman"/>
          <w:sz w:val="20"/>
          <w:szCs w:val="28"/>
        </w:rPr>
        <w:t>µg/ml</w:t>
      </w:r>
      <w:r w:rsidR="00CB346A" w:rsidRPr="00A26C68">
        <w:rPr>
          <w:rFonts w:ascii="Times New Roman" w:hAnsi="Times New Roman" w:cs="Times New Roman"/>
          <w:sz w:val="20"/>
          <w:szCs w:val="28"/>
        </w:rPr>
        <w:t>.</w:t>
      </w: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905D2A" w:rsidRPr="00A26C68" w:rsidRDefault="004E6ED1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noProof/>
          <w:sz w:val="20"/>
          <w:szCs w:val="28"/>
          <w:lang w:eastAsia="zh-CN"/>
        </w:rPr>
        <w:drawing>
          <wp:inline distT="0" distB="0" distL="0" distR="0">
            <wp:extent cx="5942496" cy="2226365"/>
            <wp:effectExtent l="19050" t="0" r="1104" b="0"/>
            <wp:docPr id="3" name="Picture 1" descr="C:\Users\maher\Desktop\New folder\2 hcl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er\Desktop\New folder\2 hcl - Copy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2A" w:rsidRPr="00A26C68" w:rsidRDefault="005A7006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sz w:val="20"/>
          <w:szCs w:val="28"/>
        </w:rPr>
        <w:t>Fig</w:t>
      </w:r>
      <w:r w:rsidR="009767DB" w:rsidRPr="00A26C68">
        <w:rPr>
          <w:rFonts w:ascii="Times New Roman" w:hAnsi="Times New Roman" w:cs="Times New Roman"/>
          <w:sz w:val="20"/>
          <w:szCs w:val="28"/>
        </w:rPr>
        <w:t>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(6</w:t>
      </w:r>
      <w:r w:rsidR="00905D2A" w:rsidRPr="00A26C68">
        <w:rPr>
          <w:rFonts w:ascii="Times New Roman" w:hAnsi="Times New Roman" w:cs="Times New Roman"/>
          <w:sz w:val="20"/>
          <w:szCs w:val="28"/>
        </w:rPr>
        <w:t>)</w:t>
      </w:r>
      <w:r w:rsidR="009627CB" w:rsidRPr="00A26C68">
        <w:rPr>
          <w:rFonts w:ascii="Times New Roman" w:hAnsi="Times New Roman" w:cs="Times New Roman"/>
          <w:sz w:val="20"/>
          <w:szCs w:val="28"/>
        </w:rPr>
        <w:t>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05D2A" w:rsidRPr="00A26C68">
        <w:rPr>
          <w:rFonts w:ascii="Times New Roman" w:hAnsi="Times New Roman" w:cs="Times New Roman"/>
          <w:sz w:val="20"/>
          <w:szCs w:val="28"/>
        </w:rPr>
        <w:t>Chromatogram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05D2A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05D2A" w:rsidRPr="00A26C68">
        <w:rPr>
          <w:rFonts w:ascii="Times New Roman" w:hAnsi="Times New Roman" w:cs="Times New Roman"/>
          <w:sz w:val="20"/>
          <w:szCs w:val="28"/>
        </w:rPr>
        <w:t>pure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05D2A" w:rsidRPr="00A26C68">
        <w:rPr>
          <w:rFonts w:ascii="Times New Roman" w:hAnsi="Times New Roman" w:cs="Times New Roman"/>
          <w:sz w:val="20"/>
          <w:szCs w:val="28"/>
        </w:rPr>
        <w:t>s</w:t>
      </w:r>
      <w:r w:rsidR="00117E69" w:rsidRPr="00A26C68">
        <w:rPr>
          <w:rFonts w:ascii="Times New Roman" w:hAnsi="Times New Roman" w:cs="Times New Roman"/>
          <w:sz w:val="20"/>
          <w:szCs w:val="28"/>
        </w:rPr>
        <w:t>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hAnsi="Times New Roman" w:cs="Times New Roman"/>
          <w:sz w:val="20"/>
          <w:szCs w:val="28"/>
        </w:rPr>
        <w:t>at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hAnsi="Times New Roman" w:cs="Times New Roman"/>
          <w:sz w:val="20"/>
          <w:szCs w:val="28"/>
        </w:rPr>
        <w:t>concentration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05D2A" w:rsidRPr="00A26C68">
        <w:rPr>
          <w:rFonts w:ascii="Times New Roman" w:hAnsi="Times New Roman" w:cs="Times New Roman"/>
          <w:sz w:val="20"/>
          <w:szCs w:val="28"/>
        </w:rPr>
        <w:t>2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05D2A" w:rsidRPr="00A26C68">
        <w:rPr>
          <w:rFonts w:ascii="Times New Roman" w:hAnsi="Times New Roman" w:cs="Times New Roman"/>
          <w:sz w:val="20"/>
          <w:szCs w:val="28"/>
        </w:rPr>
        <w:t>µg/ml.</w:t>
      </w:r>
    </w:p>
    <w:p w:rsidR="00035BF9" w:rsidRPr="00A26C68" w:rsidRDefault="00035BF9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905D2A" w:rsidRPr="00A26C68" w:rsidRDefault="004E6ED1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noProof/>
          <w:sz w:val="20"/>
          <w:szCs w:val="28"/>
          <w:lang w:eastAsia="zh-CN"/>
        </w:rPr>
        <w:drawing>
          <wp:inline distT="0" distB="0" distL="0" distR="0">
            <wp:extent cx="5942496" cy="2059388"/>
            <wp:effectExtent l="19050" t="0" r="1104" b="0"/>
            <wp:docPr id="6" name="Picture 2" descr="C:\Users\maher\Desktop\New folder\2 h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er\Desktop\New folder\2 hcl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2A" w:rsidRPr="00A26C68" w:rsidRDefault="005A7006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sz w:val="20"/>
          <w:szCs w:val="28"/>
        </w:rPr>
        <w:t>Fig</w:t>
      </w:r>
      <w:r w:rsidR="009767DB" w:rsidRPr="00A26C68">
        <w:rPr>
          <w:rFonts w:ascii="Times New Roman" w:hAnsi="Times New Roman" w:cs="Times New Roman"/>
          <w:sz w:val="20"/>
          <w:szCs w:val="28"/>
        </w:rPr>
        <w:t>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(7</w:t>
      </w:r>
      <w:r w:rsidR="00905D2A" w:rsidRPr="00A26C68">
        <w:rPr>
          <w:rFonts w:ascii="Times New Roman" w:hAnsi="Times New Roman" w:cs="Times New Roman"/>
          <w:sz w:val="20"/>
          <w:szCs w:val="28"/>
        </w:rPr>
        <w:t>)</w:t>
      </w:r>
      <w:r w:rsidR="009627CB" w:rsidRPr="00A26C68">
        <w:rPr>
          <w:rFonts w:ascii="Times New Roman" w:hAnsi="Times New Roman" w:cs="Times New Roman"/>
          <w:sz w:val="20"/>
          <w:szCs w:val="28"/>
        </w:rPr>
        <w:t>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05D2A" w:rsidRPr="00A26C68">
        <w:rPr>
          <w:rFonts w:ascii="Times New Roman" w:hAnsi="Times New Roman" w:cs="Times New Roman"/>
          <w:sz w:val="20"/>
          <w:szCs w:val="28"/>
        </w:rPr>
        <w:t>Chromatogram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05D2A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eastAsia="Times New Roman" w:hAnsi="Times New Roman" w:cs="Times New Roman"/>
          <w:bCs/>
          <w:sz w:val="20"/>
          <w:szCs w:val="28"/>
        </w:rPr>
        <w:t>(</w:t>
      </w:r>
      <w:r w:rsidR="009C486D" w:rsidRPr="00A26C68">
        <w:rPr>
          <w:rFonts w:ascii="Times New Roman" w:eastAsia="Times New Roman" w:hAnsi="Times New Roman" w:cs="Times New Roman"/>
          <w:bCs/>
          <w:sz w:val="20"/>
          <w:szCs w:val="28"/>
        </w:rPr>
        <w:t>Excenel</w:t>
      </w:r>
      <w:r w:rsidR="00117E69" w:rsidRPr="00A26C68">
        <w:rPr>
          <w:rFonts w:ascii="Times New Roman" w:eastAsia="Times New Roman" w:hAnsi="Times New Roman" w:cs="Times New Roman"/>
          <w:bCs/>
          <w:sz w:val="20"/>
          <w:szCs w:val="28"/>
          <w:vertAlign w:val="superscript"/>
        </w:rPr>
        <w:t>®</w:t>
      </w:r>
      <w:r w:rsidR="00117E69" w:rsidRPr="00A26C68">
        <w:rPr>
          <w:rFonts w:ascii="Times New Roman" w:eastAsia="Times New Roman" w:hAnsi="Times New Roman" w:cs="Times New Roman"/>
          <w:bCs/>
          <w:sz w:val="20"/>
          <w:szCs w:val="28"/>
        </w:rPr>
        <w:t>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hAnsi="Times New Roman" w:cs="Times New Roman"/>
          <w:sz w:val="20"/>
          <w:szCs w:val="28"/>
        </w:rPr>
        <w:t>at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hAnsi="Times New Roman" w:cs="Times New Roman"/>
          <w:sz w:val="20"/>
          <w:szCs w:val="28"/>
        </w:rPr>
        <w:t>concentration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17E69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C1354" w:rsidRPr="00A26C68">
        <w:rPr>
          <w:rFonts w:ascii="Times New Roman" w:hAnsi="Times New Roman" w:cs="Times New Roman"/>
          <w:sz w:val="20"/>
          <w:szCs w:val="28"/>
        </w:rPr>
        <w:t>2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C1354" w:rsidRPr="00A26C68">
        <w:rPr>
          <w:rFonts w:ascii="Times New Roman" w:hAnsi="Times New Roman" w:cs="Times New Roman"/>
          <w:sz w:val="20"/>
          <w:szCs w:val="28"/>
        </w:rPr>
        <w:t>µg/ml</w:t>
      </w: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  <w:sectPr w:rsidR="00A26C68" w:rsidRPr="00A26C68" w:rsidSect="0069645E">
          <w:headerReference w:type="default" r:id="rId29"/>
          <w:footerReference w:type="default" r:id="rId3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410B7" w:rsidRPr="00A26C68" w:rsidRDefault="000410B7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lastRenderedPageBreak/>
        <w:t>Accuracy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recovery:</w:t>
      </w:r>
    </w:p>
    <w:p w:rsidR="000410B7" w:rsidRPr="00A26C68" w:rsidRDefault="000410B7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additions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different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concentrations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prepared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adding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known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quantities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each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drug.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Those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samples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analyzed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against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lastRenderedPageBreak/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solutions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same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concentrations.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accuracy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calculated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from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test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</w:t>
      </w:r>
      <w:r w:rsidR="00641D89" w:rsidRPr="00A26C68">
        <w:rPr>
          <w:rFonts w:ascii="Times New Roman" w:hAnsi="Times New Roman" w:cs="Times New Roman"/>
          <w:sz w:val="20"/>
          <w:szCs w:val="28"/>
        </w:rPr>
        <w:t>esults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41D89" w:rsidRPr="00A26C68">
        <w:rPr>
          <w:rFonts w:ascii="Times New Roman" w:hAnsi="Times New Roman" w:cs="Times New Roman"/>
          <w:sz w:val="20"/>
          <w:szCs w:val="28"/>
        </w:rPr>
        <w:t>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41D89"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41D89" w:rsidRPr="00A26C68">
        <w:rPr>
          <w:rFonts w:ascii="Times New Roman" w:hAnsi="Times New Roman" w:cs="Times New Roman"/>
          <w:sz w:val="20"/>
          <w:szCs w:val="28"/>
        </w:rPr>
        <w:t>percentage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41D89" w:rsidRPr="00A26C68">
        <w:rPr>
          <w:rFonts w:ascii="Times New Roman" w:hAnsi="Times New Roman" w:cs="Times New Roman"/>
          <w:sz w:val="20"/>
          <w:szCs w:val="28"/>
        </w:rPr>
        <w:t>recovery.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41D89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41D89" w:rsidRPr="00A26C68">
        <w:rPr>
          <w:rFonts w:ascii="Times New Roman" w:hAnsi="Times New Roman" w:cs="Times New Roman"/>
          <w:sz w:val="20"/>
          <w:szCs w:val="28"/>
        </w:rPr>
        <w:t>results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486374"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41D89" w:rsidRPr="00A26C68">
        <w:rPr>
          <w:rFonts w:ascii="Times New Roman" w:hAnsi="Times New Roman" w:cs="Times New Roman"/>
          <w:sz w:val="20"/>
          <w:szCs w:val="28"/>
        </w:rPr>
        <w:t>illustrated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41D89"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41D89" w:rsidRPr="00A26C68">
        <w:rPr>
          <w:rFonts w:ascii="Times New Roman" w:hAnsi="Times New Roman" w:cs="Times New Roman"/>
          <w:sz w:val="20"/>
          <w:szCs w:val="28"/>
        </w:rPr>
        <w:t>table</w:t>
      </w:r>
      <w:r w:rsidR="007872A8" w:rsidRPr="00A26C68">
        <w:rPr>
          <w:rFonts w:ascii="Times New Roman" w:hAnsi="Times New Roman" w:cs="Times New Roman"/>
          <w:sz w:val="20"/>
          <w:szCs w:val="28"/>
        </w:rPr>
        <w:t>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41D89" w:rsidRPr="00A26C68">
        <w:rPr>
          <w:rFonts w:ascii="Times New Roman" w:hAnsi="Times New Roman" w:cs="Times New Roman"/>
          <w:sz w:val="20"/>
          <w:szCs w:val="28"/>
        </w:rPr>
        <w:t>(7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&amp; </w:t>
      </w:r>
      <w:r w:rsidR="00641D89" w:rsidRPr="00A26C68">
        <w:rPr>
          <w:rFonts w:ascii="Times New Roman" w:hAnsi="Times New Roman" w:cs="Times New Roman"/>
          <w:sz w:val="20"/>
          <w:szCs w:val="28"/>
        </w:rPr>
        <w:t>8)</w:t>
      </w:r>
      <w:r w:rsidR="007872A8" w:rsidRPr="00A26C68">
        <w:rPr>
          <w:rFonts w:ascii="Times New Roman" w:hAnsi="Times New Roman" w:cs="Times New Roman"/>
          <w:sz w:val="20"/>
          <w:szCs w:val="28"/>
        </w:rPr>
        <w:t>.</w:t>
      </w: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  <w:sectPr w:rsidR="00A26C68" w:rsidRPr="00A26C68" w:rsidSect="0069645E">
          <w:headerReference w:type="default" r:id="rId31"/>
          <w:footerReference w:type="default" r:id="rId32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A26C68" w:rsidRDefault="00A26C68">
      <w:pPr>
        <w:rPr>
          <w:rFonts w:ascii="Times New Roman" w:hAnsi="Times New Roman" w:cs="Times New Roman"/>
          <w:sz w:val="20"/>
          <w:szCs w:val="28"/>
          <w:lang w:eastAsia="zh-CN"/>
        </w:rPr>
      </w:pPr>
    </w:p>
    <w:p w:rsidR="00F67B4D" w:rsidRPr="00A26C68" w:rsidRDefault="005A7006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lastRenderedPageBreak/>
        <w:t>Table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(7</w:t>
      </w:r>
      <w:r w:rsidR="00F67B4D" w:rsidRPr="00A26C68">
        <w:rPr>
          <w:rFonts w:ascii="Times New Roman" w:hAnsi="Times New Roman" w:cs="Times New Roman"/>
          <w:sz w:val="20"/>
          <w:szCs w:val="28"/>
        </w:rPr>
        <w:t>):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67B4D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67B4D" w:rsidRPr="00A26C68">
        <w:rPr>
          <w:rFonts w:ascii="Times New Roman" w:hAnsi="Times New Roman" w:cs="Times New Roman"/>
          <w:sz w:val="20"/>
          <w:szCs w:val="28"/>
        </w:rPr>
        <w:t>percentage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67B4D" w:rsidRPr="00A26C68">
        <w:rPr>
          <w:rFonts w:ascii="Times New Roman" w:hAnsi="Times New Roman" w:cs="Times New Roman"/>
          <w:sz w:val="20"/>
          <w:szCs w:val="28"/>
        </w:rPr>
        <w:t>recovery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67B4D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446FD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53141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446FD"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9446FD" w:rsidRPr="00A26C68">
        <w:rPr>
          <w:rFonts w:ascii="Times New Roman" w:hAnsi="Times New Roman" w:cs="Times New Roman"/>
          <w:sz w:val="20"/>
          <w:szCs w:val="28"/>
        </w:rPr>
        <w:t>addition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813"/>
        <w:gridCol w:w="1851"/>
        <w:gridCol w:w="722"/>
        <w:gridCol w:w="614"/>
        <w:gridCol w:w="777"/>
        <w:gridCol w:w="1266"/>
        <w:gridCol w:w="2431"/>
      </w:tblGrid>
      <w:tr w:rsidR="00A26C68" w:rsidRPr="00A26C68" w:rsidTr="00A26C68">
        <w:trPr>
          <w:jc w:val="center"/>
        </w:trPr>
        <w:tc>
          <w:tcPr>
            <w:tcW w:w="957" w:type="pc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Level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Conc.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µg/</w:t>
            </w:r>
            <w:r w:rsidR="009627CB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ml</w:t>
            </w:r>
          </w:p>
        </w:tc>
        <w:tc>
          <w:tcPr>
            <w:tcW w:w="977" w:type="pc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Found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conc.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µg/ml</w:t>
            </w:r>
          </w:p>
        </w:tc>
        <w:tc>
          <w:tcPr>
            <w:tcW w:w="381" w:type="pc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Mean</w:t>
            </w:r>
          </w:p>
        </w:tc>
        <w:tc>
          <w:tcPr>
            <w:tcW w:w="324" w:type="pc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SD</w:t>
            </w:r>
          </w:p>
        </w:tc>
        <w:tc>
          <w:tcPr>
            <w:tcW w:w="410" w:type="pc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RSD%</w:t>
            </w:r>
          </w:p>
        </w:tc>
        <w:tc>
          <w:tcPr>
            <w:tcW w:w="668" w:type="pc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Recovery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%</w:t>
            </w:r>
          </w:p>
        </w:tc>
        <w:tc>
          <w:tcPr>
            <w:tcW w:w="1283" w:type="pc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Average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recovery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±SD%</w:t>
            </w:r>
          </w:p>
        </w:tc>
      </w:tr>
      <w:tr w:rsidR="00A26C68" w:rsidRPr="00A26C68" w:rsidTr="00A26C68">
        <w:trPr>
          <w:jc w:val="center"/>
        </w:trPr>
        <w:tc>
          <w:tcPr>
            <w:tcW w:w="957" w:type="pct"/>
            <w:vMerge w:val="restar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0.5</w:t>
            </w:r>
          </w:p>
        </w:tc>
        <w:tc>
          <w:tcPr>
            <w:tcW w:w="977" w:type="pc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0.497</w:t>
            </w:r>
          </w:p>
        </w:tc>
        <w:tc>
          <w:tcPr>
            <w:tcW w:w="381" w:type="pct"/>
            <w:vMerge w:val="restar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0.4997</w:t>
            </w:r>
          </w:p>
        </w:tc>
        <w:tc>
          <w:tcPr>
            <w:tcW w:w="324" w:type="pct"/>
            <w:vMerge w:val="restar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0.003</w:t>
            </w:r>
          </w:p>
        </w:tc>
        <w:tc>
          <w:tcPr>
            <w:tcW w:w="410" w:type="pct"/>
            <w:vMerge w:val="restart"/>
            <w:vAlign w:val="center"/>
          </w:tcPr>
          <w:p w:rsidR="00D70324" w:rsidRPr="00A26C68" w:rsidRDefault="00D70324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0.61</w:t>
            </w:r>
          </w:p>
        </w:tc>
        <w:tc>
          <w:tcPr>
            <w:tcW w:w="668" w:type="pct"/>
            <w:vAlign w:val="center"/>
          </w:tcPr>
          <w:p w:rsidR="00D70324" w:rsidRPr="00A26C68" w:rsidRDefault="00D70324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99.4</w:t>
            </w:r>
          </w:p>
        </w:tc>
        <w:tc>
          <w:tcPr>
            <w:tcW w:w="1283" w:type="pct"/>
            <w:vMerge w:val="restart"/>
            <w:vAlign w:val="center"/>
          </w:tcPr>
          <w:p w:rsidR="00D70324" w:rsidRPr="00A26C68" w:rsidRDefault="00D70324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99.9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±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0.611</w:t>
            </w:r>
          </w:p>
        </w:tc>
      </w:tr>
      <w:tr w:rsidR="00A26C68" w:rsidRPr="00A26C68" w:rsidTr="00A26C68">
        <w:trPr>
          <w:jc w:val="center"/>
        </w:trPr>
        <w:tc>
          <w:tcPr>
            <w:tcW w:w="957" w:type="pct"/>
            <w:vMerge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77" w:type="pc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0.499</w:t>
            </w:r>
          </w:p>
        </w:tc>
        <w:tc>
          <w:tcPr>
            <w:tcW w:w="381" w:type="pct"/>
            <w:vMerge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24" w:type="pct"/>
            <w:vMerge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D70324" w:rsidRPr="00A26C68" w:rsidRDefault="00D70324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99.8</w:t>
            </w:r>
          </w:p>
        </w:tc>
        <w:tc>
          <w:tcPr>
            <w:tcW w:w="1283" w:type="pct"/>
            <w:vMerge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A26C68" w:rsidRPr="00A26C68" w:rsidTr="00A26C68">
        <w:trPr>
          <w:jc w:val="center"/>
        </w:trPr>
        <w:tc>
          <w:tcPr>
            <w:tcW w:w="957" w:type="pct"/>
            <w:vMerge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77" w:type="pct"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0.503</w:t>
            </w:r>
          </w:p>
        </w:tc>
        <w:tc>
          <w:tcPr>
            <w:tcW w:w="381" w:type="pct"/>
            <w:vMerge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24" w:type="pct"/>
            <w:vMerge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D70324" w:rsidRPr="00A26C68" w:rsidRDefault="00D70324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100.6</w:t>
            </w:r>
          </w:p>
        </w:tc>
        <w:tc>
          <w:tcPr>
            <w:tcW w:w="1283" w:type="pct"/>
            <w:vMerge/>
            <w:vAlign w:val="center"/>
          </w:tcPr>
          <w:p w:rsidR="00D70324" w:rsidRPr="00A26C68" w:rsidRDefault="00D7032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A26C68" w:rsidRPr="00A26C68" w:rsidTr="00A26C68">
        <w:trPr>
          <w:jc w:val="center"/>
        </w:trPr>
        <w:tc>
          <w:tcPr>
            <w:tcW w:w="957" w:type="pct"/>
            <w:vMerge w:val="restart"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977" w:type="pct"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0.992</w:t>
            </w:r>
          </w:p>
        </w:tc>
        <w:tc>
          <w:tcPr>
            <w:tcW w:w="381" w:type="pct"/>
            <w:vMerge w:val="restart"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0.998</w:t>
            </w:r>
          </w:p>
        </w:tc>
        <w:tc>
          <w:tcPr>
            <w:tcW w:w="324" w:type="pct"/>
            <w:vMerge w:val="restart"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0.006</w:t>
            </w:r>
          </w:p>
        </w:tc>
        <w:tc>
          <w:tcPr>
            <w:tcW w:w="410" w:type="pct"/>
            <w:vMerge w:val="restart"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0.601</w:t>
            </w:r>
          </w:p>
        </w:tc>
        <w:tc>
          <w:tcPr>
            <w:tcW w:w="668" w:type="pct"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99.2</w:t>
            </w:r>
          </w:p>
        </w:tc>
        <w:tc>
          <w:tcPr>
            <w:tcW w:w="1283" w:type="pct"/>
            <w:vMerge w:val="restart"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99.</w:t>
            </w:r>
            <w:r w:rsidR="00B6409E" w:rsidRPr="00A26C68">
              <w:rPr>
                <w:rFonts w:ascii="Times New Roman" w:hAnsi="Times New Roman" w:cs="Times New Roman"/>
                <w:sz w:val="20"/>
                <w:szCs w:val="26"/>
              </w:rPr>
              <w:t>8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±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0.6</w:t>
            </w:r>
          </w:p>
        </w:tc>
      </w:tr>
      <w:tr w:rsidR="00A26C68" w:rsidRPr="00A26C68" w:rsidTr="00A26C68">
        <w:trPr>
          <w:jc w:val="center"/>
        </w:trPr>
        <w:tc>
          <w:tcPr>
            <w:tcW w:w="957" w:type="pct"/>
            <w:vMerge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77" w:type="pct"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1.004</w:t>
            </w:r>
          </w:p>
        </w:tc>
        <w:tc>
          <w:tcPr>
            <w:tcW w:w="381" w:type="pct"/>
            <w:vMerge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24" w:type="pct"/>
            <w:vMerge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100.4</w:t>
            </w:r>
          </w:p>
        </w:tc>
        <w:tc>
          <w:tcPr>
            <w:tcW w:w="1283" w:type="pct"/>
            <w:vMerge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A26C68" w:rsidRPr="00A26C68" w:rsidTr="00A26C68">
        <w:trPr>
          <w:jc w:val="center"/>
        </w:trPr>
        <w:tc>
          <w:tcPr>
            <w:tcW w:w="957" w:type="pct"/>
            <w:vMerge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77" w:type="pct"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0.998</w:t>
            </w:r>
          </w:p>
        </w:tc>
        <w:tc>
          <w:tcPr>
            <w:tcW w:w="381" w:type="pct"/>
            <w:vMerge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24" w:type="pct"/>
            <w:vMerge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99.8</w:t>
            </w:r>
          </w:p>
        </w:tc>
        <w:tc>
          <w:tcPr>
            <w:tcW w:w="1283" w:type="pct"/>
            <w:vMerge/>
            <w:vAlign w:val="center"/>
          </w:tcPr>
          <w:p w:rsidR="007558E5" w:rsidRPr="00A26C68" w:rsidRDefault="007558E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A26C68" w:rsidRPr="00A26C68" w:rsidTr="00A26C68">
        <w:trPr>
          <w:jc w:val="center"/>
        </w:trPr>
        <w:tc>
          <w:tcPr>
            <w:tcW w:w="957" w:type="pct"/>
            <w:vMerge w:val="restart"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</w:t>
            </w:r>
          </w:p>
        </w:tc>
        <w:tc>
          <w:tcPr>
            <w:tcW w:w="977" w:type="pct"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2.03</w:t>
            </w:r>
          </w:p>
        </w:tc>
        <w:tc>
          <w:tcPr>
            <w:tcW w:w="381" w:type="pct"/>
            <w:vMerge w:val="restart"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2.01</w:t>
            </w:r>
          </w:p>
        </w:tc>
        <w:tc>
          <w:tcPr>
            <w:tcW w:w="324" w:type="pct"/>
            <w:vMerge w:val="restart"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0.016</w:t>
            </w:r>
          </w:p>
        </w:tc>
        <w:tc>
          <w:tcPr>
            <w:tcW w:w="410" w:type="pct"/>
            <w:vMerge w:val="restart"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</w:t>
            </w:r>
            <w:r w:rsidR="000E6709" w:rsidRPr="00A26C68">
              <w:rPr>
                <w:rFonts w:ascii="Times New Roman" w:hAnsi="Times New Roman" w:cs="Times New Roman"/>
                <w:sz w:val="20"/>
                <w:szCs w:val="26"/>
              </w:rPr>
              <w:t>805</w:t>
            </w:r>
          </w:p>
        </w:tc>
        <w:tc>
          <w:tcPr>
            <w:tcW w:w="668" w:type="pct"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101.5</w:t>
            </w:r>
          </w:p>
        </w:tc>
        <w:tc>
          <w:tcPr>
            <w:tcW w:w="1283" w:type="pct"/>
            <w:vMerge w:val="restart"/>
            <w:vAlign w:val="center"/>
          </w:tcPr>
          <w:p w:rsidR="00D2599F" w:rsidRPr="00A26C68" w:rsidRDefault="005064C1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100.57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D2599F" w:rsidRPr="00A26C68">
              <w:rPr>
                <w:rFonts w:ascii="Times New Roman" w:hAnsi="Times New Roman" w:cs="Times New Roman"/>
                <w:sz w:val="20"/>
                <w:szCs w:val="26"/>
              </w:rPr>
              <w:t>±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D2599F" w:rsidRPr="00A26C68">
              <w:rPr>
                <w:rFonts w:ascii="Times New Roman" w:hAnsi="Times New Roman" w:cs="Times New Roman"/>
                <w:sz w:val="20"/>
                <w:szCs w:val="26"/>
              </w:rPr>
              <w:t>0.</w:t>
            </w:r>
            <w:r w:rsidR="00F64243" w:rsidRPr="00A26C68">
              <w:rPr>
                <w:rFonts w:ascii="Times New Roman" w:hAnsi="Times New Roman" w:cs="Times New Roman"/>
                <w:sz w:val="20"/>
                <w:szCs w:val="26"/>
              </w:rPr>
              <w:t>81</w:t>
            </w:r>
          </w:p>
        </w:tc>
      </w:tr>
      <w:tr w:rsidR="00A26C68" w:rsidRPr="00A26C68" w:rsidTr="00A26C68">
        <w:trPr>
          <w:jc w:val="center"/>
        </w:trPr>
        <w:tc>
          <w:tcPr>
            <w:tcW w:w="957" w:type="pct"/>
            <w:vMerge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77" w:type="pct"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2.003</w:t>
            </w:r>
          </w:p>
        </w:tc>
        <w:tc>
          <w:tcPr>
            <w:tcW w:w="381" w:type="pct"/>
            <w:vMerge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24" w:type="pct"/>
            <w:vMerge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100.15</w:t>
            </w:r>
          </w:p>
        </w:tc>
        <w:tc>
          <w:tcPr>
            <w:tcW w:w="1283" w:type="pct"/>
            <w:vMerge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A26C68" w:rsidRPr="00A26C68" w:rsidTr="00A26C68">
        <w:trPr>
          <w:jc w:val="center"/>
        </w:trPr>
        <w:tc>
          <w:tcPr>
            <w:tcW w:w="957" w:type="pct"/>
            <w:vMerge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77" w:type="pct"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2.001</w:t>
            </w:r>
          </w:p>
        </w:tc>
        <w:tc>
          <w:tcPr>
            <w:tcW w:w="381" w:type="pct"/>
            <w:vMerge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24" w:type="pct"/>
            <w:vMerge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100.05</w:t>
            </w:r>
          </w:p>
        </w:tc>
        <w:tc>
          <w:tcPr>
            <w:tcW w:w="1283" w:type="pct"/>
            <w:vMerge/>
            <w:vAlign w:val="center"/>
          </w:tcPr>
          <w:p w:rsidR="00D2599F" w:rsidRPr="00A26C68" w:rsidRDefault="00D259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</w:tbl>
    <w:p w:rsidR="00F67B4D" w:rsidRPr="00A26C68" w:rsidRDefault="00F67B4D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67B4D" w:rsidRPr="00A26C68" w:rsidRDefault="005A7006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Table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(8</w:t>
      </w:r>
      <w:r w:rsidR="00F67B4D" w:rsidRPr="00A26C68">
        <w:rPr>
          <w:rFonts w:ascii="Times New Roman" w:hAnsi="Times New Roman" w:cs="Times New Roman"/>
          <w:sz w:val="20"/>
          <w:szCs w:val="28"/>
        </w:rPr>
        <w:t>):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67B4D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67B4D" w:rsidRPr="00A26C68">
        <w:rPr>
          <w:rFonts w:ascii="Times New Roman" w:hAnsi="Times New Roman" w:cs="Times New Roman"/>
          <w:sz w:val="20"/>
          <w:szCs w:val="28"/>
        </w:rPr>
        <w:t>percentage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67B4D" w:rsidRPr="00A26C68">
        <w:rPr>
          <w:rFonts w:ascii="Times New Roman" w:hAnsi="Times New Roman" w:cs="Times New Roman"/>
          <w:sz w:val="20"/>
          <w:szCs w:val="28"/>
        </w:rPr>
        <w:t>recovery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67B4D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225E0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225E0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225E0"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225E0" w:rsidRPr="00A26C68">
        <w:rPr>
          <w:rFonts w:ascii="Times New Roman" w:hAnsi="Times New Roman" w:cs="Times New Roman"/>
          <w:sz w:val="20"/>
          <w:szCs w:val="28"/>
        </w:rPr>
        <w:t>addition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804"/>
        <w:gridCol w:w="1840"/>
        <w:gridCol w:w="718"/>
        <w:gridCol w:w="718"/>
        <w:gridCol w:w="773"/>
        <w:gridCol w:w="1205"/>
        <w:gridCol w:w="2416"/>
      </w:tblGrid>
      <w:tr w:rsidR="00A26C68" w:rsidRPr="00A26C68" w:rsidTr="00A26C68">
        <w:trPr>
          <w:jc w:val="center"/>
        </w:trPr>
        <w:tc>
          <w:tcPr>
            <w:tcW w:w="952" w:type="pct"/>
            <w:vAlign w:val="center"/>
          </w:tcPr>
          <w:p w:rsidR="007A6272" w:rsidRPr="00A26C68" w:rsidRDefault="007A627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Level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Conc.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µg/</w:t>
            </w:r>
            <w:r w:rsidR="00D75839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ml</w:t>
            </w:r>
          </w:p>
        </w:tc>
        <w:tc>
          <w:tcPr>
            <w:tcW w:w="971" w:type="pct"/>
            <w:vAlign w:val="center"/>
          </w:tcPr>
          <w:p w:rsidR="007A6272" w:rsidRPr="00A26C68" w:rsidRDefault="007A627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Found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conc.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µg/ml</w:t>
            </w:r>
          </w:p>
        </w:tc>
        <w:tc>
          <w:tcPr>
            <w:tcW w:w="379" w:type="pct"/>
            <w:vAlign w:val="center"/>
          </w:tcPr>
          <w:p w:rsidR="007A6272" w:rsidRPr="00A26C68" w:rsidRDefault="007A627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Mean</w:t>
            </w:r>
          </w:p>
        </w:tc>
        <w:tc>
          <w:tcPr>
            <w:tcW w:w="379" w:type="pct"/>
            <w:vAlign w:val="center"/>
          </w:tcPr>
          <w:p w:rsidR="007A6272" w:rsidRPr="00A26C68" w:rsidRDefault="007A627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SD</w:t>
            </w:r>
          </w:p>
        </w:tc>
        <w:tc>
          <w:tcPr>
            <w:tcW w:w="408" w:type="pct"/>
            <w:vAlign w:val="center"/>
          </w:tcPr>
          <w:p w:rsidR="007A6272" w:rsidRPr="00A26C68" w:rsidRDefault="007A627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RSD%</w:t>
            </w:r>
          </w:p>
        </w:tc>
        <w:tc>
          <w:tcPr>
            <w:tcW w:w="636" w:type="pct"/>
            <w:vAlign w:val="center"/>
          </w:tcPr>
          <w:p w:rsidR="007A6272" w:rsidRPr="00A26C68" w:rsidRDefault="007A627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Recovery%</w:t>
            </w:r>
          </w:p>
        </w:tc>
        <w:tc>
          <w:tcPr>
            <w:tcW w:w="1275" w:type="pct"/>
            <w:vAlign w:val="center"/>
          </w:tcPr>
          <w:p w:rsidR="007A6272" w:rsidRPr="00A26C68" w:rsidRDefault="007A627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Average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recovery</w:t>
            </w:r>
            <w:r w:rsidR="00A26C68"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±SD%</w:t>
            </w:r>
          </w:p>
        </w:tc>
      </w:tr>
      <w:tr w:rsidR="00A26C68" w:rsidRPr="00A26C68" w:rsidTr="00A26C68">
        <w:trPr>
          <w:jc w:val="center"/>
        </w:trPr>
        <w:tc>
          <w:tcPr>
            <w:tcW w:w="952" w:type="pct"/>
            <w:vMerge w:val="restart"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0.5</w:t>
            </w:r>
          </w:p>
        </w:tc>
        <w:tc>
          <w:tcPr>
            <w:tcW w:w="971" w:type="pct"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0.5001</w:t>
            </w:r>
          </w:p>
        </w:tc>
        <w:tc>
          <w:tcPr>
            <w:tcW w:w="379" w:type="pct"/>
            <w:vMerge w:val="restart"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0.5</w:t>
            </w:r>
          </w:p>
        </w:tc>
        <w:tc>
          <w:tcPr>
            <w:tcW w:w="379" w:type="pct"/>
            <w:vMerge w:val="restart"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0.0002</w:t>
            </w:r>
          </w:p>
        </w:tc>
        <w:tc>
          <w:tcPr>
            <w:tcW w:w="408" w:type="pct"/>
            <w:vMerge w:val="restart"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0.04</w:t>
            </w:r>
          </w:p>
        </w:tc>
        <w:tc>
          <w:tcPr>
            <w:tcW w:w="636" w:type="pct"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100.02</w:t>
            </w:r>
          </w:p>
        </w:tc>
        <w:tc>
          <w:tcPr>
            <w:tcW w:w="1275" w:type="pct"/>
            <w:vMerge w:val="restart"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</w:t>
            </w:r>
            <w:r w:rsidR="00290EBF" w:rsidRPr="00A26C68">
              <w:rPr>
                <w:rFonts w:ascii="Times New Roman" w:hAnsi="Times New Roman" w:cs="Times New Roman"/>
                <w:sz w:val="20"/>
                <w:szCs w:val="26"/>
              </w:rPr>
              <w:t>0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0.007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±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0.04</w:t>
            </w:r>
          </w:p>
        </w:tc>
      </w:tr>
      <w:tr w:rsidR="00A26C68" w:rsidRPr="00A26C68" w:rsidTr="00A26C68">
        <w:trPr>
          <w:jc w:val="center"/>
        </w:trPr>
        <w:tc>
          <w:tcPr>
            <w:tcW w:w="952" w:type="pct"/>
            <w:vMerge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0.4998</w:t>
            </w:r>
          </w:p>
        </w:tc>
        <w:tc>
          <w:tcPr>
            <w:tcW w:w="379" w:type="pct"/>
            <w:vMerge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79" w:type="pct"/>
            <w:vMerge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08" w:type="pct"/>
            <w:vMerge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636" w:type="pct"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99.96</w:t>
            </w:r>
          </w:p>
        </w:tc>
        <w:tc>
          <w:tcPr>
            <w:tcW w:w="1275" w:type="pct"/>
            <w:vMerge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A26C68" w:rsidRPr="00A26C68" w:rsidTr="00A26C68">
        <w:trPr>
          <w:jc w:val="center"/>
        </w:trPr>
        <w:tc>
          <w:tcPr>
            <w:tcW w:w="952" w:type="pct"/>
            <w:vMerge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0.5002</w:t>
            </w:r>
          </w:p>
        </w:tc>
        <w:tc>
          <w:tcPr>
            <w:tcW w:w="379" w:type="pct"/>
            <w:vMerge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79" w:type="pct"/>
            <w:vMerge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08" w:type="pct"/>
            <w:vMerge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636" w:type="pct"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100.04</w:t>
            </w:r>
          </w:p>
        </w:tc>
        <w:tc>
          <w:tcPr>
            <w:tcW w:w="1275" w:type="pct"/>
            <w:vMerge/>
            <w:vAlign w:val="center"/>
          </w:tcPr>
          <w:p w:rsidR="00747DB2" w:rsidRPr="00A26C68" w:rsidRDefault="00747DB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A26C68" w:rsidRPr="00A26C68" w:rsidTr="00A26C68">
        <w:trPr>
          <w:jc w:val="center"/>
        </w:trPr>
        <w:tc>
          <w:tcPr>
            <w:tcW w:w="952" w:type="pct"/>
            <w:vMerge w:val="restart"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971" w:type="pct"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0.998</w:t>
            </w:r>
          </w:p>
        </w:tc>
        <w:tc>
          <w:tcPr>
            <w:tcW w:w="379" w:type="pct"/>
            <w:vMerge w:val="restart"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379" w:type="pct"/>
            <w:vMerge w:val="restart"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0.0015</w:t>
            </w:r>
          </w:p>
        </w:tc>
        <w:tc>
          <w:tcPr>
            <w:tcW w:w="408" w:type="pct"/>
            <w:vMerge w:val="restart"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0.1</w:t>
            </w:r>
            <w:r w:rsidR="002F1C5D" w:rsidRPr="00A26C68">
              <w:rPr>
                <w:rFonts w:ascii="Times New Roman" w:hAnsi="Times New Roman" w:cs="Times New Roman"/>
                <w:sz w:val="20"/>
                <w:szCs w:val="26"/>
              </w:rPr>
              <w:t>5</w:t>
            </w:r>
          </w:p>
        </w:tc>
        <w:tc>
          <w:tcPr>
            <w:tcW w:w="636" w:type="pct"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99.8</w:t>
            </w:r>
          </w:p>
        </w:tc>
        <w:tc>
          <w:tcPr>
            <w:tcW w:w="1275" w:type="pct"/>
            <w:vMerge w:val="restart"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99.97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±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0.16</w:t>
            </w:r>
          </w:p>
        </w:tc>
      </w:tr>
      <w:tr w:rsidR="00A26C68" w:rsidRPr="00A26C68" w:rsidTr="00A26C68">
        <w:trPr>
          <w:jc w:val="center"/>
        </w:trPr>
        <w:tc>
          <w:tcPr>
            <w:tcW w:w="952" w:type="pct"/>
            <w:vMerge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1.0002</w:t>
            </w:r>
          </w:p>
        </w:tc>
        <w:tc>
          <w:tcPr>
            <w:tcW w:w="379" w:type="pct"/>
            <w:vMerge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79" w:type="pct"/>
            <w:vMerge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08" w:type="pct"/>
            <w:vMerge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636" w:type="pct"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100.02</w:t>
            </w:r>
          </w:p>
        </w:tc>
        <w:tc>
          <w:tcPr>
            <w:tcW w:w="1275" w:type="pct"/>
            <w:vMerge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A26C68" w:rsidRPr="00A26C68" w:rsidTr="00A26C68">
        <w:trPr>
          <w:jc w:val="center"/>
        </w:trPr>
        <w:tc>
          <w:tcPr>
            <w:tcW w:w="952" w:type="pct"/>
            <w:vMerge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1.001</w:t>
            </w:r>
          </w:p>
        </w:tc>
        <w:tc>
          <w:tcPr>
            <w:tcW w:w="379" w:type="pct"/>
            <w:vMerge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79" w:type="pct"/>
            <w:vMerge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08" w:type="pct"/>
            <w:vMerge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636" w:type="pct"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100.1</w:t>
            </w:r>
          </w:p>
        </w:tc>
        <w:tc>
          <w:tcPr>
            <w:tcW w:w="1275" w:type="pct"/>
            <w:vMerge/>
            <w:vAlign w:val="center"/>
          </w:tcPr>
          <w:p w:rsidR="00486CA6" w:rsidRPr="00A26C68" w:rsidRDefault="00486CA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A26C68" w:rsidRPr="00A26C68" w:rsidTr="00A26C68">
        <w:trPr>
          <w:jc w:val="center"/>
        </w:trPr>
        <w:tc>
          <w:tcPr>
            <w:tcW w:w="952" w:type="pct"/>
            <w:vMerge w:val="restart"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</w:t>
            </w:r>
          </w:p>
        </w:tc>
        <w:tc>
          <w:tcPr>
            <w:tcW w:w="971" w:type="pct"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2.002</w:t>
            </w:r>
          </w:p>
        </w:tc>
        <w:tc>
          <w:tcPr>
            <w:tcW w:w="379" w:type="pct"/>
            <w:vMerge w:val="restart"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2.00</w:t>
            </w:r>
            <w:r w:rsidR="002F1C5D" w:rsidRPr="00A26C68">
              <w:rPr>
                <w:rFonts w:ascii="Times New Roman" w:hAnsi="Times New Roman" w:cs="Times New Roman"/>
                <w:sz w:val="20"/>
                <w:szCs w:val="26"/>
              </w:rPr>
              <w:t>19</w:t>
            </w:r>
          </w:p>
        </w:tc>
        <w:tc>
          <w:tcPr>
            <w:tcW w:w="379" w:type="pct"/>
            <w:vMerge w:val="restart"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0.002</w:t>
            </w:r>
          </w:p>
        </w:tc>
        <w:tc>
          <w:tcPr>
            <w:tcW w:w="408" w:type="pct"/>
            <w:vMerge w:val="restart"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0.1</w:t>
            </w:r>
          </w:p>
        </w:tc>
        <w:tc>
          <w:tcPr>
            <w:tcW w:w="636" w:type="pct"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100.1</w:t>
            </w:r>
          </w:p>
        </w:tc>
        <w:tc>
          <w:tcPr>
            <w:tcW w:w="1275" w:type="pct"/>
            <w:vMerge w:val="restart"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100.1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±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</w:t>
            </w:r>
            <w:r w:rsidR="00211A58" w:rsidRPr="00A26C68">
              <w:rPr>
                <w:rFonts w:ascii="Times New Roman" w:hAnsi="Times New Roman" w:cs="Times New Roman"/>
                <w:sz w:val="20"/>
                <w:szCs w:val="26"/>
              </w:rPr>
              <w:t>11</w:t>
            </w:r>
          </w:p>
        </w:tc>
      </w:tr>
      <w:tr w:rsidR="00A26C68" w:rsidRPr="00A26C68" w:rsidTr="00A26C68">
        <w:trPr>
          <w:jc w:val="center"/>
        </w:trPr>
        <w:tc>
          <w:tcPr>
            <w:tcW w:w="952" w:type="pct"/>
            <w:vMerge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2.004</w:t>
            </w:r>
          </w:p>
        </w:tc>
        <w:tc>
          <w:tcPr>
            <w:tcW w:w="379" w:type="pct"/>
            <w:vMerge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79" w:type="pct"/>
            <w:vMerge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08" w:type="pct"/>
            <w:vMerge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636" w:type="pct"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100.2</w:t>
            </w:r>
          </w:p>
        </w:tc>
        <w:tc>
          <w:tcPr>
            <w:tcW w:w="1275" w:type="pct"/>
            <w:vMerge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A26C68" w:rsidRPr="00A26C68" w:rsidTr="00A26C68">
        <w:trPr>
          <w:jc w:val="center"/>
        </w:trPr>
        <w:tc>
          <w:tcPr>
            <w:tcW w:w="952" w:type="pct"/>
            <w:vMerge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1.9998</w:t>
            </w:r>
          </w:p>
        </w:tc>
        <w:tc>
          <w:tcPr>
            <w:tcW w:w="379" w:type="pct"/>
            <w:vMerge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79" w:type="pct"/>
            <w:vMerge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08" w:type="pct"/>
            <w:vMerge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636" w:type="pct"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99.99</w:t>
            </w:r>
          </w:p>
        </w:tc>
        <w:tc>
          <w:tcPr>
            <w:tcW w:w="1275" w:type="pct"/>
            <w:vMerge/>
            <w:vAlign w:val="center"/>
          </w:tcPr>
          <w:p w:rsidR="00ED7B42" w:rsidRPr="00A26C68" w:rsidRDefault="00ED7B4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</w:tbl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  <w:sectPr w:rsidR="00A26C68" w:rsidRPr="00A26C68" w:rsidSect="0069645E">
          <w:headerReference w:type="default" r:id="rId33"/>
          <w:footerReference w:type="default" r:id="rId34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45E60" w:rsidRPr="00A26C68" w:rsidRDefault="00045E60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lastRenderedPageBreak/>
        <w:t>Limit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detection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(LOD):</w:t>
      </w:r>
    </w:p>
    <w:p w:rsidR="00045E60" w:rsidRPr="00A26C68" w:rsidRDefault="00045E60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Based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deviation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(S)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response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slope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(b)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(LOD=3.3S/b).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LOD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D1BF4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D1BF4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0.0</w:t>
      </w:r>
      <w:r w:rsidR="00B670AF" w:rsidRPr="00A26C68">
        <w:rPr>
          <w:rFonts w:ascii="Times New Roman" w:hAnsi="Times New Roman" w:cs="Times New Roman"/>
          <w:sz w:val="20"/>
          <w:szCs w:val="28"/>
        </w:rPr>
        <w:t>3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µg/ml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0.0</w:t>
      </w:r>
      <w:r w:rsidR="00EC0662" w:rsidRPr="00A26C68">
        <w:rPr>
          <w:rFonts w:ascii="Times New Roman" w:hAnsi="Times New Roman" w:cs="Times New Roman"/>
          <w:sz w:val="20"/>
          <w:szCs w:val="28"/>
        </w:rPr>
        <w:t>2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µg/ml.</w:t>
      </w:r>
    </w:p>
    <w:p w:rsidR="00045E60" w:rsidRPr="00A26C68" w:rsidRDefault="00045E60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Limit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quantification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(LOQ):</w:t>
      </w:r>
    </w:p>
    <w:p w:rsidR="00BE329F" w:rsidRPr="00A26C68" w:rsidRDefault="00045E60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Based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standard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deviation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(S)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response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slope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(b)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(LOQ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=10S/b).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LOQ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0.</w:t>
      </w:r>
      <w:r w:rsidR="00EC0662" w:rsidRPr="00A26C68">
        <w:rPr>
          <w:rFonts w:ascii="Times New Roman" w:hAnsi="Times New Roman" w:cs="Times New Roman"/>
          <w:sz w:val="20"/>
          <w:szCs w:val="28"/>
        </w:rPr>
        <w:t>1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µg/ml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80D1F" w:rsidRPr="00A26C68">
        <w:rPr>
          <w:rFonts w:ascii="Times New Roman" w:hAnsi="Times New Roman" w:cs="Times New Roman"/>
          <w:sz w:val="20"/>
          <w:szCs w:val="28"/>
        </w:rPr>
        <w:t>0.06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E329F" w:rsidRPr="00A26C68">
        <w:rPr>
          <w:rFonts w:ascii="Times New Roman" w:hAnsi="Times New Roman" w:cs="Times New Roman"/>
          <w:sz w:val="20"/>
          <w:szCs w:val="28"/>
        </w:rPr>
        <w:t>µg/ml.</w:t>
      </w:r>
    </w:p>
    <w:p w:rsidR="000410B7" w:rsidRPr="00A26C68" w:rsidRDefault="000410B7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Robustness:</w:t>
      </w:r>
    </w:p>
    <w:p w:rsidR="00C72C41" w:rsidRPr="00A26C68" w:rsidRDefault="00721C50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r w:rsidRPr="00A26C68">
        <w:rPr>
          <w:rFonts w:ascii="Times New Roman" w:hAnsi="Times New Roman" w:cs="Times New Roman"/>
          <w:sz w:val="20"/>
          <w:szCs w:val="28"/>
        </w:rPr>
        <w:t>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documented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guidelines,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robustness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should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considered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early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development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method.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results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susceptible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variations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conditions,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these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conditions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must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adequately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controlled.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effect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variations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some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experimental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conditions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tested.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robustness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analytical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measure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its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capacity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remain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unaffected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small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but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deliberate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variations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parameters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provides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indication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its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lastRenderedPageBreak/>
        <w:t>reliability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during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normal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usage.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Robustness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studied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by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changing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experimental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conditions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like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flow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rate,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Different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mobile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phase,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Different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wavelength.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system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suitability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parameters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are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passed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all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conditions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results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assay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72C41" w:rsidRPr="00A26C68">
        <w:rPr>
          <w:rFonts w:ascii="Times New Roman" w:hAnsi="Times New Roman" w:cs="Times New Roman"/>
          <w:sz w:val="20"/>
          <w:szCs w:val="28"/>
        </w:rPr>
        <w:t>evaluated.</w:t>
      </w:r>
    </w:p>
    <w:p w:rsidR="000410B7" w:rsidRPr="00A26C68" w:rsidRDefault="000410B7" w:rsidP="00A26C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System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Suitability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Test:</w:t>
      </w:r>
    </w:p>
    <w:p w:rsidR="00583055" w:rsidRPr="00A26C68" w:rsidRDefault="000C4316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system-suitability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test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important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part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analytical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method,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ascertains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suitability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effectiveness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system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used.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criteria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used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system-suitability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tests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at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each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stage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development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will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vary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with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requirements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its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intended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2617E9" w:rsidRPr="00A26C68">
        <w:rPr>
          <w:rFonts w:ascii="Times New Roman" w:hAnsi="Times New Roman" w:cs="Times New Roman"/>
          <w:sz w:val="20"/>
          <w:szCs w:val="28"/>
        </w:rPr>
        <w:t>application.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System-suitability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studies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conducted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specified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USP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E01B37" w:rsidRPr="00A26C68">
        <w:rPr>
          <w:rFonts w:ascii="Times New Roman" w:hAnsi="Times New Roman" w:cs="Times New Roman"/>
          <w:sz w:val="20"/>
          <w:szCs w:val="28"/>
        </w:rPr>
        <w:t>(</w:t>
      </w:r>
      <w:r w:rsidR="00FD053A" w:rsidRPr="00A26C68">
        <w:rPr>
          <w:rFonts w:ascii="Times New Roman" w:hAnsi="Times New Roman" w:cs="Times New Roman"/>
          <w:sz w:val="20"/>
          <w:szCs w:val="28"/>
        </w:rPr>
        <w:t>United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D053A" w:rsidRPr="00A26C68">
        <w:rPr>
          <w:rFonts w:ascii="Times New Roman" w:hAnsi="Times New Roman" w:cs="Times New Roman"/>
          <w:sz w:val="20"/>
          <w:szCs w:val="28"/>
        </w:rPr>
        <w:t>States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C91995" w:rsidRPr="00A26C68">
        <w:rPr>
          <w:rFonts w:ascii="Times New Roman" w:hAnsi="Times New Roman" w:cs="Times New Roman"/>
          <w:sz w:val="20"/>
          <w:szCs w:val="28"/>
        </w:rPr>
        <w:t>P</w:t>
      </w:r>
      <w:r w:rsidR="00FD053A" w:rsidRPr="00A26C68">
        <w:rPr>
          <w:rFonts w:ascii="Times New Roman" w:hAnsi="Times New Roman" w:cs="Times New Roman"/>
          <w:sz w:val="20"/>
          <w:szCs w:val="28"/>
        </w:rPr>
        <w:t>harmacopeia</w:t>
      </w:r>
      <w:r w:rsidR="00C91995" w:rsidRPr="00A26C68">
        <w:rPr>
          <w:rFonts w:ascii="Times New Roman" w:hAnsi="Times New Roman" w:cs="Times New Roman"/>
          <w:sz w:val="20"/>
          <w:szCs w:val="28"/>
        </w:rPr>
        <w:t>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D053A" w:rsidRPr="00A26C68">
        <w:rPr>
          <w:rFonts w:ascii="Times New Roman" w:hAnsi="Times New Roman" w:cs="Times New Roman"/>
          <w:sz w:val="20"/>
          <w:szCs w:val="28"/>
        </w:rPr>
        <w:t>2017</w:t>
      </w:r>
      <w:r w:rsidR="00E01B37" w:rsidRPr="00A26C68">
        <w:rPr>
          <w:rFonts w:ascii="Times New Roman" w:hAnsi="Times New Roman" w:cs="Times New Roman"/>
          <w:sz w:val="20"/>
          <w:szCs w:val="28"/>
        </w:rPr>
        <w:t>)</w:t>
      </w:r>
      <w:r w:rsidR="001D7513" w:rsidRPr="00A26C68">
        <w:rPr>
          <w:rFonts w:ascii="Times New Roman" w:hAnsi="Times New Roman" w:cs="Times New Roman"/>
          <w:sz w:val="20"/>
          <w:szCs w:val="28"/>
        </w:rPr>
        <w:t>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characteristics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measured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were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retention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time,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tailing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factor,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column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efficiency,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peak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area,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capacity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factor.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values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obtained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are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listed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7513" w:rsidRPr="00A26C68">
        <w:rPr>
          <w:rFonts w:ascii="Times New Roman" w:hAnsi="Times New Roman" w:cs="Times New Roman"/>
          <w:sz w:val="20"/>
          <w:szCs w:val="28"/>
        </w:rPr>
        <w:t>Table</w:t>
      </w:r>
      <w:r w:rsidR="00C91995" w:rsidRPr="00A26C68">
        <w:rPr>
          <w:rFonts w:ascii="Times New Roman" w:hAnsi="Times New Roman" w:cs="Times New Roman"/>
          <w:sz w:val="20"/>
          <w:szCs w:val="28"/>
        </w:rPr>
        <w:t>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67C81" w:rsidRPr="00A26C68">
        <w:rPr>
          <w:rFonts w:ascii="Times New Roman" w:hAnsi="Times New Roman" w:cs="Times New Roman"/>
          <w:sz w:val="20"/>
          <w:szCs w:val="28"/>
        </w:rPr>
        <w:t>(9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&amp; </w:t>
      </w:r>
      <w:r w:rsidR="00867C81" w:rsidRPr="00A26C68">
        <w:rPr>
          <w:rFonts w:ascii="Times New Roman" w:hAnsi="Times New Roman" w:cs="Times New Roman"/>
          <w:sz w:val="20"/>
          <w:szCs w:val="28"/>
        </w:rPr>
        <w:t>10)</w:t>
      </w:r>
      <w:r w:rsidR="002C4F88" w:rsidRPr="00A26C68">
        <w:rPr>
          <w:rFonts w:ascii="Times New Roman" w:hAnsi="Times New Roman" w:cs="Times New Roman"/>
          <w:sz w:val="20"/>
          <w:szCs w:val="28"/>
        </w:rPr>
        <w:t>.</w:t>
      </w: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  <w:sectPr w:rsidR="00A26C68" w:rsidRPr="00A26C68" w:rsidSect="0069645E">
          <w:headerReference w:type="default" r:id="rId35"/>
          <w:footerReference w:type="default" r:id="rId36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35BF9" w:rsidRPr="00A26C68" w:rsidRDefault="00035BF9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/>
        </w:rPr>
      </w:pPr>
    </w:p>
    <w:p w:rsidR="003D25E9" w:rsidRPr="00A26C68" w:rsidRDefault="005A7006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Table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9</w:t>
      </w:r>
      <w:r w:rsidR="00C91995" w:rsidRPr="00A26C68">
        <w:rPr>
          <w:rFonts w:ascii="Times New Roman" w:hAnsi="Times New Roman" w:cs="Times New Roman"/>
          <w:sz w:val="20"/>
          <w:szCs w:val="28"/>
        </w:rPr>
        <w:t>: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D25E9" w:rsidRPr="00A26C68">
        <w:rPr>
          <w:rFonts w:ascii="Times New Roman" w:hAnsi="Times New Roman" w:cs="Times New Roman"/>
          <w:sz w:val="20"/>
          <w:szCs w:val="28"/>
        </w:rPr>
        <w:t>Results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D25E9" w:rsidRPr="00A26C68">
        <w:rPr>
          <w:rFonts w:ascii="Times New Roman" w:hAnsi="Times New Roman" w:cs="Times New Roman"/>
          <w:sz w:val="20"/>
          <w:szCs w:val="28"/>
        </w:rPr>
        <w:t>from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D25E9" w:rsidRPr="00A26C68">
        <w:rPr>
          <w:rFonts w:ascii="Times New Roman" w:hAnsi="Times New Roman" w:cs="Times New Roman"/>
          <w:sz w:val="20"/>
          <w:szCs w:val="28"/>
        </w:rPr>
        <w:t>system-suitability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D25E9" w:rsidRPr="00A26C68">
        <w:rPr>
          <w:rFonts w:ascii="Times New Roman" w:hAnsi="Times New Roman" w:cs="Times New Roman"/>
          <w:sz w:val="20"/>
          <w:szCs w:val="28"/>
        </w:rPr>
        <w:t>study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D25E9"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33835" w:rsidRPr="00A26C68">
        <w:rPr>
          <w:rFonts w:ascii="Times New Roman" w:hAnsi="Times New Roman" w:cs="Times New Roman"/>
          <w:sz w:val="20"/>
          <w:szCs w:val="28"/>
        </w:rPr>
        <w:t>10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D25E9" w:rsidRPr="00A26C68">
        <w:rPr>
          <w:rFonts w:ascii="Times New Roman" w:hAnsi="Times New Roman" w:cs="Times New Roman"/>
          <w:sz w:val="20"/>
          <w:szCs w:val="28"/>
        </w:rPr>
        <w:t>µg/m</w:t>
      </w:r>
      <w:r w:rsidR="007872A8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D25E9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3D25E9" w:rsidRPr="00A26C68">
        <w:rPr>
          <w:rFonts w:ascii="Times New Roman" w:hAnsi="Times New Roman" w:cs="Times New Roman"/>
          <w:sz w:val="20"/>
          <w:szCs w:val="28"/>
        </w:rPr>
        <w:t>sodium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371"/>
        <w:gridCol w:w="1813"/>
        <w:gridCol w:w="1406"/>
        <w:gridCol w:w="2084"/>
        <w:gridCol w:w="1800"/>
      </w:tblGrid>
      <w:tr w:rsidR="00A26C68" w:rsidRPr="00A26C68" w:rsidTr="00A26C68">
        <w:trPr>
          <w:jc w:val="center"/>
        </w:trPr>
        <w:tc>
          <w:tcPr>
            <w:tcW w:w="1251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57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Retention</w:t>
            </w:r>
            <w:r w:rsidR="001348B4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1D10D0" w:rsidRPr="00A26C68">
              <w:rPr>
                <w:rFonts w:ascii="Times New Roman" w:hAnsi="Times New Roman" w:cs="Times New Roman"/>
                <w:sz w:val="20"/>
                <w:szCs w:val="26"/>
              </w:rPr>
              <w:t>T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ime</w:t>
            </w:r>
          </w:p>
        </w:tc>
        <w:tc>
          <w:tcPr>
            <w:tcW w:w="742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Tailing</w:t>
            </w:r>
            <w:r w:rsidR="001348B4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Factor</w:t>
            </w:r>
          </w:p>
        </w:tc>
        <w:tc>
          <w:tcPr>
            <w:tcW w:w="1100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Theoretical</w:t>
            </w:r>
            <w:r w:rsidR="001348B4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Plates</w:t>
            </w:r>
          </w:p>
        </w:tc>
        <w:tc>
          <w:tcPr>
            <w:tcW w:w="950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Peak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area</w:t>
            </w:r>
          </w:p>
        </w:tc>
      </w:tr>
      <w:tr w:rsidR="00A26C68" w:rsidRPr="00A26C68" w:rsidTr="00A26C68">
        <w:trPr>
          <w:jc w:val="center"/>
        </w:trPr>
        <w:tc>
          <w:tcPr>
            <w:tcW w:w="1251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Mean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(n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=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6)</w:t>
            </w:r>
          </w:p>
        </w:tc>
        <w:tc>
          <w:tcPr>
            <w:tcW w:w="957" w:type="pct"/>
            <w:vAlign w:val="center"/>
          </w:tcPr>
          <w:p w:rsidR="009315E4" w:rsidRPr="00A26C68" w:rsidRDefault="00322773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7.89</w:t>
            </w:r>
          </w:p>
        </w:tc>
        <w:tc>
          <w:tcPr>
            <w:tcW w:w="742" w:type="pct"/>
            <w:vAlign w:val="center"/>
          </w:tcPr>
          <w:p w:rsidR="009315E4" w:rsidRPr="00A26C68" w:rsidRDefault="00066B1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1.15</w:t>
            </w:r>
          </w:p>
        </w:tc>
        <w:tc>
          <w:tcPr>
            <w:tcW w:w="1100" w:type="pct"/>
            <w:vAlign w:val="center"/>
          </w:tcPr>
          <w:p w:rsidR="009315E4" w:rsidRPr="00A26C68" w:rsidRDefault="001172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9512.167</w:t>
            </w:r>
          </w:p>
        </w:tc>
        <w:tc>
          <w:tcPr>
            <w:tcW w:w="950" w:type="pct"/>
            <w:vAlign w:val="center"/>
          </w:tcPr>
          <w:p w:rsidR="009315E4" w:rsidRPr="00A26C68" w:rsidRDefault="00166DF7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1005.85</w:t>
            </w:r>
          </w:p>
        </w:tc>
      </w:tr>
      <w:tr w:rsidR="00A26C68" w:rsidRPr="00A26C68" w:rsidTr="00A26C68">
        <w:trPr>
          <w:jc w:val="center"/>
        </w:trPr>
        <w:tc>
          <w:tcPr>
            <w:tcW w:w="1251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RSD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(%)</w:t>
            </w:r>
          </w:p>
        </w:tc>
        <w:tc>
          <w:tcPr>
            <w:tcW w:w="957" w:type="pct"/>
            <w:vAlign w:val="center"/>
          </w:tcPr>
          <w:p w:rsidR="009315E4" w:rsidRPr="00A26C68" w:rsidRDefault="00066B1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0.36</w:t>
            </w:r>
          </w:p>
        </w:tc>
        <w:tc>
          <w:tcPr>
            <w:tcW w:w="742" w:type="pct"/>
            <w:vAlign w:val="center"/>
          </w:tcPr>
          <w:p w:rsidR="009315E4" w:rsidRPr="00A26C68" w:rsidRDefault="00066B15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0.11</w:t>
            </w:r>
          </w:p>
        </w:tc>
        <w:tc>
          <w:tcPr>
            <w:tcW w:w="1100" w:type="pct"/>
            <w:vAlign w:val="center"/>
          </w:tcPr>
          <w:p w:rsidR="009315E4" w:rsidRPr="00A26C68" w:rsidRDefault="0011729F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0.1</w:t>
            </w:r>
          </w:p>
        </w:tc>
        <w:tc>
          <w:tcPr>
            <w:tcW w:w="950" w:type="pct"/>
            <w:vAlign w:val="center"/>
          </w:tcPr>
          <w:p w:rsidR="009315E4" w:rsidRPr="00A26C68" w:rsidRDefault="00166DF7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0.18</w:t>
            </w:r>
          </w:p>
        </w:tc>
      </w:tr>
    </w:tbl>
    <w:p w:rsidR="00312F8E" w:rsidRPr="00A26C68" w:rsidRDefault="00312F8E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56C0E" w:rsidRPr="00A26C68" w:rsidRDefault="00256C0E" w:rsidP="00A26C6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Table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5A7006" w:rsidRPr="00A26C68">
        <w:rPr>
          <w:rFonts w:ascii="Times New Roman" w:hAnsi="Times New Roman" w:cs="Times New Roman"/>
          <w:sz w:val="20"/>
          <w:szCs w:val="28"/>
        </w:rPr>
        <w:t>(10)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Results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from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system-suitability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study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D0791" w:rsidRPr="00A26C68">
        <w:rPr>
          <w:rFonts w:ascii="Times New Roman" w:hAnsi="Times New Roman" w:cs="Times New Roman"/>
          <w:sz w:val="20"/>
          <w:szCs w:val="28"/>
        </w:rPr>
        <w:t>10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µg/m</w:t>
      </w:r>
      <w:r w:rsidR="007872A8" w:rsidRPr="00A26C68">
        <w:rPr>
          <w:rFonts w:ascii="Times New Roman" w:hAnsi="Times New Roman" w:cs="Times New Roman"/>
          <w:sz w:val="20"/>
          <w:szCs w:val="28"/>
        </w:rPr>
        <w:t>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hydrochloride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371"/>
        <w:gridCol w:w="1813"/>
        <w:gridCol w:w="1406"/>
        <w:gridCol w:w="2084"/>
        <w:gridCol w:w="1800"/>
      </w:tblGrid>
      <w:tr w:rsidR="00A26C68" w:rsidRPr="00A26C68" w:rsidTr="00A26C68">
        <w:trPr>
          <w:jc w:val="center"/>
        </w:trPr>
        <w:tc>
          <w:tcPr>
            <w:tcW w:w="1251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57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Retention</w:t>
            </w:r>
            <w:r w:rsidR="001348B4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1D10D0" w:rsidRPr="00A26C68">
              <w:rPr>
                <w:rFonts w:ascii="Times New Roman" w:hAnsi="Times New Roman" w:cs="Times New Roman"/>
                <w:sz w:val="20"/>
                <w:szCs w:val="26"/>
              </w:rPr>
              <w:t>T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ime</w:t>
            </w:r>
          </w:p>
        </w:tc>
        <w:tc>
          <w:tcPr>
            <w:tcW w:w="742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Tailing</w:t>
            </w:r>
            <w:r w:rsidR="001348B4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factor</w:t>
            </w:r>
          </w:p>
        </w:tc>
        <w:tc>
          <w:tcPr>
            <w:tcW w:w="1100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Theoretical</w:t>
            </w:r>
            <w:r w:rsidR="001348B4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plates</w:t>
            </w:r>
          </w:p>
        </w:tc>
        <w:tc>
          <w:tcPr>
            <w:tcW w:w="950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Peak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area</w:t>
            </w:r>
          </w:p>
        </w:tc>
      </w:tr>
      <w:tr w:rsidR="00A26C68" w:rsidRPr="00A26C68" w:rsidTr="00A26C68">
        <w:trPr>
          <w:jc w:val="center"/>
        </w:trPr>
        <w:tc>
          <w:tcPr>
            <w:tcW w:w="1251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Mean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(n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=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6)</w:t>
            </w:r>
          </w:p>
        </w:tc>
        <w:tc>
          <w:tcPr>
            <w:tcW w:w="957" w:type="pct"/>
            <w:vAlign w:val="center"/>
          </w:tcPr>
          <w:p w:rsidR="009315E4" w:rsidRPr="00A26C68" w:rsidRDefault="00AD238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7.897</w:t>
            </w:r>
          </w:p>
        </w:tc>
        <w:tc>
          <w:tcPr>
            <w:tcW w:w="742" w:type="pct"/>
            <w:vAlign w:val="center"/>
          </w:tcPr>
          <w:p w:rsidR="009315E4" w:rsidRPr="00A26C68" w:rsidRDefault="007D02C6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1.204</w:t>
            </w:r>
          </w:p>
        </w:tc>
        <w:tc>
          <w:tcPr>
            <w:tcW w:w="1100" w:type="pct"/>
            <w:vAlign w:val="center"/>
          </w:tcPr>
          <w:p w:rsidR="009315E4" w:rsidRPr="00A26C68" w:rsidRDefault="006130E7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9295.333</w:t>
            </w:r>
          </w:p>
        </w:tc>
        <w:tc>
          <w:tcPr>
            <w:tcW w:w="950" w:type="pct"/>
            <w:vAlign w:val="center"/>
          </w:tcPr>
          <w:p w:rsidR="009315E4" w:rsidRPr="00A26C68" w:rsidRDefault="00350BC1" w:rsidP="00A26C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1246.067</w:t>
            </w:r>
          </w:p>
        </w:tc>
      </w:tr>
      <w:tr w:rsidR="00A26C68" w:rsidRPr="00A26C68" w:rsidTr="00A26C68">
        <w:trPr>
          <w:jc w:val="center"/>
        </w:trPr>
        <w:tc>
          <w:tcPr>
            <w:tcW w:w="1251" w:type="pct"/>
            <w:vAlign w:val="center"/>
          </w:tcPr>
          <w:p w:rsidR="009315E4" w:rsidRPr="00A26C68" w:rsidRDefault="009315E4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RSD</w:t>
            </w:r>
            <w:r w:rsidR="00A26C68" w:rsidRPr="00A26C6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(%)</w:t>
            </w:r>
          </w:p>
        </w:tc>
        <w:tc>
          <w:tcPr>
            <w:tcW w:w="957" w:type="pct"/>
            <w:vAlign w:val="center"/>
          </w:tcPr>
          <w:p w:rsidR="009315E4" w:rsidRPr="00A26C68" w:rsidRDefault="00AD2382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0.52</w:t>
            </w:r>
          </w:p>
        </w:tc>
        <w:tc>
          <w:tcPr>
            <w:tcW w:w="742" w:type="pct"/>
            <w:vAlign w:val="center"/>
          </w:tcPr>
          <w:p w:rsidR="009315E4" w:rsidRPr="00A26C68" w:rsidRDefault="007D02C6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0.065</w:t>
            </w:r>
          </w:p>
        </w:tc>
        <w:tc>
          <w:tcPr>
            <w:tcW w:w="1100" w:type="pct"/>
            <w:vAlign w:val="center"/>
          </w:tcPr>
          <w:p w:rsidR="009315E4" w:rsidRPr="00A26C68" w:rsidRDefault="006130E7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0.055</w:t>
            </w:r>
          </w:p>
        </w:tc>
        <w:tc>
          <w:tcPr>
            <w:tcW w:w="950" w:type="pct"/>
            <w:vAlign w:val="center"/>
          </w:tcPr>
          <w:p w:rsidR="009315E4" w:rsidRPr="00A26C68" w:rsidRDefault="00350BC1" w:rsidP="00A26C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A26C68">
              <w:rPr>
                <w:rFonts w:ascii="Times New Roman" w:hAnsi="Times New Roman" w:cs="Times New Roman"/>
                <w:sz w:val="20"/>
                <w:szCs w:val="26"/>
              </w:rPr>
              <w:t>0.84</w:t>
            </w:r>
          </w:p>
        </w:tc>
      </w:tr>
    </w:tbl>
    <w:p w:rsid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8"/>
          <w:lang w:eastAsia="zh-CN"/>
        </w:rPr>
      </w:pPr>
    </w:p>
    <w:p w:rsidR="00890794" w:rsidRPr="00A26C68" w:rsidRDefault="00890794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8"/>
          <w:lang w:eastAsia="zh-CN"/>
        </w:rPr>
      </w:pP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A26C68" w:rsidRPr="00A26C68" w:rsidSect="0069645E">
          <w:headerReference w:type="default" r:id="rId37"/>
          <w:footerReference w:type="default" r:id="rId38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434C4" w:rsidRPr="00A26C68" w:rsidRDefault="000434C4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ar-EG"/>
        </w:rPr>
      </w:pPr>
      <w:r w:rsidRPr="00A26C68">
        <w:rPr>
          <w:rFonts w:ascii="Times New Roman" w:hAnsi="Times New Roman" w:cs="Times New Roman"/>
          <w:sz w:val="20"/>
          <w:szCs w:val="28"/>
        </w:rPr>
        <w:lastRenderedPageBreak/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availability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new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simple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highly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sensitive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selective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will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very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useful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determination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method,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which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validated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accordance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with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specifications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International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Conference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Harmonization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ICH,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2005</w:t>
      </w:r>
      <w:r w:rsidRPr="00A26C68">
        <w:rPr>
          <w:rFonts w:ascii="Times New Roman" w:hAnsi="Times New Roman" w:cs="Times New Roman"/>
          <w:sz w:val="20"/>
          <w:szCs w:val="28"/>
        </w:rPr>
        <w:t>)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USP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Pharmacopeia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(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United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States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Pharmacopeia,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2017</w:t>
      </w:r>
      <w:r w:rsidRPr="00A26C68">
        <w:rPr>
          <w:rFonts w:ascii="Times New Roman" w:hAnsi="Times New Roman" w:cs="Times New Roman"/>
          <w:sz w:val="20"/>
          <w:szCs w:val="28"/>
        </w:rPr>
        <w:t>),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also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be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used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stability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studies.</w:t>
      </w:r>
    </w:p>
    <w:p w:rsidR="00A26C68" w:rsidRDefault="00A26C68" w:rsidP="00A26C6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EF37FC" w:rsidRPr="00A26C68" w:rsidRDefault="00EF37FC" w:rsidP="00A26C6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Conclusion</w:t>
      </w:r>
    </w:p>
    <w:p w:rsidR="00EF37FC" w:rsidRPr="00A26C68" w:rsidRDefault="00194125" w:rsidP="00A26C6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We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could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conclude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that,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applicable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monitoring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of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ceftiofure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levels,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provides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simple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mobile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phase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composition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chromatographic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separation,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simple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sample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preparation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well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improved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sensitivity.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Therefore,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developed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HPLC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can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be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conveniently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adopted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for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the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routine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quality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control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analysis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14DBF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leads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simple,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C3F4B" w:rsidRPr="00A26C68">
        <w:rPr>
          <w:rFonts w:ascii="Times New Roman" w:hAnsi="Times New Roman" w:cs="Times New Roman"/>
          <w:sz w:val="20"/>
          <w:szCs w:val="28"/>
        </w:rPr>
        <w:t>precise</w:t>
      </w:r>
      <w:r w:rsidRPr="00A26C68">
        <w:rPr>
          <w:rFonts w:ascii="Times New Roman" w:hAnsi="Times New Roman" w:cs="Times New Roman"/>
          <w:sz w:val="20"/>
          <w:szCs w:val="28"/>
        </w:rPr>
        <w:t>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cost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effective,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rapid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method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with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high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accuracy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to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quantify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simultaneously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D3C6F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D3C6F" w:rsidRPr="00A26C68">
        <w:rPr>
          <w:rFonts w:ascii="Times New Roman" w:hAnsi="Times New Roman" w:cs="Times New Roman"/>
          <w:sz w:val="20"/>
          <w:szCs w:val="28"/>
        </w:rPr>
        <w:t>hydrochloride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D3C6F" w:rsidRPr="00A26C68">
        <w:rPr>
          <w:rFonts w:ascii="Times New Roman" w:hAnsi="Times New Roman" w:cs="Times New Roman"/>
          <w:sz w:val="20"/>
          <w:szCs w:val="28"/>
        </w:rPr>
        <w:t>and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D3C6F" w:rsidRPr="00A26C68">
        <w:rPr>
          <w:rFonts w:ascii="Times New Roman" w:hAnsi="Times New Roman" w:cs="Times New Roman"/>
          <w:sz w:val="20"/>
          <w:szCs w:val="28"/>
        </w:rPr>
        <w:t>ceftiofur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D3C6F" w:rsidRPr="00A26C68">
        <w:rPr>
          <w:rFonts w:ascii="Times New Roman" w:hAnsi="Times New Roman" w:cs="Times New Roman"/>
          <w:sz w:val="20"/>
          <w:szCs w:val="28"/>
        </w:rPr>
        <w:t>sodium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D3C6F" w:rsidRPr="00A26C68">
        <w:rPr>
          <w:rFonts w:ascii="Times New Roman" w:hAnsi="Times New Roman" w:cs="Times New Roman"/>
          <w:sz w:val="20"/>
          <w:szCs w:val="28"/>
        </w:rPr>
        <w:t>in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D3C6F" w:rsidRPr="00A26C68">
        <w:rPr>
          <w:rFonts w:ascii="Times New Roman" w:hAnsi="Times New Roman" w:cs="Times New Roman"/>
          <w:sz w:val="20"/>
          <w:szCs w:val="28"/>
        </w:rPr>
        <w:t>pharmaceutical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D3C6F" w:rsidRPr="00A26C68">
        <w:rPr>
          <w:rFonts w:ascii="Times New Roman" w:hAnsi="Times New Roman" w:cs="Times New Roman"/>
          <w:sz w:val="20"/>
          <w:szCs w:val="28"/>
        </w:rPr>
        <w:t>formulations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D3C6F" w:rsidRPr="00A26C68">
        <w:rPr>
          <w:rFonts w:ascii="Times New Roman" w:hAnsi="Times New Roman" w:cs="Times New Roman"/>
          <w:sz w:val="20"/>
          <w:szCs w:val="28"/>
        </w:rPr>
        <w:t>with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FD3C6F" w:rsidRPr="00A26C68">
        <w:rPr>
          <w:rFonts w:ascii="Times New Roman" w:hAnsi="Times New Roman" w:cs="Times New Roman"/>
          <w:sz w:val="20"/>
          <w:szCs w:val="28"/>
        </w:rPr>
        <w:t>HPLC.</w:t>
      </w:r>
    </w:p>
    <w:p w:rsidR="00A26C68" w:rsidRDefault="00A26C68" w:rsidP="00A26C68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9C515B" w:rsidRPr="00A26C68" w:rsidRDefault="009C515B" w:rsidP="00A26C68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Corresponding</w:t>
      </w:r>
      <w:r w:rsidR="00A26C68"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>Author:</w:t>
      </w:r>
    </w:p>
    <w:p w:rsidR="009C515B" w:rsidRPr="00A26C68" w:rsidRDefault="009C515B" w:rsidP="00A26C68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Elham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A.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Mobarez</w:t>
      </w:r>
    </w:p>
    <w:p w:rsidR="009C515B" w:rsidRPr="00A26C68" w:rsidRDefault="009C515B" w:rsidP="00A26C68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Animal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Health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Research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Institute,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Dokki,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Giza,</w:t>
      </w:r>
      <w:r w:rsidR="00A26C68"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Pr="00A26C68">
        <w:rPr>
          <w:rFonts w:ascii="Times New Roman" w:hAnsi="Times New Roman" w:cs="Times New Roman"/>
          <w:sz w:val="20"/>
          <w:szCs w:val="28"/>
        </w:rPr>
        <w:t>Egypt</w:t>
      </w:r>
    </w:p>
    <w:p w:rsidR="009C515B" w:rsidRPr="00A26C68" w:rsidRDefault="009C515B" w:rsidP="00A26C68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Elham_pharmacology@yahoo.com</w:t>
      </w:r>
    </w:p>
    <w:p w:rsidR="00035BF9" w:rsidRPr="00A26C68" w:rsidRDefault="00035BF9" w:rsidP="00A26C68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A26C68" w:rsidRPr="00A26C68" w:rsidRDefault="00604B40" w:rsidP="00A26C68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0"/>
          <w:szCs w:val="28"/>
        </w:rPr>
      </w:pPr>
      <w:r w:rsidRPr="00A26C68">
        <w:rPr>
          <w:rFonts w:ascii="Times New Roman" w:hAnsi="Times New Roman" w:cs="Times New Roman"/>
          <w:b/>
          <w:bCs/>
          <w:sz w:val="20"/>
          <w:szCs w:val="28"/>
        </w:rPr>
        <w:t>References</w:t>
      </w:r>
      <w:r w:rsidRPr="00A26C68">
        <w:rPr>
          <w:rFonts w:ascii="Times New Roman" w:eastAsia="Times New Roman" w:hAnsi="Times New Roman" w:cs="Times New Roman"/>
          <w:b/>
          <w:bCs/>
          <w:caps/>
          <w:sz w:val="20"/>
          <w:szCs w:val="28"/>
        </w:rPr>
        <w:t>: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A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rrioja-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Dechert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</w:t>
      </w:r>
      <w:r w:rsidR="008F2AE9" w:rsidRPr="00A26C68">
        <w:rPr>
          <w:rFonts w:ascii="Times New Roman" w:hAnsi="Times New Roman" w:cs="Times New Roman"/>
          <w:bCs/>
          <w:sz w:val="20"/>
          <w:szCs w:val="28"/>
        </w:rPr>
        <w:t>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Naxcel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sterile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powder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compendium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veterinary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products</w:t>
      </w:r>
      <w:r w:rsidR="00035BF9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ED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6.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Port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huron</w:t>
      </w:r>
      <w:r w:rsidR="00035BF9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MI,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North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American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compendiums</w:t>
      </w:r>
      <w:r w:rsidR="007502AD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7502AD" w:rsidRPr="00A26C68">
        <w:rPr>
          <w:rFonts w:ascii="Times New Roman" w:hAnsi="Times New Roman" w:cs="Times New Roman"/>
          <w:sz w:val="20"/>
          <w:szCs w:val="28"/>
        </w:rPr>
        <w:t>2001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P1747.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bookmarkStart w:id="0" w:name="_Hlk500527700"/>
      <w:r w:rsidRPr="00A26C68">
        <w:rPr>
          <w:rFonts w:ascii="Times New Roman" w:hAnsi="Times New Roman" w:cs="Times New Roman"/>
          <w:bCs/>
          <w:sz w:val="20"/>
          <w:szCs w:val="28"/>
        </w:rPr>
        <w:t>A</w:t>
      </w:r>
      <w:r w:rsidR="00857E90" w:rsidRPr="00A26C68">
        <w:rPr>
          <w:rFonts w:ascii="Times New Roman" w:hAnsi="Times New Roman" w:cs="Times New Roman"/>
          <w:bCs/>
          <w:sz w:val="20"/>
          <w:szCs w:val="28"/>
        </w:rPr>
        <w:t>nnapurna</w:t>
      </w:r>
      <w:bookmarkEnd w:id="0"/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bCs/>
          <w:sz w:val="20"/>
          <w:szCs w:val="28"/>
        </w:rPr>
        <w:t>V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bCs/>
          <w:sz w:val="20"/>
          <w:szCs w:val="28"/>
        </w:rPr>
        <w:t>Jyothi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bCs/>
          <w:sz w:val="20"/>
          <w:szCs w:val="28"/>
        </w:rPr>
        <w:t>G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bCs/>
          <w:sz w:val="20"/>
          <w:szCs w:val="28"/>
        </w:rPr>
        <w:t>Rambabu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bCs/>
          <w:sz w:val="20"/>
          <w:szCs w:val="28"/>
        </w:rPr>
        <w:t>C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bCs/>
          <w:sz w:val="20"/>
          <w:szCs w:val="28"/>
        </w:rPr>
        <w:t>Sailaja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bCs/>
          <w:sz w:val="20"/>
          <w:szCs w:val="28"/>
        </w:rPr>
        <w:t>BV.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66146B" w:rsidRPr="00A26C68">
        <w:rPr>
          <w:rFonts w:ascii="Times New Roman" w:hAnsi="Times New Roman" w:cs="Times New Roman"/>
          <w:sz w:val="20"/>
          <w:szCs w:val="28"/>
        </w:rPr>
        <w:t>Spectrophotometric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6146B" w:rsidRPr="00A26C68">
        <w:rPr>
          <w:rFonts w:ascii="Times New Roman" w:hAnsi="Times New Roman" w:cs="Times New Roman"/>
          <w:sz w:val="20"/>
          <w:szCs w:val="28"/>
        </w:rPr>
        <w:t>Determination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6146B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6146B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6146B" w:rsidRPr="00A26C68">
        <w:rPr>
          <w:rFonts w:ascii="Times New Roman" w:hAnsi="Times New Roman" w:cs="Times New Roman"/>
          <w:sz w:val="20"/>
          <w:szCs w:val="28"/>
        </w:rPr>
        <w:t>Hydrochloride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6146B" w:rsidRPr="00A26C68">
        <w:rPr>
          <w:rFonts w:ascii="Times New Roman" w:hAnsi="Times New Roman" w:cs="Times New Roman"/>
          <w:sz w:val="20"/>
          <w:szCs w:val="28"/>
        </w:rPr>
        <w:t>Using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6146B" w:rsidRPr="00A26C68">
        <w:rPr>
          <w:rFonts w:ascii="Times New Roman" w:hAnsi="Times New Roman" w:cs="Times New Roman"/>
          <w:i/>
          <w:iCs/>
          <w:sz w:val="20"/>
          <w:szCs w:val="28"/>
        </w:rPr>
        <w:t>N</w:t>
      </w:r>
      <w:r w:rsidR="0066146B" w:rsidRPr="00A26C68">
        <w:rPr>
          <w:rFonts w:ascii="Times New Roman" w:hAnsi="Times New Roman" w:cs="Times New Roman"/>
          <w:sz w:val="20"/>
          <w:szCs w:val="28"/>
        </w:rPr>
        <w:t>-Bromosuccinimide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6146B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6146B" w:rsidRPr="00A26C68">
        <w:rPr>
          <w:rFonts w:ascii="Times New Roman" w:hAnsi="Times New Roman" w:cs="Times New Roman"/>
          <w:i/>
          <w:iCs/>
          <w:sz w:val="20"/>
          <w:szCs w:val="28"/>
        </w:rPr>
        <w:t>p</w:t>
      </w:r>
      <w:r w:rsidR="0066146B" w:rsidRPr="00A26C68">
        <w:rPr>
          <w:rFonts w:ascii="Times New Roman" w:hAnsi="Times New Roman" w:cs="Times New Roman"/>
          <w:sz w:val="20"/>
          <w:szCs w:val="28"/>
        </w:rPr>
        <w:t>-Dimethylaminobenzaldehyde</w:t>
      </w:r>
      <w:r w:rsidR="00857E90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sz w:val="20"/>
          <w:szCs w:val="28"/>
        </w:rPr>
        <w:t>Journal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sz w:val="20"/>
          <w:szCs w:val="28"/>
        </w:rPr>
        <w:t>Chemistry</w:t>
      </w:r>
      <w:r w:rsidR="006C654D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502AD" w:rsidRPr="00A26C68">
        <w:rPr>
          <w:rFonts w:ascii="Times New Roman" w:hAnsi="Times New Roman" w:cs="Times New Roman"/>
          <w:sz w:val="20"/>
          <w:szCs w:val="28"/>
        </w:rPr>
        <w:t>2009;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sz w:val="20"/>
          <w:szCs w:val="28"/>
        </w:rPr>
        <w:t>6(3)</w:t>
      </w:r>
      <w:r w:rsidR="006C654D" w:rsidRPr="00A26C68">
        <w:rPr>
          <w:rFonts w:ascii="Times New Roman" w:hAnsi="Times New Roman" w:cs="Times New Roman"/>
          <w:sz w:val="20"/>
          <w:szCs w:val="28"/>
        </w:rPr>
        <w:t>: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857E90" w:rsidRPr="00A26C68">
        <w:rPr>
          <w:rFonts w:ascii="Times New Roman" w:hAnsi="Times New Roman" w:cs="Times New Roman"/>
          <w:sz w:val="20"/>
          <w:szCs w:val="28"/>
        </w:rPr>
        <w:t>763-769.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B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econi-Barker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MG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Smith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EB</w:t>
      </w:r>
      <w:r w:rsidR="00F914F1" w:rsidRPr="00A26C68">
        <w:rPr>
          <w:rFonts w:ascii="Times New Roman" w:hAnsi="Times New Roman" w:cs="Times New Roman"/>
          <w:bCs/>
          <w:sz w:val="20"/>
          <w:szCs w:val="28"/>
        </w:rPr>
        <w:t>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Metabolism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different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salt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C654D" w:rsidRPr="00A26C68">
        <w:rPr>
          <w:rFonts w:ascii="Times New Roman" w:hAnsi="Times New Roman" w:cs="Times New Roman"/>
          <w:sz w:val="20"/>
          <w:szCs w:val="28"/>
        </w:rPr>
        <w:t>forms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C654D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C654D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C654D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6C654D" w:rsidRPr="00A26C68">
        <w:rPr>
          <w:rFonts w:ascii="Times New Roman" w:hAnsi="Times New Roman" w:cs="Times New Roman"/>
          <w:sz w:val="20"/>
          <w:szCs w:val="28"/>
        </w:rPr>
        <w:t>target</w:t>
      </w:r>
      <w:r w:rsidR="00D24985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Proc</w:t>
      </w:r>
      <w:r w:rsidR="006C654D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Euro</w:t>
      </w:r>
      <w:r w:rsidR="006C654D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Residue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eastAsia="Times New Roman" w:hAnsi="Times New Roman" w:cs="Times New Roman"/>
          <w:caps/>
          <w:sz w:val="20"/>
          <w:szCs w:val="28"/>
        </w:rPr>
        <w:t>III</w:t>
      </w:r>
      <w:r w:rsidRPr="00A26C68">
        <w:rPr>
          <w:rFonts w:ascii="Times New Roman" w:eastAsia="Times New Roman" w:hAnsi="Times New Roman" w:cs="Times New Roman"/>
          <w:cap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Congr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7502AD" w:rsidRPr="00A26C68">
        <w:rPr>
          <w:rFonts w:ascii="Times New Roman" w:hAnsi="Times New Roman" w:cs="Times New Roman"/>
          <w:sz w:val="20"/>
          <w:szCs w:val="28"/>
        </w:rPr>
        <w:t>1996;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eastAsia="Times New Roman" w:hAnsi="Times New Roman" w:cs="Times New Roman"/>
          <w:caps/>
          <w:sz w:val="20"/>
          <w:szCs w:val="28"/>
        </w:rPr>
        <w:t>233-237.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B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rown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SA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Hanson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B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J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Mignot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Millérioux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L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Hamlow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PJ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Hubbard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VL.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Comparison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plasma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pharmacokinetics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bioavailability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sodium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hydrochloride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pigs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after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single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intramuscular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injection.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</w:t>
      </w:r>
      <w:r w:rsidR="009670D1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Vet</w:t>
      </w:r>
      <w:r w:rsidR="009670D1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Pharmacol</w:t>
      </w:r>
      <w:r w:rsidR="009670D1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Ther</w:t>
      </w:r>
      <w:r w:rsidR="006C654D" w:rsidRPr="00A26C68">
        <w:rPr>
          <w:rFonts w:ascii="Times New Roman" w:hAnsi="Times New Roman" w:cs="Times New Roman"/>
          <w:sz w:val="20"/>
          <w:szCs w:val="28"/>
        </w:rPr>
        <w:t>.,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7502AD" w:rsidRPr="00A26C68">
        <w:rPr>
          <w:rFonts w:ascii="Times New Roman" w:hAnsi="Times New Roman" w:cs="Times New Roman"/>
          <w:sz w:val="20"/>
          <w:szCs w:val="28"/>
        </w:rPr>
        <w:t>1999;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(22):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35–40.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B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runo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F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Curini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Di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Corcia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Nazzari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M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Samperi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Solid-phase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extraction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followed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liquid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chromatography–mass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spectrometry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for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trace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determination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betalactam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antibiotics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bovine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milk.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</w:t>
      </w:r>
      <w:r w:rsidR="006C654D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Agric</w:t>
      </w:r>
      <w:r w:rsidR="006C654D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Food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Chem</w:t>
      </w:r>
      <w:r w:rsidR="006C654D" w:rsidRPr="00A26C68">
        <w:rPr>
          <w:rFonts w:ascii="Times New Roman" w:hAnsi="Times New Roman" w:cs="Times New Roman"/>
          <w:sz w:val="20"/>
          <w:szCs w:val="28"/>
        </w:rPr>
        <w:t>.,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7502AD" w:rsidRPr="00A26C68">
        <w:rPr>
          <w:rFonts w:ascii="Times New Roman" w:hAnsi="Times New Roman" w:cs="Times New Roman"/>
          <w:sz w:val="20"/>
          <w:szCs w:val="28"/>
        </w:rPr>
        <w:t>2001;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49:3463–3470.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D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alhoff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Antibiotics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chemotherapy.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Karger,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New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York,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7502AD" w:rsidRPr="00A26C68">
        <w:rPr>
          <w:rFonts w:ascii="Times New Roman" w:hAnsi="Times New Roman" w:cs="Times New Roman"/>
          <w:sz w:val="20"/>
          <w:szCs w:val="28"/>
        </w:rPr>
        <w:t>1998;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pp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148.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lastRenderedPageBreak/>
        <w:t>E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rskine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RJ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Wilson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RC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Tyler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JW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McClure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KA</w:t>
      </w:r>
      <w:r w:rsidR="007502AD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Nelson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RS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Spears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HJ.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distribution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serum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milk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from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clinically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normal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cows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with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experimental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Escherichia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coli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induced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mastitis.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American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Journal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Veterinary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Research</w:t>
      </w:r>
      <w:r w:rsidR="00876B41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3337" w:rsidRPr="00A26C68">
        <w:rPr>
          <w:rFonts w:ascii="Times New Roman" w:hAnsi="Times New Roman" w:cs="Times New Roman"/>
          <w:sz w:val="20"/>
          <w:szCs w:val="28"/>
        </w:rPr>
        <w:t>1995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;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56: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481–485.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I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CH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International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conference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harmonization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technical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requirements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for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registration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pharmaceuticals,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validation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analytical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procedures;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methodology,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harmonized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tripartite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guideline.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ICH,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Geneva</w:t>
      </w:r>
      <w:r w:rsidR="00A53337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3337" w:rsidRPr="00A26C68">
        <w:rPr>
          <w:rFonts w:ascii="Times New Roman" w:hAnsi="Times New Roman" w:cs="Times New Roman"/>
          <w:sz w:val="20"/>
          <w:szCs w:val="28"/>
        </w:rPr>
        <w:t>2005</w:t>
      </w:r>
      <w:r w:rsidR="00D24985" w:rsidRPr="00A26C68">
        <w:rPr>
          <w:rFonts w:ascii="Times New Roman" w:hAnsi="Times New Roman" w:cs="Times New Roman"/>
          <w:sz w:val="20"/>
          <w:szCs w:val="28"/>
        </w:rPr>
        <w:t>.</w:t>
      </w:r>
    </w:p>
    <w:p w:rsidR="001348B4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J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acobson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GA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Martinod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Cunningham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CP.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Determination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bovine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plasma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HPLC-DAD.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</w:t>
      </w:r>
      <w:r w:rsidR="00876B41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Pharm</w:t>
      </w:r>
      <w:r w:rsidR="00876B41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Biomed</w:t>
      </w:r>
      <w:r w:rsidR="00876B41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Anal</w:t>
      </w:r>
      <w:r w:rsidR="00876B41" w:rsidRPr="00A26C68">
        <w:rPr>
          <w:rFonts w:ascii="Times New Roman" w:hAnsi="Times New Roman" w:cs="Times New Roman"/>
          <w:sz w:val="20"/>
          <w:szCs w:val="28"/>
        </w:rPr>
        <w:t>.,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A53337" w:rsidRPr="00A26C68">
        <w:rPr>
          <w:rFonts w:ascii="Times New Roman" w:hAnsi="Times New Roman" w:cs="Times New Roman"/>
          <w:sz w:val="20"/>
          <w:szCs w:val="28"/>
        </w:rPr>
        <w:t>2006;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40: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1249–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125</w:t>
      </w:r>
      <w:r w:rsidR="001348B4" w:rsidRPr="00A26C68">
        <w:rPr>
          <w:rFonts w:ascii="Times New Roman" w:hAnsi="Times New Roman" w:cs="Times New Roman"/>
          <w:sz w:val="20"/>
          <w:szCs w:val="28"/>
        </w:rPr>
        <w:t>2</w:t>
      </w:r>
      <w:r w:rsidR="001348B4">
        <w:rPr>
          <w:rFonts w:ascii="Times New Roman" w:hAnsi="Times New Roman" w:cs="Times New Roman"/>
          <w:sz w:val="20"/>
          <w:szCs w:val="28"/>
        </w:rPr>
        <w:t>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bookmarkStart w:id="1" w:name="_Hlk500089490"/>
      <w:r w:rsidRPr="00A26C68">
        <w:rPr>
          <w:rFonts w:ascii="Times New Roman" w:hAnsi="Times New Roman" w:cs="Times New Roman"/>
          <w:bCs/>
          <w:sz w:val="20"/>
          <w:szCs w:val="28"/>
        </w:rPr>
        <w:t>K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eerthisikha</w:t>
      </w:r>
      <w:bookmarkEnd w:id="1"/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P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Sreenivasa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CA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Nagamallika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L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Ranganayakulu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D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Rajasekhar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KK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Shankarananth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V</w:t>
      </w:r>
      <w:r w:rsidR="00F83DFB" w:rsidRPr="00A26C68">
        <w:rPr>
          <w:rFonts w:ascii="Times New Roman" w:hAnsi="Times New Roman" w:cs="Times New Roman"/>
          <w:bCs/>
          <w:sz w:val="20"/>
          <w:szCs w:val="28"/>
        </w:rPr>
        <w:t>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RP-HPLC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method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for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the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estimation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hydrochloride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bulk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form.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Journal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F71C0" w:rsidRPr="00A26C68">
        <w:rPr>
          <w:rFonts w:ascii="Times New Roman" w:hAnsi="Times New Roman" w:cs="Times New Roman"/>
          <w:sz w:val="20"/>
          <w:szCs w:val="28"/>
        </w:rPr>
        <w:t>P</w:t>
      </w:r>
      <w:r w:rsidR="00D24985" w:rsidRPr="00A26C68">
        <w:rPr>
          <w:rFonts w:ascii="Times New Roman" w:hAnsi="Times New Roman" w:cs="Times New Roman"/>
          <w:sz w:val="20"/>
          <w:szCs w:val="28"/>
        </w:rPr>
        <w:t>harmacy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F71C0" w:rsidRPr="00A26C68">
        <w:rPr>
          <w:rFonts w:ascii="Times New Roman" w:hAnsi="Times New Roman" w:cs="Times New Roman"/>
          <w:sz w:val="20"/>
          <w:szCs w:val="28"/>
        </w:rPr>
        <w:t>R</w:t>
      </w:r>
      <w:r w:rsidR="00D24985" w:rsidRPr="00A26C68">
        <w:rPr>
          <w:rFonts w:ascii="Times New Roman" w:hAnsi="Times New Roman" w:cs="Times New Roman"/>
          <w:sz w:val="20"/>
          <w:szCs w:val="28"/>
        </w:rPr>
        <w:t>esearch</w:t>
      </w:r>
      <w:r w:rsidR="00DF71C0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A53337" w:rsidRPr="00A26C68">
        <w:rPr>
          <w:rFonts w:ascii="Times New Roman" w:hAnsi="Times New Roman" w:cs="Times New Roman"/>
          <w:sz w:val="20"/>
          <w:szCs w:val="28"/>
        </w:rPr>
        <w:t>2013;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7: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246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-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2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51.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K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eever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J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Voykner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Tyczkowska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KL.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Quantitative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determination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milk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liquid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chromatography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electrospray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mass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spectrometry</w:t>
      </w:r>
      <w:r w:rsidR="008129D8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Journal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Chromatography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3337" w:rsidRPr="00A26C68">
        <w:rPr>
          <w:rFonts w:ascii="Times New Roman" w:hAnsi="Times New Roman" w:cs="Times New Roman"/>
          <w:sz w:val="20"/>
          <w:szCs w:val="28"/>
        </w:rPr>
        <w:t>1998;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794: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57–62.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M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akeswaran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Patterson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I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Points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J.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analytical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method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to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determine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conjugated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residues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milk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using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liquid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chromatography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with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tandem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mass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spectrometry.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Anal.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Chem.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Acta.,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3337" w:rsidRPr="00A26C68">
        <w:rPr>
          <w:rFonts w:ascii="Times New Roman" w:hAnsi="Times New Roman" w:cs="Times New Roman"/>
          <w:sz w:val="20"/>
          <w:szCs w:val="28"/>
        </w:rPr>
        <w:t>2005;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529</w:t>
      </w:r>
      <w:r w:rsidR="00876B41" w:rsidRPr="00A26C68">
        <w:rPr>
          <w:rFonts w:ascii="Times New Roman" w:hAnsi="Times New Roman" w:cs="Times New Roman"/>
          <w:sz w:val="20"/>
          <w:szCs w:val="28"/>
        </w:rPr>
        <w:t>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151-157.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M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erck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The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Merck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index,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13</w:t>
      </w:r>
      <w:r w:rsidR="00D24985" w:rsidRPr="00A26C68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ed.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Whitehouse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Station,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New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Jersey,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3337" w:rsidRPr="00A26C68">
        <w:rPr>
          <w:rFonts w:ascii="Times New Roman" w:hAnsi="Times New Roman" w:cs="Times New Roman"/>
          <w:sz w:val="20"/>
          <w:szCs w:val="28"/>
        </w:rPr>
        <w:t>2001;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pp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334</w:t>
      </w:r>
      <w:r w:rsidR="001348B4" w:rsidRPr="00A26C68">
        <w:rPr>
          <w:rFonts w:ascii="Times New Roman" w:hAnsi="Times New Roman" w:cs="Times New Roman"/>
          <w:sz w:val="20"/>
          <w:szCs w:val="28"/>
        </w:rPr>
        <w:t>.</w:t>
      </w:r>
      <w:r w:rsidR="001348B4">
        <w:rPr>
          <w:rFonts w:ascii="Times New Roman" w:hAnsi="Times New Roman" w:cs="Times New Roman"/>
          <w:sz w:val="20"/>
          <w:szCs w:val="28"/>
        </w:rPr>
        <w:t xml:space="preserve"> </w:t>
      </w:r>
      <w:r w:rsidR="001348B4" w:rsidRPr="00A26C68">
        <w:rPr>
          <w:rFonts w:ascii="Times New Roman" w:hAnsi="Times New Roman" w:cs="Times New Roman"/>
          <w:bCs/>
          <w:sz w:val="20"/>
          <w:szCs w:val="28"/>
        </w:rPr>
        <w:t>N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eu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HC.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Clinical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uses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cephalosporins.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The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Lancet</w:t>
      </w:r>
      <w:r w:rsidR="00876B41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3337" w:rsidRPr="00A26C68">
        <w:rPr>
          <w:rFonts w:ascii="Times New Roman" w:hAnsi="Times New Roman" w:cs="Times New Roman"/>
          <w:sz w:val="20"/>
          <w:szCs w:val="28"/>
        </w:rPr>
        <w:t>1992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;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2(8292):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252–255.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S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almon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SA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Watts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JL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Case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CA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Hoffman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LJ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Wegener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HC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Yancey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RJ.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Comparison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MICs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other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antimicrobial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agents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against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bacterial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pathogens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swine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from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the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United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States,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Canada,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Denmark.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Journal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Clinical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Microbiology</w:t>
      </w:r>
      <w:r w:rsidR="00876B41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A53337" w:rsidRPr="00A26C68">
        <w:rPr>
          <w:rFonts w:ascii="Times New Roman" w:hAnsi="Times New Roman" w:cs="Times New Roman"/>
          <w:sz w:val="20"/>
          <w:szCs w:val="28"/>
        </w:rPr>
        <w:t>1995;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33: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2435–2444.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S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amitz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EM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Spencey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SJ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Hirsh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Dc</w:t>
      </w:r>
      <w:r w:rsidR="00B31D66" w:rsidRPr="00A26C68">
        <w:rPr>
          <w:rFonts w:ascii="Times New Roman" w:hAnsi="Times New Roman" w:cs="Times New Roman"/>
          <w:bCs/>
          <w:sz w:val="20"/>
          <w:szCs w:val="28"/>
        </w:rPr>
        <w:t>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vitro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susceptibilities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selected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obligate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anaerobic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bacteria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obtained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from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bovine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equine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sources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to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ceftiofur.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Vet.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Diagn.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Invest.</w:t>
      </w:r>
      <w:r w:rsidR="00876B41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A53337" w:rsidRPr="00A26C68">
        <w:rPr>
          <w:rFonts w:ascii="Times New Roman" w:hAnsi="Times New Roman" w:cs="Times New Roman"/>
          <w:sz w:val="20"/>
          <w:szCs w:val="28"/>
        </w:rPr>
        <w:t>1996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8:121-123.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S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orensen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LK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Snor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LK.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Determination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cephalosporins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raw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bovine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milk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high-performance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liquid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chromatography.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</w:t>
      </w:r>
      <w:r w:rsidR="00876B41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Chromatogr</w:t>
      </w:r>
      <w:r w:rsidR="00876B41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</w:t>
      </w:r>
      <w:r w:rsidR="00876B41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3337" w:rsidRPr="00A26C68">
        <w:rPr>
          <w:rFonts w:ascii="Times New Roman" w:hAnsi="Times New Roman" w:cs="Times New Roman"/>
          <w:sz w:val="20"/>
          <w:szCs w:val="28"/>
        </w:rPr>
        <w:t>2000</w:t>
      </w:r>
      <w:r w:rsidR="00A53337" w:rsidRPr="00A26C68">
        <w:rPr>
          <w:rFonts w:ascii="Times New Roman" w:hAnsi="Times New Roman" w:cs="Times New Roman"/>
          <w:bCs/>
          <w:sz w:val="20"/>
          <w:szCs w:val="28"/>
        </w:rPr>
        <w:t>;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882:145–151.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S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tanek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C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Kofler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J.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the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treatment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complicated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septic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disorders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the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bovine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digit,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using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combination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surgical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therapy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application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Sodium-Ceftiofur.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Tierarztliche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lastRenderedPageBreak/>
        <w:t>Praxis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Ausgabe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G: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Grosstiere/Nutztiere</w:t>
      </w:r>
      <w:r w:rsidR="00876B41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A53337" w:rsidRPr="00A26C68">
        <w:rPr>
          <w:rFonts w:ascii="Times New Roman" w:hAnsi="Times New Roman" w:cs="Times New Roman"/>
          <w:sz w:val="20"/>
          <w:szCs w:val="28"/>
        </w:rPr>
        <w:t>1998;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26: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314–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317.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T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yczkowska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KL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Voyksner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RD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Straub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RF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Aronson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AL.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Simultaneous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multiresidue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analysis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beta-lactam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antibiotics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bovine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milk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liquid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chromatography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with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ultraviolet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detection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confirmation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electrospray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mass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spectrometry.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Journal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AOAC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International</w:t>
      </w:r>
      <w:r w:rsidR="00876B41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B0FF8" w:rsidRPr="00A26C68">
        <w:rPr>
          <w:rFonts w:ascii="Times New Roman" w:hAnsi="Times New Roman" w:cs="Times New Roman"/>
          <w:sz w:val="20"/>
          <w:szCs w:val="28"/>
        </w:rPr>
        <w:t>1994;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77:1122–1131.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T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yczkowska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KL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Voyksner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RD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Straub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RF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Anderson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KL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Aronson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AL.</w:t>
      </w:r>
      <w:r w:rsidRPr="00A26C68">
        <w:rPr>
          <w:rFonts w:ascii="Times New Roman" w:hAnsi="Times New Roman" w:cs="Times New Roman"/>
          <w:sz w:val="20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Determination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its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metabolite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desfuroylceftiofur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bovine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serum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milk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ion-paired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liquid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chromatography.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Journal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Chromatography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Biomedical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Sciences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Applications</w:t>
      </w:r>
      <w:r w:rsidR="00876B41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B0FF8" w:rsidRPr="00A26C68">
        <w:rPr>
          <w:rFonts w:ascii="Times New Roman" w:hAnsi="Times New Roman" w:cs="Times New Roman"/>
          <w:sz w:val="20"/>
          <w:szCs w:val="28"/>
        </w:rPr>
        <w:t>1993;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614:123–134.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U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nited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States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pharmacopeia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United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States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pharmacopeia,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40</w:t>
      </w:r>
      <w:r w:rsidR="00D24985" w:rsidRPr="00A26C68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ed.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USP,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physical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tests/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(621)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</w:t>
      </w:r>
      <w:r w:rsidR="00A30BBD" w:rsidRPr="00A26C68">
        <w:rPr>
          <w:rFonts w:ascii="Times New Roman" w:hAnsi="Times New Roman" w:cs="Times New Roman"/>
          <w:sz w:val="20"/>
          <w:szCs w:val="28"/>
        </w:rPr>
        <w:t>hromatography</w:t>
      </w:r>
      <w:r w:rsidR="00D24985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Rockville,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B0FF8" w:rsidRPr="00A26C68">
        <w:rPr>
          <w:rFonts w:ascii="Times New Roman" w:hAnsi="Times New Roman" w:cs="Times New Roman"/>
          <w:sz w:val="20"/>
          <w:szCs w:val="28"/>
        </w:rPr>
        <w:t>2017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;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pp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508–520.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lastRenderedPageBreak/>
        <w:t>W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atts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JL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Yancey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RJ,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Salmon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SA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Case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CA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four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year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survey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antimicrobial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susceptibility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trends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for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isolates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from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cattle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with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bovine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respiratory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disease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north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America.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Clin.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Microbiol</w:t>
      </w:r>
      <w:r w:rsidR="00876B41" w:rsidRPr="00A26C68">
        <w:rPr>
          <w:rFonts w:ascii="Times New Roman" w:hAnsi="Times New Roman" w:cs="Times New Roman"/>
          <w:sz w:val="20"/>
          <w:szCs w:val="28"/>
        </w:rPr>
        <w:t>.,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B0FF8" w:rsidRPr="00A26C68">
        <w:rPr>
          <w:rFonts w:ascii="Times New Roman" w:hAnsi="Times New Roman" w:cs="Times New Roman"/>
          <w:sz w:val="20"/>
          <w:szCs w:val="28"/>
        </w:rPr>
        <w:t>1994;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32(3):725-731.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Y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ancey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RJ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Kinney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ML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Robert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BJ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Good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enough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KR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Hamel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JC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Ford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bCs/>
          <w:sz w:val="20"/>
          <w:szCs w:val="28"/>
        </w:rPr>
        <w:t>CW.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sodium,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broad-spectrum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cephalosporin: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evaluation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vitro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and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vivo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in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mice.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Am</w:t>
      </w:r>
      <w:r w:rsidR="00876B41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J</w:t>
      </w:r>
      <w:r w:rsidR="00876B41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Vet</w:t>
      </w:r>
      <w:r w:rsidR="00876B41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Res</w:t>
      </w:r>
      <w:r w:rsidR="00876B41" w:rsidRPr="00A26C68">
        <w:rPr>
          <w:rFonts w:ascii="Times New Roman" w:hAnsi="Times New Roman" w:cs="Times New Roman"/>
          <w:sz w:val="20"/>
          <w:szCs w:val="28"/>
        </w:rPr>
        <w:t>.,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B0FF8" w:rsidRPr="00A26C68">
        <w:rPr>
          <w:rFonts w:ascii="Times New Roman" w:hAnsi="Times New Roman" w:cs="Times New Roman"/>
          <w:sz w:val="20"/>
          <w:szCs w:val="28"/>
        </w:rPr>
        <w:t>1987;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48: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D24985" w:rsidRPr="00A26C68">
        <w:rPr>
          <w:rFonts w:ascii="Times New Roman" w:hAnsi="Times New Roman" w:cs="Times New Roman"/>
          <w:sz w:val="20"/>
          <w:szCs w:val="28"/>
        </w:rPr>
        <w:t>1050–1053.</w:t>
      </w:r>
    </w:p>
    <w:p w:rsidR="00A26C68" w:rsidRPr="00A26C68" w:rsidRDefault="00A26C68" w:rsidP="00A26C68">
      <w:pPr>
        <w:pStyle w:val="ListParagraph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A26C68">
        <w:rPr>
          <w:rFonts w:ascii="Times New Roman" w:hAnsi="Times New Roman" w:cs="Times New Roman"/>
          <w:bCs/>
          <w:sz w:val="20"/>
          <w:szCs w:val="28"/>
        </w:rPr>
        <w:t>Y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oung-Hee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L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Deok-Hie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P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E13471" w:rsidRPr="00A26C68">
        <w:rPr>
          <w:rFonts w:ascii="Times New Roman" w:hAnsi="Times New Roman" w:cs="Times New Roman"/>
          <w:bCs/>
          <w:sz w:val="20"/>
          <w:szCs w:val="28"/>
        </w:rPr>
        <w:t>Y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eu</w:t>
      </w:r>
      <w:r w:rsidR="00E13471" w:rsidRPr="00A26C68">
        <w:rPr>
          <w:rFonts w:ascii="Times New Roman" w:hAnsi="Times New Roman" w:cs="Times New Roman"/>
          <w:bCs/>
          <w:sz w:val="20"/>
          <w:szCs w:val="28"/>
        </w:rPr>
        <w:t>-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Young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Y</w:t>
      </w:r>
      <w:r w:rsidR="001B0FF8" w:rsidRPr="00A26C68">
        <w:rPr>
          <w:rFonts w:ascii="Times New Roman" w:hAnsi="Times New Roman" w:cs="Times New Roman"/>
          <w:bCs/>
          <w:sz w:val="20"/>
          <w:szCs w:val="28"/>
        </w:rPr>
        <w:t>,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Kyung</w:t>
      </w:r>
      <w:r w:rsidR="00E13471" w:rsidRPr="00A26C68">
        <w:rPr>
          <w:rFonts w:ascii="Times New Roman" w:hAnsi="Times New Roman" w:cs="Times New Roman"/>
          <w:bCs/>
          <w:sz w:val="20"/>
          <w:szCs w:val="28"/>
        </w:rPr>
        <w:t>-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Hoon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K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and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Hye-Sung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bCs/>
          <w:sz w:val="20"/>
          <w:szCs w:val="28"/>
        </w:rPr>
        <w:t>C.</w:t>
      </w:r>
      <w:r w:rsidRPr="00A26C68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1E1E94" w:rsidRPr="00A26C68">
        <w:rPr>
          <w:rFonts w:ascii="Times New Roman" w:hAnsi="Times New Roman" w:cs="Times New Roman"/>
          <w:sz w:val="20"/>
          <w:szCs w:val="28"/>
        </w:rPr>
        <w:t>Identification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E1E94" w:rsidRPr="00A26C68">
        <w:rPr>
          <w:rFonts w:ascii="Times New Roman" w:hAnsi="Times New Roman" w:cs="Times New Roman"/>
          <w:sz w:val="20"/>
          <w:szCs w:val="28"/>
        </w:rPr>
        <w:t>of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E1E94" w:rsidRPr="00A26C68">
        <w:rPr>
          <w:rFonts w:ascii="Times New Roman" w:hAnsi="Times New Roman" w:cs="Times New Roman"/>
          <w:sz w:val="20"/>
          <w:szCs w:val="28"/>
        </w:rPr>
        <w:t>Ceftiofur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E1E94" w:rsidRPr="00A26C68">
        <w:rPr>
          <w:rFonts w:ascii="Times New Roman" w:hAnsi="Times New Roman" w:cs="Times New Roman"/>
          <w:sz w:val="20"/>
          <w:szCs w:val="28"/>
        </w:rPr>
        <w:t>Oxidation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E1E94" w:rsidRPr="00A26C68">
        <w:rPr>
          <w:rFonts w:ascii="Times New Roman" w:hAnsi="Times New Roman" w:cs="Times New Roman"/>
          <w:sz w:val="20"/>
          <w:szCs w:val="28"/>
        </w:rPr>
        <w:t>Products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E1E94" w:rsidRPr="00A26C68">
        <w:rPr>
          <w:rFonts w:ascii="Times New Roman" w:hAnsi="Times New Roman" w:cs="Times New Roman"/>
          <w:sz w:val="20"/>
          <w:szCs w:val="28"/>
        </w:rPr>
        <w:t>by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E1E94" w:rsidRPr="00A26C68">
        <w:rPr>
          <w:rFonts w:ascii="Times New Roman" w:hAnsi="Times New Roman" w:cs="Times New Roman"/>
          <w:sz w:val="20"/>
          <w:szCs w:val="28"/>
        </w:rPr>
        <w:t>High-Performance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E1E94" w:rsidRPr="00A26C68">
        <w:rPr>
          <w:rFonts w:ascii="Times New Roman" w:hAnsi="Times New Roman" w:cs="Times New Roman"/>
          <w:sz w:val="20"/>
          <w:szCs w:val="28"/>
        </w:rPr>
        <w:t>Liquid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E1E94" w:rsidRPr="00A26C68">
        <w:rPr>
          <w:rFonts w:ascii="Times New Roman" w:hAnsi="Times New Roman" w:cs="Times New Roman"/>
          <w:sz w:val="20"/>
          <w:szCs w:val="28"/>
        </w:rPr>
        <w:t>Chromatography/Electrospray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E1E94" w:rsidRPr="00A26C68">
        <w:rPr>
          <w:rFonts w:ascii="Times New Roman" w:hAnsi="Times New Roman" w:cs="Times New Roman"/>
          <w:sz w:val="20"/>
          <w:szCs w:val="28"/>
        </w:rPr>
        <w:t>Ionization/Tandem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E1E94" w:rsidRPr="00A26C68">
        <w:rPr>
          <w:rFonts w:ascii="Times New Roman" w:hAnsi="Times New Roman" w:cs="Times New Roman"/>
          <w:sz w:val="20"/>
          <w:szCs w:val="28"/>
        </w:rPr>
        <w:t>Mass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1E1E94" w:rsidRPr="00A26C68">
        <w:rPr>
          <w:rFonts w:ascii="Times New Roman" w:hAnsi="Times New Roman" w:cs="Times New Roman"/>
          <w:sz w:val="20"/>
          <w:szCs w:val="28"/>
        </w:rPr>
        <w:t>Spectrometry</w:t>
      </w:r>
      <w:r w:rsidR="00BC62CC" w:rsidRPr="00A26C68">
        <w:rPr>
          <w:rFonts w:ascii="Times New Roman" w:hAnsi="Times New Roman" w:cs="Times New Roman"/>
          <w:sz w:val="20"/>
          <w:szCs w:val="28"/>
        </w:rPr>
        <w:t>.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sz w:val="20"/>
          <w:szCs w:val="28"/>
        </w:rPr>
        <w:t>Mass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sz w:val="20"/>
          <w:szCs w:val="28"/>
        </w:rPr>
        <w:t>Spectrometry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sz w:val="20"/>
          <w:szCs w:val="28"/>
        </w:rPr>
        <w:t>Letters</w:t>
      </w:r>
      <w:r w:rsidR="00876B41" w:rsidRPr="00A26C68">
        <w:rPr>
          <w:rFonts w:ascii="Times New Roman" w:hAnsi="Times New Roman" w:cs="Times New Roman"/>
          <w:sz w:val="20"/>
          <w:szCs w:val="28"/>
        </w:rPr>
        <w:t>,</w:t>
      </w:r>
      <w:r w:rsidRPr="00A26C6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1B0FF8" w:rsidRPr="00A26C68">
        <w:rPr>
          <w:rFonts w:ascii="Times New Roman" w:hAnsi="Times New Roman" w:cs="Times New Roman"/>
          <w:sz w:val="20"/>
          <w:szCs w:val="28"/>
        </w:rPr>
        <w:t>2011;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sz w:val="20"/>
          <w:szCs w:val="28"/>
        </w:rPr>
        <w:t>2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sz w:val="20"/>
          <w:szCs w:val="28"/>
        </w:rPr>
        <w:t>(1)</w:t>
      </w:r>
      <w:r w:rsidR="00876B41" w:rsidRPr="00A26C68">
        <w:rPr>
          <w:rFonts w:ascii="Times New Roman" w:hAnsi="Times New Roman" w:cs="Times New Roman"/>
          <w:sz w:val="20"/>
          <w:szCs w:val="28"/>
        </w:rPr>
        <w:t>:</w:t>
      </w:r>
      <w:r w:rsidRPr="00A26C68">
        <w:rPr>
          <w:rFonts w:ascii="Times New Roman" w:hAnsi="Times New Roman" w:cs="Times New Roman"/>
          <w:sz w:val="20"/>
          <w:szCs w:val="28"/>
        </w:rPr>
        <w:t xml:space="preserve"> </w:t>
      </w:r>
      <w:r w:rsidR="00BC62CC" w:rsidRPr="00A26C68">
        <w:rPr>
          <w:rFonts w:ascii="Times New Roman" w:hAnsi="Times New Roman" w:cs="Times New Roman"/>
          <w:sz w:val="20"/>
          <w:szCs w:val="28"/>
        </w:rPr>
        <w:t>16-19</w:t>
      </w:r>
      <w:r w:rsidRPr="00A26C68">
        <w:rPr>
          <w:rFonts w:ascii="Times New Roman" w:hAnsi="Times New Roman" w:cs="Times New Roman" w:hint="eastAsia"/>
          <w:sz w:val="20"/>
          <w:szCs w:val="28"/>
          <w:lang w:eastAsia="zh-CN"/>
        </w:rPr>
        <w:t>.</w:t>
      </w: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eastAsia="zh-CN"/>
        </w:rPr>
        <w:sectPr w:rsidR="00A26C68" w:rsidRPr="00A26C68" w:rsidSect="0069645E">
          <w:headerReference w:type="default" r:id="rId39"/>
          <w:footerReference w:type="default" r:id="rId40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A26C6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</w:p>
    <w:p w:rsidR="00483898" w:rsidRPr="00A26C68" w:rsidRDefault="00A26C68" w:rsidP="00A26C68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6C68">
        <w:rPr>
          <w:rFonts w:ascii="Times New Roman" w:hAnsi="Times New Roman" w:cs="Times New Roman"/>
          <w:sz w:val="20"/>
          <w:szCs w:val="28"/>
        </w:rPr>
        <w:t>2/6/2018</w:t>
      </w:r>
    </w:p>
    <w:sectPr w:rsidR="00483898" w:rsidRPr="00A26C68" w:rsidSect="00A26C68">
      <w:headerReference w:type="default" r:id="rId41"/>
      <w:footerReference w:type="default" r:id="rId4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206" w:rsidRDefault="00A37206" w:rsidP="001C6277">
      <w:pPr>
        <w:spacing w:after="0" w:line="240" w:lineRule="auto"/>
      </w:pPr>
      <w:r>
        <w:separator/>
      </w:r>
    </w:p>
  </w:endnote>
  <w:endnote w:type="continuationSeparator" w:id="0">
    <w:p w:rsidR="00A37206" w:rsidRDefault="00A37206" w:rsidP="001C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69645E" w:rsidRDefault="00941CB2" w:rsidP="0069645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9645E">
      <w:rPr>
        <w:rFonts w:ascii="Times New Roman" w:hAnsi="Times New Roman" w:cs="Times New Roman"/>
        <w:sz w:val="20"/>
      </w:rPr>
      <w:fldChar w:fldCharType="begin"/>
    </w:r>
    <w:r w:rsidR="0069645E" w:rsidRPr="0069645E">
      <w:rPr>
        <w:rFonts w:ascii="Times New Roman" w:hAnsi="Times New Roman" w:cs="Times New Roman"/>
        <w:sz w:val="20"/>
      </w:rPr>
      <w:instrText xml:space="preserve"> page </w:instrText>
    </w:r>
    <w:r w:rsidRPr="0069645E">
      <w:rPr>
        <w:rFonts w:ascii="Times New Roman" w:hAnsi="Times New Roman" w:cs="Times New Roman"/>
        <w:sz w:val="20"/>
      </w:rPr>
      <w:fldChar w:fldCharType="separate"/>
    </w:r>
    <w:r w:rsidR="00890794">
      <w:rPr>
        <w:rFonts w:ascii="Times New Roman" w:hAnsi="Times New Roman" w:cs="Times New Roman"/>
        <w:noProof/>
        <w:sz w:val="20"/>
      </w:rPr>
      <w:t>7</w:t>
    </w:r>
    <w:r w:rsidRPr="0069645E">
      <w:rPr>
        <w:rFonts w:ascii="Times New Roman" w:hAnsi="Times New Roman" w:cs="Times New Roman"/>
        <w:sz w:val="20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A26C68" w:rsidRDefault="00941CB2" w:rsidP="00A26C68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26C68">
      <w:rPr>
        <w:rFonts w:ascii="Times New Roman" w:hAnsi="Times New Roman" w:cs="Times New Roman"/>
        <w:sz w:val="20"/>
      </w:rPr>
      <w:fldChar w:fldCharType="begin"/>
    </w:r>
    <w:r w:rsidR="00A26C68" w:rsidRPr="00A26C68">
      <w:rPr>
        <w:rFonts w:ascii="Times New Roman" w:hAnsi="Times New Roman" w:cs="Times New Roman"/>
        <w:sz w:val="20"/>
      </w:rPr>
      <w:instrText xml:space="preserve"> page </w:instrText>
    </w:r>
    <w:r w:rsidRPr="00A26C68">
      <w:rPr>
        <w:rFonts w:ascii="Times New Roman" w:hAnsi="Times New Roman" w:cs="Times New Roman"/>
        <w:sz w:val="20"/>
      </w:rPr>
      <w:fldChar w:fldCharType="separate"/>
    </w:r>
    <w:r w:rsidR="00A26C68">
      <w:rPr>
        <w:rFonts w:ascii="Times New Roman" w:hAnsi="Times New Roman" w:cs="Times New Roman"/>
        <w:noProof/>
        <w:sz w:val="20"/>
      </w:rPr>
      <w:t>2</w:t>
    </w:r>
    <w:r w:rsidRPr="00A26C68">
      <w:rPr>
        <w:rFonts w:ascii="Times New Roman" w:hAnsi="Times New Roman" w:cs="Times New Roman"/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A26C68" w:rsidRDefault="00941CB2" w:rsidP="00A26C68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26C68">
      <w:rPr>
        <w:rFonts w:ascii="Times New Roman" w:hAnsi="Times New Roman" w:cs="Times New Roman"/>
        <w:sz w:val="20"/>
      </w:rPr>
      <w:fldChar w:fldCharType="begin"/>
    </w:r>
    <w:r w:rsidR="00A26C68" w:rsidRPr="00A26C68">
      <w:rPr>
        <w:rFonts w:ascii="Times New Roman" w:hAnsi="Times New Roman" w:cs="Times New Roman"/>
        <w:sz w:val="20"/>
      </w:rPr>
      <w:instrText xml:space="preserve"> page </w:instrText>
    </w:r>
    <w:r w:rsidRPr="00A26C68">
      <w:rPr>
        <w:rFonts w:ascii="Times New Roman" w:hAnsi="Times New Roman" w:cs="Times New Roman"/>
        <w:sz w:val="20"/>
      </w:rPr>
      <w:fldChar w:fldCharType="separate"/>
    </w:r>
    <w:r w:rsidR="00890794">
      <w:rPr>
        <w:rFonts w:ascii="Times New Roman" w:hAnsi="Times New Roman" w:cs="Times New Roman"/>
        <w:noProof/>
        <w:sz w:val="20"/>
      </w:rPr>
      <w:t>14</w:t>
    </w:r>
    <w:r w:rsidRPr="00A26C68">
      <w:rPr>
        <w:rFonts w:ascii="Times New Roman" w:hAnsi="Times New Roman" w:cs="Times New Roman"/>
        <w:sz w:val="20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69645E" w:rsidRDefault="00941CB2" w:rsidP="0069645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9645E">
      <w:rPr>
        <w:rFonts w:ascii="Times New Roman" w:hAnsi="Times New Roman" w:cs="Times New Roman"/>
        <w:sz w:val="20"/>
      </w:rPr>
      <w:fldChar w:fldCharType="begin"/>
    </w:r>
    <w:r w:rsidR="0069645E" w:rsidRPr="0069645E">
      <w:rPr>
        <w:rFonts w:ascii="Times New Roman" w:hAnsi="Times New Roman" w:cs="Times New Roman"/>
        <w:sz w:val="20"/>
      </w:rPr>
      <w:instrText xml:space="preserve"> page </w:instrText>
    </w:r>
    <w:r w:rsidRPr="0069645E">
      <w:rPr>
        <w:rFonts w:ascii="Times New Roman" w:hAnsi="Times New Roman" w:cs="Times New Roman"/>
        <w:sz w:val="20"/>
      </w:rPr>
      <w:fldChar w:fldCharType="separate"/>
    </w:r>
    <w:r w:rsidR="00890794">
      <w:rPr>
        <w:rFonts w:ascii="Times New Roman" w:hAnsi="Times New Roman" w:cs="Times New Roman"/>
        <w:noProof/>
        <w:sz w:val="20"/>
      </w:rPr>
      <w:t>15</w:t>
    </w:r>
    <w:r w:rsidRPr="0069645E">
      <w:rPr>
        <w:rFonts w:ascii="Times New Roman" w:hAnsi="Times New Roman" w:cs="Times New Roman"/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A26C68" w:rsidRDefault="00941CB2" w:rsidP="00A26C68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26C68">
      <w:rPr>
        <w:rFonts w:ascii="Times New Roman" w:hAnsi="Times New Roman" w:cs="Times New Roman"/>
        <w:sz w:val="20"/>
      </w:rPr>
      <w:fldChar w:fldCharType="begin"/>
    </w:r>
    <w:r w:rsidR="00A26C68" w:rsidRPr="00A26C68">
      <w:rPr>
        <w:rFonts w:ascii="Times New Roman" w:hAnsi="Times New Roman" w:cs="Times New Roman"/>
        <w:sz w:val="20"/>
      </w:rPr>
      <w:instrText xml:space="preserve"> page </w:instrText>
    </w:r>
    <w:r w:rsidRPr="00A26C68">
      <w:rPr>
        <w:rFonts w:ascii="Times New Roman" w:hAnsi="Times New Roman" w:cs="Times New Roman"/>
        <w:sz w:val="20"/>
      </w:rPr>
      <w:fldChar w:fldCharType="separate"/>
    </w:r>
    <w:r w:rsidR="00A26C68">
      <w:rPr>
        <w:rFonts w:ascii="Times New Roman" w:hAnsi="Times New Roman" w:cs="Times New Roman"/>
        <w:noProof/>
        <w:sz w:val="20"/>
      </w:rPr>
      <w:t>1</w:t>
    </w:r>
    <w:r w:rsidRPr="00A26C68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69645E" w:rsidRDefault="00941CB2" w:rsidP="0069645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9645E">
      <w:rPr>
        <w:rFonts w:ascii="Times New Roman" w:hAnsi="Times New Roman" w:cs="Times New Roman"/>
        <w:sz w:val="20"/>
      </w:rPr>
      <w:fldChar w:fldCharType="begin"/>
    </w:r>
    <w:r w:rsidR="0069645E" w:rsidRPr="0069645E">
      <w:rPr>
        <w:rFonts w:ascii="Times New Roman" w:hAnsi="Times New Roman" w:cs="Times New Roman"/>
        <w:sz w:val="20"/>
      </w:rPr>
      <w:instrText xml:space="preserve"> page </w:instrText>
    </w:r>
    <w:r w:rsidRPr="0069645E">
      <w:rPr>
        <w:rFonts w:ascii="Times New Roman" w:hAnsi="Times New Roman" w:cs="Times New Roman"/>
        <w:sz w:val="20"/>
      </w:rPr>
      <w:fldChar w:fldCharType="separate"/>
    </w:r>
    <w:r w:rsidR="00890794">
      <w:rPr>
        <w:rFonts w:ascii="Times New Roman" w:hAnsi="Times New Roman" w:cs="Times New Roman"/>
        <w:noProof/>
        <w:sz w:val="20"/>
      </w:rPr>
      <w:t>9</w:t>
    </w:r>
    <w:r w:rsidRPr="0069645E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69645E" w:rsidRDefault="00941CB2" w:rsidP="0069645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9645E">
      <w:rPr>
        <w:rFonts w:ascii="Times New Roman" w:hAnsi="Times New Roman" w:cs="Times New Roman"/>
        <w:sz w:val="20"/>
      </w:rPr>
      <w:fldChar w:fldCharType="begin"/>
    </w:r>
    <w:r w:rsidR="0069645E" w:rsidRPr="0069645E">
      <w:rPr>
        <w:rFonts w:ascii="Times New Roman" w:hAnsi="Times New Roman" w:cs="Times New Roman"/>
        <w:sz w:val="20"/>
      </w:rPr>
      <w:instrText xml:space="preserve"> page </w:instrText>
    </w:r>
    <w:r w:rsidRPr="0069645E">
      <w:rPr>
        <w:rFonts w:ascii="Times New Roman" w:hAnsi="Times New Roman" w:cs="Times New Roman"/>
        <w:sz w:val="20"/>
      </w:rPr>
      <w:fldChar w:fldCharType="separate"/>
    </w:r>
    <w:r w:rsidR="00890794">
      <w:rPr>
        <w:rFonts w:ascii="Times New Roman" w:hAnsi="Times New Roman" w:cs="Times New Roman"/>
        <w:noProof/>
        <w:sz w:val="20"/>
      </w:rPr>
      <w:t>10</w:t>
    </w:r>
    <w:r w:rsidRPr="0069645E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A26C68" w:rsidRDefault="00941CB2" w:rsidP="00A26C68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26C68">
      <w:rPr>
        <w:rFonts w:ascii="Times New Roman" w:hAnsi="Times New Roman" w:cs="Times New Roman"/>
        <w:sz w:val="20"/>
      </w:rPr>
      <w:fldChar w:fldCharType="begin"/>
    </w:r>
    <w:r w:rsidR="00A26C68" w:rsidRPr="00A26C68">
      <w:rPr>
        <w:rFonts w:ascii="Times New Roman" w:hAnsi="Times New Roman" w:cs="Times New Roman"/>
        <w:sz w:val="20"/>
      </w:rPr>
      <w:instrText xml:space="preserve"> page </w:instrText>
    </w:r>
    <w:r w:rsidRPr="00A26C68">
      <w:rPr>
        <w:rFonts w:ascii="Times New Roman" w:hAnsi="Times New Roman" w:cs="Times New Roman"/>
        <w:sz w:val="20"/>
      </w:rPr>
      <w:fldChar w:fldCharType="separate"/>
    </w:r>
    <w:r w:rsidR="001348B4">
      <w:rPr>
        <w:rFonts w:ascii="Times New Roman" w:hAnsi="Times New Roman" w:cs="Times New Roman"/>
        <w:noProof/>
        <w:sz w:val="20"/>
      </w:rPr>
      <w:t>1</w:t>
    </w:r>
    <w:r w:rsidRPr="00A26C68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69645E" w:rsidRDefault="00941CB2" w:rsidP="0069645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9645E">
      <w:rPr>
        <w:rFonts w:ascii="Times New Roman" w:hAnsi="Times New Roman" w:cs="Times New Roman"/>
        <w:sz w:val="20"/>
      </w:rPr>
      <w:fldChar w:fldCharType="begin"/>
    </w:r>
    <w:r w:rsidR="0069645E" w:rsidRPr="0069645E">
      <w:rPr>
        <w:rFonts w:ascii="Times New Roman" w:hAnsi="Times New Roman" w:cs="Times New Roman"/>
        <w:sz w:val="20"/>
      </w:rPr>
      <w:instrText xml:space="preserve"> page </w:instrText>
    </w:r>
    <w:r w:rsidRPr="0069645E">
      <w:rPr>
        <w:rFonts w:ascii="Times New Roman" w:hAnsi="Times New Roman" w:cs="Times New Roman"/>
        <w:sz w:val="20"/>
      </w:rPr>
      <w:fldChar w:fldCharType="separate"/>
    </w:r>
    <w:r w:rsidR="00890794">
      <w:rPr>
        <w:rFonts w:ascii="Times New Roman" w:hAnsi="Times New Roman" w:cs="Times New Roman"/>
        <w:noProof/>
        <w:sz w:val="20"/>
      </w:rPr>
      <w:t>11</w:t>
    </w:r>
    <w:r w:rsidRPr="0069645E">
      <w:rPr>
        <w:rFonts w:ascii="Times New Roman" w:hAnsi="Times New Roman" w:cs="Times New Roman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A26C68" w:rsidRDefault="00941CB2" w:rsidP="00A26C68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26C68">
      <w:rPr>
        <w:rFonts w:ascii="Times New Roman" w:hAnsi="Times New Roman" w:cs="Times New Roman"/>
        <w:sz w:val="20"/>
      </w:rPr>
      <w:fldChar w:fldCharType="begin"/>
    </w:r>
    <w:r w:rsidR="00A26C68" w:rsidRPr="00A26C68">
      <w:rPr>
        <w:rFonts w:ascii="Times New Roman" w:hAnsi="Times New Roman" w:cs="Times New Roman"/>
        <w:sz w:val="20"/>
      </w:rPr>
      <w:instrText xml:space="preserve"> page </w:instrText>
    </w:r>
    <w:r w:rsidRPr="00A26C68">
      <w:rPr>
        <w:rFonts w:ascii="Times New Roman" w:hAnsi="Times New Roman" w:cs="Times New Roman"/>
        <w:sz w:val="20"/>
      </w:rPr>
      <w:fldChar w:fldCharType="separate"/>
    </w:r>
    <w:r w:rsidR="00A26C68">
      <w:rPr>
        <w:rFonts w:ascii="Times New Roman" w:hAnsi="Times New Roman" w:cs="Times New Roman"/>
        <w:noProof/>
        <w:sz w:val="20"/>
      </w:rPr>
      <w:t>1</w:t>
    </w:r>
    <w:r w:rsidRPr="00A26C68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69645E" w:rsidRDefault="00941CB2" w:rsidP="0069645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9645E">
      <w:rPr>
        <w:rFonts w:ascii="Times New Roman" w:hAnsi="Times New Roman" w:cs="Times New Roman"/>
        <w:sz w:val="20"/>
      </w:rPr>
      <w:fldChar w:fldCharType="begin"/>
    </w:r>
    <w:r w:rsidR="0069645E" w:rsidRPr="0069645E">
      <w:rPr>
        <w:rFonts w:ascii="Times New Roman" w:hAnsi="Times New Roman" w:cs="Times New Roman"/>
        <w:sz w:val="20"/>
      </w:rPr>
      <w:instrText xml:space="preserve"> page </w:instrText>
    </w:r>
    <w:r w:rsidRPr="0069645E">
      <w:rPr>
        <w:rFonts w:ascii="Times New Roman" w:hAnsi="Times New Roman" w:cs="Times New Roman"/>
        <w:sz w:val="20"/>
      </w:rPr>
      <w:fldChar w:fldCharType="separate"/>
    </w:r>
    <w:r w:rsidR="00890794">
      <w:rPr>
        <w:rFonts w:ascii="Times New Roman" w:hAnsi="Times New Roman" w:cs="Times New Roman"/>
        <w:noProof/>
        <w:sz w:val="20"/>
      </w:rPr>
      <w:t>12</w:t>
    </w:r>
    <w:r w:rsidRPr="0069645E">
      <w:rPr>
        <w:rFonts w:ascii="Times New Roman" w:hAnsi="Times New Roman" w:cs="Times New Roman"/>
        <w:sz w:val="2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A26C68" w:rsidRDefault="00941CB2" w:rsidP="00A26C68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26C68">
      <w:rPr>
        <w:rFonts w:ascii="Times New Roman" w:hAnsi="Times New Roman" w:cs="Times New Roman"/>
        <w:sz w:val="20"/>
      </w:rPr>
      <w:fldChar w:fldCharType="begin"/>
    </w:r>
    <w:r w:rsidR="00A26C68" w:rsidRPr="00A26C68">
      <w:rPr>
        <w:rFonts w:ascii="Times New Roman" w:hAnsi="Times New Roman" w:cs="Times New Roman"/>
        <w:sz w:val="20"/>
      </w:rPr>
      <w:instrText xml:space="preserve"> page </w:instrText>
    </w:r>
    <w:r w:rsidRPr="00A26C68">
      <w:rPr>
        <w:rFonts w:ascii="Times New Roman" w:hAnsi="Times New Roman" w:cs="Times New Roman"/>
        <w:sz w:val="20"/>
      </w:rPr>
      <w:fldChar w:fldCharType="separate"/>
    </w:r>
    <w:r w:rsidR="00A26C68">
      <w:rPr>
        <w:rFonts w:ascii="Times New Roman" w:hAnsi="Times New Roman" w:cs="Times New Roman"/>
        <w:noProof/>
        <w:sz w:val="20"/>
      </w:rPr>
      <w:t>1</w:t>
    </w:r>
    <w:r w:rsidRPr="00A26C68">
      <w:rPr>
        <w:rFonts w:ascii="Times New Roman" w:hAnsi="Times New Roman" w:cs="Times New Roman"/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69645E" w:rsidRDefault="00941CB2" w:rsidP="0069645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9645E">
      <w:rPr>
        <w:rFonts w:ascii="Times New Roman" w:hAnsi="Times New Roman" w:cs="Times New Roman"/>
        <w:sz w:val="20"/>
      </w:rPr>
      <w:fldChar w:fldCharType="begin"/>
    </w:r>
    <w:r w:rsidR="0069645E" w:rsidRPr="0069645E">
      <w:rPr>
        <w:rFonts w:ascii="Times New Roman" w:hAnsi="Times New Roman" w:cs="Times New Roman"/>
        <w:sz w:val="20"/>
      </w:rPr>
      <w:instrText xml:space="preserve"> page </w:instrText>
    </w:r>
    <w:r w:rsidRPr="0069645E">
      <w:rPr>
        <w:rFonts w:ascii="Times New Roman" w:hAnsi="Times New Roman" w:cs="Times New Roman"/>
        <w:sz w:val="20"/>
      </w:rPr>
      <w:fldChar w:fldCharType="separate"/>
    </w:r>
    <w:r w:rsidR="00890794">
      <w:rPr>
        <w:rFonts w:ascii="Times New Roman" w:hAnsi="Times New Roman" w:cs="Times New Roman"/>
        <w:noProof/>
        <w:sz w:val="20"/>
      </w:rPr>
      <w:t>13</w:t>
    </w:r>
    <w:r w:rsidRPr="0069645E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206" w:rsidRDefault="00A37206" w:rsidP="001C6277">
      <w:pPr>
        <w:spacing w:after="0" w:line="240" w:lineRule="auto"/>
      </w:pPr>
      <w:r>
        <w:separator/>
      </w:r>
    </w:p>
  </w:footnote>
  <w:footnote w:type="continuationSeparator" w:id="0">
    <w:p w:rsidR="00A37206" w:rsidRDefault="00A37206" w:rsidP="001C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5E" w:rsidRPr="0069645E" w:rsidRDefault="0069645E" w:rsidP="006964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9645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9645E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9645E">
      <w:rPr>
        <w:rFonts w:ascii="Times New Roman" w:hAnsi="Times New Roman" w:cs="Times New Roman"/>
        <w:iCs/>
        <w:sz w:val="20"/>
        <w:szCs w:val="20"/>
      </w:rPr>
      <w:t>201</w:t>
    </w:r>
    <w:r w:rsidRPr="0069645E">
      <w:rPr>
        <w:rFonts w:ascii="Times New Roman" w:hAnsi="Times New Roman" w:cs="Times New Roman" w:hint="eastAsia"/>
        <w:iCs/>
        <w:sz w:val="20"/>
        <w:szCs w:val="20"/>
      </w:rPr>
      <w:t>8</w:t>
    </w:r>
    <w:r w:rsidRPr="0069645E">
      <w:rPr>
        <w:rFonts w:ascii="Times New Roman" w:hAnsi="Times New Roman" w:cs="Times New Roman"/>
        <w:iCs/>
        <w:sz w:val="20"/>
        <w:szCs w:val="20"/>
      </w:rPr>
      <w:t>;</w:t>
    </w:r>
    <w:r w:rsidRPr="0069645E">
      <w:rPr>
        <w:rFonts w:ascii="Times New Roman" w:hAnsi="Times New Roman" w:cs="Times New Roman" w:hint="eastAsia"/>
        <w:iCs/>
        <w:sz w:val="20"/>
        <w:szCs w:val="20"/>
      </w:rPr>
      <w:t>10</w:t>
    </w:r>
    <w:r w:rsidRPr="0069645E">
      <w:rPr>
        <w:rFonts w:ascii="Times New Roman" w:hAnsi="Times New Roman" w:cs="Times New Roman"/>
        <w:iCs/>
        <w:sz w:val="20"/>
        <w:szCs w:val="20"/>
      </w:rPr>
      <w:t>(</w:t>
    </w:r>
    <w:r w:rsidRPr="0069645E">
      <w:rPr>
        <w:rFonts w:ascii="Times New Roman" w:hAnsi="Times New Roman" w:cs="Times New Roman" w:hint="eastAsia"/>
        <w:iCs/>
        <w:sz w:val="20"/>
        <w:szCs w:val="20"/>
      </w:rPr>
      <w:t>2</w:t>
    </w:r>
    <w:r w:rsidRPr="0069645E">
      <w:rPr>
        <w:rFonts w:ascii="Times New Roman" w:hAnsi="Times New Roman" w:cs="Times New Roman"/>
        <w:iCs/>
        <w:sz w:val="20"/>
        <w:szCs w:val="20"/>
      </w:rPr>
      <w:t xml:space="preserve">)  </w:t>
    </w:r>
    <w:r w:rsidRPr="0069645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 w:hint="eastAsia"/>
        <w:iCs/>
        <w:sz w:val="20"/>
        <w:szCs w:val="20"/>
      </w:rPr>
      <w:tab/>
    </w:r>
    <w:r w:rsidRPr="0069645E">
      <w:rPr>
        <w:rFonts w:ascii="Times New Roman" w:hAnsi="Times New Roman" w:cs="Times New Roman"/>
        <w:iCs/>
        <w:sz w:val="20"/>
        <w:szCs w:val="20"/>
      </w:rPr>
      <w:t xml:space="preserve">    </w:t>
    </w:r>
    <w:r w:rsidRPr="0069645E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9645E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69645E" w:rsidRPr="0069645E" w:rsidRDefault="0069645E" w:rsidP="0069645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A26C68" w:rsidRDefault="00A26C68" w:rsidP="00A26C6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26C68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26C68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A26C68">
      <w:rPr>
        <w:rFonts w:ascii="Times New Roman" w:hAnsi="Times New Roman" w:cs="Times New Roman"/>
        <w:iCs/>
        <w:sz w:val="20"/>
        <w:szCs w:val="20"/>
      </w:rPr>
      <w:t>201</w:t>
    </w:r>
    <w:r w:rsidRPr="00A26C68">
      <w:rPr>
        <w:rFonts w:ascii="Times New Roman" w:hAnsi="Times New Roman" w:cs="Times New Roman" w:hint="eastAsia"/>
        <w:iCs/>
        <w:sz w:val="20"/>
        <w:szCs w:val="20"/>
      </w:rPr>
      <w:t>8</w:t>
    </w:r>
    <w:r w:rsidRPr="00A26C68">
      <w:rPr>
        <w:rFonts w:ascii="Times New Roman" w:hAnsi="Times New Roman" w:cs="Times New Roman"/>
        <w:iCs/>
        <w:sz w:val="20"/>
        <w:szCs w:val="20"/>
      </w:rPr>
      <w:t>;</w:t>
    </w:r>
    <w:r w:rsidRPr="00A26C68">
      <w:rPr>
        <w:rFonts w:ascii="Times New Roman" w:hAnsi="Times New Roman" w:cs="Times New Roman" w:hint="eastAsia"/>
        <w:iCs/>
        <w:sz w:val="20"/>
        <w:szCs w:val="20"/>
      </w:rPr>
      <w:t>10</w:t>
    </w:r>
    <w:r w:rsidRPr="00A26C68">
      <w:rPr>
        <w:rFonts w:ascii="Times New Roman" w:hAnsi="Times New Roman" w:cs="Times New Roman"/>
        <w:iCs/>
        <w:sz w:val="20"/>
        <w:szCs w:val="20"/>
      </w:rPr>
      <w:t>(</w:t>
    </w:r>
    <w:r w:rsidRPr="00A26C68">
      <w:rPr>
        <w:rFonts w:ascii="Times New Roman" w:hAnsi="Times New Roman" w:cs="Times New Roman" w:hint="eastAsia"/>
        <w:iCs/>
        <w:sz w:val="20"/>
        <w:szCs w:val="20"/>
      </w:rPr>
      <w:t>2</w:t>
    </w:r>
    <w:r w:rsidRPr="00A26C68">
      <w:rPr>
        <w:rFonts w:ascii="Times New Roman" w:hAnsi="Times New Roman" w:cs="Times New Roman"/>
        <w:iCs/>
        <w:sz w:val="20"/>
        <w:szCs w:val="20"/>
      </w:rPr>
      <w:t xml:space="preserve">)  </w:t>
    </w:r>
    <w:r w:rsidRPr="00A26C68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26C68">
      <w:rPr>
        <w:rFonts w:ascii="Times New Roman" w:hAnsi="Times New Roman" w:cs="Times New Roman"/>
        <w:iCs/>
        <w:sz w:val="20"/>
        <w:szCs w:val="20"/>
      </w:rPr>
      <w:t xml:space="preserve"> </w:t>
    </w:r>
    <w:r w:rsidRPr="00A26C68">
      <w:rPr>
        <w:rFonts w:ascii="Times New Roman" w:hAnsi="Times New Roman" w:cs="Times New Roman" w:hint="eastAsia"/>
        <w:iCs/>
        <w:sz w:val="20"/>
        <w:szCs w:val="20"/>
      </w:rPr>
      <w:tab/>
    </w:r>
    <w:r w:rsidRPr="00A26C68">
      <w:rPr>
        <w:rFonts w:ascii="Times New Roman" w:hAnsi="Times New Roman" w:cs="Times New Roman"/>
        <w:iCs/>
        <w:sz w:val="20"/>
        <w:szCs w:val="20"/>
      </w:rPr>
      <w:t xml:space="preserve">    </w:t>
    </w:r>
    <w:r w:rsidRPr="00A26C6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A26C68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A26C68" w:rsidRPr="00A26C68" w:rsidRDefault="00A26C68" w:rsidP="00A26C68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A26C68" w:rsidRDefault="00A26C68" w:rsidP="00A26C6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26C68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26C68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A26C68">
      <w:rPr>
        <w:rFonts w:ascii="Times New Roman" w:hAnsi="Times New Roman" w:cs="Times New Roman"/>
        <w:iCs/>
        <w:sz w:val="20"/>
        <w:szCs w:val="20"/>
      </w:rPr>
      <w:t>201</w:t>
    </w:r>
    <w:r w:rsidRPr="00A26C68">
      <w:rPr>
        <w:rFonts w:ascii="Times New Roman" w:hAnsi="Times New Roman" w:cs="Times New Roman" w:hint="eastAsia"/>
        <w:iCs/>
        <w:sz w:val="20"/>
        <w:szCs w:val="20"/>
      </w:rPr>
      <w:t>8</w:t>
    </w:r>
    <w:r w:rsidRPr="00A26C68">
      <w:rPr>
        <w:rFonts w:ascii="Times New Roman" w:hAnsi="Times New Roman" w:cs="Times New Roman"/>
        <w:iCs/>
        <w:sz w:val="20"/>
        <w:szCs w:val="20"/>
      </w:rPr>
      <w:t>;</w:t>
    </w:r>
    <w:r w:rsidRPr="00A26C68">
      <w:rPr>
        <w:rFonts w:ascii="Times New Roman" w:hAnsi="Times New Roman" w:cs="Times New Roman" w:hint="eastAsia"/>
        <w:iCs/>
        <w:sz w:val="20"/>
        <w:szCs w:val="20"/>
      </w:rPr>
      <w:t>10</w:t>
    </w:r>
    <w:r w:rsidRPr="00A26C68">
      <w:rPr>
        <w:rFonts w:ascii="Times New Roman" w:hAnsi="Times New Roman" w:cs="Times New Roman"/>
        <w:iCs/>
        <w:sz w:val="20"/>
        <w:szCs w:val="20"/>
      </w:rPr>
      <w:t>(</w:t>
    </w:r>
    <w:r w:rsidRPr="00A26C68">
      <w:rPr>
        <w:rFonts w:ascii="Times New Roman" w:hAnsi="Times New Roman" w:cs="Times New Roman" w:hint="eastAsia"/>
        <w:iCs/>
        <w:sz w:val="20"/>
        <w:szCs w:val="20"/>
      </w:rPr>
      <w:t>2</w:t>
    </w:r>
    <w:r w:rsidRPr="00A26C68">
      <w:rPr>
        <w:rFonts w:ascii="Times New Roman" w:hAnsi="Times New Roman" w:cs="Times New Roman"/>
        <w:iCs/>
        <w:sz w:val="20"/>
        <w:szCs w:val="20"/>
      </w:rPr>
      <w:t xml:space="preserve">)  </w:t>
    </w:r>
    <w:r w:rsidRPr="00A26C68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26C68">
      <w:rPr>
        <w:rFonts w:ascii="Times New Roman" w:hAnsi="Times New Roman" w:cs="Times New Roman"/>
        <w:iCs/>
        <w:sz w:val="20"/>
        <w:szCs w:val="20"/>
      </w:rPr>
      <w:t xml:space="preserve"> </w:t>
    </w:r>
    <w:r w:rsidRPr="00A26C68">
      <w:rPr>
        <w:rFonts w:ascii="Times New Roman" w:hAnsi="Times New Roman" w:cs="Times New Roman" w:hint="eastAsia"/>
        <w:iCs/>
        <w:sz w:val="20"/>
        <w:szCs w:val="20"/>
      </w:rPr>
      <w:tab/>
    </w:r>
    <w:r w:rsidRPr="00A26C68">
      <w:rPr>
        <w:rFonts w:ascii="Times New Roman" w:hAnsi="Times New Roman" w:cs="Times New Roman"/>
        <w:iCs/>
        <w:sz w:val="20"/>
        <w:szCs w:val="20"/>
      </w:rPr>
      <w:t xml:space="preserve">    </w:t>
    </w:r>
    <w:r w:rsidRPr="00A26C6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A26C68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A26C68" w:rsidRPr="00A26C68" w:rsidRDefault="00A26C68" w:rsidP="00A26C68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5E" w:rsidRPr="0069645E" w:rsidRDefault="0069645E" w:rsidP="006964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9645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9645E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9645E">
      <w:rPr>
        <w:rFonts w:ascii="Times New Roman" w:hAnsi="Times New Roman" w:cs="Times New Roman"/>
        <w:iCs/>
        <w:sz w:val="20"/>
        <w:szCs w:val="20"/>
      </w:rPr>
      <w:t>201</w:t>
    </w:r>
    <w:r w:rsidRPr="0069645E">
      <w:rPr>
        <w:rFonts w:ascii="Times New Roman" w:hAnsi="Times New Roman" w:cs="Times New Roman" w:hint="eastAsia"/>
        <w:iCs/>
        <w:sz w:val="20"/>
        <w:szCs w:val="20"/>
      </w:rPr>
      <w:t>8</w:t>
    </w:r>
    <w:r w:rsidRPr="0069645E">
      <w:rPr>
        <w:rFonts w:ascii="Times New Roman" w:hAnsi="Times New Roman" w:cs="Times New Roman"/>
        <w:iCs/>
        <w:sz w:val="20"/>
        <w:szCs w:val="20"/>
      </w:rPr>
      <w:t>;</w:t>
    </w:r>
    <w:r w:rsidRPr="0069645E">
      <w:rPr>
        <w:rFonts w:ascii="Times New Roman" w:hAnsi="Times New Roman" w:cs="Times New Roman" w:hint="eastAsia"/>
        <w:iCs/>
        <w:sz w:val="20"/>
        <w:szCs w:val="20"/>
      </w:rPr>
      <w:t>10</w:t>
    </w:r>
    <w:r w:rsidRPr="0069645E">
      <w:rPr>
        <w:rFonts w:ascii="Times New Roman" w:hAnsi="Times New Roman" w:cs="Times New Roman"/>
        <w:iCs/>
        <w:sz w:val="20"/>
        <w:szCs w:val="20"/>
      </w:rPr>
      <w:t>(</w:t>
    </w:r>
    <w:r w:rsidRPr="0069645E">
      <w:rPr>
        <w:rFonts w:ascii="Times New Roman" w:hAnsi="Times New Roman" w:cs="Times New Roman" w:hint="eastAsia"/>
        <w:iCs/>
        <w:sz w:val="20"/>
        <w:szCs w:val="20"/>
      </w:rPr>
      <w:t>2</w:t>
    </w:r>
    <w:r w:rsidRPr="0069645E">
      <w:rPr>
        <w:rFonts w:ascii="Times New Roman" w:hAnsi="Times New Roman" w:cs="Times New Roman"/>
        <w:iCs/>
        <w:sz w:val="20"/>
        <w:szCs w:val="20"/>
      </w:rPr>
      <w:t xml:space="preserve">)  </w:t>
    </w:r>
    <w:r w:rsidRPr="0069645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 w:hint="eastAsia"/>
        <w:iCs/>
        <w:sz w:val="20"/>
        <w:szCs w:val="20"/>
      </w:rPr>
      <w:tab/>
    </w:r>
    <w:r w:rsidRPr="0069645E">
      <w:rPr>
        <w:rFonts w:ascii="Times New Roman" w:hAnsi="Times New Roman" w:cs="Times New Roman"/>
        <w:iCs/>
        <w:sz w:val="20"/>
        <w:szCs w:val="20"/>
      </w:rPr>
      <w:t xml:space="preserve">    </w:t>
    </w:r>
    <w:r w:rsidRPr="0069645E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9645E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69645E" w:rsidRPr="0069645E" w:rsidRDefault="0069645E" w:rsidP="0069645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A26C68" w:rsidRDefault="00A26C68" w:rsidP="00A26C6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26C68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26C68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A26C68">
      <w:rPr>
        <w:rFonts w:ascii="Times New Roman" w:hAnsi="Times New Roman" w:cs="Times New Roman"/>
        <w:iCs/>
        <w:sz w:val="20"/>
        <w:szCs w:val="20"/>
      </w:rPr>
      <w:t>201</w:t>
    </w:r>
    <w:r w:rsidRPr="00A26C68">
      <w:rPr>
        <w:rFonts w:ascii="Times New Roman" w:hAnsi="Times New Roman" w:cs="Times New Roman" w:hint="eastAsia"/>
        <w:iCs/>
        <w:sz w:val="20"/>
        <w:szCs w:val="20"/>
      </w:rPr>
      <w:t>8</w:t>
    </w:r>
    <w:r w:rsidRPr="00A26C68">
      <w:rPr>
        <w:rFonts w:ascii="Times New Roman" w:hAnsi="Times New Roman" w:cs="Times New Roman"/>
        <w:iCs/>
        <w:sz w:val="20"/>
        <w:szCs w:val="20"/>
      </w:rPr>
      <w:t>;</w:t>
    </w:r>
    <w:r w:rsidRPr="00A26C68">
      <w:rPr>
        <w:rFonts w:ascii="Times New Roman" w:hAnsi="Times New Roman" w:cs="Times New Roman" w:hint="eastAsia"/>
        <w:iCs/>
        <w:sz w:val="20"/>
        <w:szCs w:val="20"/>
      </w:rPr>
      <w:t>10</w:t>
    </w:r>
    <w:r w:rsidRPr="00A26C68">
      <w:rPr>
        <w:rFonts w:ascii="Times New Roman" w:hAnsi="Times New Roman" w:cs="Times New Roman"/>
        <w:iCs/>
        <w:sz w:val="20"/>
        <w:szCs w:val="20"/>
      </w:rPr>
      <w:t>(</w:t>
    </w:r>
    <w:r w:rsidRPr="00A26C68">
      <w:rPr>
        <w:rFonts w:ascii="Times New Roman" w:hAnsi="Times New Roman" w:cs="Times New Roman" w:hint="eastAsia"/>
        <w:iCs/>
        <w:sz w:val="20"/>
        <w:szCs w:val="20"/>
      </w:rPr>
      <w:t>2</w:t>
    </w:r>
    <w:r w:rsidRPr="00A26C68">
      <w:rPr>
        <w:rFonts w:ascii="Times New Roman" w:hAnsi="Times New Roman" w:cs="Times New Roman"/>
        <w:iCs/>
        <w:sz w:val="20"/>
        <w:szCs w:val="20"/>
      </w:rPr>
      <w:t xml:space="preserve">)  </w:t>
    </w:r>
    <w:r w:rsidRPr="00A26C68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26C68">
      <w:rPr>
        <w:rFonts w:ascii="Times New Roman" w:hAnsi="Times New Roman" w:cs="Times New Roman"/>
        <w:iCs/>
        <w:sz w:val="20"/>
        <w:szCs w:val="20"/>
      </w:rPr>
      <w:t xml:space="preserve"> </w:t>
    </w:r>
    <w:r w:rsidRPr="00A26C68">
      <w:rPr>
        <w:rFonts w:ascii="Times New Roman" w:hAnsi="Times New Roman" w:cs="Times New Roman" w:hint="eastAsia"/>
        <w:iCs/>
        <w:sz w:val="20"/>
        <w:szCs w:val="20"/>
      </w:rPr>
      <w:tab/>
    </w:r>
    <w:r w:rsidRPr="00A26C68">
      <w:rPr>
        <w:rFonts w:ascii="Times New Roman" w:hAnsi="Times New Roman" w:cs="Times New Roman"/>
        <w:iCs/>
        <w:sz w:val="20"/>
        <w:szCs w:val="20"/>
      </w:rPr>
      <w:t xml:space="preserve">    </w:t>
    </w:r>
    <w:r w:rsidRPr="00A26C6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A26C68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A26C68" w:rsidRPr="00A26C68" w:rsidRDefault="00A26C68" w:rsidP="00A26C68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5E" w:rsidRPr="0069645E" w:rsidRDefault="0069645E" w:rsidP="006964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9645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9645E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9645E">
      <w:rPr>
        <w:rFonts w:ascii="Times New Roman" w:hAnsi="Times New Roman" w:cs="Times New Roman"/>
        <w:iCs/>
        <w:sz w:val="20"/>
        <w:szCs w:val="20"/>
      </w:rPr>
      <w:t>201</w:t>
    </w:r>
    <w:r w:rsidRPr="0069645E">
      <w:rPr>
        <w:rFonts w:ascii="Times New Roman" w:hAnsi="Times New Roman" w:cs="Times New Roman" w:hint="eastAsia"/>
        <w:iCs/>
        <w:sz w:val="20"/>
        <w:szCs w:val="20"/>
      </w:rPr>
      <w:t>8</w:t>
    </w:r>
    <w:r w:rsidRPr="0069645E">
      <w:rPr>
        <w:rFonts w:ascii="Times New Roman" w:hAnsi="Times New Roman" w:cs="Times New Roman"/>
        <w:iCs/>
        <w:sz w:val="20"/>
        <w:szCs w:val="20"/>
      </w:rPr>
      <w:t>;</w:t>
    </w:r>
    <w:r w:rsidRPr="0069645E">
      <w:rPr>
        <w:rFonts w:ascii="Times New Roman" w:hAnsi="Times New Roman" w:cs="Times New Roman" w:hint="eastAsia"/>
        <w:iCs/>
        <w:sz w:val="20"/>
        <w:szCs w:val="20"/>
      </w:rPr>
      <w:t>10</w:t>
    </w:r>
    <w:r w:rsidRPr="0069645E">
      <w:rPr>
        <w:rFonts w:ascii="Times New Roman" w:hAnsi="Times New Roman" w:cs="Times New Roman"/>
        <w:iCs/>
        <w:sz w:val="20"/>
        <w:szCs w:val="20"/>
      </w:rPr>
      <w:t>(</w:t>
    </w:r>
    <w:r w:rsidRPr="0069645E">
      <w:rPr>
        <w:rFonts w:ascii="Times New Roman" w:hAnsi="Times New Roman" w:cs="Times New Roman" w:hint="eastAsia"/>
        <w:iCs/>
        <w:sz w:val="20"/>
        <w:szCs w:val="20"/>
      </w:rPr>
      <w:t>2</w:t>
    </w:r>
    <w:r w:rsidRPr="0069645E">
      <w:rPr>
        <w:rFonts w:ascii="Times New Roman" w:hAnsi="Times New Roman" w:cs="Times New Roman"/>
        <w:iCs/>
        <w:sz w:val="20"/>
        <w:szCs w:val="20"/>
      </w:rPr>
      <w:t xml:space="preserve">)  </w:t>
    </w:r>
    <w:r w:rsidRPr="0069645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 w:hint="eastAsia"/>
        <w:iCs/>
        <w:sz w:val="20"/>
        <w:szCs w:val="20"/>
      </w:rPr>
      <w:tab/>
    </w:r>
    <w:r w:rsidRPr="0069645E">
      <w:rPr>
        <w:rFonts w:ascii="Times New Roman" w:hAnsi="Times New Roman" w:cs="Times New Roman"/>
        <w:iCs/>
        <w:sz w:val="20"/>
        <w:szCs w:val="20"/>
      </w:rPr>
      <w:t xml:space="preserve">    </w:t>
    </w:r>
    <w:r w:rsidRPr="0069645E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9645E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69645E" w:rsidRPr="0069645E" w:rsidRDefault="0069645E" w:rsidP="0069645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5E" w:rsidRPr="0069645E" w:rsidRDefault="0069645E" w:rsidP="006964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9645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9645E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9645E">
      <w:rPr>
        <w:rFonts w:ascii="Times New Roman" w:hAnsi="Times New Roman" w:cs="Times New Roman"/>
        <w:iCs/>
        <w:sz w:val="20"/>
        <w:szCs w:val="20"/>
      </w:rPr>
      <w:t>201</w:t>
    </w:r>
    <w:r w:rsidRPr="0069645E">
      <w:rPr>
        <w:rFonts w:ascii="Times New Roman" w:hAnsi="Times New Roman" w:cs="Times New Roman" w:hint="eastAsia"/>
        <w:iCs/>
        <w:sz w:val="20"/>
        <w:szCs w:val="20"/>
      </w:rPr>
      <w:t>8</w:t>
    </w:r>
    <w:r w:rsidRPr="0069645E">
      <w:rPr>
        <w:rFonts w:ascii="Times New Roman" w:hAnsi="Times New Roman" w:cs="Times New Roman"/>
        <w:iCs/>
        <w:sz w:val="20"/>
        <w:szCs w:val="20"/>
      </w:rPr>
      <w:t>;</w:t>
    </w:r>
    <w:r w:rsidRPr="0069645E">
      <w:rPr>
        <w:rFonts w:ascii="Times New Roman" w:hAnsi="Times New Roman" w:cs="Times New Roman" w:hint="eastAsia"/>
        <w:iCs/>
        <w:sz w:val="20"/>
        <w:szCs w:val="20"/>
      </w:rPr>
      <w:t>10</w:t>
    </w:r>
    <w:r w:rsidRPr="0069645E">
      <w:rPr>
        <w:rFonts w:ascii="Times New Roman" w:hAnsi="Times New Roman" w:cs="Times New Roman"/>
        <w:iCs/>
        <w:sz w:val="20"/>
        <w:szCs w:val="20"/>
      </w:rPr>
      <w:t>(</w:t>
    </w:r>
    <w:r w:rsidRPr="0069645E">
      <w:rPr>
        <w:rFonts w:ascii="Times New Roman" w:hAnsi="Times New Roman" w:cs="Times New Roman" w:hint="eastAsia"/>
        <w:iCs/>
        <w:sz w:val="20"/>
        <w:szCs w:val="20"/>
      </w:rPr>
      <w:t>2</w:t>
    </w:r>
    <w:r w:rsidRPr="0069645E">
      <w:rPr>
        <w:rFonts w:ascii="Times New Roman" w:hAnsi="Times New Roman" w:cs="Times New Roman"/>
        <w:iCs/>
        <w:sz w:val="20"/>
        <w:szCs w:val="20"/>
      </w:rPr>
      <w:t xml:space="preserve">)  </w:t>
    </w:r>
    <w:r w:rsidRPr="0069645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 w:hint="eastAsia"/>
        <w:iCs/>
        <w:sz w:val="20"/>
        <w:szCs w:val="20"/>
      </w:rPr>
      <w:tab/>
    </w:r>
    <w:r w:rsidRPr="0069645E">
      <w:rPr>
        <w:rFonts w:ascii="Times New Roman" w:hAnsi="Times New Roman" w:cs="Times New Roman"/>
        <w:iCs/>
        <w:sz w:val="20"/>
        <w:szCs w:val="20"/>
      </w:rPr>
      <w:t xml:space="preserve">    </w:t>
    </w:r>
    <w:r w:rsidRPr="0069645E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9645E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69645E" w:rsidRPr="0069645E" w:rsidRDefault="0069645E" w:rsidP="0069645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A26C68" w:rsidRDefault="00A26C68" w:rsidP="00A26C6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26C68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26C68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A26C68">
      <w:rPr>
        <w:rFonts w:ascii="Times New Roman" w:hAnsi="Times New Roman" w:cs="Times New Roman"/>
        <w:iCs/>
        <w:sz w:val="20"/>
        <w:szCs w:val="20"/>
      </w:rPr>
      <w:t>201</w:t>
    </w:r>
    <w:r w:rsidRPr="00A26C68">
      <w:rPr>
        <w:rFonts w:ascii="Times New Roman" w:hAnsi="Times New Roman" w:cs="Times New Roman" w:hint="eastAsia"/>
        <w:iCs/>
        <w:sz w:val="20"/>
        <w:szCs w:val="20"/>
      </w:rPr>
      <w:t>8</w:t>
    </w:r>
    <w:r w:rsidRPr="00A26C68">
      <w:rPr>
        <w:rFonts w:ascii="Times New Roman" w:hAnsi="Times New Roman" w:cs="Times New Roman"/>
        <w:iCs/>
        <w:sz w:val="20"/>
        <w:szCs w:val="20"/>
      </w:rPr>
      <w:t>;</w:t>
    </w:r>
    <w:r w:rsidRPr="00A26C68">
      <w:rPr>
        <w:rFonts w:ascii="Times New Roman" w:hAnsi="Times New Roman" w:cs="Times New Roman" w:hint="eastAsia"/>
        <w:iCs/>
        <w:sz w:val="20"/>
        <w:szCs w:val="20"/>
      </w:rPr>
      <w:t>10</w:t>
    </w:r>
    <w:r w:rsidRPr="00A26C68">
      <w:rPr>
        <w:rFonts w:ascii="Times New Roman" w:hAnsi="Times New Roman" w:cs="Times New Roman"/>
        <w:iCs/>
        <w:sz w:val="20"/>
        <w:szCs w:val="20"/>
      </w:rPr>
      <w:t>(</w:t>
    </w:r>
    <w:r w:rsidRPr="00A26C68">
      <w:rPr>
        <w:rFonts w:ascii="Times New Roman" w:hAnsi="Times New Roman" w:cs="Times New Roman" w:hint="eastAsia"/>
        <w:iCs/>
        <w:sz w:val="20"/>
        <w:szCs w:val="20"/>
      </w:rPr>
      <w:t>2</w:t>
    </w:r>
    <w:r w:rsidRPr="00A26C68">
      <w:rPr>
        <w:rFonts w:ascii="Times New Roman" w:hAnsi="Times New Roman" w:cs="Times New Roman"/>
        <w:iCs/>
        <w:sz w:val="20"/>
        <w:szCs w:val="20"/>
      </w:rPr>
      <w:t xml:space="preserve">)  </w:t>
    </w:r>
    <w:r w:rsidRPr="00A26C68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26C68">
      <w:rPr>
        <w:rFonts w:ascii="Times New Roman" w:hAnsi="Times New Roman" w:cs="Times New Roman"/>
        <w:iCs/>
        <w:sz w:val="20"/>
        <w:szCs w:val="20"/>
      </w:rPr>
      <w:t xml:space="preserve"> </w:t>
    </w:r>
    <w:r w:rsidRPr="00A26C68">
      <w:rPr>
        <w:rFonts w:ascii="Times New Roman" w:hAnsi="Times New Roman" w:cs="Times New Roman" w:hint="eastAsia"/>
        <w:iCs/>
        <w:sz w:val="20"/>
        <w:szCs w:val="20"/>
      </w:rPr>
      <w:tab/>
    </w:r>
    <w:r w:rsidRPr="00A26C68">
      <w:rPr>
        <w:rFonts w:ascii="Times New Roman" w:hAnsi="Times New Roman" w:cs="Times New Roman"/>
        <w:iCs/>
        <w:sz w:val="20"/>
        <w:szCs w:val="20"/>
      </w:rPr>
      <w:t xml:space="preserve">    </w:t>
    </w:r>
    <w:r w:rsidRPr="00A26C6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A26C68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A26C68" w:rsidRPr="00A26C68" w:rsidRDefault="00A26C68" w:rsidP="00A26C68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5E" w:rsidRPr="0069645E" w:rsidRDefault="0069645E" w:rsidP="006964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9645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9645E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9645E">
      <w:rPr>
        <w:rFonts w:ascii="Times New Roman" w:hAnsi="Times New Roman" w:cs="Times New Roman"/>
        <w:iCs/>
        <w:sz w:val="20"/>
        <w:szCs w:val="20"/>
      </w:rPr>
      <w:t>201</w:t>
    </w:r>
    <w:r w:rsidRPr="0069645E">
      <w:rPr>
        <w:rFonts w:ascii="Times New Roman" w:hAnsi="Times New Roman" w:cs="Times New Roman" w:hint="eastAsia"/>
        <w:iCs/>
        <w:sz w:val="20"/>
        <w:szCs w:val="20"/>
      </w:rPr>
      <w:t>8</w:t>
    </w:r>
    <w:r w:rsidRPr="0069645E">
      <w:rPr>
        <w:rFonts w:ascii="Times New Roman" w:hAnsi="Times New Roman" w:cs="Times New Roman"/>
        <w:iCs/>
        <w:sz w:val="20"/>
        <w:szCs w:val="20"/>
      </w:rPr>
      <w:t>;</w:t>
    </w:r>
    <w:r w:rsidRPr="0069645E">
      <w:rPr>
        <w:rFonts w:ascii="Times New Roman" w:hAnsi="Times New Roman" w:cs="Times New Roman" w:hint="eastAsia"/>
        <w:iCs/>
        <w:sz w:val="20"/>
        <w:szCs w:val="20"/>
      </w:rPr>
      <w:t>10</w:t>
    </w:r>
    <w:r w:rsidRPr="0069645E">
      <w:rPr>
        <w:rFonts w:ascii="Times New Roman" w:hAnsi="Times New Roman" w:cs="Times New Roman"/>
        <w:iCs/>
        <w:sz w:val="20"/>
        <w:szCs w:val="20"/>
      </w:rPr>
      <w:t>(</w:t>
    </w:r>
    <w:r w:rsidRPr="0069645E">
      <w:rPr>
        <w:rFonts w:ascii="Times New Roman" w:hAnsi="Times New Roman" w:cs="Times New Roman" w:hint="eastAsia"/>
        <w:iCs/>
        <w:sz w:val="20"/>
        <w:szCs w:val="20"/>
      </w:rPr>
      <w:t>2</w:t>
    </w:r>
    <w:r w:rsidRPr="0069645E">
      <w:rPr>
        <w:rFonts w:ascii="Times New Roman" w:hAnsi="Times New Roman" w:cs="Times New Roman"/>
        <w:iCs/>
        <w:sz w:val="20"/>
        <w:szCs w:val="20"/>
      </w:rPr>
      <w:t xml:space="preserve">)  </w:t>
    </w:r>
    <w:r w:rsidRPr="0069645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 w:hint="eastAsia"/>
        <w:iCs/>
        <w:sz w:val="20"/>
        <w:szCs w:val="20"/>
      </w:rPr>
      <w:tab/>
    </w:r>
    <w:r w:rsidRPr="0069645E">
      <w:rPr>
        <w:rFonts w:ascii="Times New Roman" w:hAnsi="Times New Roman" w:cs="Times New Roman"/>
        <w:iCs/>
        <w:sz w:val="20"/>
        <w:szCs w:val="20"/>
      </w:rPr>
      <w:t xml:space="preserve">    </w:t>
    </w:r>
    <w:r w:rsidRPr="0069645E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9645E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69645E" w:rsidRPr="0069645E" w:rsidRDefault="0069645E" w:rsidP="0069645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A26C68" w:rsidRDefault="00A26C68" w:rsidP="00A26C6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26C68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26C68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A26C68">
      <w:rPr>
        <w:rFonts w:ascii="Times New Roman" w:hAnsi="Times New Roman" w:cs="Times New Roman"/>
        <w:iCs/>
        <w:sz w:val="20"/>
        <w:szCs w:val="20"/>
      </w:rPr>
      <w:t>201</w:t>
    </w:r>
    <w:r w:rsidRPr="00A26C68">
      <w:rPr>
        <w:rFonts w:ascii="Times New Roman" w:hAnsi="Times New Roman" w:cs="Times New Roman" w:hint="eastAsia"/>
        <w:iCs/>
        <w:sz w:val="20"/>
        <w:szCs w:val="20"/>
      </w:rPr>
      <w:t>8</w:t>
    </w:r>
    <w:r w:rsidRPr="00A26C68">
      <w:rPr>
        <w:rFonts w:ascii="Times New Roman" w:hAnsi="Times New Roman" w:cs="Times New Roman"/>
        <w:iCs/>
        <w:sz w:val="20"/>
        <w:szCs w:val="20"/>
      </w:rPr>
      <w:t>;</w:t>
    </w:r>
    <w:r w:rsidRPr="00A26C68">
      <w:rPr>
        <w:rFonts w:ascii="Times New Roman" w:hAnsi="Times New Roman" w:cs="Times New Roman" w:hint="eastAsia"/>
        <w:iCs/>
        <w:sz w:val="20"/>
        <w:szCs w:val="20"/>
      </w:rPr>
      <w:t>10</w:t>
    </w:r>
    <w:r w:rsidRPr="00A26C68">
      <w:rPr>
        <w:rFonts w:ascii="Times New Roman" w:hAnsi="Times New Roman" w:cs="Times New Roman"/>
        <w:iCs/>
        <w:sz w:val="20"/>
        <w:szCs w:val="20"/>
      </w:rPr>
      <w:t>(</w:t>
    </w:r>
    <w:r w:rsidRPr="00A26C68">
      <w:rPr>
        <w:rFonts w:ascii="Times New Roman" w:hAnsi="Times New Roman" w:cs="Times New Roman" w:hint="eastAsia"/>
        <w:iCs/>
        <w:sz w:val="20"/>
        <w:szCs w:val="20"/>
      </w:rPr>
      <w:t>2</w:t>
    </w:r>
    <w:r w:rsidRPr="00A26C68">
      <w:rPr>
        <w:rFonts w:ascii="Times New Roman" w:hAnsi="Times New Roman" w:cs="Times New Roman"/>
        <w:iCs/>
        <w:sz w:val="20"/>
        <w:szCs w:val="20"/>
      </w:rPr>
      <w:t xml:space="preserve">)  </w:t>
    </w:r>
    <w:r w:rsidRPr="00A26C68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26C68">
      <w:rPr>
        <w:rFonts w:ascii="Times New Roman" w:hAnsi="Times New Roman" w:cs="Times New Roman"/>
        <w:iCs/>
        <w:sz w:val="20"/>
        <w:szCs w:val="20"/>
      </w:rPr>
      <w:t xml:space="preserve"> </w:t>
    </w:r>
    <w:r w:rsidRPr="00A26C68">
      <w:rPr>
        <w:rFonts w:ascii="Times New Roman" w:hAnsi="Times New Roman" w:cs="Times New Roman" w:hint="eastAsia"/>
        <w:iCs/>
        <w:sz w:val="20"/>
        <w:szCs w:val="20"/>
      </w:rPr>
      <w:tab/>
    </w:r>
    <w:r w:rsidRPr="00A26C68">
      <w:rPr>
        <w:rFonts w:ascii="Times New Roman" w:hAnsi="Times New Roman" w:cs="Times New Roman"/>
        <w:iCs/>
        <w:sz w:val="20"/>
        <w:szCs w:val="20"/>
      </w:rPr>
      <w:t xml:space="preserve">    </w:t>
    </w:r>
    <w:r w:rsidRPr="00A26C6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A26C68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A26C68" w:rsidRPr="00A26C68" w:rsidRDefault="00A26C68" w:rsidP="00A26C68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5E" w:rsidRPr="0069645E" w:rsidRDefault="0069645E" w:rsidP="006964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9645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9645E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9645E">
      <w:rPr>
        <w:rFonts w:ascii="Times New Roman" w:hAnsi="Times New Roman" w:cs="Times New Roman"/>
        <w:iCs/>
        <w:sz w:val="20"/>
        <w:szCs w:val="20"/>
      </w:rPr>
      <w:t>201</w:t>
    </w:r>
    <w:r w:rsidRPr="0069645E">
      <w:rPr>
        <w:rFonts w:ascii="Times New Roman" w:hAnsi="Times New Roman" w:cs="Times New Roman" w:hint="eastAsia"/>
        <w:iCs/>
        <w:sz w:val="20"/>
        <w:szCs w:val="20"/>
      </w:rPr>
      <w:t>8</w:t>
    </w:r>
    <w:r w:rsidRPr="0069645E">
      <w:rPr>
        <w:rFonts w:ascii="Times New Roman" w:hAnsi="Times New Roman" w:cs="Times New Roman"/>
        <w:iCs/>
        <w:sz w:val="20"/>
        <w:szCs w:val="20"/>
      </w:rPr>
      <w:t>;</w:t>
    </w:r>
    <w:r w:rsidRPr="0069645E">
      <w:rPr>
        <w:rFonts w:ascii="Times New Roman" w:hAnsi="Times New Roman" w:cs="Times New Roman" w:hint="eastAsia"/>
        <w:iCs/>
        <w:sz w:val="20"/>
        <w:szCs w:val="20"/>
      </w:rPr>
      <w:t>10</w:t>
    </w:r>
    <w:r w:rsidRPr="0069645E">
      <w:rPr>
        <w:rFonts w:ascii="Times New Roman" w:hAnsi="Times New Roman" w:cs="Times New Roman"/>
        <w:iCs/>
        <w:sz w:val="20"/>
        <w:szCs w:val="20"/>
      </w:rPr>
      <w:t>(</w:t>
    </w:r>
    <w:r w:rsidRPr="0069645E">
      <w:rPr>
        <w:rFonts w:ascii="Times New Roman" w:hAnsi="Times New Roman" w:cs="Times New Roman" w:hint="eastAsia"/>
        <w:iCs/>
        <w:sz w:val="20"/>
        <w:szCs w:val="20"/>
      </w:rPr>
      <w:t>2</w:t>
    </w:r>
    <w:r w:rsidRPr="0069645E">
      <w:rPr>
        <w:rFonts w:ascii="Times New Roman" w:hAnsi="Times New Roman" w:cs="Times New Roman"/>
        <w:iCs/>
        <w:sz w:val="20"/>
        <w:szCs w:val="20"/>
      </w:rPr>
      <w:t xml:space="preserve">)  </w:t>
    </w:r>
    <w:r w:rsidRPr="0069645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 w:hint="eastAsia"/>
        <w:iCs/>
        <w:sz w:val="20"/>
        <w:szCs w:val="20"/>
      </w:rPr>
      <w:tab/>
    </w:r>
    <w:r w:rsidRPr="0069645E">
      <w:rPr>
        <w:rFonts w:ascii="Times New Roman" w:hAnsi="Times New Roman" w:cs="Times New Roman"/>
        <w:iCs/>
        <w:sz w:val="20"/>
        <w:szCs w:val="20"/>
      </w:rPr>
      <w:t xml:space="preserve">    </w:t>
    </w:r>
    <w:r w:rsidRPr="0069645E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9645E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69645E" w:rsidRPr="0069645E" w:rsidRDefault="0069645E" w:rsidP="0069645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68" w:rsidRPr="00A26C68" w:rsidRDefault="00A26C68" w:rsidP="00A26C6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26C68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26C68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A26C68">
      <w:rPr>
        <w:rFonts w:ascii="Times New Roman" w:hAnsi="Times New Roman" w:cs="Times New Roman"/>
        <w:iCs/>
        <w:sz w:val="20"/>
        <w:szCs w:val="20"/>
      </w:rPr>
      <w:t>201</w:t>
    </w:r>
    <w:r w:rsidRPr="00A26C68">
      <w:rPr>
        <w:rFonts w:ascii="Times New Roman" w:hAnsi="Times New Roman" w:cs="Times New Roman" w:hint="eastAsia"/>
        <w:iCs/>
        <w:sz w:val="20"/>
        <w:szCs w:val="20"/>
      </w:rPr>
      <w:t>8</w:t>
    </w:r>
    <w:r w:rsidRPr="00A26C68">
      <w:rPr>
        <w:rFonts w:ascii="Times New Roman" w:hAnsi="Times New Roman" w:cs="Times New Roman"/>
        <w:iCs/>
        <w:sz w:val="20"/>
        <w:szCs w:val="20"/>
      </w:rPr>
      <w:t>;</w:t>
    </w:r>
    <w:r w:rsidRPr="00A26C68">
      <w:rPr>
        <w:rFonts w:ascii="Times New Roman" w:hAnsi="Times New Roman" w:cs="Times New Roman" w:hint="eastAsia"/>
        <w:iCs/>
        <w:sz w:val="20"/>
        <w:szCs w:val="20"/>
      </w:rPr>
      <w:t>10</w:t>
    </w:r>
    <w:r w:rsidRPr="00A26C68">
      <w:rPr>
        <w:rFonts w:ascii="Times New Roman" w:hAnsi="Times New Roman" w:cs="Times New Roman"/>
        <w:iCs/>
        <w:sz w:val="20"/>
        <w:szCs w:val="20"/>
      </w:rPr>
      <w:t>(</w:t>
    </w:r>
    <w:r w:rsidRPr="00A26C68">
      <w:rPr>
        <w:rFonts w:ascii="Times New Roman" w:hAnsi="Times New Roman" w:cs="Times New Roman" w:hint="eastAsia"/>
        <w:iCs/>
        <w:sz w:val="20"/>
        <w:szCs w:val="20"/>
      </w:rPr>
      <w:t>2</w:t>
    </w:r>
    <w:r w:rsidRPr="00A26C68">
      <w:rPr>
        <w:rFonts w:ascii="Times New Roman" w:hAnsi="Times New Roman" w:cs="Times New Roman"/>
        <w:iCs/>
        <w:sz w:val="20"/>
        <w:szCs w:val="20"/>
      </w:rPr>
      <w:t xml:space="preserve">)  </w:t>
    </w:r>
    <w:r w:rsidRPr="00A26C68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26C68">
      <w:rPr>
        <w:rFonts w:ascii="Times New Roman" w:hAnsi="Times New Roman" w:cs="Times New Roman"/>
        <w:iCs/>
        <w:sz w:val="20"/>
        <w:szCs w:val="20"/>
      </w:rPr>
      <w:t xml:space="preserve"> </w:t>
    </w:r>
    <w:r w:rsidRPr="00A26C68">
      <w:rPr>
        <w:rFonts w:ascii="Times New Roman" w:hAnsi="Times New Roman" w:cs="Times New Roman" w:hint="eastAsia"/>
        <w:iCs/>
        <w:sz w:val="20"/>
        <w:szCs w:val="20"/>
      </w:rPr>
      <w:tab/>
    </w:r>
    <w:r w:rsidRPr="00A26C68">
      <w:rPr>
        <w:rFonts w:ascii="Times New Roman" w:hAnsi="Times New Roman" w:cs="Times New Roman"/>
        <w:iCs/>
        <w:sz w:val="20"/>
        <w:szCs w:val="20"/>
      </w:rPr>
      <w:t xml:space="preserve">    </w:t>
    </w:r>
    <w:r w:rsidRPr="00A26C6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A26C68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A26C68" w:rsidRPr="00A26C68" w:rsidRDefault="00A26C68" w:rsidP="00A26C68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5E" w:rsidRPr="0069645E" w:rsidRDefault="0069645E" w:rsidP="006964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9645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9645E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9645E">
      <w:rPr>
        <w:rFonts w:ascii="Times New Roman" w:hAnsi="Times New Roman" w:cs="Times New Roman"/>
        <w:iCs/>
        <w:sz w:val="20"/>
        <w:szCs w:val="20"/>
      </w:rPr>
      <w:t>201</w:t>
    </w:r>
    <w:r w:rsidRPr="0069645E">
      <w:rPr>
        <w:rFonts w:ascii="Times New Roman" w:hAnsi="Times New Roman" w:cs="Times New Roman" w:hint="eastAsia"/>
        <w:iCs/>
        <w:sz w:val="20"/>
        <w:szCs w:val="20"/>
      </w:rPr>
      <w:t>8</w:t>
    </w:r>
    <w:r w:rsidRPr="0069645E">
      <w:rPr>
        <w:rFonts w:ascii="Times New Roman" w:hAnsi="Times New Roman" w:cs="Times New Roman"/>
        <w:iCs/>
        <w:sz w:val="20"/>
        <w:szCs w:val="20"/>
      </w:rPr>
      <w:t>;</w:t>
    </w:r>
    <w:r w:rsidRPr="0069645E">
      <w:rPr>
        <w:rFonts w:ascii="Times New Roman" w:hAnsi="Times New Roman" w:cs="Times New Roman" w:hint="eastAsia"/>
        <w:iCs/>
        <w:sz w:val="20"/>
        <w:szCs w:val="20"/>
      </w:rPr>
      <w:t>10</w:t>
    </w:r>
    <w:r w:rsidRPr="0069645E">
      <w:rPr>
        <w:rFonts w:ascii="Times New Roman" w:hAnsi="Times New Roman" w:cs="Times New Roman"/>
        <w:iCs/>
        <w:sz w:val="20"/>
        <w:szCs w:val="20"/>
      </w:rPr>
      <w:t>(</w:t>
    </w:r>
    <w:r w:rsidRPr="0069645E">
      <w:rPr>
        <w:rFonts w:ascii="Times New Roman" w:hAnsi="Times New Roman" w:cs="Times New Roman" w:hint="eastAsia"/>
        <w:iCs/>
        <w:sz w:val="20"/>
        <w:szCs w:val="20"/>
      </w:rPr>
      <w:t>2</w:t>
    </w:r>
    <w:r w:rsidRPr="0069645E">
      <w:rPr>
        <w:rFonts w:ascii="Times New Roman" w:hAnsi="Times New Roman" w:cs="Times New Roman"/>
        <w:iCs/>
        <w:sz w:val="20"/>
        <w:szCs w:val="20"/>
      </w:rPr>
      <w:t xml:space="preserve">)  </w:t>
    </w:r>
    <w:r w:rsidRPr="0069645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/>
        <w:iCs/>
        <w:sz w:val="20"/>
        <w:szCs w:val="20"/>
      </w:rPr>
      <w:t xml:space="preserve"> </w:t>
    </w:r>
    <w:r w:rsidRPr="0069645E">
      <w:rPr>
        <w:rFonts w:ascii="Times New Roman" w:hAnsi="Times New Roman" w:cs="Times New Roman" w:hint="eastAsia"/>
        <w:iCs/>
        <w:sz w:val="20"/>
        <w:szCs w:val="20"/>
      </w:rPr>
      <w:tab/>
    </w:r>
    <w:r w:rsidRPr="0069645E">
      <w:rPr>
        <w:rFonts w:ascii="Times New Roman" w:hAnsi="Times New Roman" w:cs="Times New Roman"/>
        <w:iCs/>
        <w:sz w:val="20"/>
        <w:szCs w:val="20"/>
      </w:rPr>
      <w:t xml:space="preserve">    </w:t>
    </w:r>
    <w:r w:rsidRPr="0069645E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9645E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69645E" w:rsidRPr="0069645E" w:rsidRDefault="0069645E" w:rsidP="0069645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3673"/>
    <w:multiLevelType w:val="hybridMultilevel"/>
    <w:tmpl w:val="44F6D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F58BB"/>
    <w:multiLevelType w:val="hybridMultilevel"/>
    <w:tmpl w:val="78168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791DBB"/>
    <w:multiLevelType w:val="hybridMultilevel"/>
    <w:tmpl w:val="39EEB6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8515FE1"/>
    <w:multiLevelType w:val="hybridMultilevel"/>
    <w:tmpl w:val="99E43EB0"/>
    <w:lvl w:ilvl="0" w:tplc="6A8256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29C3"/>
    <w:rsid w:val="00000D30"/>
    <w:rsid w:val="000034AA"/>
    <w:rsid w:val="00006B69"/>
    <w:rsid w:val="00012468"/>
    <w:rsid w:val="000165DA"/>
    <w:rsid w:val="00017F8B"/>
    <w:rsid w:val="00024C0E"/>
    <w:rsid w:val="00027AEE"/>
    <w:rsid w:val="0003002E"/>
    <w:rsid w:val="00030A83"/>
    <w:rsid w:val="0003178C"/>
    <w:rsid w:val="00032D7D"/>
    <w:rsid w:val="0003492B"/>
    <w:rsid w:val="00034E48"/>
    <w:rsid w:val="00035BF9"/>
    <w:rsid w:val="000410B7"/>
    <w:rsid w:val="00041E89"/>
    <w:rsid w:val="000434C4"/>
    <w:rsid w:val="00045E60"/>
    <w:rsid w:val="0005113E"/>
    <w:rsid w:val="000534AA"/>
    <w:rsid w:val="00066B15"/>
    <w:rsid w:val="000729C3"/>
    <w:rsid w:val="00072FE4"/>
    <w:rsid w:val="00074E5C"/>
    <w:rsid w:val="00074F52"/>
    <w:rsid w:val="00080C80"/>
    <w:rsid w:val="00096101"/>
    <w:rsid w:val="00097F3E"/>
    <w:rsid w:val="000A04FB"/>
    <w:rsid w:val="000A2913"/>
    <w:rsid w:val="000A5CA1"/>
    <w:rsid w:val="000A71B8"/>
    <w:rsid w:val="000B56A9"/>
    <w:rsid w:val="000C16B5"/>
    <w:rsid w:val="000C35CD"/>
    <w:rsid w:val="000C4316"/>
    <w:rsid w:val="000C4571"/>
    <w:rsid w:val="000C5941"/>
    <w:rsid w:val="000E3BBC"/>
    <w:rsid w:val="000E6709"/>
    <w:rsid w:val="000F01AB"/>
    <w:rsid w:val="000F0735"/>
    <w:rsid w:val="000F0853"/>
    <w:rsid w:val="000F6405"/>
    <w:rsid w:val="001010AB"/>
    <w:rsid w:val="00111C5B"/>
    <w:rsid w:val="00112E55"/>
    <w:rsid w:val="0011729F"/>
    <w:rsid w:val="00117E69"/>
    <w:rsid w:val="00124E7C"/>
    <w:rsid w:val="00125E08"/>
    <w:rsid w:val="001316C9"/>
    <w:rsid w:val="001344A8"/>
    <w:rsid w:val="001348B4"/>
    <w:rsid w:val="00142E08"/>
    <w:rsid w:val="00143038"/>
    <w:rsid w:val="001440B1"/>
    <w:rsid w:val="00146E37"/>
    <w:rsid w:val="00147FF4"/>
    <w:rsid w:val="0015069D"/>
    <w:rsid w:val="00152645"/>
    <w:rsid w:val="00154E1A"/>
    <w:rsid w:val="001601D3"/>
    <w:rsid w:val="001621A7"/>
    <w:rsid w:val="0016260D"/>
    <w:rsid w:val="00166DF7"/>
    <w:rsid w:val="001715A4"/>
    <w:rsid w:val="00190B96"/>
    <w:rsid w:val="00193535"/>
    <w:rsid w:val="00194125"/>
    <w:rsid w:val="0019756B"/>
    <w:rsid w:val="001A0140"/>
    <w:rsid w:val="001A0D4B"/>
    <w:rsid w:val="001A41CF"/>
    <w:rsid w:val="001A546A"/>
    <w:rsid w:val="001A5F89"/>
    <w:rsid w:val="001B04C3"/>
    <w:rsid w:val="001B0FF8"/>
    <w:rsid w:val="001B65F6"/>
    <w:rsid w:val="001C6277"/>
    <w:rsid w:val="001D0791"/>
    <w:rsid w:val="001D10D0"/>
    <w:rsid w:val="001D69CA"/>
    <w:rsid w:val="001D7513"/>
    <w:rsid w:val="001E09E6"/>
    <w:rsid w:val="001E1E94"/>
    <w:rsid w:val="001E2264"/>
    <w:rsid w:val="001F07B0"/>
    <w:rsid w:val="001F5566"/>
    <w:rsid w:val="00200B73"/>
    <w:rsid w:val="002023B5"/>
    <w:rsid w:val="00206698"/>
    <w:rsid w:val="00207996"/>
    <w:rsid w:val="00211A58"/>
    <w:rsid w:val="00234DB4"/>
    <w:rsid w:val="0024031C"/>
    <w:rsid w:val="00240543"/>
    <w:rsid w:val="00240F69"/>
    <w:rsid w:val="00247FBC"/>
    <w:rsid w:val="00251D81"/>
    <w:rsid w:val="00254EF5"/>
    <w:rsid w:val="00256C0E"/>
    <w:rsid w:val="002617E9"/>
    <w:rsid w:val="00263952"/>
    <w:rsid w:val="00285EB5"/>
    <w:rsid w:val="00290EBF"/>
    <w:rsid w:val="0029166A"/>
    <w:rsid w:val="00291810"/>
    <w:rsid w:val="00292B1E"/>
    <w:rsid w:val="00294AAE"/>
    <w:rsid w:val="0029591D"/>
    <w:rsid w:val="00295E81"/>
    <w:rsid w:val="0029743B"/>
    <w:rsid w:val="002A1E7B"/>
    <w:rsid w:val="002A1F3E"/>
    <w:rsid w:val="002A5327"/>
    <w:rsid w:val="002A58DC"/>
    <w:rsid w:val="002A7406"/>
    <w:rsid w:val="002B4782"/>
    <w:rsid w:val="002B6F3D"/>
    <w:rsid w:val="002B7190"/>
    <w:rsid w:val="002C069C"/>
    <w:rsid w:val="002C4E80"/>
    <w:rsid w:val="002C4F88"/>
    <w:rsid w:val="002D03B4"/>
    <w:rsid w:val="002D0B2E"/>
    <w:rsid w:val="002D2AA8"/>
    <w:rsid w:val="002D4392"/>
    <w:rsid w:val="002D6709"/>
    <w:rsid w:val="002D715B"/>
    <w:rsid w:val="002E1E5A"/>
    <w:rsid w:val="002E2FC5"/>
    <w:rsid w:val="002F1C5D"/>
    <w:rsid w:val="00307674"/>
    <w:rsid w:val="00307B46"/>
    <w:rsid w:val="003108A2"/>
    <w:rsid w:val="00312F8E"/>
    <w:rsid w:val="00314E95"/>
    <w:rsid w:val="003177C4"/>
    <w:rsid w:val="0032081F"/>
    <w:rsid w:val="00320924"/>
    <w:rsid w:val="00322773"/>
    <w:rsid w:val="00322A9B"/>
    <w:rsid w:val="00326128"/>
    <w:rsid w:val="00330C0E"/>
    <w:rsid w:val="003316F7"/>
    <w:rsid w:val="00336F4C"/>
    <w:rsid w:val="003402D0"/>
    <w:rsid w:val="003423B0"/>
    <w:rsid w:val="00350BC1"/>
    <w:rsid w:val="00351EB0"/>
    <w:rsid w:val="003571A4"/>
    <w:rsid w:val="00366431"/>
    <w:rsid w:val="00371713"/>
    <w:rsid w:val="003717E2"/>
    <w:rsid w:val="00371F5E"/>
    <w:rsid w:val="00372C95"/>
    <w:rsid w:val="00376A04"/>
    <w:rsid w:val="003861F2"/>
    <w:rsid w:val="00393CD2"/>
    <w:rsid w:val="00394489"/>
    <w:rsid w:val="00396865"/>
    <w:rsid w:val="00396944"/>
    <w:rsid w:val="00397D7C"/>
    <w:rsid w:val="003A0EEF"/>
    <w:rsid w:val="003A65E4"/>
    <w:rsid w:val="003A730B"/>
    <w:rsid w:val="003A7DD5"/>
    <w:rsid w:val="003C1354"/>
    <w:rsid w:val="003C1DC4"/>
    <w:rsid w:val="003D25E9"/>
    <w:rsid w:val="003D7333"/>
    <w:rsid w:val="003E1435"/>
    <w:rsid w:val="003E29D6"/>
    <w:rsid w:val="003E4D5E"/>
    <w:rsid w:val="003E5E3E"/>
    <w:rsid w:val="003F0A9D"/>
    <w:rsid w:val="003F0B90"/>
    <w:rsid w:val="003F5888"/>
    <w:rsid w:val="003F7941"/>
    <w:rsid w:val="004034E0"/>
    <w:rsid w:val="004059D8"/>
    <w:rsid w:val="00407723"/>
    <w:rsid w:val="004109DE"/>
    <w:rsid w:val="0041749A"/>
    <w:rsid w:val="004251CE"/>
    <w:rsid w:val="00427869"/>
    <w:rsid w:val="00427F8F"/>
    <w:rsid w:val="00433AFE"/>
    <w:rsid w:val="004353A9"/>
    <w:rsid w:val="00441C8D"/>
    <w:rsid w:val="00442860"/>
    <w:rsid w:val="0044453A"/>
    <w:rsid w:val="00445F4F"/>
    <w:rsid w:val="00447D3A"/>
    <w:rsid w:val="00456FF5"/>
    <w:rsid w:val="00463BF4"/>
    <w:rsid w:val="00464EA3"/>
    <w:rsid w:val="00466DC7"/>
    <w:rsid w:val="00474FDF"/>
    <w:rsid w:val="004773B0"/>
    <w:rsid w:val="00483898"/>
    <w:rsid w:val="00484247"/>
    <w:rsid w:val="00485DA7"/>
    <w:rsid w:val="00486374"/>
    <w:rsid w:val="0048687C"/>
    <w:rsid w:val="00486CA6"/>
    <w:rsid w:val="00491130"/>
    <w:rsid w:val="00495B45"/>
    <w:rsid w:val="004A55E7"/>
    <w:rsid w:val="004A7834"/>
    <w:rsid w:val="004C4F22"/>
    <w:rsid w:val="004D5592"/>
    <w:rsid w:val="004E3C1F"/>
    <w:rsid w:val="004E6ED1"/>
    <w:rsid w:val="004E7CED"/>
    <w:rsid w:val="004F49A6"/>
    <w:rsid w:val="00505637"/>
    <w:rsid w:val="005064C1"/>
    <w:rsid w:val="00507B16"/>
    <w:rsid w:val="00514211"/>
    <w:rsid w:val="0052195F"/>
    <w:rsid w:val="00522B75"/>
    <w:rsid w:val="00533871"/>
    <w:rsid w:val="005358B7"/>
    <w:rsid w:val="00547EA2"/>
    <w:rsid w:val="005511F8"/>
    <w:rsid w:val="00561D37"/>
    <w:rsid w:val="00563B43"/>
    <w:rsid w:val="00564459"/>
    <w:rsid w:val="00573BFC"/>
    <w:rsid w:val="00574A16"/>
    <w:rsid w:val="00576084"/>
    <w:rsid w:val="005769D8"/>
    <w:rsid w:val="005815A5"/>
    <w:rsid w:val="00583055"/>
    <w:rsid w:val="005841D5"/>
    <w:rsid w:val="00584D63"/>
    <w:rsid w:val="00590F86"/>
    <w:rsid w:val="00591660"/>
    <w:rsid w:val="00593DE3"/>
    <w:rsid w:val="005963B6"/>
    <w:rsid w:val="005A07A4"/>
    <w:rsid w:val="005A3F81"/>
    <w:rsid w:val="005A7006"/>
    <w:rsid w:val="005A7513"/>
    <w:rsid w:val="005B320D"/>
    <w:rsid w:val="005B5C80"/>
    <w:rsid w:val="005B7FEE"/>
    <w:rsid w:val="005C0D5A"/>
    <w:rsid w:val="005C3A62"/>
    <w:rsid w:val="005C7CD6"/>
    <w:rsid w:val="005D402C"/>
    <w:rsid w:val="005D6A64"/>
    <w:rsid w:val="005E354F"/>
    <w:rsid w:val="005E6F45"/>
    <w:rsid w:val="005F3EB6"/>
    <w:rsid w:val="005F4474"/>
    <w:rsid w:val="005F451E"/>
    <w:rsid w:val="005F74EC"/>
    <w:rsid w:val="0060009D"/>
    <w:rsid w:val="00600677"/>
    <w:rsid w:val="00601C39"/>
    <w:rsid w:val="00603700"/>
    <w:rsid w:val="0060499E"/>
    <w:rsid w:val="006049C0"/>
    <w:rsid w:val="00604B40"/>
    <w:rsid w:val="006130E7"/>
    <w:rsid w:val="006164F3"/>
    <w:rsid w:val="006235B5"/>
    <w:rsid w:val="00624600"/>
    <w:rsid w:val="00635884"/>
    <w:rsid w:val="00641BC4"/>
    <w:rsid w:val="00641D89"/>
    <w:rsid w:val="00644F32"/>
    <w:rsid w:val="0065348B"/>
    <w:rsid w:val="00653C91"/>
    <w:rsid w:val="0066146B"/>
    <w:rsid w:val="00663912"/>
    <w:rsid w:val="00666BCB"/>
    <w:rsid w:val="00672581"/>
    <w:rsid w:val="00681869"/>
    <w:rsid w:val="0068361F"/>
    <w:rsid w:val="00683B8C"/>
    <w:rsid w:val="0069645E"/>
    <w:rsid w:val="00697A05"/>
    <w:rsid w:val="006A0268"/>
    <w:rsid w:val="006B4950"/>
    <w:rsid w:val="006B719E"/>
    <w:rsid w:val="006C09AA"/>
    <w:rsid w:val="006C654D"/>
    <w:rsid w:val="006D3252"/>
    <w:rsid w:val="006D4E75"/>
    <w:rsid w:val="006E4042"/>
    <w:rsid w:val="006F0D01"/>
    <w:rsid w:val="006F72D4"/>
    <w:rsid w:val="00704CBF"/>
    <w:rsid w:val="00705D15"/>
    <w:rsid w:val="00712408"/>
    <w:rsid w:val="00714DBF"/>
    <w:rsid w:val="0071628B"/>
    <w:rsid w:val="00717A87"/>
    <w:rsid w:val="00717FDA"/>
    <w:rsid w:val="00720D9A"/>
    <w:rsid w:val="00721C50"/>
    <w:rsid w:val="00736F8A"/>
    <w:rsid w:val="00737489"/>
    <w:rsid w:val="00741E2A"/>
    <w:rsid w:val="00741FB1"/>
    <w:rsid w:val="0074273E"/>
    <w:rsid w:val="00746FA4"/>
    <w:rsid w:val="007470CF"/>
    <w:rsid w:val="00747DB2"/>
    <w:rsid w:val="007502AD"/>
    <w:rsid w:val="007558E5"/>
    <w:rsid w:val="00765396"/>
    <w:rsid w:val="00771793"/>
    <w:rsid w:val="007759B9"/>
    <w:rsid w:val="00783DF6"/>
    <w:rsid w:val="0078673F"/>
    <w:rsid w:val="007872A8"/>
    <w:rsid w:val="00787F01"/>
    <w:rsid w:val="00790124"/>
    <w:rsid w:val="007906CA"/>
    <w:rsid w:val="00794B0A"/>
    <w:rsid w:val="007A0678"/>
    <w:rsid w:val="007A06EE"/>
    <w:rsid w:val="007A0A89"/>
    <w:rsid w:val="007A2E42"/>
    <w:rsid w:val="007A549C"/>
    <w:rsid w:val="007A6272"/>
    <w:rsid w:val="007B3BBF"/>
    <w:rsid w:val="007B637C"/>
    <w:rsid w:val="007B63E1"/>
    <w:rsid w:val="007C4582"/>
    <w:rsid w:val="007C5FDE"/>
    <w:rsid w:val="007D0201"/>
    <w:rsid w:val="007D02C6"/>
    <w:rsid w:val="007D76A5"/>
    <w:rsid w:val="007E3863"/>
    <w:rsid w:val="007F12F1"/>
    <w:rsid w:val="007F6BF9"/>
    <w:rsid w:val="0080072F"/>
    <w:rsid w:val="008041C4"/>
    <w:rsid w:val="008129D8"/>
    <w:rsid w:val="00813219"/>
    <w:rsid w:val="008225E0"/>
    <w:rsid w:val="008231A0"/>
    <w:rsid w:val="008279B5"/>
    <w:rsid w:val="008373B3"/>
    <w:rsid w:val="00842406"/>
    <w:rsid w:val="008438D3"/>
    <w:rsid w:val="00843FA9"/>
    <w:rsid w:val="0084604B"/>
    <w:rsid w:val="00847167"/>
    <w:rsid w:val="00856683"/>
    <w:rsid w:val="00857E90"/>
    <w:rsid w:val="00864C5F"/>
    <w:rsid w:val="00866922"/>
    <w:rsid w:val="00867C81"/>
    <w:rsid w:val="00876B41"/>
    <w:rsid w:val="00876E5E"/>
    <w:rsid w:val="00884011"/>
    <w:rsid w:val="00884066"/>
    <w:rsid w:val="00885490"/>
    <w:rsid w:val="0089027F"/>
    <w:rsid w:val="00890794"/>
    <w:rsid w:val="00890F5A"/>
    <w:rsid w:val="008D2BDA"/>
    <w:rsid w:val="008D7EC4"/>
    <w:rsid w:val="008E08C2"/>
    <w:rsid w:val="008E6F9D"/>
    <w:rsid w:val="008F2AC8"/>
    <w:rsid w:val="008F2AE9"/>
    <w:rsid w:val="00905D2A"/>
    <w:rsid w:val="009131BE"/>
    <w:rsid w:val="00915B71"/>
    <w:rsid w:val="00921561"/>
    <w:rsid w:val="009273AA"/>
    <w:rsid w:val="009315E4"/>
    <w:rsid w:val="00941CB2"/>
    <w:rsid w:val="009446FD"/>
    <w:rsid w:val="00944F14"/>
    <w:rsid w:val="0094673F"/>
    <w:rsid w:val="00946B02"/>
    <w:rsid w:val="00947BD3"/>
    <w:rsid w:val="00960461"/>
    <w:rsid w:val="00961DF0"/>
    <w:rsid w:val="009627CB"/>
    <w:rsid w:val="009670D1"/>
    <w:rsid w:val="009766F9"/>
    <w:rsid w:val="009767DB"/>
    <w:rsid w:val="00990F9F"/>
    <w:rsid w:val="009942F3"/>
    <w:rsid w:val="00994639"/>
    <w:rsid w:val="009959BC"/>
    <w:rsid w:val="009965F6"/>
    <w:rsid w:val="009A47E1"/>
    <w:rsid w:val="009A5542"/>
    <w:rsid w:val="009A664C"/>
    <w:rsid w:val="009B1787"/>
    <w:rsid w:val="009C486D"/>
    <w:rsid w:val="009C515B"/>
    <w:rsid w:val="009C6313"/>
    <w:rsid w:val="009C6917"/>
    <w:rsid w:val="009D39A0"/>
    <w:rsid w:val="009D7AF3"/>
    <w:rsid w:val="009D7F62"/>
    <w:rsid w:val="009E5666"/>
    <w:rsid w:val="009E633C"/>
    <w:rsid w:val="009F0368"/>
    <w:rsid w:val="009F3E3F"/>
    <w:rsid w:val="009F44CB"/>
    <w:rsid w:val="009F7DE4"/>
    <w:rsid w:val="00A0004F"/>
    <w:rsid w:val="00A07ABC"/>
    <w:rsid w:val="00A15FA2"/>
    <w:rsid w:val="00A22267"/>
    <w:rsid w:val="00A2357B"/>
    <w:rsid w:val="00A24824"/>
    <w:rsid w:val="00A26C68"/>
    <w:rsid w:val="00A30BBD"/>
    <w:rsid w:val="00A32E61"/>
    <w:rsid w:val="00A3416F"/>
    <w:rsid w:val="00A34B25"/>
    <w:rsid w:val="00A34E16"/>
    <w:rsid w:val="00A36255"/>
    <w:rsid w:val="00A37206"/>
    <w:rsid w:val="00A3754A"/>
    <w:rsid w:val="00A376E1"/>
    <w:rsid w:val="00A4303D"/>
    <w:rsid w:val="00A50CDA"/>
    <w:rsid w:val="00A51B37"/>
    <w:rsid w:val="00A53337"/>
    <w:rsid w:val="00A575C7"/>
    <w:rsid w:val="00A60535"/>
    <w:rsid w:val="00A61329"/>
    <w:rsid w:val="00A61471"/>
    <w:rsid w:val="00A61AB1"/>
    <w:rsid w:val="00A61FF3"/>
    <w:rsid w:val="00A71BF5"/>
    <w:rsid w:val="00A72A84"/>
    <w:rsid w:val="00A74A5D"/>
    <w:rsid w:val="00A74ED9"/>
    <w:rsid w:val="00A82BBE"/>
    <w:rsid w:val="00A83CAE"/>
    <w:rsid w:val="00A84963"/>
    <w:rsid w:val="00A90164"/>
    <w:rsid w:val="00AA2602"/>
    <w:rsid w:val="00AA5869"/>
    <w:rsid w:val="00AB0958"/>
    <w:rsid w:val="00AC26AB"/>
    <w:rsid w:val="00AC3F4B"/>
    <w:rsid w:val="00AC5061"/>
    <w:rsid w:val="00AD2382"/>
    <w:rsid w:val="00AD2ACD"/>
    <w:rsid w:val="00AD7AE0"/>
    <w:rsid w:val="00AE7AD8"/>
    <w:rsid w:val="00AF6ED8"/>
    <w:rsid w:val="00AF75D0"/>
    <w:rsid w:val="00B127E7"/>
    <w:rsid w:val="00B15CA4"/>
    <w:rsid w:val="00B1715E"/>
    <w:rsid w:val="00B17A82"/>
    <w:rsid w:val="00B22FB5"/>
    <w:rsid w:val="00B22FD1"/>
    <w:rsid w:val="00B26579"/>
    <w:rsid w:val="00B31D66"/>
    <w:rsid w:val="00B4142C"/>
    <w:rsid w:val="00B4719D"/>
    <w:rsid w:val="00B5377D"/>
    <w:rsid w:val="00B565B6"/>
    <w:rsid w:val="00B57164"/>
    <w:rsid w:val="00B574C7"/>
    <w:rsid w:val="00B6409E"/>
    <w:rsid w:val="00B66AF0"/>
    <w:rsid w:val="00B670AF"/>
    <w:rsid w:val="00B749B3"/>
    <w:rsid w:val="00B776F4"/>
    <w:rsid w:val="00B81EFF"/>
    <w:rsid w:val="00B83B2C"/>
    <w:rsid w:val="00B85F00"/>
    <w:rsid w:val="00B90EDE"/>
    <w:rsid w:val="00B91AF8"/>
    <w:rsid w:val="00B96336"/>
    <w:rsid w:val="00B97430"/>
    <w:rsid w:val="00BA01BA"/>
    <w:rsid w:val="00BA5B3D"/>
    <w:rsid w:val="00BA5DCB"/>
    <w:rsid w:val="00BB6603"/>
    <w:rsid w:val="00BC0801"/>
    <w:rsid w:val="00BC3170"/>
    <w:rsid w:val="00BC624E"/>
    <w:rsid w:val="00BC62CC"/>
    <w:rsid w:val="00BC6303"/>
    <w:rsid w:val="00BD2531"/>
    <w:rsid w:val="00BD775C"/>
    <w:rsid w:val="00BD7785"/>
    <w:rsid w:val="00BD77AA"/>
    <w:rsid w:val="00BE329F"/>
    <w:rsid w:val="00BF1930"/>
    <w:rsid w:val="00BF3F7C"/>
    <w:rsid w:val="00BF42B6"/>
    <w:rsid w:val="00C0243F"/>
    <w:rsid w:val="00C104B7"/>
    <w:rsid w:val="00C16731"/>
    <w:rsid w:val="00C175F4"/>
    <w:rsid w:val="00C218B8"/>
    <w:rsid w:val="00C22F49"/>
    <w:rsid w:val="00C23288"/>
    <w:rsid w:val="00C24680"/>
    <w:rsid w:val="00C31327"/>
    <w:rsid w:val="00C353B7"/>
    <w:rsid w:val="00C357EA"/>
    <w:rsid w:val="00C37C57"/>
    <w:rsid w:val="00C4048E"/>
    <w:rsid w:val="00C4075A"/>
    <w:rsid w:val="00C43ECC"/>
    <w:rsid w:val="00C43ED0"/>
    <w:rsid w:val="00C44B2A"/>
    <w:rsid w:val="00C4556E"/>
    <w:rsid w:val="00C51A80"/>
    <w:rsid w:val="00C55369"/>
    <w:rsid w:val="00C61B15"/>
    <w:rsid w:val="00C72C41"/>
    <w:rsid w:val="00C77CBC"/>
    <w:rsid w:val="00C856AE"/>
    <w:rsid w:val="00C91188"/>
    <w:rsid w:val="00C91995"/>
    <w:rsid w:val="00C927C5"/>
    <w:rsid w:val="00C96C06"/>
    <w:rsid w:val="00C97A5B"/>
    <w:rsid w:val="00CA5BF6"/>
    <w:rsid w:val="00CB2D0A"/>
    <w:rsid w:val="00CB3328"/>
    <w:rsid w:val="00CB346A"/>
    <w:rsid w:val="00CC7348"/>
    <w:rsid w:val="00CD1BF4"/>
    <w:rsid w:val="00CE5B8C"/>
    <w:rsid w:val="00CF0299"/>
    <w:rsid w:val="00CF2A0A"/>
    <w:rsid w:val="00CF3079"/>
    <w:rsid w:val="00CF35B5"/>
    <w:rsid w:val="00CF394B"/>
    <w:rsid w:val="00CF531D"/>
    <w:rsid w:val="00CF7370"/>
    <w:rsid w:val="00D0062A"/>
    <w:rsid w:val="00D01964"/>
    <w:rsid w:val="00D2309F"/>
    <w:rsid w:val="00D2391E"/>
    <w:rsid w:val="00D24985"/>
    <w:rsid w:val="00D2599F"/>
    <w:rsid w:val="00D35CB1"/>
    <w:rsid w:val="00D42ABE"/>
    <w:rsid w:val="00D45514"/>
    <w:rsid w:val="00D4586A"/>
    <w:rsid w:val="00D535AA"/>
    <w:rsid w:val="00D623FE"/>
    <w:rsid w:val="00D63E7F"/>
    <w:rsid w:val="00D70324"/>
    <w:rsid w:val="00D71200"/>
    <w:rsid w:val="00D71672"/>
    <w:rsid w:val="00D72468"/>
    <w:rsid w:val="00D74222"/>
    <w:rsid w:val="00D74309"/>
    <w:rsid w:val="00D75839"/>
    <w:rsid w:val="00D91100"/>
    <w:rsid w:val="00D9241E"/>
    <w:rsid w:val="00DB17FD"/>
    <w:rsid w:val="00DB1BF9"/>
    <w:rsid w:val="00DB6255"/>
    <w:rsid w:val="00DB7615"/>
    <w:rsid w:val="00DC6D34"/>
    <w:rsid w:val="00DD424B"/>
    <w:rsid w:val="00DD53D3"/>
    <w:rsid w:val="00DD6FBC"/>
    <w:rsid w:val="00DD7002"/>
    <w:rsid w:val="00DD7342"/>
    <w:rsid w:val="00DE0BE4"/>
    <w:rsid w:val="00DE215E"/>
    <w:rsid w:val="00DE4D60"/>
    <w:rsid w:val="00DE5F29"/>
    <w:rsid w:val="00DE6E90"/>
    <w:rsid w:val="00DF4D22"/>
    <w:rsid w:val="00DF5AC7"/>
    <w:rsid w:val="00DF6115"/>
    <w:rsid w:val="00DF71C0"/>
    <w:rsid w:val="00E00858"/>
    <w:rsid w:val="00E01B37"/>
    <w:rsid w:val="00E02E5D"/>
    <w:rsid w:val="00E0502E"/>
    <w:rsid w:val="00E11751"/>
    <w:rsid w:val="00E13471"/>
    <w:rsid w:val="00E13E04"/>
    <w:rsid w:val="00E17809"/>
    <w:rsid w:val="00E21451"/>
    <w:rsid w:val="00E22823"/>
    <w:rsid w:val="00E244C0"/>
    <w:rsid w:val="00E3311C"/>
    <w:rsid w:val="00E3690E"/>
    <w:rsid w:val="00E36BEA"/>
    <w:rsid w:val="00E466E7"/>
    <w:rsid w:val="00E549EC"/>
    <w:rsid w:val="00E63118"/>
    <w:rsid w:val="00E67EAF"/>
    <w:rsid w:val="00E71124"/>
    <w:rsid w:val="00E71BE7"/>
    <w:rsid w:val="00E730B5"/>
    <w:rsid w:val="00E74C75"/>
    <w:rsid w:val="00E81EE5"/>
    <w:rsid w:val="00E86EC6"/>
    <w:rsid w:val="00E92050"/>
    <w:rsid w:val="00E92434"/>
    <w:rsid w:val="00EA1D8E"/>
    <w:rsid w:val="00EA2957"/>
    <w:rsid w:val="00EA2D37"/>
    <w:rsid w:val="00EA41C9"/>
    <w:rsid w:val="00EA477B"/>
    <w:rsid w:val="00EB0BD6"/>
    <w:rsid w:val="00EB733B"/>
    <w:rsid w:val="00EC0662"/>
    <w:rsid w:val="00EC6937"/>
    <w:rsid w:val="00ED4389"/>
    <w:rsid w:val="00ED7B42"/>
    <w:rsid w:val="00EE034B"/>
    <w:rsid w:val="00EE1BB5"/>
    <w:rsid w:val="00EE31CC"/>
    <w:rsid w:val="00EE5080"/>
    <w:rsid w:val="00EF37FC"/>
    <w:rsid w:val="00F12085"/>
    <w:rsid w:val="00F120BD"/>
    <w:rsid w:val="00F251B3"/>
    <w:rsid w:val="00F268CB"/>
    <w:rsid w:val="00F27E3A"/>
    <w:rsid w:val="00F32C84"/>
    <w:rsid w:val="00F33835"/>
    <w:rsid w:val="00F42CC2"/>
    <w:rsid w:val="00F45A0E"/>
    <w:rsid w:val="00F465A4"/>
    <w:rsid w:val="00F501C1"/>
    <w:rsid w:val="00F5047A"/>
    <w:rsid w:val="00F53141"/>
    <w:rsid w:val="00F63EDD"/>
    <w:rsid w:val="00F64243"/>
    <w:rsid w:val="00F66B45"/>
    <w:rsid w:val="00F67344"/>
    <w:rsid w:val="00F67B4D"/>
    <w:rsid w:val="00F67E55"/>
    <w:rsid w:val="00F70071"/>
    <w:rsid w:val="00F71E95"/>
    <w:rsid w:val="00F7260F"/>
    <w:rsid w:val="00F72B6D"/>
    <w:rsid w:val="00F80D1F"/>
    <w:rsid w:val="00F815F6"/>
    <w:rsid w:val="00F81605"/>
    <w:rsid w:val="00F819DA"/>
    <w:rsid w:val="00F83DFB"/>
    <w:rsid w:val="00F85835"/>
    <w:rsid w:val="00F87512"/>
    <w:rsid w:val="00F914F1"/>
    <w:rsid w:val="00F9644F"/>
    <w:rsid w:val="00FA1822"/>
    <w:rsid w:val="00FA5E40"/>
    <w:rsid w:val="00FB09A4"/>
    <w:rsid w:val="00FB0A0A"/>
    <w:rsid w:val="00FB13C5"/>
    <w:rsid w:val="00FB2AFF"/>
    <w:rsid w:val="00FC1CE6"/>
    <w:rsid w:val="00FC2875"/>
    <w:rsid w:val="00FC3A42"/>
    <w:rsid w:val="00FD053A"/>
    <w:rsid w:val="00FD1464"/>
    <w:rsid w:val="00FD1C16"/>
    <w:rsid w:val="00FD28B0"/>
    <w:rsid w:val="00FD3C6F"/>
    <w:rsid w:val="00FD7499"/>
    <w:rsid w:val="00FE40FE"/>
    <w:rsid w:val="00FE4BA7"/>
    <w:rsid w:val="00FF064E"/>
    <w:rsid w:val="00FF1C5E"/>
    <w:rsid w:val="00FF6E35"/>
    <w:rsid w:val="00FF7D37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51"/>
  </w:style>
  <w:style w:type="paragraph" w:styleId="Heading1">
    <w:name w:val="heading 1"/>
    <w:basedOn w:val="Normal"/>
    <w:link w:val="Heading1Char"/>
    <w:uiPriority w:val="9"/>
    <w:qFormat/>
    <w:rsid w:val="002A5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5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2A5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E37"/>
    <w:pPr>
      <w:ind w:left="720"/>
      <w:contextualSpacing/>
    </w:pPr>
  </w:style>
  <w:style w:type="character" w:customStyle="1" w:styleId="fontstyle01">
    <w:name w:val="fontstyle01"/>
    <w:basedOn w:val="DefaultParagraphFont"/>
    <w:rsid w:val="007B63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eftitle">
    <w:name w:val="reftitle"/>
    <w:basedOn w:val="DefaultParagraphFont"/>
    <w:rsid w:val="00641BC4"/>
  </w:style>
  <w:style w:type="character" w:styleId="Emphasis">
    <w:name w:val="Emphasis"/>
    <w:basedOn w:val="DefaultParagraphFont"/>
    <w:uiPriority w:val="20"/>
    <w:qFormat/>
    <w:rsid w:val="00641BC4"/>
    <w:rPr>
      <w:i/>
      <w:iCs/>
    </w:rPr>
  </w:style>
  <w:style w:type="character" w:customStyle="1" w:styleId="st">
    <w:name w:val="st"/>
    <w:basedOn w:val="DefaultParagraphFont"/>
    <w:rsid w:val="00641BC4"/>
  </w:style>
  <w:style w:type="character" w:customStyle="1" w:styleId="element-citation">
    <w:name w:val="element-citation"/>
    <w:basedOn w:val="DefaultParagraphFont"/>
    <w:rsid w:val="00E22823"/>
  </w:style>
  <w:style w:type="character" w:customStyle="1" w:styleId="ref-journal">
    <w:name w:val="ref-journal"/>
    <w:basedOn w:val="DefaultParagraphFont"/>
    <w:rsid w:val="00E22823"/>
  </w:style>
  <w:style w:type="character" w:customStyle="1" w:styleId="ref-vol">
    <w:name w:val="ref-vol"/>
    <w:basedOn w:val="DefaultParagraphFont"/>
    <w:rsid w:val="00E22823"/>
  </w:style>
  <w:style w:type="character" w:styleId="Hyperlink">
    <w:name w:val="Hyperlink"/>
    <w:basedOn w:val="DefaultParagraphFont"/>
    <w:uiPriority w:val="99"/>
    <w:unhideWhenUsed/>
    <w:rsid w:val="00A74A5D"/>
    <w:rPr>
      <w:color w:val="0000FF"/>
      <w:u w:val="single"/>
    </w:rPr>
  </w:style>
  <w:style w:type="character" w:customStyle="1" w:styleId="ref-title">
    <w:name w:val="ref-title"/>
    <w:basedOn w:val="DefaultParagraphFont"/>
    <w:rsid w:val="004F49A6"/>
  </w:style>
  <w:style w:type="paragraph" w:styleId="HTMLPreformatted">
    <w:name w:val="HTML Preformatted"/>
    <w:basedOn w:val="Normal"/>
    <w:link w:val="HTMLPreformattedChar"/>
    <w:uiPriority w:val="99"/>
    <w:unhideWhenUsed/>
    <w:rsid w:val="00027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7AE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62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77"/>
  </w:style>
  <w:style w:type="paragraph" w:styleId="Footer">
    <w:name w:val="footer"/>
    <w:basedOn w:val="Normal"/>
    <w:link w:val="FooterChar"/>
    <w:uiPriority w:val="99"/>
    <w:unhideWhenUsed/>
    <w:rsid w:val="001C62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image" Target="media/image3.png"/><Relationship Id="rId39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oter" Target="footer9.xml"/><Relationship Id="rId42" Type="http://schemas.openxmlformats.org/officeDocument/2006/relationships/footer" Target="footer13.xml"/><Relationship Id="rId7" Type="http://schemas.openxmlformats.org/officeDocument/2006/relationships/hyperlink" Target="mailto:Elham_pharmacology@yahoo.com" TargetMode="Externa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image" Target="media/image2.png"/><Relationship Id="rId33" Type="http://schemas.openxmlformats.org/officeDocument/2006/relationships/header" Target="header9.xml"/><Relationship Id="rId38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footer" Target="footer4.xml"/><Relationship Id="rId29" Type="http://schemas.openxmlformats.org/officeDocument/2006/relationships/header" Target="header7.xml"/><Relationship Id="rId41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footer" Target="footer8.xml"/><Relationship Id="rId37" Type="http://schemas.openxmlformats.org/officeDocument/2006/relationships/header" Target="header11.xml"/><Relationship Id="rId40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header" Target="header6.xml"/><Relationship Id="rId28" Type="http://schemas.openxmlformats.org/officeDocument/2006/relationships/image" Target="media/image5.png"/><Relationship Id="rId36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00218.02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image" Target="media/image4.png"/><Relationship Id="rId30" Type="http://schemas.openxmlformats.org/officeDocument/2006/relationships/footer" Target="footer7.xml"/><Relationship Id="rId35" Type="http://schemas.openxmlformats.org/officeDocument/2006/relationships/header" Target="header10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her\Desktop\ceftiofur%20research%20maha%20hanan\cef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her\Desktop\ceftiofur%20research%20maha%20hanan\ce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scatterChart>
        <c:scatterStyle val="smoothMarker"/>
        <c:ser>
          <c:idx val="0"/>
          <c:order val="0"/>
          <c:marker>
            <c:symbol val="diamond"/>
            <c:size val="3"/>
            <c:spPr>
              <a:ln>
                <a:solidFill>
                  <a:schemeClr val="tx1"/>
                </a:solidFill>
              </a:ln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0559645669291339"/>
                  <c:y val="-2.8252405949256338E-2"/>
                </c:manualLayout>
              </c:layout>
              <c:numFmt formatCode="General" sourceLinked="0"/>
            </c:trendlineLbl>
          </c:trendline>
          <c:xVal>
            <c:numRef>
              <c:f>hcl!$A$2:$A$9</c:f>
              <c:numCache>
                <c:formatCode>General</c:formatCode>
                <c:ptCount val="8"/>
                <c:pt idx="0">
                  <c:v>0.5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10</c:v>
                </c:pt>
                <c:pt idx="5">
                  <c:v>20</c:v>
                </c:pt>
                <c:pt idx="6">
                  <c:v>50</c:v>
                </c:pt>
              </c:numCache>
            </c:numRef>
          </c:xVal>
          <c:yVal>
            <c:numRef>
              <c:f>hcl!$B$2:$B$9</c:f>
              <c:numCache>
                <c:formatCode>General</c:formatCode>
                <c:ptCount val="8"/>
                <c:pt idx="0">
                  <c:v>62.5</c:v>
                </c:pt>
                <c:pt idx="1">
                  <c:v>125.66</c:v>
                </c:pt>
                <c:pt idx="2">
                  <c:v>251.16</c:v>
                </c:pt>
                <c:pt idx="3">
                  <c:v>625.66999999999996</c:v>
                </c:pt>
                <c:pt idx="4">
                  <c:v>1265.8799999999999</c:v>
                </c:pt>
                <c:pt idx="5">
                  <c:v>2574</c:v>
                </c:pt>
                <c:pt idx="6">
                  <c:v>6299.6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4EB-4AD0-9764-B5B66A0D398E}"/>
            </c:ext>
          </c:extLst>
        </c:ser>
        <c:axId val="103896576"/>
        <c:axId val="103898112"/>
      </c:scatterChart>
      <c:valAx>
        <c:axId val="103896576"/>
        <c:scaling>
          <c:orientation val="minMax"/>
        </c:scaling>
        <c:axPos val="b"/>
        <c:numFmt formatCode="General" sourceLinked="1"/>
        <c:tickLblPos val="nextTo"/>
        <c:crossAx val="103898112"/>
        <c:crosses val="autoZero"/>
        <c:crossBetween val="midCat"/>
      </c:valAx>
      <c:valAx>
        <c:axId val="10389811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03896576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scatterChart>
        <c:scatterStyle val="smoothMarker"/>
        <c:ser>
          <c:idx val="0"/>
          <c:order val="0"/>
          <c:marker>
            <c:symbol val="diamond"/>
            <c:size val="3"/>
            <c:spPr>
              <a:solidFill>
                <a:schemeClr val="bg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4277911198600175"/>
                  <c:y val="-5.3196631671042022E-2"/>
                </c:manualLayout>
              </c:layout>
              <c:numFmt formatCode="General" sourceLinked="0"/>
            </c:trendlineLbl>
          </c:trendline>
          <c:xVal>
            <c:numRef>
              <c:f>Sheet2!$A$2:$A$8</c:f>
              <c:numCache>
                <c:formatCode>General</c:formatCode>
                <c:ptCount val="7"/>
                <c:pt idx="0">
                  <c:v>0.5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10</c:v>
                </c:pt>
                <c:pt idx="5">
                  <c:v>20</c:v>
                </c:pt>
                <c:pt idx="6">
                  <c:v>50</c:v>
                </c:pt>
              </c:numCache>
            </c:numRef>
          </c:xVal>
          <c:yVal>
            <c:numRef>
              <c:f>Sheet2!$B$2:$B$8</c:f>
              <c:numCache>
                <c:formatCode>General</c:formatCode>
                <c:ptCount val="7"/>
                <c:pt idx="0">
                  <c:v>52.304000000000002</c:v>
                </c:pt>
                <c:pt idx="1">
                  <c:v>97.611999999999995</c:v>
                </c:pt>
                <c:pt idx="2">
                  <c:v>193.57</c:v>
                </c:pt>
                <c:pt idx="3">
                  <c:v>520.28000000000054</c:v>
                </c:pt>
                <c:pt idx="4">
                  <c:v>1007.8</c:v>
                </c:pt>
                <c:pt idx="5">
                  <c:v>1989.3</c:v>
                </c:pt>
                <c:pt idx="6">
                  <c:v>5112.5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92B-4998-9C8F-30C505D72FFF}"/>
            </c:ext>
          </c:extLst>
        </c:ser>
        <c:axId val="102247040"/>
        <c:axId val="102257024"/>
      </c:scatterChart>
      <c:valAx>
        <c:axId val="102247040"/>
        <c:scaling>
          <c:orientation val="minMax"/>
        </c:scaling>
        <c:axPos val="b"/>
        <c:numFmt formatCode="General" sourceLinked="1"/>
        <c:tickLblPos val="nextTo"/>
        <c:crossAx val="102257024"/>
        <c:crosses val="autoZero"/>
        <c:crossBetween val="midCat"/>
      </c:valAx>
      <c:valAx>
        <c:axId val="102257024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02247040"/>
        <c:crosses val="autoZero"/>
        <c:crossBetween val="midCat"/>
      </c:valAx>
    </c:plotArea>
    <c:plotVisOnly val="1"/>
    <c:dispBlanksAs val="gap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Administrator</cp:lastModifiedBy>
  <cp:revision>3</cp:revision>
  <dcterms:created xsi:type="dcterms:W3CDTF">2018-02-08T13:50:00Z</dcterms:created>
  <dcterms:modified xsi:type="dcterms:W3CDTF">2018-02-09T02:15:00Z</dcterms:modified>
</cp:coreProperties>
</file>