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48B" w:rsidRPr="00C747EA" w:rsidRDefault="00FD03C0" w:rsidP="009677EE">
      <w:pPr>
        <w:autoSpaceDE w:val="0"/>
        <w:autoSpaceDN w:val="0"/>
        <w:bidi w:val="0"/>
        <w:adjustRightInd w:val="0"/>
        <w:snapToGrid w:val="0"/>
        <w:jc w:val="center"/>
        <w:rPr>
          <w:b/>
          <w:bCs/>
          <w:sz w:val="20"/>
          <w:lang w:bidi="fa-IR"/>
        </w:rPr>
      </w:pPr>
      <w:r w:rsidRPr="00C747EA">
        <w:rPr>
          <w:b/>
          <w:bCs/>
          <w:sz w:val="20"/>
          <w:lang w:bidi="fa-IR"/>
        </w:rPr>
        <w:t xml:space="preserve">Investigate </w:t>
      </w:r>
      <w:r w:rsidR="000E3000" w:rsidRPr="00C747EA">
        <w:rPr>
          <w:b/>
          <w:bCs/>
          <w:sz w:val="20"/>
          <w:lang w:bidi="fa-IR"/>
        </w:rPr>
        <w:t>the E</w:t>
      </w:r>
      <w:r w:rsidRPr="00C747EA">
        <w:rPr>
          <w:b/>
          <w:bCs/>
          <w:sz w:val="20"/>
          <w:lang w:bidi="fa-IR"/>
        </w:rPr>
        <w:t xml:space="preserve">ffect of Working Capital and </w:t>
      </w:r>
      <w:r w:rsidR="000E3000" w:rsidRPr="00C747EA">
        <w:rPr>
          <w:b/>
          <w:bCs/>
          <w:sz w:val="20"/>
          <w:lang w:bidi="fa-IR"/>
        </w:rPr>
        <w:t>Cash H</w:t>
      </w:r>
      <w:r w:rsidRPr="00C747EA">
        <w:rPr>
          <w:b/>
          <w:bCs/>
          <w:sz w:val="20"/>
          <w:lang w:bidi="fa-IR"/>
        </w:rPr>
        <w:t>oldings</w:t>
      </w:r>
      <w:r w:rsidR="000E3000" w:rsidRPr="00C747EA">
        <w:rPr>
          <w:b/>
          <w:bCs/>
          <w:sz w:val="20"/>
          <w:lang w:bidi="fa-IR"/>
        </w:rPr>
        <w:t xml:space="preserve"> on P</w:t>
      </w:r>
      <w:r w:rsidRPr="00C747EA">
        <w:rPr>
          <w:b/>
          <w:bCs/>
          <w:sz w:val="20"/>
          <w:lang w:bidi="fa-IR"/>
        </w:rPr>
        <w:t xml:space="preserve">rofitability of </w:t>
      </w:r>
      <w:r w:rsidR="000E3000" w:rsidRPr="00C747EA">
        <w:rPr>
          <w:b/>
          <w:bCs/>
          <w:sz w:val="20"/>
          <w:lang w:bidi="fa-IR"/>
        </w:rPr>
        <w:t>Companies L</w:t>
      </w:r>
      <w:r w:rsidRPr="00C747EA">
        <w:rPr>
          <w:b/>
          <w:bCs/>
          <w:sz w:val="20"/>
          <w:lang w:bidi="fa-IR"/>
        </w:rPr>
        <w:t>isted in the Tehran Stock Exchange</w:t>
      </w:r>
    </w:p>
    <w:p w:rsidR="008F648B" w:rsidRPr="00C747EA" w:rsidRDefault="008F648B" w:rsidP="009677EE">
      <w:pPr>
        <w:autoSpaceDE w:val="0"/>
        <w:autoSpaceDN w:val="0"/>
        <w:bidi w:val="0"/>
        <w:adjustRightInd w:val="0"/>
        <w:snapToGrid w:val="0"/>
        <w:jc w:val="center"/>
        <w:rPr>
          <w:b/>
          <w:bCs/>
          <w:sz w:val="20"/>
          <w:lang w:bidi="fa-IR"/>
        </w:rPr>
      </w:pPr>
    </w:p>
    <w:p w:rsidR="008F648B" w:rsidRPr="00C747EA" w:rsidRDefault="00DC46EF" w:rsidP="009677EE">
      <w:pPr>
        <w:autoSpaceDE w:val="0"/>
        <w:autoSpaceDN w:val="0"/>
        <w:bidi w:val="0"/>
        <w:adjustRightInd w:val="0"/>
        <w:snapToGrid w:val="0"/>
        <w:jc w:val="center"/>
        <w:rPr>
          <w:sz w:val="20"/>
          <w:vertAlign w:val="superscript"/>
          <w:lang w:bidi="fa-IR"/>
        </w:rPr>
      </w:pPr>
      <w:proofErr w:type="spellStart"/>
      <w:r w:rsidRPr="00C747EA">
        <w:rPr>
          <w:sz w:val="20"/>
          <w:lang w:bidi="fa-IR"/>
        </w:rPr>
        <w:t>Bahram</w:t>
      </w:r>
      <w:proofErr w:type="spellEnd"/>
      <w:r w:rsidRPr="00C747EA">
        <w:rPr>
          <w:sz w:val="20"/>
          <w:lang w:bidi="fa-IR"/>
        </w:rPr>
        <w:t xml:space="preserve"> </w:t>
      </w:r>
      <w:proofErr w:type="spellStart"/>
      <w:r w:rsidRPr="00C747EA">
        <w:rPr>
          <w:sz w:val="20"/>
          <w:lang w:bidi="fa-IR"/>
        </w:rPr>
        <w:t>Asakereh</w:t>
      </w:r>
      <w:proofErr w:type="spellEnd"/>
      <w:r w:rsidRPr="00C747EA">
        <w:rPr>
          <w:sz w:val="20"/>
          <w:lang w:bidi="fa-IR"/>
        </w:rPr>
        <w:t xml:space="preserve"> </w:t>
      </w:r>
      <w:r w:rsidRPr="00C747EA">
        <w:rPr>
          <w:sz w:val="20"/>
          <w:vertAlign w:val="superscript"/>
          <w:lang w:bidi="fa-IR"/>
        </w:rPr>
        <w:t>1</w:t>
      </w:r>
      <w:r w:rsidR="008F648B" w:rsidRPr="00C747EA">
        <w:rPr>
          <w:sz w:val="20"/>
          <w:lang w:bidi="fa-IR"/>
        </w:rPr>
        <w:t>,</w:t>
      </w:r>
      <w:r w:rsidRPr="00C747EA">
        <w:rPr>
          <w:sz w:val="20"/>
          <w:lang w:bidi="fa-IR"/>
        </w:rPr>
        <w:t xml:space="preserve"> Dr. Reza </w:t>
      </w:r>
      <w:proofErr w:type="spellStart"/>
      <w:r w:rsidRPr="00C747EA">
        <w:rPr>
          <w:sz w:val="20"/>
          <w:lang w:bidi="fa-IR"/>
        </w:rPr>
        <w:t>Abbasi</w:t>
      </w:r>
      <w:proofErr w:type="spellEnd"/>
      <w:r w:rsidRPr="00C747EA">
        <w:rPr>
          <w:sz w:val="20"/>
          <w:lang w:bidi="fa-IR"/>
        </w:rPr>
        <w:t xml:space="preserve"> </w:t>
      </w:r>
      <w:r w:rsidRPr="00C747EA">
        <w:rPr>
          <w:sz w:val="20"/>
          <w:vertAlign w:val="superscript"/>
          <w:lang w:bidi="fa-IR"/>
        </w:rPr>
        <w:t>2</w:t>
      </w:r>
      <w:r w:rsidR="008F648B" w:rsidRPr="00C747EA">
        <w:rPr>
          <w:sz w:val="20"/>
          <w:lang w:bidi="fa-IR"/>
        </w:rPr>
        <w:t>,</w:t>
      </w:r>
      <w:r w:rsidRPr="00C747EA">
        <w:rPr>
          <w:sz w:val="20"/>
          <w:lang w:bidi="fa-IR"/>
        </w:rPr>
        <w:t xml:space="preserve"> </w:t>
      </w:r>
      <w:proofErr w:type="spellStart"/>
      <w:r w:rsidRPr="00C747EA">
        <w:rPr>
          <w:sz w:val="20"/>
          <w:lang w:bidi="fa-IR"/>
        </w:rPr>
        <w:t>Mehdi</w:t>
      </w:r>
      <w:proofErr w:type="spellEnd"/>
      <w:r w:rsidRPr="00C747EA">
        <w:rPr>
          <w:sz w:val="20"/>
          <w:lang w:bidi="fa-IR"/>
        </w:rPr>
        <w:t xml:space="preserve"> </w:t>
      </w:r>
      <w:proofErr w:type="spellStart"/>
      <w:r w:rsidRPr="00C747EA">
        <w:rPr>
          <w:sz w:val="20"/>
          <w:lang w:bidi="fa-IR"/>
        </w:rPr>
        <w:t>Basirat</w:t>
      </w:r>
      <w:proofErr w:type="spellEnd"/>
      <w:r w:rsidRPr="00C747EA">
        <w:rPr>
          <w:sz w:val="20"/>
          <w:lang w:bidi="fa-IR"/>
        </w:rPr>
        <w:t xml:space="preserve"> </w:t>
      </w:r>
      <w:r w:rsidRPr="00C747EA">
        <w:rPr>
          <w:sz w:val="20"/>
          <w:vertAlign w:val="superscript"/>
          <w:lang w:bidi="fa-IR"/>
        </w:rPr>
        <w:t>3</w:t>
      </w:r>
    </w:p>
    <w:p w:rsidR="008F648B" w:rsidRPr="00C747EA" w:rsidRDefault="008F648B" w:rsidP="009677EE">
      <w:pPr>
        <w:autoSpaceDE w:val="0"/>
        <w:autoSpaceDN w:val="0"/>
        <w:bidi w:val="0"/>
        <w:adjustRightInd w:val="0"/>
        <w:snapToGrid w:val="0"/>
        <w:jc w:val="center"/>
        <w:rPr>
          <w:sz w:val="20"/>
          <w:vertAlign w:val="superscript"/>
          <w:lang w:bidi="fa-IR"/>
        </w:rPr>
      </w:pPr>
    </w:p>
    <w:p w:rsidR="008F648B" w:rsidRPr="00C747EA" w:rsidRDefault="00DC46EF" w:rsidP="009677EE">
      <w:pPr>
        <w:bidi w:val="0"/>
        <w:snapToGrid w:val="0"/>
        <w:jc w:val="center"/>
        <w:rPr>
          <w:sz w:val="20"/>
        </w:rPr>
      </w:pPr>
      <w:r w:rsidRPr="00C747EA">
        <w:rPr>
          <w:sz w:val="20"/>
          <w:vertAlign w:val="superscript"/>
        </w:rPr>
        <w:t>1</w:t>
      </w:r>
      <w:r w:rsidRPr="00C747EA">
        <w:rPr>
          <w:sz w:val="20"/>
        </w:rPr>
        <w:t xml:space="preserve">MA Student Department of Financial Management, Persian Gulf International Branch, Islamic Azad University </w:t>
      </w:r>
      <w:proofErr w:type="spellStart"/>
      <w:r w:rsidRPr="00C747EA">
        <w:rPr>
          <w:sz w:val="20"/>
        </w:rPr>
        <w:t>Khorramshahr</w:t>
      </w:r>
      <w:proofErr w:type="spellEnd"/>
      <w:r w:rsidRPr="00C747EA">
        <w:rPr>
          <w:sz w:val="20"/>
        </w:rPr>
        <w:t>, Iran. Email</w:t>
      </w:r>
    </w:p>
    <w:p w:rsidR="008F648B" w:rsidRPr="00C747EA" w:rsidRDefault="008F648B" w:rsidP="009677EE">
      <w:pPr>
        <w:bidi w:val="0"/>
        <w:snapToGrid w:val="0"/>
        <w:jc w:val="center"/>
        <w:rPr>
          <w:sz w:val="20"/>
        </w:rPr>
      </w:pPr>
    </w:p>
    <w:p w:rsidR="008F648B" w:rsidRPr="00C747EA" w:rsidRDefault="00DC46EF" w:rsidP="009677EE">
      <w:pPr>
        <w:bidi w:val="0"/>
        <w:snapToGrid w:val="0"/>
        <w:jc w:val="center"/>
        <w:rPr>
          <w:sz w:val="20"/>
        </w:rPr>
      </w:pPr>
      <w:r w:rsidRPr="00C747EA">
        <w:rPr>
          <w:sz w:val="20"/>
          <w:vertAlign w:val="superscript"/>
        </w:rPr>
        <w:t>2</w:t>
      </w:r>
      <w:r w:rsidRPr="00C747EA">
        <w:rPr>
          <w:sz w:val="20"/>
        </w:rPr>
        <w:t xml:space="preserve">Assistant Professor, Department of Industrial and Entrepreneurship Management, </w:t>
      </w:r>
      <w:proofErr w:type="spellStart"/>
      <w:r w:rsidRPr="00C747EA">
        <w:rPr>
          <w:sz w:val="20"/>
        </w:rPr>
        <w:t>Shahed</w:t>
      </w:r>
      <w:proofErr w:type="spellEnd"/>
      <w:r w:rsidRPr="00C747EA">
        <w:rPr>
          <w:sz w:val="20"/>
        </w:rPr>
        <w:t xml:space="preserve"> University, Tehran, Iran</w:t>
      </w:r>
    </w:p>
    <w:p w:rsidR="008F648B" w:rsidRPr="00C747EA" w:rsidRDefault="00DC46EF" w:rsidP="009677EE">
      <w:pPr>
        <w:bidi w:val="0"/>
        <w:snapToGrid w:val="0"/>
        <w:jc w:val="center"/>
        <w:rPr>
          <w:sz w:val="20"/>
        </w:rPr>
      </w:pPr>
      <w:r w:rsidRPr="0041635A">
        <w:rPr>
          <w:sz w:val="20"/>
          <w:vertAlign w:val="superscript"/>
        </w:rPr>
        <w:t>3</w:t>
      </w:r>
      <w:r w:rsidRPr="00C747EA">
        <w:rPr>
          <w:sz w:val="20"/>
        </w:rPr>
        <w:t xml:space="preserve">Assistant </w:t>
      </w:r>
      <w:proofErr w:type="spellStart"/>
      <w:r w:rsidRPr="00C747EA">
        <w:rPr>
          <w:sz w:val="20"/>
        </w:rPr>
        <w:t>Porfessor</w:t>
      </w:r>
      <w:proofErr w:type="spellEnd"/>
      <w:r w:rsidRPr="00C747EA">
        <w:rPr>
          <w:sz w:val="20"/>
        </w:rPr>
        <w:t xml:space="preserve">, Department of E </w:t>
      </w:r>
      <w:proofErr w:type="spellStart"/>
      <w:r w:rsidRPr="00C747EA">
        <w:rPr>
          <w:sz w:val="20"/>
        </w:rPr>
        <w:t>conomics</w:t>
      </w:r>
      <w:proofErr w:type="spellEnd"/>
      <w:r w:rsidR="008F648B" w:rsidRPr="00C747EA">
        <w:rPr>
          <w:sz w:val="20"/>
        </w:rPr>
        <w:t>,</w:t>
      </w:r>
      <w:r w:rsidRPr="00C747EA">
        <w:rPr>
          <w:sz w:val="20"/>
        </w:rPr>
        <w:t xml:space="preserve"> Ahvaz Branch, Islamic Azad University, Ahvaz, Iran</w:t>
      </w:r>
    </w:p>
    <w:p w:rsidR="008F648B" w:rsidRPr="00C747EA" w:rsidRDefault="008F648B" w:rsidP="009677EE">
      <w:pPr>
        <w:bidi w:val="0"/>
        <w:snapToGrid w:val="0"/>
        <w:jc w:val="center"/>
        <w:rPr>
          <w:sz w:val="20"/>
        </w:rPr>
      </w:pPr>
    </w:p>
    <w:p w:rsidR="0041635A" w:rsidRDefault="00A36C72" w:rsidP="009677EE">
      <w:pPr>
        <w:bidi w:val="0"/>
        <w:snapToGrid w:val="0"/>
        <w:jc w:val="both"/>
        <w:rPr>
          <w:rFonts w:eastAsiaTheme="minorEastAsia"/>
          <w:sz w:val="20"/>
          <w:lang w:eastAsia="zh-CN" w:bidi="fa-IR"/>
        </w:rPr>
      </w:pPr>
      <w:r w:rsidRPr="00C747EA">
        <w:rPr>
          <w:b/>
          <w:bCs/>
          <w:sz w:val="20"/>
        </w:rPr>
        <w:t>Abstract</w:t>
      </w:r>
      <w:r w:rsidR="0041635A">
        <w:rPr>
          <w:rFonts w:eastAsiaTheme="minorEastAsia" w:hint="eastAsia"/>
          <w:b/>
          <w:bCs/>
          <w:sz w:val="20"/>
          <w:lang w:eastAsia="zh-CN"/>
        </w:rPr>
        <w:t xml:space="preserve">: </w:t>
      </w:r>
      <w:r w:rsidRPr="00C747EA">
        <w:rPr>
          <w:rFonts w:eastAsia="Calibri"/>
          <w:sz w:val="20"/>
        </w:rPr>
        <w:t>The aim of present research is investigate the relationship between financial variables of working capital</w:t>
      </w:r>
      <w:r w:rsidRPr="00C747EA">
        <w:rPr>
          <w:sz w:val="20"/>
          <w:lang w:bidi="fa-IR"/>
        </w:rPr>
        <w:t xml:space="preserve">, Cash holdings and profitability. In this research, </w:t>
      </w:r>
      <w:r w:rsidRPr="00C747EA">
        <w:rPr>
          <w:color w:val="000000"/>
          <w:sz w:val="20"/>
        </w:rPr>
        <w:t>average of collection period</w:t>
      </w:r>
      <w:r w:rsidRPr="00C747EA">
        <w:rPr>
          <w:sz w:val="20"/>
          <w:lang w:bidi="fa-IR"/>
        </w:rPr>
        <w:t xml:space="preserve">, </w:t>
      </w:r>
      <w:r w:rsidR="00D9681C" w:rsidRPr="00C747EA">
        <w:rPr>
          <w:rStyle w:val="Emphasis"/>
          <w:i w:val="0"/>
          <w:iCs w:val="0"/>
          <w:color w:val="000000"/>
          <w:sz w:val="20"/>
          <w:shd w:val="clear" w:color="auto" w:fill="FFFFFF"/>
        </w:rPr>
        <w:t>average</w:t>
      </w:r>
      <w:r w:rsidRPr="00C747EA">
        <w:rPr>
          <w:rStyle w:val="Emphasis"/>
          <w:i w:val="0"/>
          <w:iCs w:val="0"/>
          <w:color w:val="000000"/>
          <w:sz w:val="20"/>
          <w:shd w:val="clear" w:color="auto" w:fill="FFFFFF"/>
        </w:rPr>
        <w:t xml:space="preserve"> of inventory turnover duration</w:t>
      </w:r>
      <w:r w:rsidRPr="00C747EA">
        <w:rPr>
          <w:i/>
          <w:iCs/>
          <w:sz w:val="20"/>
          <w:lang w:bidi="fa-IR"/>
        </w:rPr>
        <w:t xml:space="preserve">, </w:t>
      </w:r>
      <w:r w:rsidRPr="00C747EA">
        <w:rPr>
          <w:rStyle w:val="Emphasis"/>
          <w:i w:val="0"/>
          <w:iCs w:val="0"/>
          <w:color w:val="000000"/>
          <w:sz w:val="20"/>
          <w:shd w:val="clear" w:color="auto" w:fill="FFFFFF"/>
        </w:rPr>
        <w:t>average of</w:t>
      </w:r>
      <w:r w:rsidRPr="00C747EA">
        <w:rPr>
          <w:color w:val="000000"/>
          <w:sz w:val="20"/>
        </w:rPr>
        <w:t xml:space="preserve"> debt payment period</w:t>
      </w:r>
      <w:r w:rsidRPr="00C747EA">
        <w:rPr>
          <w:sz w:val="20"/>
          <w:lang w:bidi="fa-IR"/>
        </w:rPr>
        <w:t xml:space="preserve"> and </w:t>
      </w:r>
      <w:r w:rsidRPr="00C747EA">
        <w:rPr>
          <w:color w:val="000000"/>
          <w:sz w:val="20"/>
        </w:rPr>
        <w:t>free cash flow of the firm</w:t>
      </w:r>
      <w:r w:rsidRPr="00C747EA">
        <w:rPr>
          <w:sz w:val="20"/>
          <w:lang w:bidi="fa-IR"/>
        </w:rPr>
        <w:t xml:space="preserve"> are independent variables and </w:t>
      </w:r>
      <w:r w:rsidRPr="00C747EA">
        <w:rPr>
          <w:color w:val="000000"/>
          <w:sz w:val="20"/>
          <w:lang w:bidi="fa-IR"/>
        </w:rPr>
        <w:t>return on assets</w:t>
      </w:r>
      <w:r w:rsidRPr="00C747EA">
        <w:rPr>
          <w:sz w:val="20"/>
          <w:lang w:bidi="fa-IR"/>
        </w:rPr>
        <w:t xml:space="preserve"> and </w:t>
      </w:r>
      <w:r w:rsidRPr="00C747EA">
        <w:rPr>
          <w:color w:val="000000"/>
          <w:sz w:val="20"/>
          <w:lang w:bidi="fa-IR"/>
        </w:rPr>
        <w:t>return on capital</w:t>
      </w:r>
      <w:r w:rsidRPr="00C747EA">
        <w:rPr>
          <w:sz w:val="20"/>
          <w:lang w:bidi="fa-IR"/>
        </w:rPr>
        <w:t xml:space="preserve"> are dependent variables. Also, Firm size and financial leverage are control variables. With regard to the research subject, statistical population of present research includes </w:t>
      </w:r>
      <w:r w:rsidRPr="00C747EA">
        <w:rPr>
          <w:sz w:val="20"/>
        </w:rPr>
        <w:t>listed companies in Tehran Stock Exchange</w:t>
      </w:r>
      <w:r w:rsidRPr="00C747EA">
        <w:rPr>
          <w:sz w:val="20"/>
          <w:lang w:bidi="fa-IR"/>
        </w:rPr>
        <w:t xml:space="preserve">. In this research, selected samples were 77 companies. Data of this research has been collected by using the companies listed </w:t>
      </w:r>
      <w:r w:rsidRPr="00C747EA">
        <w:rPr>
          <w:sz w:val="20"/>
        </w:rPr>
        <w:t xml:space="preserve">in Tehran Stock Exchange </w:t>
      </w:r>
      <w:r w:rsidRPr="00C747EA">
        <w:rPr>
          <w:sz w:val="20"/>
          <w:lang w:bidi="fa-IR"/>
        </w:rPr>
        <w:t>from the beginning of 2009 to the end of 2014. In this research,</w:t>
      </w:r>
      <w:r w:rsidRPr="00C747EA">
        <w:rPr>
          <w:sz w:val="20"/>
        </w:rPr>
        <w:t xml:space="preserve"> </w:t>
      </w:r>
      <w:r w:rsidRPr="00C747EA">
        <w:rPr>
          <w:sz w:val="20"/>
          <w:lang w:bidi="fa-IR"/>
        </w:rPr>
        <w:t>to test the hypothesis</w:t>
      </w:r>
      <w:r w:rsidRPr="00C747EA">
        <w:rPr>
          <w:sz w:val="20"/>
        </w:rPr>
        <w:t xml:space="preserve"> </w:t>
      </w:r>
      <w:r w:rsidRPr="00C747EA">
        <w:rPr>
          <w:sz w:val="20"/>
          <w:lang w:bidi="fa-IR"/>
        </w:rPr>
        <w:t>was used multiple regression analysis with the method of mixed data with the fixed effects.</w:t>
      </w:r>
      <w:r w:rsidRPr="00C747EA">
        <w:rPr>
          <w:sz w:val="20"/>
        </w:rPr>
        <w:t xml:space="preserve"> </w:t>
      </w:r>
      <w:r w:rsidRPr="00C747EA">
        <w:rPr>
          <w:sz w:val="20"/>
          <w:lang w:bidi="fa-IR"/>
        </w:rPr>
        <w:t xml:space="preserve">Research results indicated that there is a significant relationship between working capital and cash holdings and </w:t>
      </w:r>
      <w:r w:rsidRPr="00C747EA">
        <w:rPr>
          <w:color w:val="000000"/>
          <w:sz w:val="20"/>
          <w:lang w:bidi="fa-IR"/>
        </w:rPr>
        <w:t>return on assets</w:t>
      </w:r>
      <w:r w:rsidRPr="00C747EA">
        <w:rPr>
          <w:sz w:val="20"/>
          <w:lang w:bidi="fa-IR"/>
        </w:rPr>
        <w:t>. Also, there is a significant relationship between working capital and</w:t>
      </w:r>
      <w:r w:rsidRPr="00C747EA">
        <w:rPr>
          <w:color w:val="000000"/>
          <w:sz w:val="20"/>
          <w:lang w:bidi="fa-IR"/>
        </w:rPr>
        <w:t xml:space="preserve"> return on capital</w:t>
      </w:r>
      <w:r w:rsidRPr="00C747EA">
        <w:rPr>
          <w:sz w:val="20"/>
          <w:lang w:bidi="fa-IR"/>
        </w:rPr>
        <w:t xml:space="preserve">. </w:t>
      </w:r>
    </w:p>
    <w:p w:rsidR="00C747EA" w:rsidRPr="00C747EA" w:rsidRDefault="00C747EA" w:rsidP="009677EE">
      <w:pPr>
        <w:autoSpaceDE w:val="0"/>
        <w:autoSpaceDN w:val="0"/>
        <w:bidi w:val="0"/>
        <w:adjustRightInd w:val="0"/>
        <w:snapToGrid w:val="0"/>
        <w:jc w:val="both"/>
        <w:rPr>
          <w:b/>
          <w:bCs/>
          <w:sz w:val="20"/>
          <w:lang w:bidi="fa-IR"/>
        </w:rPr>
      </w:pPr>
      <w:r w:rsidRPr="00C747EA">
        <w:rPr>
          <w:rFonts w:hint="eastAsia"/>
          <w:sz w:val="20"/>
          <w:szCs w:val="20"/>
        </w:rPr>
        <w:t>[</w:t>
      </w:r>
      <w:proofErr w:type="spellStart"/>
      <w:r w:rsidRPr="00C747EA">
        <w:rPr>
          <w:sz w:val="20"/>
          <w:lang w:bidi="fa-IR"/>
        </w:rPr>
        <w:t>Bahram</w:t>
      </w:r>
      <w:proofErr w:type="spellEnd"/>
      <w:r w:rsidRPr="00C747EA">
        <w:rPr>
          <w:sz w:val="20"/>
          <w:lang w:bidi="fa-IR"/>
        </w:rPr>
        <w:t xml:space="preserve"> </w:t>
      </w:r>
      <w:proofErr w:type="spellStart"/>
      <w:r w:rsidRPr="00C747EA">
        <w:rPr>
          <w:sz w:val="20"/>
          <w:lang w:bidi="fa-IR"/>
        </w:rPr>
        <w:t>Asakereh</w:t>
      </w:r>
      <w:proofErr w:type="spellEnd"/>
      <w:r>
        <w:rPr>
          <w:sz w:val="20"/>
          <w:lang w:bidi="fa-IR"/>
        </w:rPr>
        <w:t>,</w:t>
      </w:r>
      <w:r w:rsidRPr="00C747EA">
        <w:rPr>
          <w:sz w:val="20"/>
          <w:lang w:bidi="fa-IR"/>
        </w:rPr>
        <w:t xml:space="preserve"> Reza </w:t>
      </w:r>
      <w:proofErr w:type="spellStart"/>
      <w:r w:rsidRPr="00C747EA">
        <w:rPr>
          <w:sz w:val="20"/>
          <w:lang w:bidi="fa-IR"/>
        </w:rPr>
        <w:t>Abbasi</w:t>
      </w:r>
      <w:proofErr w:type="spellEnd"/>
      <w:r>
        <w:rPr>
          <w:sz w:val="20"/>
          <w:lang w:bidi="fa-IR"/>
        </w:rPr>
        <w:t>,</w:t>
      </w:r>
      <w:r w:rsidRPr="00C747EA">
        <w:rPr>
          <w:sz w:val="20"/>
          <w:lang w:bidi="fa-IR"/>
        </w:rPr>
        <w:t xml:space="preserve"> </w:t>
      </w:r>
      <w:proofErr w:type="spellStart"/>
      <w:r w:rsidRPr="00C747EA">
        <w:rPr>
          <w:sz w:val="20"/>
          <w:lang w:bidi="fa-IR"/>
        </w:rPr>
        <w:t>Mehdi</w:t>
      </w:r>
      <w:proofErr w:type="spellEnd"/>
      <w:r w:rsidRPr="00C747EA">
        <w:rPr>
          <w:sz w:val="20"/>
          <w:lang w:bidi="fa-IR"/>
        </w:rPr>
        <w:t xml:space="preserve"> </w:t>
      </w:r>
      <w:proofErr w:type="spellStart"/>
      <w:r w:rsidRPr="00C747EA">
        <w:rPr>
          <w:sz w:val="20"/>
          <w:lang w:bidi="fa-IR"/>
        </w:rPr>
        <w:t>Basirat</w:t>
      </w:r>
      <w:proofErr w:type="spellEnd"/>
      <w:r w:rsidRPr="00C747EA">
        <w:rPr>
          <w:sz w:val="20"/>
          <w:szCs w:val="20"/>
        </w:rPr>
        <w:t>.</w:t>
      </w:r>
      <w:r w:rsidRPr="00C747EA">
        <w:rPr>
          <w:rFonts w:eastAsiaTheme="minorEastAsia" w:hint="eastAsia"/>
          <w:b/>
          <w:bCs/>
          <w:sz w:val="20"/>
          <w:szCs w:val="20"/>
          <w:lang w:bidi="fa-IR"/>
        </w:rPr>
        <w:t xml:space="preserve"> </w:t>
      </w:r>
      <w:r w:rsidRPr="00C747EA">
        <w:rPr>
          <w:b/>
          <w:bCs/>
          <w:sz w:val="20"/>
          <w:lang w:bidi="fa-IR"/>
        </w:rPr>
        <w:t>Investigate the Effect of Working Capital and Cash Holdings on Profitability of Companies Listed in the Tehran Stock Exchange</w:t>
      </w:r>
      <w:r w:rsidRPr="00C747EA">
        <w:rPr>
          <w:b/>
          <w:bCs/>
          <w:sz w:val="20"/>
          <w:szCs w:val="20"/>
          <w:lang w:bidi="fa-IR"/>
        </w:rPr>
        <w:t>.</w:t>
      </w:r>
      <w:r w:rsidRPr="00C747EA">
        <w:rPr>
          <w:bCs/>
          <w:i/>
          <w:sz w:val="20"/>
          <w:szCs w:val="20"/>
        </w:rPr>
        <w:t xml:space="preserve"> Researcher</w:t>
      </w:r>
      <w:r w:rsidRPr="00C747EA">
        <w:rPr>
          <w:bCs/>
          <w:sz w:val="20"/>
          <w:szCs w:val="20"/>
        </w:rPr>
        <w:t xml:space="preserve"> 201</w:t>
      </w:r>
      <w:r w:rsidRPr="00C747EA">
        <w:rPr>
          <w:rFonts w:hint="eastAsia"/>
          <w:bCs/>
          <w:sz w:val="20"/>
          <w:szCs w:val="20"/>
        </w:rPr>
        <w:t>8</w:t>
      </w:r>
      <w:r w:rsidRPr="00C747EA">
        <w:rPr>
          <w:bCs/>
          <w:sz w:val="20"/>
          <w:szCs w:val="20"/>
        </w:rPr>
        <w:t>;</w:t>
      </w:r>
      <w:r w:rsidRPr="00C747EA">
        <w:rPr>
          <w:rFonts w:hint="eastAsia"/>
          <w:bCs/>
          <w:sz w:val="20"/>
          <w:szCs w:val="20"/>
        </w:rPr>
        <w:t>10</w:t>
      </w:r>
      <w:r w:rsidRPr="00C747EA">
        <w:rPr>
          <w:bCs/>
          <w:sz w:val="20"/>
          <w:szCs w:val="20"/>
        </w:rPr>
        <w:t>(</w:t>
      </w:r>
      <w:r w:rsidRPr="00C747EA">
        <w:rPr>
          <w:rFonts w:hint="eastAsia"/>
          <w:bCs/>
          <w:sz w:val="20"/>
          <w:szCs w:val="20"/>
        </w:rPr>
        <w:t>5</w:t>
      </w:r>
      <w:r w:rsidRPr="00C747EA">
        <w:rPr>
          <w:bCs/>
          <w:sz w:val="20"/>
          <w:szCs w:val="20"/>
        </w:rPr>
        <w:t>):</w:t>
      </w:r>
      <w:r w:rsidR="0073529D">
        <w:rPr>
          <w:noProof/>
          <w:color w:val="000000"/>
          <w:sz w:val="20"/>
          <w:szCs w:val="20"/>
        </w:rPr>
        <w:t>3</w:t>
      </w:r>
      <w:r w:rsidR="00920ED7">
        <w:rPr>
          <w:rFonts w:eastAsiaTheme="minorEastAsia" w:hint="eastAsia"/>
          <w:noProof/>
          <w:color w:val="000000"/>
          <w:sz w:val="20"/>
          <w:szCs w:val="20"/>
          <w:lang w:eastAsia="zh-CN"/>
        </w:rPr>
        <w:t>9</w:t>
      </w:r>
      <w:r w:rsidR="0073529D">
        <w:rPr>
          <w:noProof/>
          <w:color w:val="000000"/>
          <w:sz w:val="20"/>
          <w:szCs w:val="20"/>
        </w:rPr>
        <w:t>-4</w:t>
      </w:r>
      <w:r w:rsidR="00920ED7">
        <w:rPr>
          <w:rFonts w:eastAsiaTheme="minorEastAsia" w:hint="eastAsia"/>
          <w:noProof/>
          <w:color w:val="000000"/>
          <w:sz w:val="20"/>
          <w:szCs w:val="20"/>
          <w:lang w:eastAsia="zh-CN"/>
        </w:rPr>
        <w:t>5</w:t>
      </w:r>
      <w:r w:rsidRPr="00C747EA">
        <w:rPr>
          <w:bCs/>
          <w:sz w:val="20"/>
          <w:szCs w:val="20"/>
        </w:rPr>
        <w:t xml:space="preserve">]. </w:t>
      </w:r>
      <w:r w:rsidRPr="00C747EA">
        <w:rPr>
          <w:sz w:val="20"/>
          <w:szCs w:val="20"/>
        </w:rPr>
        <w:t>ISSN 1553-9865 (print); ISSN 2163-8950 (online)</w:t>
      </w:r>
      <w:r w:rsidRPr="00C747EA">
        <w:rPr>
          <w:bCs/>
          <w:sz w:val="20"/>
          <w:szCs w:val="20"/>
        </w:rPr>
        <w:t xml:space="preserve">. </w:t>
      </w:r>
      <w:hyperlink r:id="rId7" w:history="1">
        <w:r w:rsidRPr="00C747EA">
          <w:rPr>
            <w:rStyle w:val="Hyperlink"/>
            <w:sz w:val="20"/>
            <w:szCs w:val="20"/>
          </w:rPr>
          <w:t>http://www.sciencepub.net/researcher</w:t>
        </w:r>
      </w:hyperlink>
      <w:r w:rsidRPr="00C747EA">
        <w:rPr>
          <w:bCs/>
          <w:sz w:val="20"/>
          <w:szCs w:val="20"/>
        </w:rPr>
        <w:t>.</w:t>
      </w:r>
      <w:r w:rsidRPr="00C747EA">
        <w:rPr>
          <w:rFonts w:hint="eastAsia"/>
          <w:bCs/>
          <w:sz w:val="20"/>
          <w:szCs w:val="20"/>
        </w:rPr>
        <w:t xml:space="preserve"> </w:t>
      </w:r>
      <w:r w:rsidR="0041635A">
        <w:rPr>
          <w:rFonts w:eastAsiaTheme="minorEastAsia" w:hint="eastAsia"/>
          <w:bCs/>
          <w:sz w:val="20"/>
          <w:szCs w:val="20"/>
          <w:lang w:eastAsia="zh-CN"/>
        </w:rPr>
        <w:t>6</w:t>
      </w:r>
      <w:r w:rsidRPr="00C747EA">
        <w:rPr>
          <w:rFonts w:hint="eastAsia"/>
          <w:bCs/>
          <w:sz w:val="20"/>
          <w:szCs w:val="20"/>
        </w:rPr>
        <w:t xml:space="preserve">. </w:t>
      </w:r>
      <w:r w:rsidRPr="00C747EA">
        <w:rPr>
          <w:color w:val="000000"/>
          <w:sz w:val="20"/>
          <w:szCs w:val="20"/>
          <w:shd w:val="clear" w:color="auto" w:fill="FFFFFF"/>
        </w:rPr>
        <w:t>doi:</w:t>
      </w:r>
      <w:hyperlink r:id="rId8" w:history="1">
        <w:r w:rsidRPr="00C747EA">
          <w:rPr>
            <w:rStyle w:val="Hyperlink"/>
            <w:sz w:val="20"/>
            <w:szCs w:val="20"/>
            <w:shd w:val="clear" w:color="auto" w:fill="FFFFFF"/>
          </w:rPr>
          <w:t>10.7537/mars</w:t>
        </w:r>
        <w:r w:rsidRPr="00C747EA">
          <w:rPr>
            <w:rStyle w:val="Hyperlink"/>
            <w:rFonts w:hint="eastAsia"/>
            <w:sz w:val="20"/>
            <w:szCs w:val="20"/>
            <w:shd w:val="clear" w:color="auto" w:fill="FFFFFF"/>
          </w:rPr>
          <w:t>r</w:t>
        </w:r>
        <w:r w:rsidRPr="00C747EA">
          <w:rPr>
            <w:rStyle w:val="Hyperlink"/>
            <w:sz w:val="20"/>
            <w:szCs w:val="20"/>
            <w:shd w:val="clear" w:color="auto" w:fill="FFFFFF"/>
          </w:rPr>
          <w:t>sj</w:t>
        </w:r>
        <w:r w:rsidRPr="00C747EA">
          <w:rPr>
            <w:rStyle w:val="Hyperlink"/>
            <w:rFonts w:hint="eastAsia"/>
            <w:sz w:val="20"/>
            <w:szCs w:val="20"/>
            <w:shd w:val="clear" w:color="auto" w:fill="FFFFFF"/>
          </w:rPr>
          <w:t>100518.</w:t>
        </w:r>
        <w:r w:rsidRPr="00C747EA">
          <w:rPr>
            <w:rStyle w:val="Hyperlink"/>
            <w:sz w:val="20"/>
            <w:szCs w:val="20"/>
            <w:shd w:val="clear" w:color="auto" w:fill="FFFFFF"/>
          </w:rPr>
          <w:t>0</w:t>
        </w:r>
        <w:r w:rsidR="0041635A">
          <w:rPr>
            <w:rStyle w:val="Hyperlink"/>
            <w:rFonts w:eastAsiaTheme="minorEastAsia" w:hint="eastAsia"/>
            <w:sz w:val="20"/>
            <w:szCs w:val="20"/>
            <w:shd w:val="clear" w:color="auto" w:fill="FFFFFF"/>
            <w:lang w:eastAsia="zh-CN"/>
          </w:rPr>
          <w:t>6</w:t>
        </w:r>
      </w:hyperlink>
      <w:r w:rsidRPr="00C747EA">
        <w:rPr>
          <w:color w:val="000000"/>
          <w:sz w:val="20"/>
          <w:szCs w:val="20"/>
          <w:shd w:val="clear" w:color="auto" w:fill="FFFFFF"/>
        </w:rPr>
        <w:t>.</w:t>
      </w:r>
    </w:p>
    <w:p w:rsidR="003F71D6" w:rsidRPr="008F648B" w:rsidRDefault="003F71D6" w:rsidP="009677EE">
      <w:pPr>
        <w:autoSpaceDE w:val="0"/>
        <w:autoSpaceDN w:val="0"/>
        <w:bidi w:val="0"/>
        <w:adjustRightInd w:val="0"/>
        <w:snapToGrid w:val="0"/>
        <w:jc w:val="both"/>
        <w:rPr>
          <w:b/>
          <w:bCs/>
          <w:color w:val="000000"/>
          <w:sz w:val="20"/>
          <w:lang w:bidi="fa-IR"/>
        </w:rPr>
      </w:pPr>
    </w:p>
    <w:p w:rsidR="008F648B" w:rsidRPr="008F648B" w:rsidRDefault="002D03A5" w:rsidP="009677EE">
      <w:pPr>
        <w:autoSpaceDE w:val="0"/>
        <w:autoSpaceDN w:val="0"/>
        <w:bidi w:val="0"/>
        <w:adjustRightInd w:val="0"/>
        <w:snapToGrid w:val="0"/>
        <w:jc w:val="both"/>
        <w:rPr>
          <w:color w:val="000000"/>
          <w:sz w:val="20"/>
          <w:lang w:bidi="fa-IR"/>
        </w:rPr>
      </w:pPr>
      <w:r w:rsidRPr="008F648B">
        <w:rPr>
          <w:b/>
          <w:bCs/>
          <w:color w:val="000000"/>
          <w:sz w:val="20"/>
          <w:lang w:bidi="fa-IR"/>
        </w:rPr>
        <w:t>Key words:</w:t>
      </w:r>
      <w:r w:rsidRPr="008F648B">
        <w:rPr>
          <w:color w:val="000000"/>
          <w:sz w:val="20"/>
          <w:lang w:bidi="fa-IR"/>
        </w:rPr>
        <w:t xml:space="preserve"> </w:t>
      </w:r>
      <w:r w:rsidRPr="008F648B">
        <w:rPr>
          <w:rFonts w:eastAsia="Calibri"/>
          <w:sz w:val="20"/>
        </w:rPr>
        <w:t>working capital</w:t>
      </w:r>
      <w:r w:rsidRPr="008F648B">
        <w:rPr>
          <w:sz w:val="20"/>
          <w:lang w:bidi="fa-IR"/>
        </w:rPr>
        <w:t>, Cash holdings and profitability</w:t>
      </w:r>
      <w:r w:rsidRPr="008F648B">
        <w:rPr>
          <w:color w:val="000000"/>
          <w:sz w:val="20"/>
          <w:lang w:bidi="fa-IR"/>
        </w:rPr>
        <w:t>, return on assets</w:t>
      </w:r>
      <w:r w:rsidRPr="008F648B">
        <w:rPr>
          <w:sz w:val="20"/>
          <w:lang w:bidi="fa-IR"/>
        </w:rPr>
        <w:t xml:space="preserve">, </w:t>
      </w:r>
      <w:r w:rsidRPr="008F648B">
        <w:rPr>
          <w:color w:val="000000"/>
          <w:sz w:val="20"/>
          <w:lang w:bidi="fa-IR"/>
        </w:rPr>
        <w:t>return on capital.</w:t>
      </w:r>
    </w:p>
    <w:p w:rsidR="008F648B" w:rsidRPr="008F648B" w:rsidRDefault="008F648B" w:rsidP="009677EE">
      <w:pPr>
        <w:bidi w:val="0"/>
        <w:snapToGrid w:val="0"/>
        <w:ind w:firstLine="425"/>
        <w:jc w:val="both"/>
        <w:rPr>
          <w:sz w:val="20"/>
        </w:rPr>
      </w:pPr>
    </w:p>
    <w:p w:rsidR="00971E4E" w:rsidRDefault="00971E4E" w:rsidP="009677EE">
      <w:pPr>
        <w:bidi w:val="0"/>
        <w:snapToGrid w:val="0"/>
        <w:jc w:val="both"/>
        <w:rPr>
          <w:b/>
          <w:bCs/>
          <w:sz w:val="20"/>
        </w:rPr>
        <w:sectPr w:rsidR="00971E4E" w:rsidSect="00920ED7">
          <w:headerReference w:type="default" r:id="rId9"/>
          <w:footerReference w:type="default" r:id="rId10"/>
          <w:type w:val="continuous"/>
          <w:pgSz w:w="12242" w:h="15842" w:code="1"/>
          <w:pgMar w:top="1440" w:right="1440" w:bottom="1440" w:left="1440" w:header="720" w:footer="720" w:gutter="0"/>
          <w:pgNumType w:start="39"/>
          <w:cols w:space="708"/>
          <w:docGrid w:linePitch="360"/>
        </w:sectPr>
      </w:pPr>
    </w:p>
    <w:p w:rsidR="00F53628" w:rsidRPr="008F648B" w:rsidRDefault="00F53628" w:rsidP="009677EE">
      <w:pPr>
        <w:bidi w:val="0"/>
        <w:snapToGrid w:val="0"/>
        <w:jc w:val="both"/>
        <w:rPr>
          <w:sz w:val="20"/>
        </w:rPr>
      </w:pPr>
      <w:r w:rsidRPr="008F648B">
        <w:rPr>
          <w:b/>
          <w:bCs/>
          <w:sz w:val="20"/>
        </w:rPr>
        <w:lastRenderedPageBreak/>
        <w:t xml:space="preserve">Introduction </w:t>
      </w:r>
    </w:p>
    <w:p w:rsidR="00F53628" w:rsidRPr="008F648B" w:rsidRDefault="00F53628" w:rsidP="009677EE">
      <w:pPr>
        <w:bidi w:val="0"/>
        <w:snapToGrid w:val="0"/>
        <w:ind w:firstLine="425"/>
        <w:jc w:val="both"/>
        <w:rPr>
          <w:sz w:val="20"/>
          <w:lang w:bidi="fa-IR"/>
        </w:rPr>
      </w:pPr>
      <w:r w:rsidRPr="008F648B">
        <w:rPr>
          <w:sz w:val="20"/>
          <w:lang w:bidi="fa-IR"/>
        </w:rPr>
        <w:t>In recent years, many companies have faced with poor liquidity</w:t>
      </w:r>
      <w:r w:rsidRPr="008F648B">
        <w:rPr>
          <w:sz w:val="20"/>
        </w:rPr>
        <w:t xml:space="preserve"> </w:t>
      </w:r>
      <w:r w:rsidRPr="008F648B">
        <w:rPr>
          <w:sz w:val="20"/>
          <w:lang w:bidi="fa-IR"/>
        </w:rPr>
        <w:t>and examine the factors associated with this condition is important.</w:t>
      </w:r>
      <w:r w:rsidRPr="008F648B">
        <w:rPr>
          <w:sz w:val="20"/>
        </w:rPr>
        <w:t xml:space="preserve"> </w:t>
      </w:r>
      <w:r w:rsidRPr="008F648B">
        <w:rPr>
          <w:sz w:val="20"/>
          <w:lang w:bidi="fa-IR"/>
        </w:rPr>
        <w:t>Efficient working capital management is as an important aspect of financial management practices in all known forms of organization.</w:t>
      </w:r>
      <w:r w:rsidRPr="008F648B">
        <w:rPr>
          <w:sz w:val="20"/>
        </w:rPr>
        <w:t xml:space="preserve"> </w:t>
      </w:r>
      <w:r w:rsidRPr="008F648B">
        <w:rPr>
          <w:sz w:val="20"/>
          <w:lang w:bidi="fa-IR"/>
        </w:rPr>
        <w:t>Existence of extensive literature show that</w:t>
      </w:r>
      <w:r w:rsidRPr="008F648B">
        <w:rPr>
          <w:sz w:val="20"/>
        </w:rPr>
        <w:t xml:space="preserve"> </w:t>
      </w:r>
      <w:r w:rsidRPr="008F648B">
        <w:rPr>
          <w:sz w:val="20"/>
          <w:lang w:bidi="fa-IR"/>
        </w:rPr>
        <w:t>working capital management directly will affect on the liquidity and profitability.</w:t>
      </w:r>
      <w:r w:rsidRPr="008F648B">
        <w:rPr>
          <w:sz w:val="20"/>
        </w:rPr>
        <w:t xml:space="preserve"> </w:t>
      </w:r>
      <w:r w:rsidRPr="008F648B">
        <w:rPr>
          <w:sz w:val="20"/>
          <w:lang w:bidi="fa-IR"/>
        </w:rPr>
        <w:t>The possibility of bankruptcy increases for companies that exposed to inappropriate management of working capital.</w:t>
      </w:r>
      <w:r w:rsidRPr="008F648B">
        <w:rPr>
          <w:sz w:val="20"/>
        </w:rPr>
        <w:t xml:space="preserve"> </w:t>
      </w:r>
      <w:r w:rsidRPr="008F648B">
        <w:rPr>
          <w:sz w:val="20"/>
          <w:lang w:bidi="fa-IR"/>
        </w:rPr>
        <w:t>Working capital management deals with current and liabilities. Current assets of companies</w:t>
      </w:r>
      <w:r w:rsidRPr="008F648B">
        <w:rPr>
          <w:sz w:val="20"/>
        </w:rPr>
        <w:t xml:space="preserve"> </w:t>
      </w:r>
      <w:r w:rsidRPr="008F648B">
        <w:rPr>
          <w:sz w:val="20"/>
          <w:lang w:bidi="fa-IR"/>
        </w:rPr>
        <w:t>constitutes a significant portion of total assets. Excessive levels of current assets can lead to the realization of return on investment less than the standard limit. However,</w:t>
      </w:r>
      <w:r w:rsidRPr="008F648B">
        <w:rPr>
          <w:sz w:val="20"/>
        </w:rPr>
        <w:t xml:space="preserve"> </w:t>
      </w:r>
      <w:r w:rsidRPr="008F648B">
        <w:rPr>
          <w:sz w:val="20"/>
          <w:lang w:bidi="fa-IR"/>
        </w:rPr>
        <w:t>companies with the levels of little current assets will have the problem and shortages in the ordinary process of operations, and problems.</w:t>
      </w:r>
      <w:r w:rsidRPr="008F648B">
        <w:rPr>
          <w:sz w:val="20"/>
        </w:rPr>
        <w:t xml:space="preserve"> </w:t>
      </w:r>
      <w:r w:rsidRPr="008F648B">
        <w:rPr>
          <w:sz w:val="20"/>
          <w:lang w:bidi="fa-IR"/>
        </w:rPr>
        <w:t>Efficient working capital management includes planning and control of current assets and liabilities</w:t>
      </w:r>
      <w:r w:rsidRPr="008F648B">
        <w:rPr>
          <w:sz w:val="20"/>
        </w:rPr>
        <w:t xml:space="preserve"> </w:t>
      </w:r>
      <w:r w:rsidRPr="008F648B">
        <w:rPr>
          <w:sz w:val="20"/>
          <w:lang w:bidi="fa-IR"/>
        </w:rPr>
        <w:t>in such a way that</w:t>
      </w:r>
      <w:r w:rsidRPr="008F648B">
        <w:rPr>
          <w:sz w:val="20"/>
        </w:rPr>
        <w:t xml:space="preserve"> resolve the </w:t>
      </w:r>
      <w:r w:rsidRPr="008F648B">
        <w:rPr>
          <w:sz w:val="20"/>
          <w:lang w:bidi="fa-IR"/>
        </w:rPr>
        <w:t>risk of inability to fulfill the short-term obligations</w:t>
      </w:r>
      <w:r w:rsidRPr="008F648B">
        <w:rPr>
          <w:sz w:val="20"/>
        </w:rPr>
        <w:t xml:space="preserve"> </w:t>
      </w:r>
      <w:r w:rsidRPr="008F648B">
        <w:rPr>
          <w:sz w:val="20"/>
          <w:lang w:bidi="fa-IR"/>
        </w:rPr>
        <w:t xml:space="preserve">and avoidance of excessive investment in current assets </w:t>
      </w:r>
      <w:r w:rsidR="00200E9F" w:rsidRPr="008F648B">
        <w:rPr>
          <w:sz w:val="20"/>
          <w:lang w:bidi="fa-IR"/>
        </w:rPr>
        <w:t>(</w:t>
      </w:r>
      <w:proofErr w:type="spellStart"/>
      <w:r w:rsidRPr="008F648B">
        <w:rPr>
          <w:sz w:val="20"/>
          <w:lang w:bidi="fa-IR"/>
        </w:rPr>
        <w:t>Rahman</w:t>
      </w:r>
      <w:proofErr w:type="spellEnd"/>
      <w:r w:rsidRPr="008F648B">
        <w:rPr>
          <w:sz w:val="20"/>
          <w:lang w:bidi="fa-IR"/>
        </w:rPr>
        <w:t xml:space="preserve"> and </w:t>
      </w:r>
      <w:proofErr w:type="spellStart"/>
      <w:r w:rsidRPr="008F648B">
        <w:rPr>
          <w:sz w:val="20"/>
          <w:lang w:bidi="fa-IR"/>
        </w:rPr>
        <w:t>Naser</w:t>
      </w:r>
      <w:proofErr w:type="spellEnd"/>
      <w:r w:rsidRPr="008F648B">
        <w:rPr>
          <w:sz w:val="20"/>
          <w:lang w:bidi="fa-IR"/>
        </w:rPr>
        <w:t xml:space="preserve">, 2007). </w:t>
      </w:r>
    </w:p>
    <w:p w:rsidR="00F53628" w:rsidRPr="008F648B" w:rsidRDefault="006D1E46" w:rsidP="009677EE">
      <w:pPr>
        <w:bidi w:val="0"/>
        <w:snapToGrid w:val="0"/>
        <w:ind w:firstLine="425"/>
        <w:jc w:val="both"/>
        <w:rPr>
          <w:sz w:val="20"/>
          <w:lang w:bidi="fa-IR"/>
        </w:rPr>
      </w:pPr>
      <w:r w:rsidRPr="008F648B">
        <w:rPr>
          <w:sz w:val="20"/>
        </w:rPr>
        <w:t xml:space="preserve">The importance of working capital originate from the fact that level of working capital is effective on profitability and acceptable risk level and ultimately value of the company. The recent liquidity </w:t>
      </w:r>
      <w:r w:rsidRPr="008F648B">
        <w:rPr>
          <w:sz w:val="20"/>
        </w:rPr>
        <w:lastRenderedPageBreak/>
        <w:t xml:space="preserve">crisis </w:t>
      </w:r>
      <w:r w:rsidRPr="008F648B">
        <w:rPr>
          <w:sz w:val="20"/>
          <w:lang w:bidi="fa-IR"/>
        </w:rPr>
        <w:t xml:space="preserve">has </w:t>
      </w:r>
      <w:r w:rsidRPr="008F648B">
        <w:rPr>
          <w:sz w:val="20"/>
        </w:rPr>
        <w:t xml:space="preserve">highlighted the importance of managing and controlling the working capital. Managers have to control the balance between maximizing the profitability and liquidity to achieve the optimal working capital. Optimal working capital management should create the value for company positively. Empirical research in advanced economies of the world showed that efficient working capital management increases the company's market value a finally have a positive effect on value of equity (Sandy et al, 2012). With regard to the mentioned subjects, the aim of present research is investigate the effect of financial variables of working capital and cash holdings on profitability of listed companies in Tehran Stock Exchange. </w:t>
      </w:r>
    </w:p>
    <w:p w:rsidR="00F53628" w:rsidRPr="008F648B" w:rsidRDefault="006D1E46" w:rsidP="009677EE">
      <w:pPr>
        <w:bidi w:val="0"/>
        <w:snapToGrid w:val="0"/>
        <w:jc w:val="both"/>
        <w:rPr>
          <w:b/>
          <w:bCs/>
          <w:sz w:val="20"/>
        </w:rPr>
      </w:pPr>
      <w:r w:rsidRPr="008F648B">
        <w:rPr>
          <w:b/>
          <w:bCs/>
          <w:sz w:val="20"/>
        </w:rPr>
        <w:t xml:space="preserve">Theatrical foundations </w:t>
      </w:r>
    </w:p>
    <w:p w:rsidR="00350A1F" w:rsidRPr="008F648B" w:rsidRDefault="00350A1F" w:rsidP="009677EE">
      <w:pPr>
        <w:bidi w:val="0"/>
        <w:snapToGrid w:val="0"/>
        <w:ind w:firstLine="425"/>
        <w:jc w:val="both"/>
        <w:rPr>
          <w:sz w:val="20"/>
          <w:lang w:bidi="fa-IR"/>
        </w:rPr>
      </w:pPr>
      <w:r w:rsidRPr="008F648B">
        <w:rPr>
          <w:sz w:val="20"/>
          <w:lang w:bidi="fa-IR"/>
        </w:rPr>
        <w:t>Working capital management is a concept that is usually seen in the corporate finance literature and this reflect its importance for the company (</w:t>
      </w:r>
      <w:proofErr w:type="spellStart"/>
      <w:r w:rsidRPr="008F648B">
        <w:rPr>
          <w:sz w:val="20"/>
        </w:rPr>
        <w:t>Aktas</w:t>
      </w:r>
      <w:proofErr w:type="spellEnd"/>
      <w:r w:rsidRPr="008F648B">
        <w:rPr>
          <w:sz w:val="20"/>
          <w:lang w:bidi="fa-IR"/>
        </w:rPr>
        <w:t xml:space="preserve"> et al, 2014). Studies have indicated that a significant part of the investment in working capital is unnecessary. </w:t>
      </w:r>
      <w:proofErr w:type="spellStart"/>
      <w:r w:rsidRPr="008F648B">
        <w:rPr>
          <w:sz w:val="20"/>
        </w:rPr>
        <w:t>Ek</w:t>
      </w:r>
      <w:proofErr w:type="spellEnd"/>
      <w:r w:rsidRPr="008F648B">
        <w:rPr>
          <w:sz w:val="20"/>
        </w:rPr>
        <w:t xml:space="preserve"> and Guerin</w:t>
      </w:r>
      <w:r w:rsidRPr="008F648B">
        <w:rPr>
          <w:sz w:val="20"/>
          <w:lang w:bidi="fa-IR"/>
        </w:rPr>
        <w:t xml:space="preserve"> (2011) have argued that there is wide range to improve the efficiency of working capital management in the majority of firms. </w:t>
      </w:r>
      <w:r w:rsidRPr="008F648B">
        <w:rPr>
          <w:sz w:val="20"/>
        </w:rPr>
        <w:t>Ernst and Young</w:t>
      </w:r>
      <w:r w:rsidRPr="008F648B">
        <w:rPr>
          <w:sz w:val="20"/>
          <w:lang w:bidi="fa-IR"/>
        </w:rPr>
        <w:t xml:space="preserve"> (2012) concluded that amount of unnecessary and operational working capital</w:t>
      </w:r>
      <w:r w:rsidRPr="008F648B">
        <w:rPr>
          <w:sz w:val="20"/>
        </w:rPr>
        <w:t xml:space="preserve"> </w:t>
      </w:r>
      <w:r w:rsidRPr="008F648B">
        <w:rPr>
          <w:sz w:val="20"/>
          <w:lang w:bidi="fa-IR"/>
        </w:rPr>
        <w:t xml:space="preserve">for thousand American companies in 2011has been between 330 to 590 billion dollars (between 3 to 6 percent of their sales). Also, </w:t>
      </w:r>
      <w:proofErr w:type="spellStart"/>
      <w:r w:rsidRPr="008F648B">
        <w:rPr>
          <w:sz w:val="20"/>
        </w:rPr>
        <w:t>Buchmann</w:t>
      </w:r>
      <w:proofErr w:type="spellEnd"/>
      <w:r w:rsidRPr="008F648B">
        <w:rPr>
          <w:sz w:val="20"/>
          <w:lang w:bidi="fa-IR"/>
        </w:rPr>
        <w:t xml:space="preserve"> et al (2008) emphasized that</w:t>
      </w:r>
      <w:r w:rsidRPr="008F648B">
        <w:rPr>
          <w:sz w:val="20"/>
        </w:rPr>
        <w:t xml:space="preserve"> </w:t>
      </w:r>
      <w:r w:rsidRPr="008F648B">
        <w:rPr>
          <w:sz w:val="20"/>
          <w:lang w:bidi="fa-IR"/>
        </w:rPr>
        <w:lastRenderedPageBreak/>
        <w:t>net power of operational working capital as a potential source of cash to increase the funds available to the company</w:t>
      </w:r>
      <w:r w:rsidRPr="008F648B">
        <w:rPr>
          <w:sz w:val="20"/>
        </w:rPr>
        <w:t xml:space="preserve"> </w:t>
      </w:r>
      <w:r w:rsidRPr="008F648B">
        <w:rPr>
          <w:sz w:val="20"/>
          <w:lang w:bidi="fa-IR"/>
        </w:rPr>
        <w:t>often will be ignored by companies.</w:t>
      </w:r>
    </w:p>
    <w:p w:rsidR="006D1E46" w:rsidRPr="008F648B" w:rsidRDefault="00C82186" w:rsidP="009677EE">
      <w:pPr>
        <w:bidi w:val="0"/>
        <w:snapToGrid w:val="0"/>
        <w:ind w:firstLine="425"/>
        <w:jc w:val="both"/>
        <w:rPr>
          <w:sz w:val="20"/>
          <w:lang w:bidi="fa-IR"/>
        </w:rPr>
      </w:pPr>
      <w:r w:rsidRPr="008F648B">
        <w:rPr>
          <w:sz w:val="20"/>
          <w:lang w:bidi="fa-IR"/>
        </w:rPr>
        <w:t>Existing literature offer several theoretical arguments to understand the relationship between working capital and corporate performance. Thus, it is expected that</w:t>
      </w:r>
      <w:r w:rsidRPr="008F648B">
        <w:rPr>
          <w:sz w:val="20"/>
        </w:rPr>
        <w:t xml:space="preserve"> </w:t>
      </w:r>
      <w:r w:rsidRPr="008F648B">
        <w:rPr>
          <w:sz w:val="20"/>
          <w:lang w:bidi="fa-IR"/>
        </w:rPr>
        <w:t>additional investment has a positive effect on working capital</w:t>
      </w:r>
      <w:r w:rsidRPr="008F648B">
        <w:rPr>
          <w:sz w:val="20"/>
        </w:rPr>
        <w:t xml:space="preserve"> </w:t>
      </w:r>
      <w:r w:rsidRPr="008F648B">
        <w:rPr>
          <w:sz w:val="20"/>
          <w:lang w:bidi="fa-IR"/>
        </w:rPr>
        <w:t>especially for companies with a little working capital.</w:t>
      </w:r>
      <w:r w:rsidRPr="008F648B">
        <w:rPr>
          <w:sz w:val="20"/>
        </w:rPr>
        <w:t xml:space="preserve"> </w:t>
      </w:r>
      <w:r w:rsidRPr="008F648B">
        <w:rPr>
          <w:sz w:val="20"/>
          <w:lang w:bidi="fa-IR"/>
        </w:rPr>
        <w:t>The reason for this is that working capital allowed to companies for increasing the sales and profitability.</w:t>
      </w:r>
      <w:r w:rsidR="001D219C" w:rsidRPr="008F648B">
        <w:rPr>
          <w:sz w:val="20"/>
          <w:lang w:bidi="fa-IR"/>
        </w:rPr>
        <w:t xml:space="preserve"> On the other hand, additional investment in working capital can be a source of adverse effects and resulted in the destruction of shareholder value.</w:t>
      </w:r>
      <w:r w:rsidR="001D219C" w:rsidRPr="008F648B">
        <w:rPr>
          <w:sz w:val="20"/>
        </w:rPr>
        <w:t xml:space="preserve"> </w:t>
      </w:r>
      <w:r w:rsidR="001D219C" w:rsidRPr="008F648B">
        <w:rPr>
          <w:sz w:val="20"/>
          <w:lang w:bidi="fa-IR"/>
        </w:rPr>
        <w:t>The increase in working capital require the additional financing</w:t>
      </w:r>
      <w:r w:rsidR="001D219C" w:rsidRPr="008F648B">
        <w:rPr>
          <w:sz w:val="20"/>
        </w:rPr>
        <w:t xml:space="preserve"> </w:t>
      </w:r>
      <w:r w:rsidR="001D219C" w:rsidRPr="008F648B">
        <w:rPr>
          <w:sz w:val="20"/>
          <w:lang w:bidi="fa-IR"/>
        </w:rPr>
        <w:t>which in turn includes financing costs and opportunity (</w:t>
      </w:r>
      <w:proofErr w:type="spellStart"/>
      <w:r w:rsidR="001D219C" w:rsidRPr="008F648B">
        <w:rPr>
          <w:sz w:val="20"/>
        </w:rPr>
        <w:t>Kieschnick</w:t>
      </w:r>
      <w:proofErr w:type="spellEnd"/>
      <w:r w:rsidR="001D219C" w:rsidRPr="008F648B">
        <w:rPr>
          <w:sz w:val="20"/>
          <w:lang w:bidi="fa-IR"/>
        </w:rPr>
        <w:t xml:space="preserve"> et al, 2013).</w:t>
      </w:r>
      <w:r w:rsidR="001D219C" w:rsidRPr="008F648B">
        <w:rPr>
          <w:sz w:val="20"/>
        </w:rPr>
        <w:t xml:space="preserve"> </w:t>
      </w:r>
      <w:r w:rsidR="001D219C" w:rsidRPr="008F648B">
        <w:rPr>
          <w:sz w:val="20"/>
          <w:lang w:bidi="fa-IR"/>
        </w:rPr>
        <w:t>Thus, companies with a large working capital in their balance sheets potentially are faced with the higher interest expense, risk and bankruptcy.</w:t>
      </w:r>
      <w:r w:rsidR="000639F9" w:rsidRPr="008F648B">
        <w:rPr>
          <w:sz w:val="20"/>
        </w:rPr>
        <w:t xml:space="preserve"> Wang</w:t>
      </w:r>
      <w:r w:rsidR="000639F9" w:rsidRPr="008F648B">
        <w:rPr>
          <w:sz w:val="20"/>
          <w:lang w:bidi="fa-IR"/>
        </w:rPr>
        <w:t xml:space="preserve"> et al (2013) indicated that a decrease in net working capital of firm is required to increase its cash holdings. Thus, there is a replaced relationship between the Net working capital and cash holdings. </w:t>
      </w:r>
    </w:p>
    <w:p w:rsidR="002C0F61" w:rsidRPr="008F648B" w:rsidRDefault="00F6344B" w:rsidP="009677EE">
      <w:pPr>
        <w:bidi w:val="0"/>
        <w:snapToGrid w:val="0"/>
        <w:jc w:val="both"/>
        <w:rPr>
          <w:b/>
          <w:bCs/>
          <w:sz w:val="20"/>
        </w:rPr>
      </w:pPr>
      <w:r w:rsidRPr="008F648B">
        <w:rPr>
          <w:b/>
          <w:bCs/>
          <w:sz w:val="20"/>
        </w:rPr>
        <w:t>Research literature</w:t>
      </w:r>
    </w:p>
    <w:p w:rsidR="004E2023" w:rsidRPr="008F648B" w:rsidRDefault="004E2023" w:rsidP="009677EE">
      <w:pPr>
        <w:pStyle w:val="Heading1"/>
        <w:keepNext w:val="0"/>
        <w:shd w:val="clear" w:color="auto" w:fill="FFFFFF"/>
        <w:bidi w:val="0"/>
        <w:snapToGrid w:val="0"/>
        <w:spacing w:line="240" w:lineRule="auto"/>
        <w:ind w:firstLine="425"/>
        <w:rPr>
          <w:rStyle w:val="apple-converted-space"/>
          <w:b w:val="0"/>
          <w:bCs w:val="0"/>
          <w:color w:val="111111"/>
          <w:sz w:val="20"/>
          <w:szCs w:val="24"/>
          <w:shd w:val="clear" w:color="auto" w:fill="FFFFFF"/>
        </w:rPr>
      </w:pPr>
      <w:proofErr w:type="spellStart"/>
      <w:r w:rsidRPr="008F648B">
        <w:rPr>
          <w:b w:val="0"/>
          <w:bCs w:val="0"/>
          <w:sz w:val="20"/>
          <w:szCs w:val="24"/>
        </w:rPr>
        <w:t>Mun</w:t>
      </w:r>
      <w:proofErr w:type="spellEnd"/>
      <w:r w:rsidRPr="008F648B">
        <w:rPr>
          <w:b w:val="0"/>
          <w:bCs w:val="0"/>
          <w:sz w:val="20"/>
          <w:szCs w:val="24"/>
        </w:rPr>
        <w:t xml:space="preserve"> and Jang (2015) in research entitled "</w:t>
      </w:r>
      <w:r w:rsidRPr="008F648B">
        <w:rPr>
          <w:b w:val="0"/>
          <w:bCs w:val="0"/>
          <w:color w:val="111111"/>
          <w:sz w:val="20"/>
          <w:szCs w:val="24"/>
        </w:rPr>
        <w:t>Working capital, cash holding, and profitability of restaurant firms</w:t>
      </w:r>
      <w:r w:rsidRPr="008F648B">
        <w:rPr>
          <w:b w:val="0"/>
          <w:bCs w:val="0"/>
          <w:sz w:val="20"/>
          <w:szCs w:val="24"/>
        </w:rPr>
        <w:t>"</w:t>
      </w:r>
      <w:r w:rsidRPr="008F648B">
        <w:rPr>
          <w:b w:val="0"/>
          <w:bCs w:val="0"/>
          <w:color w:val="111111"/>
          <w:sz w:val="20"/>
          <w:szCs w:val="24"/>
        </w:rPr>
        <w:t xml:space="preserve"> </w:t>
      </w:r>
      <w:r w:rsidRPr="008F648B">
        <w:rPr>
          <w:rStyle w:val="apple-converted-space"/>
          <w:b w:val="0"/>
          <w:bCs w:val="0"/>
          <w:color w:val="111111"/>
          <w:sz w:val="20"/>
          <w:szCs w:val="24"/>
          <w:shd w:val="clear" w:color="auto" w:fill="FFFFFF"/>
        </w:rPr>
        <w:t> </w:t>
      </w:r>
      <w:r w:rsidRPr="008F648B">
        <w:rPr>
          <w:b w:val="0"/>
          <w:bCs w:val="0"/>
          <w:color w:val="111111"/>
          <w:sz w:val="20"/>
          <w:szCs w:val="24"/>
          <w:shd w:val="clear" w:color="auto" w:fill="FFFFFF"/>
        </w:rPr>
        <w:t>investigates the impact of restaurant firms' working capital on their profitability.</w:t>
      </w:r>
      <w:r w:rsidRPr="008F648B">
        <w:rPr>
          <w:rStyle w:val="apple-converted-space"/>
          <w:b w:val="0"/>
          <w:bCs w:val="0"/>
          <w:color w:val="111111"/>
          <w:sz w:val="20"/>
          <w:szCs w:val="24"/>
          <w:shd w:val="clear" w:color="auto" w:fill="FFFFFF"/>
        </w:rPr>
        <w:t> </w:t>
      </w:r>
      <w:r w:rsidRPr="008F648B">
        <w:rPr>
          <w:b w:val="0"/>
          <w:bCs w:val="0"/>
          <w:color w:val="111111"/>
          <w:sz w:val="20"/>
          <w:szCs w:val="24"/>
          <w:shd w:val="clear" w:color="auto" w:fill="FFFFFF"/>
        </w:rPr>
        <w:t>This study reveals that a firm's cash level is an important factor for efficient working capital management. The results suggest that interactive effects exist among working capital, cash levels, and profitability.</w:t>
      </w:r>
    </w:p>
    <w:p w:rsidR="004E2023" w:rsidRPr="008F648B" w:rsidRDefault="004E2023" w:rsidP="009677EE">
      <w:pPr>
        <w:bidi w:val="0"/>
        <w:snapToGrid w:val="0"/>
        <w:ind w:firstLine="425"/>
        <w:jc w:val="both"/>
        <w:rPr>
          <w:sz w:val="20"/>
          <w:lang w:bidi="fa-IR"/>
        </w:rPr>
      </w:pPr>
      <w:proofErr w:type="spellStart"/>
      <w:r w:rsidRPr="008F648B">
        <w:rPr>
          <w:sz w:val="20"/>
          <w:lang w:bidi="fa-IR"/>
        </w:rPr>
        <w:t>Kroes</w:t>
      </w:r>
      <w:proofErr w:type="spellEnd"/>
      <w:r w:rsidRPr="008F648B">
        <w:rPr>
          <w:sz w:val="20"/>
          <w:lang w:bidi="fa-IR"/>
        </w:rPr>
        <w:t xml:space="preserve"> and </w:t>
      </w:r>
      <w:proofErr w:type="spellStart"/>
      <w:r w:rsidRPr="008F648B">
        <w:rPr>
          <w:sz w:val="20"/>
          <w:lang w:bidi="fa-IR"/>
        </w:rPr>
        <w:t>Manikas</w:t>
      </w:r>
      <w:proofErr w:type="spellEnd"/>
      <w:r w:rsidRPr="008F648B">
        <w:rPr>
          <w:sz w:val="20"/>
          <w:lang w:bidi="fa-IR"/>
        </w:rPr>
        <w:t xml:space="preserve"> (2014) in research entitled "</w:t>
      </w:r>
      <w:r w:rsidRPr="008F648B">
        <w:rPr>
          <w:sz w:val="20"/>
        </w:rPr>
        <w:t xml:space="preserve"> Cash flow management and manufacturing firm financial performance: A longitudinal perspective</w:t>
      </w:r>
      <w:r w:rsidRPr="008F648B">
        <w:rPr>
          <w:sz w:val="20"/>
          <w:lang w:bidi="fa-IR"/>
        </w:rPr>
        <w:t xml:space="preserve">" </w:t>
      </w:r>
      <w:r w:rsidRPr="008F648B">
        <w:rPr>
          <w:sz w:val="20"/>
        </w:rPr>
        <w:t>concluded that changes in the widely used Cash Conversion Cycle (CCC) metric do not relate to changes in firm performance; however, changes in the less used Operating Cash Cycle (OCC) metric are found to be significantly associated with changes in Tobin's q.</w:t>
      </w:r>
    </w:p>
    <w:p w:rsidR="009520F4" w:rsidRPr="008F648B" w:rsidRDefault="009520F4" w:rsidP="009677EE">
      <w:pPr>
        <w:bidi w:val="0"/>
        <w:snapToGrid w:val="0"/>
        <w:ind w:firstLine="425"/>
        <w:jc w:val="both"/>
        <w:rPr>
          <w:sz w:val="20"/>
        </w:rPr>
      </w:pPr>
      <w:r w:rsidRPr="008F648B">
        <w:rPr>
          <w:sz w:val="20"/>
        </w:rPr>
        <w:t>Gomes (2013) in his research investigated the relationship between working capital management (WCM) and firm’s profitability for Portugal for the period from 2004 to 2009. Results showed that there is a concave relationship between WCM and profitability, indicating that firms have an optimal working capital level where firms should stand to maximize profitability.</w:t>
      </w:r>
    </w:p>
    <w:p w:rsidR="00BD1AA2" w:rsidRPr="008F648B" w:rsidRDefault="00BD1AA2" w:rsidP="009677EE">
      <w:pPr>
        <w:bidi w:val="0"/>
        <w:snapToGrid w:val="0"/>
        <w:ind w:firstLine="425"/>
        <w:jc w:val="both"/>
        <w:rPr>
          <w:color w:val="000000" w:themeColor="text1"/>
          <w:sz w:val="20"/>
        </w:rPr>
      </w:pPr>
      <w:proofErr w:type="spellStart"/>
      <w:r w:rsidRPr="008F648B">
        <w:rPr>
          <w:color w:val="000000" w:themeColor="text1"/>
          <w:sz w:val="20"/>
          <w:shd w:val="clear" w:color="auto" w:fill="FFFFFF"/>
        </w:rPr>
        <w:t>Yahyazadeh</w:t>
      </w:r>
      <w:proofErr w:type="spellEnd"/>
      <w:r w:rsidRPr="008F648B">
        <w:rPr>
          <w:color w:val="000000" w:themeColor="text1"/>
          <w:sz w:val="20"/>
        </w:rPr>
        <w:t xml:space="preserve"> et al (2014) in research entitled "</w:t>
      </w:r>
      <w:r w:rsidRPr="008F648B">
        <w:rPr>
          <w:color w:val="000000" w:themeColor="text1"/>
          <w:sz w:val="20"/>
          <w:shd w:val="clear" w:color="auto" w:fill="FFFFFF"/>
        </w:rPr>
        <w:t>on the relationship between working capital and profitability in listed firms of Tehran Stock Exchange</w:t>
      </w:r>
      <w:r w:rsidRPr="008F648B">
        <w:rPr>
          <w:color w:val="000000" w:themeColor="text1"/>
          <w:sz w:val="20"/>
        </w:rPr>
        <w:t xml:space="preserve">" investigated </w:t>
      </w:r>
      <w:r w:rsidRPr="008F648B">
        <w:rPr>
          <w:color w:val="000000" w:themeColor="text1"/>
          <w:sz w:val="20"/>
          <w:shd w:val="clear" w:color="auto" w:fill="FFFFFF"/>
        </w:rPr>
        <w:t xml:space="preserve">the relationship between working capital and profitability in listed firms of Tehran Stock Exchange. The results showed that there is no </w:t>
      </w:r>
      <w:r w:rsidRPr="008F648B">
        <w:rPr>
          <w:color w:val="000000" w:themeColor="text1"/>
          <w:sz w:val="20"/>
          <w:shd w:val="clear" w:color="auto" w:fill="FFFFFF"/>
        </w:rPr>
        <w:lastRenderedPageBreak/>
        <w:t>nonlinear relationship between working capital and profitability. This shows no optimal level of capital flow in which the profitability is maximum. Furthermore, the results of research in automobile, chemical and non-metal minerals shows a nonlinear relationship between working capital and profitability.</w:t>
      </w:r>
    </w:p>
    <w:p w:rsidR="007E78E9" w:rsidRPr="008F648B" w:rsidRDefault="007E78E9" w:rsidP="009677EE">
      <w:pPr>
        <w:bidi w:val="0"/>
        <w:snapToGrid w:val="0"/>
        <w:ind w:firstLine="425"/>
        <w:jc w:val="both"/>
        <w:rPr>
          <w:sz w:val="20"/>
        </w:rPr>
      </w:pPr>
      <w:proofErr w:type="spellStart"/>
      <w:r w:rsidRPr="008F648B">
        <w:rPr>
          <w:sz w:val="20"/>
        </w:rPr>
        <w:t>Vaez</w:t>
      </w:r>
      <w:proofErr w:type="spellEnd"/>
      <w:r w:rsidRPr="008F648B">
        <w:rPr>
          <w:sz w:val="20"/>
        </w:rPr>
        <w:t xml:space="preserve"> et al (2013) investigated factors affecting on working capital management in Tehran Stock Exchange firms. The results of the study showed that there is a negative and significant relationship between profitability, leverage and capital expenditure with cash conversion cycle and there is a positive and significant relationship between GDP and the cash conversion cycle. </w:t>
      </w:r>
    </w:p>
    <w:p w:rsidR="00076334" w:rsidRPr="008F648B" w:rsidRDefault="00076334" w:rsidP="009677EE">
      <w:pPr>
        <w:bidi w:val="0"/>
        <w:snapToGrid w:val="0"/>
        <w:ind w:firstLine="425"/>
        <w:jc w:val="both"/>
        <w:rPr>
          <w:color w:val="000000" w:themeColor="text1"/>
          <w:sz w:val="20"/>
        </w:rPr>
      </w:pPr>
      <w:proofErr w:type="spellStart"/>
      <w:r w:rsidRPr="008F648B">
        <w:rPr>
          <w:color w:val="000000" w:themeColor="text1"/>
          <w:sz w:val="20"/>
          <w:lang w:bidi="fa-IR"/>
        </w:rPr>
        <w:t>Baharmoghadam</w:t>
      </w:r>
      <w:proofErr w:type="spellEnd"/>
      <w:r w:rsidRPr="008F648B">
        <w:rPr>
          <w:color w:val="000000" w:themeColor="text1"/>
          <w:sz w:val="20"/>
          <w:lang w:bidi="fa-IR"/>
        </w:rPr>
        <w:t xml:space="preserve"> et al (2011) in research entitled "</w:t>
      </w:r>
      <w:r w:rsidRPr="008F648B">
        <w:rPr>
          <w:color w:val="000000" w:themeColor="text1"/>
          <w:sz w:val="20"/>
        </w:rPr>
        <w:t>Surveying the effect of auditor type on the value relevance of earnings in the accepted company in Tehran Stock Exchange</w:t>
      </w:r>
      <w:r w:rsidRPr="008F648B">
        <w:rPr>
          <w:color w:val="000000" w:themeColor="text1"/>
          <w:sz w:val="20"/>
          <w:lang w:bidi="fa-IR"/>
        </w:rPr>
        <w:t>"</w:t>
      </w:r>
      <w:r w:rsidRPr="008F648B">
        <w:rPr>
          <w:color w:val="000000" w:themeColor="text1"/>
          <w:sz w:val="20"/>
        </w:rPr>
        <w:t xml:space="preserve"> investigated the effect of auditor type on the value relevance of earnings in accepted companies in Tehran Stock Exchange.</w:t>
      </w:r>
      <w:r w:rsidRPr="008F648B">
        <w:rPr>
          <w:rStyle w:val="apple-converted-space"/>
          <w:color w:val="000000" w:themeColor="text1"/>
          <w:sz w:val="20"/>
        </w:rPr>
        <w:t> </w:t>
      </w:r>
      <w:r w:rsidRPr="008F648B">
        <w:rPr>
          <w:color w:val="000000" w:themeColor="text1"/>
          <w:sz w:val="20"/>
        </w:rPr>
        <w:t>The findings of this study indicated that there is a significant relationship operational efficiency in working capital management and profitability. Also, in regard to variables of control, liquidity and firm size, a significant positive relationship were found between these two variables and profitability.</w:t>
      </w:r>
    </w:p>
    <w:p w:rsidR="0060714D" w:rsidRPr="008F648B" w:rsidRDefault="002C0F61" w:rsidP="009677EE">
      <w:pPr>
        <w:bidi w:val="0"/>
        <w:snapToGrid w:val="0"/>
        <w:jc w:val="both"/>
        <w:rPr>
          <w:b/>
          <w:bCs/>
          <w:sz w:val="20"/>
        </w:rPr>
      </w:pPr>
      <w:r w:rsidRPr="008F648B">
        <w:rPr>
          <w:b/>
          <w:bCs/>
          <w:sz w:val="20"/>
        </w:rPr>
        <w:t>Research Hypothesis</w:t>
      </w:r>
    </w:p>
    <w:p w:rsidR="004E2EFA" w:rsidRPr="008F648B" w:rsidRDefault="004E2EFA" w:rsidP="009677EE">
      <w:pPr>
        <w:bidi w:val="0"/>
        <w:snapToGrid w:val="0"/>
        <w:ind w:firstLine="425"/>
        <w:jc w:val="both"/>
        <w:rPr>
          <w:sz w:val="20"/>
          <w:lang w:bidi="fa-IR"/>
        </w:rPr>
      </w:pPr>
      <w:r w:rsidRPr="008F648B">
        <w:rPr>
          <w:sz w:val="20"/>
          <w:lang w:bidi="fa-IR"/>
        </w:rPr>
        <w:t>With regard to material presented in previous sections,</w:t>
      </w:r>
      <w:r w:rsidRPr="008F648B">
        <w:rPr>
          <w:sz w:val="20"/>
        </w:rPr>
        <w:t xml:space="preserve"> </w:t>
      </w:r>
      <w:r w:rsidRPr="008F648B">
        <w:rPr>
          <w:sz w:val="20"/>
          <w:lang w:bidi="fa-IR"/>
        </w:rPr>
        <w:t>the following hypotheses are proposed:</w:t>
      </w:r>
    </w:p>
    <w:p w:rsidR="004E2EFA" w:rsidRPr="008F648B" w:rsidRDefault="004E2EFA" w:rsidP="009677EE">
      <w:pPr>
        <w:bidi w:val="0"/>
        <w:snapToGrid w:val="0"/>
        <w:ind w:firstLine="425"/>
        <w:jc w:val="both"/>
        <w:rPr>
          <w:sz w:val="20"/>
          <w:lang w:bidi="fa-IR"/>
        </w:rPr>
      </w:pPr>
      <w:r w:rsidRPr="008F648B">
        <w:rPr>
          <w:b/>
          <w:bCs/>
          <w:sz w:val="20"/>
          <w:lang w:bidi="fa-IR"/>
        </w:rPr>
        <w:t>Main first hypotheses</w:t>
      </w:r>
      <w:r w:rsidRPr="008F648B">
        <w:rPr>
          <w:sz w:val="20"/>
          <w:lang w:bidi="fa-IR"/>
        </w:rPr>
        <w:t xml:space="preserve">: There is a significant relationship between financial variables of working capital and cash holdings and return on assets. </w:t>
      </w:r>
    </w:p>
    <w:p w:rsidR="004E2EFA" w:rsidRPr="008F648B" w:rsidRDefault="004E2EFA" w:rsidP="009677EE">
      <w:pPr>
        <w:numPr>
          <w:ilvl w:val="1"/>
          <w:numId w:val="1"/>
        </w:numPr>
        <w:bidi w:val="0"/>
        <w:snapToGrid w:val="0"/>
        <w:ind w:left="0" w:firstLine="425"/>
        <w:jc w:val="both"/>
        <w:rPr>
          <w:sz w:val="20"/>
          <w:lang w:bidi="fa-IR"/>
        </w:rPr>
      </w:pPr>
      <w:r w:rsidRPr="008F648B">
        <w:rPr>
          <w:sz w:val="20"/>
          <w:lang w:bidi="fa-IR"/>
        </w:rPr>
        <w:t>There is a significant relationship between firm working capital and return on assets.</w:t>
      </w:r>
    </w:p>
    <w:p w:rsidR="004E2EFA" w:rsidRPr="008F648B" w:rsidRDefault="004E2EFA" w:rsidP="009677EE">
      <w:pPr>
        <w:numPr>
          <w:ilvl w:val="1"/>
          <w:numId w:val="1"/>
        </w:numPr>
        <w:bidi w:val="0"/>
        <w:snapToGrid w:val="0"/>
        <w:ind w:left="0" w:firstLine="425"/>
        <w:jc w:val="both"/>
        <w:rPr>
          <w:sz w:val="20"/>
          <w:lang w:bidi="fa-IR"/>
        </w:rPr>
      </w:pPr>
      <w:r w:rsidRPr="008F648B">
        <w:rPr>
          <w:sz w:val="20"/>
          <w:lang w:bidi="fa-IR"/>
        </w:rPr>
        <w:t>There is a significant relationship between cash holdings and return on assets.</w:t>
      </w:r>
    </w:p>
    <w:p w:rsidR="004E2EFA" w:rsidRPr="008F648B" w:rsidRDefault="004E2EFA" w:rsidP="009677EE">
      <w:pPr>
        <w:bidi w:val="0"/>
        <w:snapToGrid w:val="0"/>
        <w:ind w:firstLine="425"/>
        <w:jc w:val="both"/>
        <w:rPr>
          <w:sz w:val="20"/>
          <w:lang w:bidi="fa-IR"/>
        </w:rPr>
      </w:pPr>
      <w:r w:rsidRPr="008F648B">
        <w:rPr>
          <w:b/>
          <w:bCs/>
          <w:sz w:val="20"/>
          <w:lang w:bidi="fa-IR"/>
        </w:rPr>
        <w:t>Main second hypotheses</w:t>
      </w:r>
      <w:r w:rsidRPr="008F648B">
        <w:rPr>
          <w:sz w:val="20"/>
          <w:lang w:bidi="fa-IR"/>
        </w:rPr>
        <w:t xml:space="preserve">: There is a significant relationship between financial variables of working capital and cash holdings and return on capital. </w:t>
      </w:r>
    </w:p>
    <w:p w:rsidR="004E2EFA" w:rsidRPr="008F648B" w:rsidRDefault="004E2EFA" w:rsidP="009677EE">
      <w:pPr>
        <w:numPr>
          <w:ilvl w:val="1"/>
          <w:numId w:val="1"/>
        </w:numPr>
        <w:bidi w:val="0"/>
        <w:snapToGrid w:val="0"/>
        <w:ind w:left="0" w:firstLine="425"/>
        <w:jc w:val="both"/>
        <w:rPr>
          <w:sz w:val="20"/>
          <w:lang w:bidi="fa-IR"/>
        </w:rPr>
      </w:pPr>
      <w:r w:rsidRPr="008F648B">
        <w:rPr>
          <w:sz w:val="20"/>
          <w:lang w:bidi="fa-IR"/>
        </w:rPr>
        <w:t>There is a significant relationship between firm working capital and return on capital.</w:t>
      </w:r>
    </w:p>
    <w:p w:rsidR="004E2EFA" w:rsidRPr="008F648B" w:rsidRDefault="004E2EFA" w:rsidP="009677EE">
      <w:pPr>
        <w:numPr>
          <w:ilvl w:val="1"/>
          <w:numId w:val="1"/>
        </w:numPr>
        <w:bidi w:val="0"/>
        <w:snapToGrid w:val="0"/>
        <w:ind w:left="0" w:firstLine="425"/>
        <w:jc w:val="both"/>
        <w:rPr>
          <w:sz w:val="20"/>
          <w:lang w:bidi="fa-IR"/>
        </w:rPr>
      </w:pPr>
      <w:r w:rsidRPr="008F648B">
        <w:rPr>
          <w:sz w:val="20"/>
          <w:lang w:bidi="fa-IR"/>
        </w:rPr>
        <w:t>There is a significant relationship between cash holdings and return on capital.</w:t>
      </w:r>
    </w:p>
    <w:p w:rsidR="00BF7A96" w:rsidRPr="008F648B" w:rsidRDefault="00BF7A96" w:rsidP="009677EE">
      <w:pPr>
        <w:bidi w:val="0"/>
        <w:snapToGrid w:val="0"/>
        <w:jc w:val="both"/>
        <w:rPr>
          <w:b/>
          <w:bCs/>
          <w:sz w:val="20"/>
        </w:rPr>
      </w:pPr>
      <w:r w:rsidRPr="008F648B">
        <w:rPr>
          <w:b/>
          <w:bCs/>
          <w:sz w:val="20"/>
        </w:rPr>
        <w:t xml:space="preserve">Methodology </w:t>
      </w:r>
    </w:p>
    <w:p w:rsidR="00DF4D98" w:rsidRPr="008F648B" w:rsidRDefault="00257BF8" w:rsidP="009677EE">
      <w:pPr>
        <w:bidi w:val="0"/>
        <w:snapToGrid w:val="0"/>
        <w:ind w:firstLine="425"/>
        <w:jc w:val="both"/>
        <w:rPr>
          <w:color w:val="000000" w:themeColor="text1"/>
          <w:sz w:val="20"/>
          <w:lang w:bidi="fa-IR"/>
        </w:rPr>
      </w:pPr>
      <w:r w:rsidRPr="008F648B">
        <w:rPr>
          <w:rFonts w:eastAsia="Calibri"/>
          <w:color w:val="000000" w:themeColor="text1"/>
          <w:sz w:val="20"/>
        </w:rPr>
        <w:t>The aim of present research is investigate the relationship between financial variables of working capital</w:t>
      </w:r>
      <w:r w:rsidRPr="008F648B">
        <w:rPr>
          <w:color w:val="000000" w:themeColor="text1"/>
          <w:sz w:val="20"/>
          <w:lang w:bidi="fa-IR"/>
        </w:rPr>
        <w:t xml:space="preserve">, Cash holdings and profitability. In this research, </w:t>
      </w:r>
      <w:r w:rsidRPr="008F648B">
        <w:rPr>
          <w:color w:val="000000" w:themeColor="text1"/>
          <w:sz w:val="20"/>
        </w:rPr>
        <w:t>average of collection period</w:t>
      </w:r>
      <w:r w:rsidRPr="008F648B">
        <w:rPr>
          <w:color w:val="000000" w:themeColor="text1"/>
          <w:sz w:val="20"/>
          <w:lang w:bidi="fa-IR"/>
        </w:rPr>
        <w:t xml:space="preserve">, </w:t>
      </w:r>
      <w:r w:rsidRPr="008F648B">
        <w:rPr>
          <w:rStyle w:val="Emphasis"/>
          <w:i w:val="0"/>
          <w:iCs w:val="0"/>
          <w:color w:val="000000" w:themeColor="text1"/>
          <w:sz w:val="20"/>
          <w:shd w:val="clear" w:color="auto" w:fill="FFFFFF"/>
        </w:rPr>
        <w:t>average of inventory turnover duration</w:t>
      </w:r>
      <w:r w:rsidRPr="008F648B">
        <w:rPr>
          <w:i/>
          <w:iCs/>
          <w:color w:val="000000" w:themeColor="text1"/>
          <w:sz w:val="20"/>
          <w:lang w:bidi="fa-IR"/>
        </w:rPr>
        <w:t xml:space="preserve">, </w:t>
      </w:r>
      <w:r w:rsidRPr="008F648B">
        <w:rPr>
          <w:rStyle w:val="Emphasis"/>
          <w:i w:val="0"/>
          <w:iCs w:val="0"/>
          <w:color w:val="000000" w:themeColor="text1"/>
          <w:sz w:val="20"/>
          <w:shd w:val="clear" w:color="auto" w:fill="FFFFFF"/>
        </w:rPr>
        <w:t>average of</w:t>
      </w:r>
      <w:r w:rsidRPr="008F648B">
        <w:rPr>
          <w:color w:val="000000" w:themeColor="text1"/>
          <w:sz w:val="20"/>
        </w:rPr>
        <w:t xml:space="preserve"> debt payment period</w:t>
      </w:r>
      <w:r w:rsidRPr="008F648B">
        <w:rPr>
          <w:color w:val="000000" w:themeColor="text1"/>
          <w:sz w:val="20"/>
          <w:lang w:bidi="fa-IR"/>
        </w:rPr>
        <w:t xml:space="preserve"> and </w:t>
      </w:r>
      <w:r w:rsidRPr="008F648B">
        <w:rPr>
          <w:color w:val="000000" w:themeColor="text1"/>
          <w:sz w:val="20"/>
        </w:rPr>
        <w:t>free cash flow of the firm</w:t>
      </w:r>
      <w:r w:rsidRPr="008F648B">
        <w:rPr>
          <w:color w:val="000000" w:themeColor="text1"/>
          <w:sz w:val="20"/>
          <w:lang w:bidi="fa-IR"/>
        </w:rPr>
        <w:t xml:space="preserve"> are independent variables and return on assets and return on capital are dependent variables. Also, Firm size and financial leverage are control variables. </w:t>
      </w:r>
      <w:r w:rsidRPr="008F648B">
        <w:rPr>
          <w:color w:val="000000" w:themeColor="text1"/>
          <w:sz w:val="20"/>
        </w:rPr>
        <w:t xml:space="preserve">Because the present research results can be used in the decisions of managers, investors, analysts and banking participants, the present research is applied with </w:t>
      </w:r>
      <w:r w:rsidRPr="008F648B">
        <w:rPr>
          <w:color w:val="000000" w:themeColor="text1"/>
          <w:sz w:val="20"/>
        </w:rPr>
        <w:lastRenderedPageBreak/>
        <w:t>regard to the research aim. Also, with regard to the inference method about research hypotheses, the present research is descriptive-</w:t>
      </w:r>
      <w:proofErr w:type="spellStart"/>
      <w:r w:rsidRPr="008F648B">
        <w:rPr>
          <w:color w:val="000000" w:themeColor="text1"/>
          <w:sz w:val="20"/>
        </w:rPr>
        <w:t>correlational</w:t>
      </w:r>
      <w:proofErr w:type="spellEnd"/>
      <w:r w:rsidRPr="008F648B">
        <w:rPr>
          <w:color w:val="000000" w:themeColor="text1"/>
          <w:sz w:val="20"/>
        </w:rPr>
        <w:t xml:space="preserve"> because the regression and correlation techniques will be used to discover relations between research variables.</w:t>
      </w:r>
      <w:r w:rsidR="00DF4D98" w:rsidRPr="008F648B">
        <w:rPr>
          <w:color w:val="000000" w:themeColor="text1"/>
          <w:sz w:val="20"/>
          <w:lang w:bidi="fa-IR"/>
        </w:rPr>
        <w:t xml:space="preserve"> To analyze and test hypotheses</w:t>
      </w:r>
      <w:r w:rsidR="00DF4D98" w:rsidRPr="008F648B">
        <w:rPr>
          <w:color w:val="000000" w:themeColor="text1"/>
          <w:sz w:val="20"/>
        </w:rPr>
        <w:t xml:space="preserve"> </w:t>
      </w:r>
      <w:r w:rsidR="00DF4D98" w:rsidRPr="008F648B">
        <w:rPr>
          <w:color w:val="000000" w:themeColor="text1"/>
          <w:sz w:val="20"/>
          <w:lang w:bidi="fa-IR"/>
        </w:rPr>
        <w:t xml:space="preserve">is used </w:t>
      </w:r>
      <w:proofErr w:type="spellStart"/>
      <w:r w:rsidR="00DF4D98" w:rsidRPr="008F648B">
        <w:rPr>
          <w:color w:val="000000" w:themeColor="text1"/>
          <w:sz w:val="20"/>
          <w:lang w:bidi="fa-IR"/>
        </w:rPr>
        <w:t>Eviews</w:t>
      </w:r>
      <w:proofErr w:type="spellEnd"/>
      <w:r w:rsidR="00DF4D98" w:rsidRPr="008F648B">
        <w:rPr>
          <w:color w:val="000000" w:themeColor="text1"/>
          <w:sz w:val="20"/>
          <w:lang w:bidi="fa-IR"/>
        </w:rPr>
        <w:t xml:space="preserve"> software. In each of the models fitted,</w:t>
      </w:r>
      <w:r w:rsidR="00DF4D98" w:rsidRPr="008F648B">
        <w:rPr>
          <w:color w:val="000000" w:themeColor="text1"/>
          <w:sz w:val="20"/>
        </w:rPr>
        <w:t xml:space="preserve"> </w:t>
      </w:r>
      <w:r w:rsidR="00DF4D98" w:rsidRPr="008F648B">
        <w:rPr>
          <w:color w:val="000000" w:themeColor="text1"/>
          <w:sz w:val="20"/>
          <w:lang w:bidi="fa-IR"/>
        </w:rPr>
        <w:t xml:space="preserve">several tests were also conducted. </w:t>
      </w:r>
    </w:p>
    <w:p w:rsidR="00257BF8" w:rsidRPr="008F648B" w:rsidRDefault="00257BF8" w:rsidP="009677EE">
      <w:pPr>
        <w:bidi w:val="0"/>
        <w:snapToGrid w:val="0"/>
        <w:jc w:val="both"/>
        <w:rPr>
          <w:b/>
          <w:bCs/>
          <w:sz w:val="20"/>
        </w:rPr>
      </w:pPr>
      <w:r w:rsidRPr="008F648B">
        <w:rPr>
          <w:b/>
          <w:bCs/>
          <w:sz w:val="20"/>
        </w:rPr>
        <w:t>Statistical population and sample</w:t>
      </w:r>
    </w:p>
    <w:p w:rsidR="00257BF8" w:rsidRPr="008F648B" w:rsidRDefault="00257BF8" w:rsidP="009677EE">
      <w:pPr>
        <w:pStyle w:val="Subtitle"/>
        <w:bidi w:val="0"/>
        <w:snapToGrid w:val="0"/>
        <w:ind w:firstLine="425"/>
        <w:jc w:val="both"/>
        <w:rPr>
          <w:rFonts w:ascii="Times New Roman" w:hAnsi="Times New Roman" w:cs="Times New Roman"/>
          <w:sz w:val="20"/>
          <w:szCs w:val="24"/>
          <w:lang w:bidi="fa-IR"/>
        </w:rPr>
      </w:pPr>
      <w:r w:rsidRPr="008F648B">
        <w:rPr>
          <w:rFonts w:ascii="Times New Roman" w:hAnsi="Times New Roman" w:cs="Times New Roman"/>
          <w:sz w:val="20"/>
          <w:szCs w:val="24"/>
          <w:lang w:bidi="fa-IR"/>
        </w:rPr>
        <w:t xml:space="preserve">statistical population of present research includes </w:t>
      </w:r>
      <w:r w:rsidRPr="008F648B">
        <w:rPr>
          <w:rFonts w:ascii="Times New Roman" w:hAnsi="Times New Roman" w:cs="Times New Roman"/>
          <w:sz w:val="20"/>
          <w:szCs w:val="24"/>
        </w:rPr>
        <w:t>listed companies in Tehran Stock Exchange</w:t>
      </w:r>
      <w:r w:rsidRPr="008F648B">
        <w:rPr>
          <w:rFonts w:ascii="Times New Roman" w:hAnsi="Times New Roman" w:cs="Times New Roman"/>
          <w:color w:val="000000"/>
          <w:sz w:val="20"/>
          <w:szCs w:val="24"/>
        </w:rPr>
        <w:t xml:space="preserve">. In this study, sample will be selected through the systematic elimination method of the statistical population that are 41 </w:t>
      </w:r>
      <w:r w:rsidRPr="008F648B">
        <w:rPr>
          <w:rFonts w:ascii="Times New Roman" w:hAnsi="Times New Roman" w:cs="Times New Roman"/>
          <w:sz w:val="20"/>
          <w:szCs w:val="24"/>
        </w:rPr>
        <w:t>branches</w:t>
      </w:r>
      <w:r w:rsidRPr="008F648B">
        <w:rPr>
          <w:rFonts w:ascii="Times New Roman" w:hAnsi="Times New Roman" w:cs="Times New Roman"/>
          <w:color w:val="000000"/>
          <w:sz w:val="20"/>
          <w:szCs w:val="24"/>
        </w:rPr>
        <w:t>.</w:t>
      </w:r>
      <w:r w:rsidRPr="008F648B">
        <w:rPr>
          <w:rFonts w:ascii="Times New Roman" w:hAnsi="Times New Roman" w:cs="Times New Roman"/>
          <w:sz w:val="20"/>
          <w:szCs w:val="24"/>
        </w:rPr>
        <w:t xml:space="preserve"> </w:t>
      </w:r>
      <w:r w:rsidRPr="008F648B">
        <w:rPr>
          <w:rFonts w:ascii="Times New Roman" w:hAnsi="Times New Roman" w:cs="Times New Roman"/>
          <w:sz w:val="20"/>
          <w:szCs w:val="24"/>
          <w:lang w:bidi="fa-IR"/>
        </w:rPr>
        <w:t xml:space="preserve">In this research with regard to limited number of population companies, the sample has been based on the population. In this research, selected samples were 77 companies. Data of this research has been collected by using the companies listed </w:t>
      </w:r>
      <w:r w:rsidRPr="008F648B">
        <w:rPr>
          <w:rFonts w:ascii="Times New Roman" w:hAnsi="Times New Roman" w:cs="Times New Roman"/>
          <w:sz w:val="20"/>
          <w:szCs w:val="24"/>
        </w:rPr>
        <w:t xml:space="preserve">in Tehran Stock Exchange </w:t>
      </w:r>
      <w:r w:rsidRPr="008F648B">
        <w:rPr>
          <w:rFonts w:ascii="Times New Roman" w:hAnsi="Times New Roman" w:cs="Times New Roman"/>
          <w:sz w:val="20"/>
          <w:szCs w:val="24"/>
          <w:lang w:bidi="fa-IR"/>
        </w:rPr>
        <w:t>from the beginning of 2009 to the end of 2014. In this research,</w:t>
      </w:r>
      <w:r w:rsidRPr="008F648B">
        <w:rPr>
          <w:rFonts w:ascii="Times New Roman" w:hAnsi="Times New Roman" w:cs="Times New Roman"/>
          <w:sz w:val="20"/>
          <w:szCs w:val="24"/>
        </w:rPr>
        <w:t xml:space="preserve"> </w:t>
      </w:r>
      <w:r w:rsidRPr="008F648B">
        <w:rPr>
          <w:rFonts w:ascii="Times New Roman" w:hAnsi="Times New Roman" w:cs="Times New Roman"/>
          <w:sz w:val="20"/>
          <w:szCs w:val="24"/>
          <w:lang w:bidi="fa-IR"/>
        </w:rPr>
        <w:t>to test the hypothesis</w:t>
      </w:r>
      <w:r w:rsidRPr="008F648B">
        <w:rPr>
          <w:rFonts w:ascii="Times New Roman" w:hAnsi="Times New Roman" w:cs="Times New Roman"/>
          <w:sz w:val="20"/>
          <w:szCs w:val="24"/>
        </w:rPr>
        <w:t xml:space="preserve"> </w:t>
      </w:r>
      <w:r w:rsidRPr="008F648B">
        <w:rPr>
          <w:rFonts w:ascii="Times New Roman" w:hAnsi="Times New Roman" w:cs="Times New Roman"/>
          <w:sz w:val="20"/>
          <w:szCs w:val="24"/>
          <w:lang w:bidi="fa-IR"/>
        </w:rPr>
        <w:t>was used multiple regression analysis with the method of mixed data with the fixed effects.</w:t>
      </w:r>
    </w:p>
    <w:p w:rsidR="00C20290" w:rsidRPr="008F648B" w:rsidRDefault="00445879" w:rsidP="009677EE">
      <w:pPr>
        <w:bidi w:val="0"/>
        <w:snapToGrid w:val="0"/>
        <w:jc w:val="both"/>
        <w:rPr>
          <w:b/>
          <w:bCs/>
          <w:sz w:val="20"/>
        </w:rPr>
      </w:pPr>
      <w:r w:rsidRPr="008F648B">
        <w:rPr>
          <w:b/>
          <w:bCs/>
          <w:sz w:val="20"/>
        </w:rPr>
        <w:t>Research models and variables</w:t>
      </w:r>
    </w:p>
    <w:p w:rsidR="00594459" w:rsidRPr="008F648B" w:rsidRDefault="00594459" w:rsidP="009677EE">
      <w:pPr>
        <w:bidi w:val="0"/>
        <w:snapToGrid w:val="0"/>
        <w:ind w:firstLine="425"/>
        <w:jc w:val="both"/>
        <w:rPr>
          <w:sz w:val="20"/>
          <w:lang w:bidi="fa-IR"/>
        </w:rPr>
      </w:pPr>
      <w:r w:rsidRPr="008F648B">
        <w:rPr>
          <w:b/>
          <w:bCs/>
          <w:sz w:val="20"/>
          <w:lang w:bidi="fa-IR"/>
        </w:rPr>
        <w:lastRenderedPageBreak/>
        <w:t>Main first hypotheses</w:t>
      </w:r>
      <w:r w:rsidRPr="008F648B">
        <w:rPr>
          <w:sz w:val="20"/>
          <w:lang w:bidi="fa-IR"/>
        </w:rPr>
        <w:t xml:space="preserve">: There is a significant relationship between financial variables of working capital and cash holdings and return on assets. </w:t>
      </w:r>
    </w:p>
    <w:p w:rsidR="00594459" w:rsidRPr="008F648B" w:rsidRDefault="00594459" w:rsidP="009677EE">
      <w:pPr>
        <w:bidi w:val="0"/>
        <w:snapToGrid w:val="0"/>
        <w:jc w:val="both"/>
        <w:rPr>
          <w:i/>
          <w:iCs/>
          <w:sz w:val="20"/>
        </w:rPr>
      </w:pPr>
      <w:r w:rsidRPr="008F648B">
        <w:rPr>
          <w:i/>
          <w:iCs/>
          <w:sz w:val="20"/>
        </w:rPr>
        <w:t>ROA = α</w:t>
      </w:r>
      <w:r w:rsidRPr="008F648B">
        <w:rPr>
          <w:i/>
          <w:iCs/>
          <w:sz w:val="20"/>
          <w:vertAlign w:val="subscript"/>
        </w:rPr>
        <w:t>0</w:t>
      </w:r>
      <w:r w:rsidRPr="008F648B">
        <w:rPr>
          <w:i/>
          <w:iCs/>
          <w:sz w:val="20"/>
        </w:rPr>
        <w:t>+β</w:t>
      </w:r>
      <w:r w:rsidRPr="008F648B">
        <w:rPr>
          <w:i/>
          <w:iCs/>
          <w:sz w:val="20"/>
          <w:vertAlign w:val="subscript"/>
        </w:rPr>
        <w:t>1</w:t>
      </w:r>
      <w:r w:rsidRPr="008F648B">
        <w:rPr>
          <w:i/>
          <w:iCs/>
          <w:sz w:val="20"/>
        </w:rPr>
        <w:t xml:space="preserve"> ACP + β</w:t>
      </w:r>
      <w:r w:rsidRPr="008F648B">
        <w:rPr>
          <w:i/>
          <w:iCs/>
          <w:sz w:val="20"/>
          <w:vertAlign w:val="subscript"/>
        </w:rPr>
        <w:t>2</w:t>
      </w:r>
      <w:r w:rsidRPr="008F648B">
        <w:rPr>
          <w:i/>
          <w:iCs/>
          <w:sz w:val="20"/>
        </w:rPr>
        <w:t xml:space="preserve"> ITID + β</w:t>
      </w:r>
      <w:r w:rsidRPr="008F648B">
        <w:rPr>
          <w:i/>
          <w:iCs/>
          <w:sz w:val="20"/>
          <w:vertAlign w:val="subscript"/>
        </w:rPr>
        <w:t>3</w:t>
      </w:r>
      <w:r w:rsidRPr="008F648B">
        <w:rPr>
          <w:i/>
          <w:iCs/>
          <w:sz w:val="20"/>
        </w:rPr>
        <w:t xml:space="preserve"> APP + β</w:t>
      </w:r>
      <w:r w:rsidRPr="008F648B">
        <w:rPr>
          <w:i/>
          <w:iCs/>
          <w:sz w:val="20"/>
          <w:vertAlign w:val="subscript"/>
        </w:rPr>
        <w:t>4</w:t>
      </w:r>
      <w:r w:rsidRPr="008F648B">
        <w:rPr>
          <w:i/>
          <w:iCs/>
          <w:sz w:val="20"/>
        </w:rPr>
        <w:t xml:space="preserve"> FCF+ β</w:t>
      </w:r>
      <w:r w:rsidRPr="008F648B">
        <w:rPr>
          <w:i/>
          <w:iCs/>
          <w:sz w:val="20"/>
          <w:vertAlign w:val="subscript"/>
        </w:rPr>
        <w:t>5</w:t>
      </w:r>
      <w:r w:rsidRPr="008F648B">
        <w:rPr>
          <w:i/>
          <w:iCs/>
          <w:sz w:val="20"/>
        </w:rPr>
        <w:t xml:space="preserve"> Size + β</w:t>
      </w:r>
      <w:r w:rsidRPr="008F648B">
        <w:rPr>
          <w:i/>
          <w:iCs/>
          <w:sz w:val="20"/>
          <w:vertAlign w:val="subscript"/>
        </w:rPr>
        <w:t>6</w:t>
      </w:r>
      <w:r w:rsidRPr="008F648B">
        <w:rPr>
          <w:i/>
          <w:iCs/>
          <w:sz w:val="20"/>
        </w:rPr>
        <w:t xml:space="preserve"> FL + Ԑ</w:t>
      </w:r>
    </w:p>
    <w:p w:rsidR="00594459" w:rsidRPr="008F648B" w:rsidRDefault="00594459" w:rsidP="009677EE">
      <w:pPr>
        <w:bidi w:val="0"/>
        <w:snapToGrid w:val="0"/>
        <w:ind w:firstLine="425"/>
        <w:jc w:val="both"/>
        <w:rPr>
          <w:sz w:val="20"/>
          <w:lang w:bidi="fa-IR"/>
        </w:rPr>
      </w:pPr>
      <w:r w:rsidRPr="008F648B">
        <w:rPr>
          <w:b/>
          <w:bCs/>
          <w:sz w:val="20"/>
          <w:lang w:bidi="fa-IR"/>
        </w:rPr>
        <w:t>Main second hypotheses</w:t>
      </w:r>
      <w:r w:rsidRPr="008F648B">
        <w:rPr>
          <w:sz w:val="20"/>
          <w:lang w:bidi="fa-IR"/>
        </w:rPr>
        <w:t xml:space="preserve">: There is a significant relationship between financial variables of working capital and cash holdings and return on capital. </w:t>
      </w:r>
    </w:p>
    <w:p w:rsidR="00594459" w:rsidRPr="008F648B" w:rsidRDefault="00594459" w:rsidP="009677EE">
      <w:pPr>
        <w:bidi w:val="0"/>
        <w:snapToGrid w:val="0"/>
        <w:jc w:val="both"/>
        <w:rPr>
          <w:i/>
          <w:iCs/>
          <w:sz w:val="20"/>
        </w:rPr>
      </w:pPr>
      <w:r w:rsidRPr="008F648B">
        <w:rPr>
          <w:i/>
          <w:iCs/>
          <w:sz w:val="20"/>
        </w:rPr>
        <w:t>ROE = α</w:t>
      </w:r>
      <w:r w:rsidRPr="008F648B">
        <w:rPr>
          <w:i/>
          <w:iCs/>
          <w:sz w:val="20"/>
          <w:vertAlign w:val="subscript"/>
        </w:rPr>
        <w:t>0</w:t>
      </w:r>
      <w:r w:rsidRPr="008F648B">
        <w:rPr>
          <w:i/>
          <w:iCs/>
          <w:sz w:val="20"/>
        </w:rPr>
        <w:t>+β</w:t>
      </w:r>
      <w:r w:rsidRPr="008F648B">
        <w:rPr>
          <w:i/>
          <w:iCs/>
          <w:sz w:val="20"/>
          <w:vertAlign w:val="subscript"/>
        </w:rPr>
        <w:t>1</w:t>
      </w:r>
      <w:r w:rsidRPr="008F648B">
        <w:rPr>
          <w:i/>
          <w:iCs/>
          <w:sz w:val="20"/>
        </w:rPr>
        <w:t xml:space="preserve"> ACP + β</w:t>
      </w:r>
      <w:r w:rsidRPr="008F648B">
        <w:rPr>
          <w:i/>
          <w:iCs/>
          <w:sz w:val="20"/>
          <w:vertAlign w:val="subscript"/>
        </w:rPr>
        <w:t>2</w:t>
      </w:r>
      <w:r w:rsidRPr="008F648B">
        <w:rPr>
          <w:i/>
          <w:iCs/>
          <w:sz w:val="20"/>
        </w:rPr>
        <w:t xml:space="preserve"> ITID + β</w:t>
      </w:r>
      <w:r w:rsidRPr="008F648B">
        <w:rPr>
          <w:i/>
          <w:iCs/>
          <w:sz w:val="20"/>
          <w:vertAlign w:val="subscript"/>
        </w:rPr>
        <w:t>3</w:t>
      </w:r>
      <w:r w:rsidRPr="008F648B">
        <w:rPr>
          <w:i/>
          <w:iCs/>
          <w:sz w:val="20"/>
        </w:rPr>
        <w:t xml:space="preserve"> APP + β</w:t>
      </w:r>
      <w:r w:rsidRPr="008F648B">
        <w:rPr>
          <w:i/>
          <w:iCs/>
          <w:sz w:val="20"/>
          <w:vertAlign w:val="subscript"/>
        </w:rPr>
        <w:t>4</w:t>
      </w:r>
      <w:r w:rsidRPr="008F648B">
        <w:rPr>
          <w:i/>
          <w:iCs/>
          <w:sz w:val="20"/>
        </w:rPr>
        <w:t xml:space="preserve"> FCF+ β</w:t>
      </w:r>
      <w:r w:rsidRPr="008F648B">
        <w:rPr>
          <w:i/>
          <w:iCs/>
          <w:sz w:val="20"/>
          <w:vertAlign w:val="subscript"/>
        </w:rPr>
        <w:t>5</w:t>
      </w:r>
      <w:r w:rsidRPr="008F648B">
        <w:rPr>
          <w:i/>
          <w:iCs/>
          <w:sz w:val="20"/>
        </w:rPr>
        <w:t xml:space="preserve"> Size + β</w:t>
      </w:r>
      <w:r w:rsidRPr="008F648B">
        <w:rPr>
          <w:i/>
          <w:iCs/>
          <w:sz w:val="20"/>
          <w:vertAlign w:val="subscript"/>
        </w:rPr>
        <w:t>6</w:t>
      </w:r>
      <w:r w:rsidRPr="008F648B">
        <w:rPr>
          <w:i/>
          <w:iCs/>
          <w:sz w:val="20"/>
        </w:rPr>
        <w:t xml:space="preserve"> FL + Ԑ</w:t>
      </w:r>
    </w:p>
    <w:p w:rsidR="00594459" w:rsidRPr="008F648B" w:rsidRDefault="00FC0FA5" w:rsidP="009677EE">
      <w:pPr>
        <w:bidi w:val="0"/>
        <w:snapToGrid w:val="0"/>
        <w:ind w:firstLine="425"/>
        <w:jc w:val="both"/>
        <w:rPr>
          <w:color w:val="000000" w:themeColor="text1"/>
          <w:sz w:val="20"/>
        </w:rPr>
      </w:pPr>
      <w:r w:rsidRPr="008F648B">
        <w:rPr>
          <w:color w:val="000000" w:themeColor="text1"/>
          <w:sz w:val="20"/>
        </w:rPr>
        <w:t>In which:</w:t>
      </w:r>
    </w:p>
    <w:p w:rsidR="00FC0FA5" w:rsidRPr="008F648B" w:rsidRDefault="002718D3" w:rsidP="009677EE">
      <w:pPr>
        <w:bidi w:val="0"/>
        <w:snapToGrid w:val="0"/>
        <w:ind w:firstLine="425"/>
        <w:jc w:val="both"/>
        <w:rPr>
          <w:color w:val="000000" w:themeColor="text1"/>
          <w:sz w:val="20"/>
        </w:rPr>
      </w:pPr>
      <w:r w:rsidRPr="008F648B">
        <w:rPr>
          <w:color w:val="000000" w:themeColor="text1"/>
          <w:sz w:val="20"/>
        </w:rPr>
        <w:t>ROA:</w:t>
      </w:r>
      <w:r w:rsidRPr="008F648B">
        <w:rPr>
          <w:color w:val="000000" w:themeColor="text1"/>
          <w:sz w:val="20"/>
          <w:lang w:bidi="fa-IR"/>
        </w:rPr>
        <w:t xml:space="preserve"> return on assets</w:t>
      </w:r>
    </w:p>
    <w:p w:rsidR="002718D3" w:rsidRPr="008F648B" w:rsidRDefault="002718D3" w:rsidP="009677EE">
      <w:pPr>
        <w:bidi w:val="0"/>
        <w:snapToGrid w:val="0"/>
        <w:ind w:firstLine="425"/>
        <w:jc w:val="both"/>
        <w:rPr>
          <w:color w:val="000000" w:themeColor="text1"/>
          <w:sz w:val="20"/>
        </w:rPr>
      </w:pPr>
      <w:r w:rsidRPr="008F648B">
        <w:rPr>
          <w:color w:val="000000" w:themeColor="text1"/>
          <w:sz w:val="20"/>
        </w:rPr>
        <w:t>ROE:</w:t>
      </w:r>
      <w:r w:rsidRPr="008F648B">
        <w:rPr>
          <w:color w:val="000000" w:themeColor="text1"/>
          <w:sz w:val="20"/>
          <w:lang w:bidi="fa-IR"/>
        </w:rPr>
        <w:t xml:space="preserve"> return on capital</w:t>
      </w:r>
    </w:p>
    <w:p w:rsidR="002718D3" w:rsidRPr="008F648B" w:rsidRDefault="002718D3" w:rsidP="009677EE">
      <w:pPr>
        <w:bidi w:val="0"/>
        <w:snapToGrid w:val="0"/>
        <w:ind w:firstLine="425"/>
        <w:jc w:val="both"/>
        <w:rPr>
          <w:rFonts w:eastAsiaTheme="minorEastAsia"/>
          <w:color w:val="000000" w:themeColor="text1"/>
          <w:sz w:val="20"/>
          <w:lang w:eastAsia="zh-CN"/>
        </w:rPr>
      </w:pPr>
      <w:r w:rsidRPr="008F648B">
        <w:rPr>
          <w:color w:val="000000" w:themeColor="text1"/>
          <w:sz w:val="20"/>
        </w:rPr>
        <w:t>ACP: average of collection period</w:t>
      </w:r>
    </w:p>
    <w:p w:rsidR="002718D3" w:rsidRPr="008F648B" w:rsidRDefault="002718D3" w:rsidP="009677EE">
      <w:pPr>
        <w:bidi w:val="0"/>
        <w:snapToGrid w:val="0"/>
        <w:ind w:firstLine="425"/>
        <w:jc w:val="both"/>
        <w:rPr>
          <w:rStyle w:val="Emphasis"/>
          <w:i w:val="0"/>
          <w:iCs w:val="0"/>
          <w:color w:val="000000" w:themeColor="text1"/>
          <w:sz w:val="20"/>
          <w:shd w:val="clear" w:color="auto" w:fill="FFFFFF"/>
        </w:rPr>
      </w:pPr>
      <w:r w:rsidRPr="008F648B">
        <w:rPr>
          <w:color w:val="000000" w:themeColor="text1"/>
          <w:sz w:val="20"/>
        </w:rPr>
        <w:t xml:space="preserve">ITID: </w:t>
      </w:r>
      <w:r w:rsidRPr="008F648B">
        <w:rPr>
          <w:rStyle w:val="Emphasis"/>
          <w:i w:val="0"/>
          <w:iCs w:val="0"/>
          <w:color w:val="000000" w:themeColor="text1"/>
          <w:sz w:val="20"/>
          <w:shd w:val="clear" w:color="auto" w:fill="FFFFFF"/>
        </w:rPr>
        <w:t>Average of inventory turnover duration</w:t>
      </w:r>
    </w:p>
    <w:p w:rsidR="002718D3" w:rsidRPr="008F648B" w:rsidRDefault="002718D3" w:rsidP="009677EE">
      <w:pPr>
        <w:bidi w:val="0"/>
        <w:snapToGrid w:val="0"/>
        <w:ind w:firstLine="425"/>
        <w:jc w:val="both"/>
        <w:rPr>
          <w:color w:val="000000" w:themeColor="text1"/>
          <w:sz w:val="20"/>
        </w:rPr>
      </w:pPr>
      <w:r w:rsidRPr="008F648B">
        <w:rPr>
          <w:color w:val="000000" w:themeColor="text1"/>
          <w:sz w:val="20"/>
        </w:rPr>
        <w:t xml:space="preserve">APP: </w:t>
      </w:r>
      <w:r w:rsidRPr="008F648B">
        <w:rPr>
          <w:rStyle w:val="Emphasis"/>
          <w:i w:val="0"/>
          <w:iCs w:val="0"/>
          <w:color w:val="000000" w:themeColor="text1"/>
          <w:sz w:val="20"/>
          <w:shd w:val="clear" w:color="auto" w:fill="FFFFFF"/>
        </w:rPr>
        <w:t>Average of</w:t>
      </w:r>
      <w:r w:rsidRPr="008F648B">
        <w:rPr>
          <w:color w:val="000000" w:themeColor="text1"/>
          <w:sz w:val="20"/>
        </w:rPr>
        <w:t xml:space="preserve"> debt payment period</w:t>
      </w:r>
    </w:p>
    <w:p w:rsidR="002718D3" w:rsidRPr="008F648B" w:rsidRDefault="002718D3" w:rsidP="009677EE">
      <w:pPr>
        <w:bidi w:val="0"/>
        <w:snapToGrid w:val="0"/>
        <w:ind w:firstLine="425"/>
        <w:jc w:val="both"/>
        <w:rPr>
          <w:color w:val="000000" w:themeColor="text1"/>
          <w:sz w:val="20"/>
        </w:rPr>
      </w:pPr>
      <w:r w:rsidRPr="008F648B">
        <w:rPr>
          <w:color w:val="000000" w:themeColor="text1"/>
          <w:sz w:val="20"/>
        </w:rPr>
        <w:t>FCF:</w:t>
      </w:r>
      <w:r w:rsidRPr="008F648B">
        <w:rPr>
          <w:sz w:val="20"/>
        </w:rPr>
        <w:t xml:space="preserve"> </w:t>
      </w:r>
      <w:r w:rsidRPr="008F648B">
        <w:rPr>
          <w:color w:val="000000" w:themeColor="text1"/>
          <w:sz w:val="20"/>
        </w:rPr>
        <w:t>Free cash flow of the firm</w:t>
      </w:r>
    </w:p>
    <w:p w:rsidR="002718D3" w:rsidRPr="008F648B" w:rsidRDefault="002718D3" w:rsidP="009677EE">
      <w:pPr>
        <w:bidi w:val="0"/>
        <w:snapToGrid w:val="0"/>
        <w:ind w:firstLine="425"/>
        <w:jc w:val="both"/>
        <w:rPr>
          <w:color w:val="000000" w:themeColor="text1"/>
          <w:sz w:val="20"/>
        </w:rPr>
      </w:pPr>
      <w:r w:rsidRPr="008F648B">
        <w:rPr>
          <w:color w:val="000000" w:themeColor="text1"/>
          <w:sz w:val="20"/>
        </w:rPr>
        <w:t>Size: firm size</w:t>
      </w:r>
    </w:p>
    <w:p w:rsidR="00FC0FA5" w:rsidRPr="008F648B" w:rsidRDefault="002718D3" w:rsidP="009677EE">
      <w:pPr>
        <w:bidi w:val="0"/>
        <w:snapToGrid w:val="0"/>
        <w:ind w:firstLine="425"/>
        <w:jc w:val="both"/>
        <w:rPr>
          <w:color w:val="000000" w:themeColor="text1"/>
          <w:sz w:val="20"/>
        </w:rPr>
      </w:pPr>
      <w:r w:rsidRPr="008F648B">
        <w:rPr>
          <w:color w:val="000000" w:themeColor="text1"/>
          <w:sz w:val="20"/>
        </w:rPr>
        <w:t>FL: financial leverage</w:t>
      </w:r>
    </w:p>
    <w:p w:rsidR="001D7830" w:rsidRPr="008F648B" w:rsidRDefault="001D7830" w:rsidP="009677EE">
      <w:pPr>
        <w:bidi w:val="0"/>
        <w:snapToGrid w:val="0"/>
        <w:jc w:val="both"/>
        <w:rPr>
          <w:b/>
          <w:bCs/>
          <w:color w:val="000000" w:themeColor="text1"/>
          <w:sz w:val="20"/>
        </w:rPr>
      </w:pPr>
      <w:r w:rsidRPr="008F648B">
        <w:rPr>
          <w:b/>
          <w:bCs/>
          <w:color w:val="000000" w:themeColor="text1"/>
          <w:sz w:val="20"/>
        </w:rPr>
        <w:t>Research findings:</w:t>
      </w:r>
    </w:p>
    <w:p w:rsidR="001D7830" w:rsidRPr="008F648B" w:rsidRDefault="001D7830" w:rsidP="009677EE">
      <w:pPr>
        <w:bidi w:val="0"/>
        <w:snapToGrid w:val="0"/>
        <w:jc w:val="both"/>
        <w:rPr>
          <w:b/>
          <w:bCs/>
          <w:color w:val="000000" w:themeColor="text1"/>
          <w:sz w:val="20"/>
        </w:rPr>
      </w:pPr>
      <w:r w:rsidRPr="008F648B">
        <w:rPr>
          <w:b/>
          <w:bCs/>
          <w:color w:val="000000" w:themeColor="text1"/>
          <w:sz w:val="20"/>
        </w:rPr>
        <w:t>Descriptive statistics:</w:t>
      </w:r>
    </w:p>
    <w:p w:rsidR="001D7830" w:rsidRPr="008F648B" w:rsidRDefault="00DC2062" w:rsidP="009677EE">
      <w:pPr>
        <w:pStyle w:val="Subtitle"/>
        <w:bidi w:val="0"/>
        <w:snapToGrid w:val="0"/>
        <w:ind w:firstLine="425"/>
        <w:jc w:val="both"/>
        <w:rPr>
          <w:rFonts w:ascii="Times New Roman" w:hAnsi="Times New Roman" w:cs="Times New Roman"/>
          <w:sz w:val="20"/>
          <w:szCs w:val="24"/>
          <w:lang w:bidi="fa-IR"/>
        </w:rPr>
      </w:pPr>
      <w:r w:rsidRPr="008F648B">
        <w:rPr>
          <w:rFonts w:ascii="Times New Roman" w:hAnsi="Times New Roman" w:cs="Times New Roman"/>
          <w:sz w:val="20"/>
          <w:szCs w:val="24"/>
          <w:lang w:bidi="fa-IR"/>
        </w:rPr>
        <w:t xml:space="preserve">In table 1 has been mentioned Mean, Median (central criteria), standard deviation, maximum and minimum (dispersion parameters). </w:t>
      </w:r>
    </w:p>
    <w:p w:rsidR="00A10DB7" w:rsidRPr="008F648B" w:rsidRDefault="00A10DB7" w:rsidP="009677EE">
      <w:pPr>
        <w:autoSpaceDE w:val="0"/>
        <w:autoSpaceDN w:val="0"/>
        <w:bidi w:val="0"/>
        <w:adjustRightInd w:val="0"/>
        <w:snapToGrid w:val="0"/>
        <w:jc w:val="both"/>
        <w:rPr>
          <w:b/>
          <w:bCs/>
          <w:sz w:val="20"/>
        </w:rPr>
        <w:sectPr w:rsidR="00A10DB7" w:rsidRPr="008F648B" w:rsidSect="009677EE">
          <w:type w:val="continuous"/>
          <w:pgSz w:w="12242" w:h="15842" w:code="1"/>
          <w:pgMar w:top="1440" w:right="1440" w:bottom="1440" w:left="1440" w:header="720" w:footer="720" w:gutter="0"/>
          <w:cols w:num="2" w:space="600"/>
          <w:docGrid w:linePitch="360"/>
        </w:sectPr>
      </w:pPr>
    </w:p>
    <w:p w:rsidR="009677EE" w:rsidRDefault="009677EE" w:rsidP="009677EE">
      <w:pPr>
        <w:bidi w:val="0"/>
        <w:snapToGrid w:val="0"/>
        <w:rPr>
          <w:rFonts w:eastAsiaTheme="minorEastAsia"/>
          <w:sz w:val="20"/>
          <w:lang w:eastAsia="zh-CN"/>
        </w:rPr>
      </w:pPr>
    </w:p>
    <w:p w:rsidR="009677EE" w:rsidRPr="008F648B" w:rsidRDefault="009677EE" w:rsidP="009677EE">
      <w:pPr>
        <w:bidi w:val="0"/>
        <w:snapToGrid w:val="0"/>
        <w:jc w:val="center"/>
        <w:rPr>
          <w:sz w:val="20"/>
          <w:szCs w:val="20"/>
        </w:rPr>
      </w:pPr>
      <w:r w:rsidRPr="008F648B">
        <w:rPr>
          <w:sz w:val="20"/>
          <w:szCs w:val="20"/>
        </w:rPr>
        <w:t>Table 1: Descriptive statistics of studied variables</w:t>
      </w:r>
    </w:p>
    <w:tbl>
      <w:tblPr>
        <w:tblStyle w:val="TableGrid"/>
        <w:bidiVisual/>
        <w:tblW w:w="5000" w:type="pct"/>
        <w:jc w:val="center"/>
        <w:tblCellMar>
          <w:left w:w="57" w:type="dxa"/>
          <w:right w:w="57" w:type="dxa"/>
        </w:tblCellMar>
        <w:tblLook w:val="04A0"/>
      </w:tblPr>
      <w:tblGrid>
        <w:gridCol w:w="1052"/>
        <w:gridCol w:w="1177"/>
        <w:gridCol w:w="1425"/>
        <w:gridCol w:w="1355"/>
        <w:gridCol w:w="1239"/>
        <w:gridCol w:w="3228"/>
      </w:tblGrid>
      <w:tr w:rsidR="008F648B" w:rsidRPr="008F648B" w:rsidTr="009677EE">
        <w:trPr>
          <w:jc w:val="center"/>
        </w:trPr>
        <w:tc>
          <w:tcPr>
            <w:tcW w:w="555" w:type="pct"/>
            <w:vAlign w:val="center"/>
          </w:tcPr>
          <w:p w:rsidR="00027BFF" w:rsidRPr="008F648B" w:rsidRDefault="00027BFF" w:rsidP="009677EE">
            <w:pPr>
              <w:autoSpaceDE w:val="0"/>
              <w:autoSpaceDN w:val="0"/>
              <w:bidi w:val="0"/>
              <w:adjustRightInd w:val="0"/>
              <w:snapToGrid w:val="0"/>
              <w:jc w:val="both"/>
              <w:rPr>
                <w:b/>
                <w:bCs/>
                <w:sz w:val="20"/>
                <w:szCs w:val="20"/>
              </w:rPr>
            </w:pPr>
            <w:r w:rsidRPr="008F648B">
              <w:rPr>
                <w:b/>
                <w:bCs/>
                <w:sz w:val="20"/>
                <w:szCs w:val="20"/>
              </w:rPr>
              <w:t>SD</w:t>
            </w:r>
          </w:p>
        </w:tc>
        <w:tc>
          <w:tcPr>
            <w:tcW w:w="621" w:type="pct"/>
            <w:vAlign w:val="center"/>
          </w:tcPr>
          <w:p w:rsidR="00027BFF" w:rsidRPr="008F648B" w:rsidRDefault="00027BFF" w:rsidP="009677EE">
            <w:pPr>
              <w:autoSpaceDE w:val="0"/>
              <w:autoSpaceDN w:val="0"/>
              <w:bidi w:val="0"/>
              <w:adjustRightInd w:val="0"/>
              <w:snapToGrid w:val="0"/>
              <w:jc w:val="both"/>
              <w:rPr>
                <w:b/>
                <w:bCs/>
                <w:sz w:val="20"/>
                <w:szCs w:val="20"/>
              </w:rPr>
            </w:pPr>
            <w:r w:rsidRPr="008F648B">
              <w:rPr>
                <w:b/>
                <w:bCs/>
                <w:sz w:val="20"/>
                <w:szCs w:val="20"/>
              </w:rPr>
              <w:t>Min</w:t>
            </w:r>
          </w:p>
        </w:tc>
        <w:tc>
          <w:tcPr>
            <w:tcW w:w="752" w:type="pct"/>
            <w:vAlign w:val="center"/>
          </w:tcPr>
          <w:p w:rsidR="00027BFF" w:rsidRPr="008F648B" w:rsidRDefault="00027BFF" w:rsidP="009677EE">
            <w:pPr>
              <w:autoSpaceDE w:val="0"/>
              <w:autoSpaceDN w:val="0"/>
              <w:bidi w:val="0"/>
              <w:adjustRightInd w:val="0"/>
              <w:snapToGrid w:val="0"/>
              <w:jc w:val="both"/>
              <w:rPr>
                <w:b/>
                <w:bCs/>
                <w:sz w:val="20"/>
                <w:szCs w:val="20"/>
              </w:rPr>
            </w:pPr>
            <w:r w:rsidRPr="008F648B">
              <w:rPr>
                <w:b/>
                <w:bCs/>
                <w:sz w:val="20"/>
                <w:szCs w:val="20"/>
              </w:rPr>
              <w:t xml:space="preserve">Max </w:t>
            </w:r>
          </w:p>
        </w:tc>
        <w:tc>
          <w:tcPr>
            <w:tcW w:w="715" w:type="pct"/>
            <w:vAlign w:val="center"/>
          </w:tcPr>
          <w:p w:rsidR="00027BFF" w:rsidRPr="008F648B" w:rsidRDefault="00027BFF" w:rsidP="009677EE">
            <w:pPr>
              <w:autoSpaceDE w:val="0"/>
              <w:autoSpaceDN w:val="0"/>
              <w:bidi w:val="0"/>
              <w:adjustRightInd w:val="0"/>
              <w:snapToGrid w:val="0"/>
              <w:jc w:val="both"/>
              <w:rPr>
                <w:b/>
                <w:bCs/>
                <w:sz w:val="20"/>
                <w:szCs w:val="20"/>
              </w:rPr>
            </w:pPr>
            <w:r w:rsidRPr="008F648B">
              <w:rPr>
                <w:b/>
                <w:bCs/>
                <w:sz w:val="20"/>
                <w:szCs w:val="20"/>
              </w:rPr>
              <w:t xml:space="preserve">Middle </w:t>
            </w:r>
          </w:p>
        </w:tc>
        <w:tc>
          <w:tcPr>
            <w:tcW w:w="654" w:type="pct"/>
            <w:vAlign w:val="center"/>
          </w:tcPr>
          <w:p w:rsidR="00027BFF" w:rsidRPr="008F648B" w:rsidRDefault="00027BFF" w:rsidP="009677EE">
            <w:pPr>
              <w:autoSpaceDE w:val="0"/>
              <w:autoSpaceDN w:val="0"/>
              <w:bidi w:val="0"/>
              <w:adjustRightInd w:val="0"/>
              <w:snapToGrid w:val="0"/>
              <w:jc w:val="both"/>
              <w:rPr>
                <w:b/>
                <w:bCs/>
                <w:sz w:val="20"/>
                <w:szCs w:val="20"/>
              </w:rPr>
            </w:pPr>
            <w:r w:rsidRPr="008F648B">
              <w:rPr>
                <w:b/>
                <w:bCs/>
                <w:sz w:val="20"/>
                <w:szCs w:val="20"/>
              </w:rPr>
              <w:t xml:space="preserve">Mean </w:t>
            </w:r>
          </w:p>
        </w:tc>
        <w:tc>
          <w:tcPr>
            <w:tcW w:w="1703" w:type="pct"/>
            <w:vAlign w:val="center"/>
          </w:tcPr>
          <w:p w:rsidR="00027BFF" w:rsidRPr="008F648B" w:rsidRDefault="00027BFF" w:rsidP="009677EE">
            <w:pPr>
              <w:autoSpaceDE w:val="0"/>
              <w:autoSpaceDN w:val="0"/>
              <w:bidi w:val="0"/>
              <w:adjustRightInd w:val="0"/>
              <w:snapToGrid w:val="0"/>
              <w:jc w:val="both"/>
              <w:rPr>
                <w:b/>
                <w:bCs/>
                <w:sz w:val="20"/>
                <w:szCs w:val="20"/>
              </w:rPr>
            </w:pPr>
            <w:r w:rsidRPr="008F648B">
              <w:rPr>
                <w:b/>
                <w:bCs/>
                <w:sz w:val="20"/>
                <w:szCs w:val="20"/>
              </w:rPr>
              <w:t>Research variables</w:t>
            </w:r>
          </w:p>
        </w:tc>
      </w:tr>
      <w:tr w:rsidR="008F648B" w:rsidRPr="008F648B" w:rsidTr="009677EE">
        <w:trPr>
          <w:jc w:val="center"/>
        </w:trPr>
        <w:tc>
          <w:tcPr>
            <w:tcW w:w="555" w:type="pct"/>
            <w:vAlign w:val="center"/>
          </w:tcPr>
          <w:p w:rsidR="00027BFF" w:rsidRPr="008F648B" w:rsidRDefault="00027BFF" w:rsidP="009677EE">
            <w:pPr>
              <w:autoSpaceDE w:val="0"/>
              <w:autoSpaceDN w:val="0"/>
              <w:bidi w:val="0"/>
              <w:adjustRightInd w:val="0"/>
              <w:snapToGrid w:val="0"/>
              <w:jc w:val="both"/>
              <w:rPr>
                <w:sz w:val="20"/>
                <w:szCs w:val="20"/>
              </w:rPr>
            </w:pPr>
            <w:r w:rsidRPr="008F648B">
              <w:rPr>
                <w:sz w:val="20"/>
                <w:szCs w:val="20"/>
              </w:rPr>
              <w:t>4.19</w:t>
            </w:r>
          </w:p>
        </w:tc>
        <w:tc>
          <w:tcPr>
            <w:tcW w:w="621" w:type="pct"/>
            <w:vAlign w:val="center"/>
          </w:tcPr>
          <w:p w:rsidR="00027BFF" w:rsidRPr="008F648B" w:rsidRDefault="00027BFF" w:rsidP="009677EE">
            <w:pPr>
              <w:autoSpaceDE w:val="0"/>
              <w:autoSpaceDN w:val="0"/>
              <w:bidi w:val="0"/>
              <w:adjustRightInd w:val="0"/>
              <w:snapToGrid w:val="0"/>
              <w:jc w:val="both"/>
              <w:rPr>
                <w:sz w:val="20"/>
                <w:szCs w:val="20"/>
              </w:rPr>
            </w:pPr>
            <w:r w:rsidRPr="008F648B">
              <w:rPr>
                <w:sz w:val="20"/>
                <w:szCs w:val="20"/>
              </w:rPr>
              <w:t>-21.47</w:t>
            </w:r>
          </w:p>
        </w:tc>
        <w:tc>
          <w:tcPr>
            <w:tcW w:w="752" w:type="pct"/>
            <w:vAlign w:val="center"/>
          </w:tcPr>
          <w:p w:rsidR="00027BFF" w:rsidRPr="008F648B" w:rsidRDefault="00027BFF" w:rsidP="009677EE">
            <w:pPr>
              <w:autoSpaceDE w:val="0"/>
              <w:autoSpaceDN w:val="0"/>
              <w:bidi w:val="0"/>
              <w:adjustRightInd w:val="0"/>
              <w:snapToGrid w:val="0"/>
              <w:jc w:val="both"/>
              <w:rPr>
                <w:sz w:val="20"/>
                <w:szCs w:val="20"/>
              </w:rPr>
            </w:pPr>
            <w:r w:rsidRPr="008F648B">
              <w:rPr>
                <w:sz w:val="20"/>
                <w:szCs w:val="20"/>
              </w:rPr>
              <w:t>67.74</w:t>
            </w:r>
          </w:p>
        </w:tc>
        <w:tc>
          <w:tcPr>
            <w:tcW w:w="715" w:type="pct"/>
            <w:vAlign w:val="center"/>
          </w:tcPr>
          <w:p w:rsidR="00027BFF" w:rsidRPr="008F648B" w:rsidRDefault="00027BFF" w:rsidP="009677EE">
            <w:pPr>
              <w:autoSpaceDE w:val="0"/>
              <w:autoSpaceDN w:val="0"/>
              <w:bidi w:val="0"/>
              <w:adjustRightInd w:val="0"/>
              <w:snapToGrid w:val="0"/>
              <w:jc w:val="both"/>
              <w:rPr>
                <w:sz w:val="20"/>
                <w:szCs w:val="20"/>
              </w:rPr>
            </w:pPr>
            <w:r w:rsidRPr="008F648B">
              <w:rPr>
                <w:sz w:val="20"/>
                <w:szCs w:val="20"/>
              </w:rPr>
              <w:t>0.06</w:t>
            </w:r>
          </w:p>
        </w:tc>
        <w:tc>
          <w:tcPr>
            <w:tcW w:w="654" w:type="pct"/>
            <w:vAlign w:val="center"/>
          </w:tcPr>
          <w:p w:rsidR="00027BFF" w:rsidRPr="008F648B" w:rsidRDefault="00027BFF" w:rsidP="009677EE">
            <w:pPr>
              <w:autoSpaceDE w:val="0"/>
              <w:autoSpaceDN w:val="0"/>
              <w:bidi w:val="0"/>
              <w:adjustRightInd w:val="0"/>
              <w:snapToGrid w:val="0"/>
              <w:jc w:val="both"/>
              <w:rPr>
                <w:sz w:val="20"/>
                <w:szCs w:val="20"/>
              </w:rPr>
            </w:pPr>
            <w:r w:rsidRPr="008F648B">
              <w:rPr>
                <w:sz w:val="20"/>
                <w:szCs w:val="20"/>
              </w:rPr>
              <w:t>0.61</w:t>
            </w:r>
          </w:p>
        </w:tc>
        <w:tc>
          <w:tcPr>
            <w:tcW w:w="1703" w:type="pct"/>
            <w:vAlign w:val="center"/>
          </w:tcPr>
          <w:p w:rsidR="00027BFF" w:rsidRPr="008F648B" w:rsidRDefault="00027BFF" w:rsidP="009677EE">
            <w:pPr>
              <w:autoSpaceDE w:val="0"/>
              <w:autoSpaceDN w:val="0"/>
              <w:bidi w:val="0"/>
              <w:adjustRightInd w:val="0"/>
              <w:snapToGrid w:val="0"/>
              <w:jc w:val="both"/>
              <w:rPr>
                <w:sz w:val="20"/>
                <w:szCs w:val="20"/>
              </w:rPr>
            </w:pPr>
            <w:r w:rsidRPr="008F648B">
              <w:rPr>
                <w:color w:val="000000" w:themeColor="text1"/>
                <w:sz w:val="20"/>
                <w:szCs w:val="20"/>
              </w:rPr>
              <w:t>ROA</w:t>
            </w:r>
          </w:p>
        </w:tc>
      </w:tr>
      <w:tr w:rsidR="008F648B" w:rsidRPr="008F648B" w:rsidTr="009677EE">
        <w:trPr>
          <w:jc w:val="center"/>
        </w:trPr>
        <w:tc>
          <w:tcPr>
            <w:tcW w:w="555" w:type="pct"/>
            <w:vAlign w:val="center"/>
          </w:tcPr>
          <w:p w:rsidR="00027BFF" w:rsidRPr="008F648B" w:rsidRDefault="00027BFF" w:rsidP="009677EE">
            <w:pPr>
              <w:autoSpaceDE w:val="0"/>
              <w:autoSpaceDN w:val="0"/>
              <w:bidi w:val="0"/>
              <w:adjustRightInd w:val="0"/>
              <w:snapToGrid w:val="0"/>
              <w:jc w:val="both"/>
              <w:rPr>
                <w:sz w:val="20"/>
                <w:szCs w:val="20"/>
              </w:rPr>
            </w:pPr>
            <w:r w:rsidRPr="008F648B">
              <w:rPr>
                <w:sz w:val="20"/>
                <w:szCs w:val="20"/>
              </w:rPr>
              <w:t>1.22</w:t>
            </w:r>
          </w:p>
        </w:tc>
        <w:tc>
          <w:tcPr>
            <w:tcW w:w="621" w:type="pct"/>
            <w:vAlign w:val="center"/>
          </w:tcPr>
          <w:p w:rsidR="00027BFF" w:rsidRPr="008F648B" w:rsidRDefault="00027BFF" w:rsidP="009677EE">
            <w:pPr>
              <w:autoSpaceDE w:val="0"/>
              <w:autoSpaceDN w:val="0"/>
              <w:bidi w:val="0"/>
              <w:adjustRightInd w:val="0"/>
              <w:snapToGrid w:val="0"/>
              <w:jc w:val="both"/>
              <w:rPr>
                <w:sz w:val="20"/>
                <w:szCs w:val="20"/>
              </w:rPr>
            </w:pPr>
            <w:r w:rsidRPr="008F648B">
              <w:rPr>
                <w:sz w:val="20"/>
                <w:szCs w:val="20"/>
              </w:rPr>
              <w:t>-16.04</w:t>
            </w:r>
          </w:p>
        </w:tc>
        <w:tc>
          <w:tcPr>
            <w:tcW w:w="752" w:type="pct"/>
            <w:vAlign w:val="center"/>
          </w:tcPr>
          <w:p w:rsidR="00027BFF" w:rsidRPr="008F648B" w:rsidRDefault="00027BFF" w:rsidP="009677EE">
            <w:pPr>
              <w:autoSpaceDE w:val="0"/>
              <w:autoSpaceDN w:val="0"/>
              <w:bidi w:val="0"/>
              <w:adjustRightInd w:val="0"/>
              <w:snapToGrid w:val="0"/>
              <w:jc w:val="both"/>
              <w:rPr>
                <w:sz w:val="20"/>
                <w:szCs w:val="20"/>
              </w:rPr>
            </w:pPr>
            <w:r w:rsidRPr="008F648B">
              <w:rPr>
                <w:sz w:val="20"/>
                <w:szCs w:val="20"/>
              </w:rPr>
              <w:t>10.48</w:t>
            </w:r>
          </w:p>
        </w:tc>
        <w:tc>
          <w:tcPr>
            <w:tcW w:w="715" w:type="pct"/>
            <w:vAlign w:val="center"/>
          </w:tcPr>
          <w:p w:rsidR="00027BFF" w:rsidRPr="008F648B" w:rsidRDefault="00027BFF" w:rsidP="009677EE">
            <w:pPr>
              <w:autoSpaceDE w:val="0"/>
              <w:autoSpaceDN w:val="0"/>
              <w:bidi w:val="0"/>
              <w:adjustRightInd w:val="0"/>
              <w:snapToGrid w:val="0"/>
              <w:jc w:val="both"/>
              <w:rPr>
                <w:sz w:val="20"/>
                <w:szCs w:val="20"/>
              </w:rPr>
            </w:pPr>
            <w:r w:rsidRPr="008F648B">
              <w:rPr>
                <w:sz w:val="20"/>
                <w:szCs w:val="20"/>
              </w:rPr>
              <w:t>0.27</w:t>
            </w:r>
          </w:p>
        </w:tc>
        <w:tc>
          <w:tcPr>
            <w:tcW w:w="654" w:type="pct"/>
            <w:vAlign w:val="center"/>
          </w:tcPr>
          <w:p w:rsidR="00027BFF" w:rsidRPr="008F648B" w:rsidRDefault="00027BFF" w:rsidP="009677EE">
            <w:pPr>
              <w:autoSpaceDE w:val="0"/>
              <w:autoSpaceDN w:val="0"/>
              <w:bidi w:val="0"/>
              <w:adjustRightInd w:val="0"/>
              <w:snapToGrid w:val="0"/>
              <w:jc w:val="both"/>
              <w:rPr>
                <w:sz w:val="20"/>
                <w:szCs w:val="20"/>
              </w:rPr>
            </w:pPr>
            <w:r w:rsidRPr="008F648B">
              <w:rPr>
                <w:sz w:val="20"/>
                <w:szCs w:val="20"/>
              </w:rPr>
              <w:t>0.26</w:t>
            </w:r>
          </w:p>
        </w:tc>
        <w:tc>
          <w:tcPr>
            <w:tcW w:w="1703" w:type="pct"/>
            <w:vAlign w:val="center"/>
          </w:tcPr>
          <w:p w:rsidR="00027BFF" w:rsidRPr="008F648B" w:rsidRDefault="00027BFF" w:rsidP="009677EE">
            <w:pPr>
              <w:autoSpaceDE w:val="0"/>
              <w:autoSpaceDN w:val="0"/>
              <w:bidi w:val="0"/>
              <w:adjustRightInd w:val="0"/>
              <w:snapToGrid w:val="0"/>
              <w:jc w:val="both"/>
              <w:rPr>
                <w:sz w:val="20"/>
                <w:szCs w:val="20"/>
              </w:rPr>
            </w:pPr>
            <w:r w:rsidRPr="008F648B">
              <w:rPr>
                <w:color w:val="000000" w:themeColor="text1"/>
                <w:sz w:val="20"/>
                <w:szCs w:val="20"/>
              </w:rPr>
              <w:t>ROE</w:t>
            </w:r>
          </w:p>
        </w:tc>
      </w:tr>
      <w:tr w:rsidR="008F648B" w:rsidRPr="008F648B" w:rsidTr="009677EE">
        <w:trPr>
          <w:jc w:val="center"/>
        </w:trPr>
        <w:tc>
          <w:tcPr>
            <w:tcW w:w="555" w:type="pct"/>
            <w:vAlign w:val="center"/>
          </w:tcPr>
          <w:p w:rsidR="00027BFF" w:rsidRPr="008F648B" w:rsidRDefault="00027BFF" w:rsidP="009677EE">
            <w:pPr>
              <w:autoSpaceDE w:val="0"/>
              <w:autoSpaceDN w:val="0"/>
              <w:bidi w:val="0"/>
              <w:adjustRightInd w:val="0"/>
              <w:snapToGrid w:val="0"/>
              <w:jc w:val="both"/>
              <w:rPr>
                <w:sz w:val="20"/>
                <w:szCs w:val="20"/>
              </w:rPr>
            </w:pPr>
            <w:r w:rsidRPr="008F648B">
              <w:rPr>
                <w:sz w:val="20"/>
                <w:szCs w:val="20"/>
              </w:rPr>
              <w:t>3.23</w:t>
            </w:r>
          </w:p>
        </w:tc>
        <w:tc>
          <w:tcPr>
            <w:tcW w:w="621" w:type="pct"/>
            <w:vAlign w:val="center"/>
          </w:tcPr>
          <w:p w:rsidR="00027BFF" w:rsidRPr="008F648B" w:rsidRDefault="00027BFF" w:rsidP="009677EE">
            <w:pPr>
              <w:autoSpaceDE w:val="0"/>
              <w:autoSpaceDN w:val="0"/>
              <w:bidi w:val="0"/>
              <w:adjustRightInd w:val="0"/>
              <w:snapToGrid w:val="0"/>
              <w:jc w:val="both"/>
              <w:rPr>
                <w:sz w:val="20"/>
                <w:szCs w:val="20"/>
              </w:rPr>
            </w:pPr>
            <w:r w:rsidRPr="008F648B">
              <w:rPr>
                <w:sz w:val="20"/>
                <w:szCs w:val="20"/>
              </w:rPr>
              <w:t>0</w:t>
            </w:r>
          </w:p>
        </w:tc>
        <w:tc>
          <w:tcPr>
            <w:tcW w:w="752" w:type="pct"/>
            <w:vAlign w:val="center"/>
          </w:tcPr>
          <w:p w:rsidR="00027BFF" w:rsidRPr="008F648B" w:rsidRDefault="00027BFF" w:rsidP="009677EE">
            <w:pPr>
              <w:autoSpaceDE w:val="0"/>
              <w:autoSpaceDN w:val="0"/>
              <w:bidi w:val="0"/>
              <w:adjustRightInd w:val="0"/>
              <w:snapToGrid w:val="0"/>
              <w:jc w:val="both"/>
              <w:rPr>
                <w:sz w:val="20"/>
                <w:szCs w:val="20"/>
              </w:rPr>
            </w:pPr>
            <w:r w:rsidRPr="008F648B">
              <w:rPr>
                <w:sz w:val="20"/>
                <w:szCs w:val="20"/>
              </w:rPr>
              <w:t>1302.26</w:t>
            </w:r>
          </w:p>
        </w:tc>
        <w:tc>
          <w:tcPr>
            <w:tcW w:w="715" w:type="pct"/>
            <w:vAlign w:val="center"/>
          </w:tcPr>
          <w:p w:rsidR="00027BFF" w:rsidRPr="008F648B" w:rsidRDefault="00027BFF" w:rsidP="009677EE">
            <w:pPr>
              <w:autoSpaceDE w:val="0"/>
              <w:autoSpaceDN w:val="0"/>
              <w:bidi w:val="0"/>
              <w:adjustRightInd w:val="0"/>
              <w:snapToGrid w:val="0"/>
              <w:jc w:val="both"/>
              <w:rPr>
                <w:sz w:val="20"/>
                <w:szCs w:val="20"/>
              </w:rPr>
            </w:pPr>
            <w:r w:rsidRPr="008F648B">
              <w:rPr>
                <w:sz w:val="20"/>
                <w:szCs w:val="20"/>
              </w:rPr>
              <w:t>117.93</w:t>
            </w:r>
          </w:p>
        </w:tc>
        <w:tc>
          <w:tcPr>
            <w:tcW w:w="654" w:type="pct"/>
            <w:vAlign w:val="center"/>
          </w:tcPr>
          <w:p w:rsidR="00027BFF" w:rsidRPr="008F648B" w:rsidRDefault="00027BFF" w:rsidP="009677EE">
            <w:pPr>
              <w:autoSpaceDE w:val="0"/>
              <w:autoSpaceDN w:val="0"/>
              <w:bidi w:val="0"/>
              <w:adjustRightInd w:val="0"/>
              <w:snapToGrid w:val="0"/>
              <w:jc w:val="both"/>
              <w:rPr>
                <w:sz w:val="20"/>
                <w:szCs w:val="20"/>
              </w:rPr>
            </w:pPr>
            <w:r w:rsidRPr="008F648B">
              <w:rPr>
                <w:sz w:val="20"/>
                <w:szCs w:val="20"/>
              </w:rPr>
              <w:t>150.53</w:t>
            </w:r>
          </w:p>
        </w:tc>
        <w:tc>
          <w:tcPr>
            <w:tcW w:w="1703" w:type="pct"/>
            <w:vAlign w:val="center"/>
          </w:tcPr>
          <w:p w:rsidR="00027BFF" w:rsidRPr="008F648B" w:rsidRDefault="00027BFF" w:rsidP="009677EE">
            <w:pPr>
              <w:autoSpaceDE w:val="0"/>
              <w:autoSpaceDN w:val="0"/>
              <w:bidi w:val="0"/>
              <w:adjustRightInd w:val="0"/>
              <w:snapToGrid w:val="0"/>
              <w:jc w:val="both"/>
              <w:rPr>
                <w:sz w:val="20"/>
                <w:szCs w:val="20"/>
              </w:rPr>
            </w:pPr>
            <w:r w:rsidRPr="008F648B">
              <w:rPr>
                <w:color w:val="000000" w:themeColor="text1"/>
                <w:sz w:val="20"/>
                <w:szCs w:val="20"/>
              </w:rPr>
              <w:t>ACP</w:t>
            </w:r>
          </w:p>
        </w:tc>
      </w:tr>
      <w:tr w:rsidR="008F648B" w:rsidRPr="008F648B" w:rsidTr="009677EE">
        <w:trPr>
          <w:jc w:val="center"/>
        </w:trPr>
        <w:tc>
          <w:tcPr>
            <w:tcW w:w="555" w:type="pct"/>
            <w:vAlign w:val="center"/>
          </w:tcPr>
          <w:p w:rsidR="00027BFF" w:rsidRPr="008F648B" w:rsidRDefault="00027BFF" w:rsidP="009677EE">
            <w:pPr>
              <w:autoSpaceDE w:val="0"/>
              <w:autoSpaceDN w:val="0"/>
              <w:bidi w:val="0"/>
              <w:adjustRightInd w:val="0"/>
              <w:snapToGrid w:val="0"/>
              <w:jc w:val="both"/>
              <w:rPr>
                <w:sz w:val="20"/>
                <w:szCs w:val="20"/>
              </w:rPr>
            </w:pPr>
            <w:r w:rsidRPr="008F648B">
              <w:rPr>
                <w:sz w:val="20"/>
                <w:szCs w:val="20"/>
              </w:rPr>
              <w:t>9.89</w:t>
            </w:r>
          </w:p>
        </w:tc>
        <w:tc>
          <w:tcPr>
            <w:tcW w:w="621" w:type="pct"/>
            <w:vAlign w:val="center"/>
          </w:tcPr>
          <w:p w:rsidR="00027BFF" w:rsidRPr="008F648B" w:rsidRDefault="00027BFF" w:rsidP="009677EE">
            <w:pPr>
              <w:autoSpaceDE w:val="0"/>
              <w:autoSpaceDN w:val="0"/>
              <w:bidi w:val="0"/>
              <w:adjustRightInd w:val="0"/>
              <w:snapToGrid w:val="0"/>
              <w:jc w:val="both"/>
              <w:rPr>
                <w:sz w:val="20"/>
                <w:szCs w:val="20"/>
              </w:rPr>
            </w:pPr>
            <w:r w:rsidRPr="008F648B">
              <w:rPr>
                <w:sz w:val="20"/>
                <w:szCs w:val="20"/>
              </w:rPr>
              <w:t>0</w:t>
            </w:r>
          </w:p>
        </w:tc>
        <w:tc>
          <w:tcPr>
            <w:tcW w:w="752" w:type="pct"/>
            <w:vAlign w:val="center"/>
          </w:tcPr>
          <w:p w:rsidR="00027BFF" w:rsidRPr="008F648B" w:rsidRDefault="00027BFF" w:rsidP="009677EE">
            <w:pPr>
              <w:autoSpaceDE w:val="0"/>
              <w:autoSpaceDN w:val="0"/>
              <w:bidi w:val="0"/>
              <w:adjustRightInd w:val="0"/>
              <w:snapToGrid w:val="0"/>
              <w:jc w:val="both"/>
              <w:rPr>
                <w:sz w:val="20"/>
                <w:szCs w:val="20"/>
              </w:rPr>
            </w:pPr>
            <w:r w:rsidRPr="008F648B">
              <w:rPr>
                <w:sz w:val="20"/>
                <w:szCs w:val="20"/>
              </w:rPr>
              <w:t>794.93</w:t>
            </w:r>
          </w:p>
        </w:tc>
        <w:tc>
          <w:tcPr>
            <w:tcW w:w="715" w:type="pct"/>
            <w:vAlign w:val="center"/>
          </w:tcPr>
          <w:p w:rsidR="00027BFF" w:rsidRPr="008F648B" w:rsidRDefault="00027BFF" w:rsidP="009677EE">
            <w:pPr>
              <w:autoSpaceDE w:val="0"/>
              <w:autoSpaceDN w:val="0"/>
              <w:bidi w:val="0"/>
              <w:adjustRightInd w:val="0"/>
              <w:snapToGrid w:val="0"/>
              <w:jc w:val="both"/>
              <w:rPr>
                <w:sz w:val="20"/>
                <w:szCs w:val="20"/>
              </w:rPr>
            </w:pPr>
            <w:r w:rsidRPr="008F648B">
              <w:rPr>
                <w:sz w:val="20"/>
                <w:szCs w:val="20"/>
              </w:rPr>
              <w:t>16.37</w:t>
            </w:r>
          </w:p>
        </w:tc>
        <w:tc>
          <w:tcPr>
            <w:tcW w:w="654" w:type="pct"/>
            <w:vAlign w:val="center"/>
          </w:tcPr>
          <w:p w:rsidR="00027BFF" w:rsidRPr="008F648B" w:rsidRDefault="00027BFF" w:rsidP="009677EE">
            <w:pPr>
              <w:autoSpaceDE w:val="0"/>
              <w:autoSpaceDN w:val="0"/>
              <w:bidi w:val="0"/>
              <w:adjustRightInd w:val="0"/>
              <w:snapToGrid w:val="0"/>
              <w:jc w:val="both"/>
              <w:rPr>
                <w:sz w:val="20"/>
                <w:szCs w:val="20"/>
              </w:rPr>
            </w:pPr>
            <w:r w:rsidRPr="008F648B">
              <w:rPr>
                <w:sz w:val="20"/>
                <w:szCs w:val="20"/>
              </w:rPr>
              <w:t>33.82</w:t>
            </w:r>
          </w:p>
        </w:tc>
        <w:tc>
          <w:tcPr>
            <w:tcW w:w="1703" w:type="pct"/>
            <w:vAlign w:val="center"/>
          </w:tcPr>
          <w:p w:rsidR="00027BFF" w:rsidRPr="008F648B" w:rsidRDefault="00027BFF" w:rsidP="009677EE">
            <w:pPr>
              <w:autoSpaceDE w:val="0"/>
              <w:autoSpaceDN w:val="0"/>
              <w:bidi w:val="0"/>
              <w:adjustRightInd w:val="0"/>
              <w:snapToGrid w:val="0"/>
              <w:jc w:val="both"/>
              <w:rPr>
                <w:sz w:val="20"/>
                <w:szCs w:val="20"/>
              </w:rPr>
            </w:pPr>
            <w:r w:rsidRPr="008F648B">
              <w:rPr>
                <w:color w:val="000000" w:themeColor="text1"/>
                <w:sz w:val="20"/>
                <w:szCs w:val="20"/>
              </w:rPr>
              <w:t>ITID</w:t>
            </w:r>
          </w:p>
        </w:tc>
      </w:tr>
      <w:tr w:rsidR="008F648B" w:rsidRPr="008F648B" w:rsidTr="009677EE">
        <w:trPr>
          <w:jc w:val="center"/>
        </w:trPr>
        <w:tc>
          <w:tcPr>
            <w:tcW w:w="555" w:type="pct"/>
            <w:vAlign w:val="center"/>
          </w:tcPr>
          <w:p w:rsidR="00027BFF" w:rsidRPr="008F648B" w:rsidRDefault="00027BFF" w:rsidP="009677EE">
            <w:pPr>
              <w:autoSpaceDE w:val="0"/>
              <w:autoSpaceDN w:val="0"/>
              <w:bidi w:val="0"/>
              <w:adjustRightInd w:val="0"/>
              <w:snapToGrid w:val="0"/>
              <w:jc w:val="both"/>
              <w:rPr>
                <w:sz w:val="20"/>
                <w:szCs w:val="20"/>
              </w:rPr>
            </w:pPr>
            <w:r w:rsidRPr="008F648B">
              <w:rPr>
                <w:sz w:val="20"/>
                <w:szCs w:val="20"/>
              </w:rPr>
              <w:t>9.13</w:t>
            </w:r>
          </w:p>
        </w:tc>
        <w:tc>
          <w:tcPr>
            <w:tcW w:w="621" w:type="pct"/>
            <w:vAlign w:val="center"/>
          </w:tcPr>
          <w:p w:rsidR="00027BFF" w:rsidRPr="008F648B" w:rsidRDefault="00027BFF" w:rsidP="009677EE">
            <w:pPr>
              <w:autoSpaceDE w:val="0"/>
              <w:autoSpaceDN w:val="0"/>
              <w:bidi w:val="0"/>
              <w:adjustRightInd w:val="0"/>
              <w:snapToGrid w:val="0"/>
              <w:jc w:val="both"/>
              <w:rPr>
                <w:sz w:val="20"/>
                <w:szCs w:val="20"/>
              </w:rPr>
            </w:pPr>
            <w:r w:rsidRPr="008F648B">
              <w:rPr>
                <w:sz w:val="20"/>
                <w:szCs w:val="20"/>
              </w:rPr>
              <w:t>0</w:t>
            </w:r>
          </w:p>
        </w:tc>
        <w:tc>
          <w:tcPr>
            <w:tcW w:w="752" w:type="pct"/>
            <w:vAlign w:val="center"/>
          </w:tcPr>
          <w:p w:rsidR="00027BFF" w:rsidRPr="008F648B" w:rsidRDefault="00027BFF" w:rsidP="009677EE">
            <w:pPr>
              <w:autoSpaceDE w:val="0"/>
              <w:autoSpaceDN w:val="0"/>
              <w:bidi w:val="0"/>
              <w:adjustRightInd w:val="0"/>
              <w:snapToGrid w:val="0"/>
              <w:jc w:val="both"/>
              <w:rPr>
                <w:sz w:val="20"/>
                <w:szCs w:val="20"/>
              </w:rPr>
            </w:pPr>
            <w:r w:rsidRPr="008F648B">
              <w:rPr>
                <w:sz w:val="20"/>
                <w:szCs w:val="20"/>
              </w:rPr>
              <w:t>575.46</w:t>
            </w:r>
          </w:p>
        </w:tc>
        <w:tc>
          <w:tcPr>
            <w:tcW w:w="715" w:type="pct"/>
            <w:vAlign w:val="center"/>
          </w:tcPr>
          <w:p w:rsidR="00027BFF" w:rsidRPr="008F648B" w:rsidRDefault="00027BFF" w:rsidP="009677EE">
            <w:pPr>
              <w:autoSpaceDE w:val="0"/>
              <w:autoSpaceDN w:val="0"/>
              <w:bidi w:val="0"/>
              <w:adjustRightInd w:val="0"/>
              <w:snapToGrid w:val="0"/>
              <w:jc w:val="both"/>
              <w:rPr>
                <w:sz w:val="20"/>
                <w:szCs w:val="20"/>
              </w:rPr>
            </w:pPr>
            <w:r w:rsidRPr="008F648B">
              <w:rPr>
                <w:sz w:val="20"/>
                <w:szCs w:val="20"/>
              </w:rPr>
              <w:t>43.2</w:t>
            </w:r>
          </w:p>
        </w:tc>
        <w:tc>
          <w:tcPr>
            <w:tcW w:w="654" w:type="pct"/>
            <w:vAlign w:val="center"/>
          </w:tcPr>
          <w:p w:rsidR="00027BFF" w:rsidRPr="008F648B" w:rsidRDefault="00027BFF" w:rsidP="009677EE">
            <w:pPr>
              <w:autoSpaceDE w:val="0"/>
              <w:autoSpaceDN w:val="0"/>
              <w:bidi w:val="0"/>
              <w:adjustRightInd w:val="0"/>
              <w:snapToGrid w:val="0"/>
              <w:jc w:val="both"/>
              <w:rPr>
                <w:sz w:val="20"/>
                <w:szCs w:val="20"/>
              </w:rPr>
            </w:pPr>
            <w:r w:rsidRPr="008F648B">
              <w:rPr>
                <w:sz w:val="20"/>
                <w:szCs w:val="20"/>
              </w:rPr>
              <w:t>66.86</w:t>
            </w:r>
          </w:p>
        </w:tc>
        <w:tc>
          <w:tcPr>
            <w:tcW w:w="1703" w:type="pct"/>
            <w:vAlign w:val="center"/>
          </w:tcPr>
          <w:p w:rsidR="00027BFF" w:rsidRPr="008F648B" w:rsidRDefault="00027BFF" w:rsidP="009677EE">
            <w:pPr>
              <w:autoSpaceDE w:val="0"/>
              <w:autoSpaceDN w:val="0"/>
              <w:bidi w:val="0"/>
              <w:adjustRightInd w:val="0"/>
              <w:snapToGrid w:val="0"/>
              <w:jc w:val="both"/>
              <w:rPr>
                <w:sz w:val="20"/>
                <w:szCs w:val="20"/>
              </w:rPr>
            </w:pPr>
            <w:r w:rsidRPr="008F648B">
              <w:rPr>
                <w:color w:val="000000" w:themeColor="text1"/>
                <w:sz w:val="20"/>
                <w:szCs w:val="20"/>
              </w:rPr>
              <w:t>APP</w:t>
            </w:r>
          </w:p>
        </w:tc>
      </w:tr>
      <w:tr w:rsidR="008F648B" w:rsidRPr="008F648B" w:rsidTr="009677EE">
        <w:trPr>
          <w:jc w:val="center"/>
        </w:trPr>
        <w:tc>
          <w:tcPr>
            <w:tcW w:w="555" w:type="pct"/>
            <w:vAlign w:val="center"/>
          </w:tcPr>
          <w:p w:rsidR="00027BFF" w:rsidRPr="008F648B" w:rsidRDefault="00027BFF" w:rsidP="009677EE">
            <w:pPr>
              <w:autoSpaceDE w:val="0"/>
              <w:autoSpaceDN w:val="0"/>
              <w:bidi w:val="0"/>
              <w:adjustRightInd w:val="0"/>
              <w:snapToGrid w:val="0"/>
              <w:jc w:val="both"/>
              <w:rPr>
                <w:sz w:val="20"/>
                <w:szCs w:val="20"/>
              </w:rPr>
            </w:pPr>
            <w:r w:rsidRPr="008F648B">
              <w:rPr>
                <w:sz w:val="20"/>
                <w:szCs w:val="20"/>
              </w:rPr>
              <w:t>0.78</w:t>
            </w:r>
          </w:p>
        </w:tc>
        <w:tc>
          <w:tcPr>
            <w:tcW w:w="621" w:type="pct"/>
            <w:vAlign w:val="center"/>
          </w:tcPr>
          <w:p w:rsidR="00027BFF" w:rsidRPr="008F648B" w:rsidRDefault="00027BFF" w:rsidP="009677EE">
            <w:pPr>
              <w:autoSpaceDE w:val="0"/>
              <w:autoSpaceDN w:val="0"/>
              <w:bidi w:val="0"/>
              <w:adjustRightInd w:val="0"/>
              <w:snapToGrid w:val="0"/>
              <w:jc w:val="both"/>
              <w:rPr>
                <w:sz w:val="20"/>
                <w:szCs w:val="20"/>
              </w:rPr>
            </w:pPr>
            <w:r w:rsidRPr="008F648B">
              <w:rPr>
                <w:sz w:val="20"/>
                <w:szCs w:val="20"/>
              </w:rPr>
              <w:t>-10.78</w:t>
            </w:r>
          </w:p>
        </w:tc>
        <w:tc>
          <w:tcPr>
            <w:tcW w:w="752" w:type="pct"/>
            <w:vAlign w:val="center"/>
          </w:tcPr>
          <w:p w:rsidR="00027BFF" w:rsidRPr="008F648B" w:rsidRDefault="00027BFF" w:rsidP="009677EE">
            <w:pPr>
              <w:autoSpaceDE w:val="0"/>
              <w:autoSpaceDN w:val="0"/>
              <w:bidi w:val="0"/>
              <w:adjustRightInd w:val="0"/>
              <w:snapToGrid w:val="0"/>
              <w:jc w:val="both"/>
              <w:rPr>
                <w:sz w:val="20"/>
                <w:szCs w:val="20"/>
              </w:rPr>
            </w:pPr>
            <w:r w:rsidRPr="008F648B">
              <w:rPr>
                <w:sz w:val="20"/>
                <w:szCs w:val="20"/>
              </w:rPr>
              <w:t>1.85</w:t>
            </w:r>
          </w:p>
        </w:tc>
        <w:tc>
          <w:tcPr>
            <w:tcW w:w="715" w:type="pct"/>
            <w:vAlign w:val="center"/>
          </w:tcPr>
          <w:p w:rsidR="00027BFF" w:rsidRPr="008F648B" w:rsidRDefault="00027BFF" w:rsidP="009677EE">
            <w:pPr>
              <w:autoSpaceDE w:val="0"/>
              <w:autoSpaceDN w:val="0"/>
              <w:bidi w:val="0"/>
              <w:adjustRightInd w:val="0"/>
              <w:snapToGrid w:val="0"/>
              <w:jc w:val="both"/>
              <w:rPr>
                <w:sz w:val="20"/>
                <w:szCs w:val="20"/>
              </w:rPr>
            </w:pPr>
            <w:r w:rsidRPr="008F648B">
              <w:rPr>
                <w:sz w:val="20"/>
                <w:szCs w:val="20"/>
              </w:rPr>
              <w:t>0.13</w:t>
            </w:r>
          </w:p>
        </w:tc>
        <w:tc>
          <w:tcPr>
            <w:tcW w:w="654" w:type="pct"/>
            <w:vAlign w:val="center"/>
          </w:tcPr>
          <w:p w:rsidR="00027BFF" w:rsidRPr="008F648B" w:rsidRDefault="00027BFF" w:rsidP="009677EE">
            <w:pPr>
              <w:autoSpaceDE w:val="0"/>
              <w:autoSpaceDN w:val="0"/>
              <w:bidi w:val="0"/>
              <w:adjustRightInd w:val="0"/>
              <w:snapToGrid w:val="0"/>
              <w:jc w:val="both"/>
              <w:rPr>
                <w:sz w:val="20"/>
                <w:szCs w:val="20"/>
              </w:rPr>
            </w:pPr>
            <w:r w:rsidRPr="008F648B">
              <w:rPr>
                <w:sz w:val="20"/>
                <w:szCs w:val="20"/>
              </w:rPr>
              <w:t>0.22</w:t>
            </w:r>
          </w:p>
        </w:tc>
        <w:tc>
          <w:tcPr>
            <w:tcW w:w="1703" w:type="pct"/>
            <w:vAlign w:val="center"/>
          </w:tcPr>
          <w:p w:rsidR="00027BFF" w:rsidRPr="008F648B" w:rsidRDefault="00027BFF" w:rsidP="009677EE">
            <w:pPr>
              <w:autoSpaceDE w:val="0"/>
              <w:autoSpaceDN w:val="0"/>
              <w:bidi w:val="0"/>
              <w:adjustRightInd w:val="0"/>
              <w:snapToGrid w:val="0"/>
              <w:jc w:val="both"/>
              <w:rPr>
                <w:sz w:val="20"/>
                <w:szCs w:val="20"/>
              </w:rPr>
            </w:pPr>
            <w:r w:rsidRPr="008F648B">
              <w:rPr>
                <w:color w:val="000000" w:themeColor="text1"/>
                <w:sz w:val="20"/>
                <w:szCs w:val="20"/>
              </w:rPr>
              <w:t>FCF</w:t>
            </w:r>
          </w:p>
        </w:tc>
      </w:tr>
      <w:tr w:rsidR="008F648B" w:rsidRPr="008F648B" w:rsidTr="009677EE">
        <w:trPr>
          <w:jc w:val="center"/>
        </w:trPr>
        <w:tc>
          <w:tcPr>
            <w:tcW w:w="555" w:type="pct"/>
            <w:vAlign w:val="center"/>
          </w:tcPr>
          <w:p w:rsidR="00027BFF" w:rsidRPr="008F648B" w:rsidRDefault="00027BFF" w:rsidP="009677EE">
            <w:pPr>
              <w:autoSpaceDE w:val="0"/>
              <w:autoSpaceDN w:val="0"/>
              <w:bidi w:val="0"/>
              <w:adjustRightInd w:val="0"/>
              <w:snapToGrid w:val="0"/>
              <w:jc w:val="both"/>
              <w:rPr>
                <w:sz w:val="20"/>
                <w:szCs w:val="20"/>
              </w:rPr>
            </w:pPr>
            <w:r w:rsidRPr="008F648B">
              <w:rPr>
                <w:sz w:val="20"/>
                <w:szCs w:val="20"/>
              </w:rPr>
              <w:t>1.49</w:t>
            </w:r>
          </w:p>
        </w:tc>
        <w:tc>
          <w:tcPr>
            <w:tcW w:w="621" w:type="pct"/>
            <w:vAlign w:val="center"/>
          </w:tcPr>
          <w:p w:rsidR="00027BFF" w:rsidRPr="008F648B" w:rsidRDefault="00027BFF" w:rsidP="009677EE">
            <w:pPr>
              <w:autoSpaceDE w:val="0"/>
              <w:autoSpaceDN w:val="0"/>
              <w:bidi w:val="0"/>
              <w:adjustRightInd w:val="0"/>
              <w:snapToGrid w:val="0"/>
              <w:jc w:val="both"/>
              <w:rPr>
                <w:sz w:val="20"/>
                <w:szCs w:val="20"/>
              </w:rPr>
            </w:pPr>
            <w:r w:rsidRPr="008F648B">
              <w:rPr>
                <w:sz w:val="20"/>
                <w:szCs w:val="20"/>
              </w:rPr>
              <w:t>10.08</w:t>
            </w:r>
          </w:p>
        </w:tc>
        <w:tc>
          <w:tcPr>
            <w:tcW w:w="752" w:type="pct"/>
            <w:vAlign w:val="center"/>
          </w:tcPr>
          <w:p w:rsidR="00027BFF" w:rsidRPr="008F648B" w:rsidRDefault="00027BFF" w:rsidP="009677EE">
            <w:pPr>
              <w:autoSpaceDE w:val="0"/>
              <w:autoSpaceDN w:val="0"/>
              <w:bidi w:val="0"/>
              <w:adjustRightInd w:val="0"/>
              <w:snapToGrid w:val="0"/>
              <w:jc w:val="both"/>
              <w:rPr>
                <w:sz w:val="20"/>
                <w:szCs w:val="20"/>
              </w:rPr>
            </w:pPr>
            <w:r w:rsidRPr="008F648B">
              <w:rPr>
                <w:sz w:val="20"/>
                <w:szCs w:val="20"/>
              </w:rPr>
              <w:t>18.45</w:t>
            </w:r>
          </w:p>
        </w:tc>
        <w:tc>
          <w:tcPr>
            <w:tcW w:w="715" w:type="pct"/>
            <w:vAlign w:val="center"/>
          </w:tcPr>
          <w:p w:rsidR="00027BFF" w:rsidRPr="008F648B" w:rsidRDefault="00027BFF" w:rsidP="009677EE">
            <w:pPr>
              <w:autoSpaceDE w:val="0"/>
              <w:autoSpaceDN w:val="0"/>
              <w:bidi w:val="0"/>
              <w:adjustRightInd w:val="0"/>
              <w:snapToGrid w:val="0"/>
              <w:jc w:val="both"/>
              <w:rPr>
                <w:sz w:val="20"/>
                <w:szCs w:val="20"/>
              </w:rPr>
            </w:pPr>
            <w:r w:rsidRPr="008F648B">
              <w:rPr>
                <w:sz w:val="20"/>
                <w:szCs w:val="20"/>
              </w:rPr>
              <w:t>13.68</w:t>
            </w:r>
          </w:p>
        </w:tc>
        <w:tc>
          <w:tcPr>
            <w:tcW w:w="654" w:type="pct"/>
            <w:vAlign w:val="center"/>
          </w:tcPr>
          <w:p w:rsidR="00027BFF" w:rsidRPr="008F648B" w:rsidRDefault="00027BFF" w:rsidP="009677EE">
            <w:pPr>
              <w:autoSpaceDE w:val="0"/>
              <w:autoSpaceDN w:val="0"/>
              <w:bidi w:val="0"/>
              <w:adjustRightInd w:val="0"/>
              <w:snapToGrid w:val="0"/>
              <w:jc w:val="both"/>
              <w:rPr>
                <w:sz w:val="20"/>
                <w:szCs w:val="20"/>
              </w:rPr>
            </w:pPr>
            <w:r w:rsidRPr="008F648B">
              <w:rPr>
                <w:sz w:val="20"/>
                <w:szCs w:val="20"/>
              </w:rPr>
              <w:t>13.84</w:t>
            </w:r>
          </w:p>
        </w:tc>
        <w:tc>
          <w:tcPr>
            <w:tcW w:w="1703" w:type="pct"/>
            <w:vAlign w:val="center"/>
          </w:tcPr>
          <w:p w:rsidR="00027BFF" w:rsidRPr="008F648B" w:rsidRDefault="00027BFF" w:rsidP="009677EE">
            <w:pPr>
              <w:autoSpaceDE w:val="0"/>
              <w:autoSpaceDN w:val="0"/>
              <w:bidi w:val="0"/>
              <w:adjustRightInd w:val="0"/>
              <w:snapToGrid w:val="0"/>
              <w:jc w:val="both"/>
              <w:rPr>
                <w:sz w:val="20"/>
                <w:szCs w:val="20"/>
              </w:rPr>
            </w:pPr>
            <w:r w:rsidRPr="008F648B">
              <w:rPr>
                <w:color w:val="000000" w:themeColor="text1"/>
                <w:sz w:val="20"/>
                <w:szCs w:val="20"/>
              </w:rPr>
              <w:t>Size</w:t>
            </w:r>
          </w:p>
        </w:tc>
      </w:tr>
      <w:tr w:rsidR="008F648B" w:rsidRPr="008F648B" w:rsidTr="009677EE">
        <w:trPr>
          <w:jc w:val="center"/>
        </w:trPr>
        <w:tc>
          <w:tcPr>
            <w:tcW w:w="555" w:type="pct"/>
            <w:vAlign w:val="center"/>
          </w:tcPr>
          <w:p w:rsidR="00027BFF" w:rsidRPr="008F648B" w:rsidRDefault="00027BFF" w:rsidP="009677EE">
            <w:pPr>
              <w:autoSpaceDE w:val="0"/>
              <w:autoSpaceDN w:val="0"/>
              <w:bidi w:val="0"/>
              <w:adjustRightInd w:val="0"/>
              <w:snapToGrid w:val="0"/>
              <w:jc w:val="both"/>
              <w:rPr>
                <w:sz w:val="20"/>
                <w:szCs w:val="20"/>
              </w:rPr>
            </w:pPr>
            <w:r w:rsidRPr="008F648B">
              <w:rPr>
                <w:sz w:val="20"/>
                <w:szCs w:val="20"/>
              </w:rPr>
              <w:t>0.165</w:t>
            </w:r>
          </w:p>
        </w:tc>
        <w:tc>
          <w:tcPr>
            <w:tcW w:w="621" w:type="pct"/>
            <w:vAlign w:val="center"/>
          </w:tcPr>
          <w:p w:rsidR="00027BFF" w:rsidRPr="008F648B" w:rsidRDefault="00027BFF" w:rsidP="009677EE">
            <w:pPr>
              <w:autoSpaceDE w:val="0"/>
              <w:autoSpaceDN w:val="0"/>
              <w:bidi w:val="0"/>
              <w:adjustRightInd w:val="0"/>
              <w:snapToGrid w:val="0"/>
              <w:jc w:val="both"/>
              <w:rPr>
                <w:sz w:val="20"/>
                <w:szCs w:val="20"/>
              </w:rPr>
            </w:pPr>
            <w:r w:rsidRPr="008F648B">
              <w:rPr>
                <w:sz w:val="20"/>
                <w:szCs w:val="20"/>
              </w:rPr>
              <w:t>0.26</w:t>
            </w:r>
          </w:p>
        </w:tc>
        <w:tc>
          <w:tcPr>
            <w:tcW w:w="752" w:type="pct"/>
            <w:vAlign w:val="center"/>
          </w:tcPr>
          <w:p w:rsidR="00027BFF" w:rsidRPr="008F648B" w:rsidRDefault="00027BFF" w:rsidP="009677EE">
            <w:pPr>
              <w:autoSpaceDE w:val="0"/>
              <w:autoSpaceDN w:val="0"/>
              <w:bidi w:val="0"/>
              <w:adjustRightInd w:val="0"/>
              <w:snapToGrid w:val="0"/>
              <w:jc w:val="both"/>
              <w:rPr>
                <w:sz w:val="20"/>
                <w:szCs w:val="20"/>
              </w:rPr>
            </w:pPr>
            <w:r w:rsidRPr="008F648B">
              <w:rPr>
                <w:sz w:val="20"/>
                <w:szCs w:val="20"/>
              </w:rPr>
              <w:t>1.02</w:t>
            </w:r>
          </w:p>
        </w:tc>
        <w:tc>
          <w:tcPr>
            <w:tcW w:w="715" w:type="pct"/>
            <w:vAlign w:val="center"/>
          </w:tcPr>
          <w:p w:rsidR="00027BFF" w:rsidRPr="008F648B" w:rsidRDefault="00027BFF" w:rsidP="009677EE">
            <w:pPr>
              <w:autoSpaceDE w:val="0"/>
              <w:autoSpaceDN w:val="0"/>
              <w:bidi w:val="0"/>
              <w:adjustRightInd w:val="0"/>
              <w:snapToGrid w:val="0"/>
              <w:jc w:val="both"/>
              <w:rPr>
                <w:sz w:val="20"/>
                <w:szCs w:val="20"/>
              </w:rPr>
            </w:pPr>
            <w:r w:rsidRPr="008F648B">
              <w:rPr>
                <w:sz w:val="20"/>
                <w:szCs w:val="20"/>
              </w:rPr>
              <w:t>0.67</w:t>
            </w:r>
          </w:p>
        </w:tc>
        <w:tc>
          <w:tcPr>
            <w:tcW w:w="654" w:type="pct"/>
            <w:vAlign w:val="center"/>
          </w:tcPr>
          <w:p w:rsidR="00027BFF" w:rsidRPr="008F648B" w:rsidRDefault="00027BFF" w:rsidP="009677EE">
            <w:pPr>
              <w:autoSpaceDE w:val="0"/>
              <w:autoSpaceDN w:val="0"/>
              <w:bidi w:val="0"/>
              <w:adjustRightInd w:val="0"/>
              <w:snapToGrid w:val="0"/>
              <w:jc w:val="both"/>
              <w:rPr>
                <w:sz w:val="20"/>
                <w:szCs w:val="20"/>
              </w:rPr>
            </w:pPr>
            <w:r w:rsidRPr="008F648B">
              <w:rPr>
                <w:sz w:val="20"/>
                <w:szCs w:val="20"/>
              </w:rPr>
              <w:t>0.68</w:t>
            </w:r>
          </w:p>
        </w:tc>
        <w:tc>
          <w:tcPr>
            <w:tcW w:w="1703" w:type="pct"/>
            <w:vAlign w:val="center"/>
          </w:tcPr>
          <w:p w:rsidR="00027BFF" w:rsidRPr="008F648B" w:rsidRDefault="00027BFF" w:rsidP="009677EE">
            <w:pPr>
              <w:autoSpaceDE w:val="0"/>
              <w:autoSpaceDN w:val="0"/>
              <w:bidi w:val="0"/>
              <w:adjustRightInd w:val="0"/>
              <w:snapToGrid w:val="0"/>
              <w:jc w:val="both"/>
              <w:rPr>
                <w:sz w:val="20"/>
                <w:szCs w:val="20"/>
              </w:rPr>
            </w:pPr>
            <w:r w:rsidRPr="008F648B">
              <w:rPr>
                <w:color w:val="000000" w:themeColor="text1"/>
                <w:sz w:val="20"/>
                <w:szCs w:val="20"/>
              </w:rPr>
              <w:t>FL</w:t>
            </w:r>
          </w:p>
        </w:tc>
      </w:tr>
    </w:tbl>
    <w:p w:rsidR="009677EE" w:rsidRDefault="009677EE" w:rsidP="009677EE">
      <w:pPr>
        <w:bidi w:val="0"/>
        <w:snapToGrid w:val="0"/>
        <w:ind w:firstLine="425"/>
        <w:jc w:val="both"/>
        <w:rPr>
          <w:rFonts w:eastAsiaTheme="minorEastAsia" w:hint="eastAsia"/>
          <w:sz w:val="20"/>
          <w:szCs w:val="20"/>
          <w:lang w:eastAsia="zh-CN"/>
        </w:rPr>
      </w:pPr>
    </w:p>
    <w:p w:rsidR="00920ED7" w:rsidRDefault="00920ED7" w:rsidP="00920ED7">
      <w:pPr>
        <w:bidi w:val="0"/>
        <w:snapToGrid w:val="0"/>
        <w:ind w:firstLine="425"/>
        <w:jc w:val="both"/>
        <w:rPr>
          <w:rFonts w:eastAsiaTheme="minorEastAsia"/>
          <w:sz w:val="20"/>
          <w:szCs w:val="20"/>
          <w:lang w:eastAsia="zh-CN"/>
        </w:rPr>
      </w:pPr>
    </w:p>
    <w:p w:rsidR="009677EE" w:rsidRPr="009677EE" w:rsidRDefault="009677EE" w:rsidP="009677EE">
      <w:pPr>
        <w:bidi w:val="0"/>
        <w:snapToGrid w:val="0"/>
        <w:ind w:firstLine="425"/>
        <w:jc w:val="both"/>
        <w:rPr>
          <w:rFonts w:eastAsiaTheme="minorEastAsia"/>
          <w:sz w:val="20"/>
          <w:szCs w:val="20"/>
          <w:lang w:eastAsia="zh-CN"/>
        </w:rPr>
        <w:sectPr w:rsidR="009677EE" w:rsidRPr="009677EE" w:rsidSect="009677EE">
          <w:type w:val="continuous"/>
          <w:pgSz w:w="12242" w:h="15842" w:code="1"/>
          <w:pgMar w:top="1440" w:right="1440" w:bottom="1440" w:left="1440" w:header="720" w:footer="720" w:gutter="0"/>
          <w:cols w:space="600"/>
          <w:docGrid w:linePitch="360"/>
        </w:sectPr>
      </w:pPr>
    </w:p>
    <w:p w:rsidR="00D74380" w:rsidRPr="008F648B" w:rsidRDefault="00D74380" w:rsidP="009677EE">
      <w:pPr>
        <w:bidi w:val="0"/>
        <w:snapToGrid w:val="0"/>
        <w:jc w:val="both"/>
        <w:rPr>
          <w:rFonts w:eastAsiaTheme="minorHAnsi"/>
          <w:b/>
          <w:bCs/>
          <w:sz w:val="20"/>
          <w:lang w:bidi="fa-IR"/>
        </w:rPr>
      </w:pPr>
      <w:r w:rsidRPr="008F648B">
        <w:rPr>
          <w:rFonts w:eastAsiaTheme="minorHAnsi"/>
          <w:b/>
          <w:bCs/>
          <w:sz w:val="20"/>
          <w:lang w:bidi="fa-IR"/>
        </w:rPr>
        <w:lastRenderedPageBreak/>
        <w:t>Inferential statistics</w:t>
      </w:r>
    </w:p>
    <w:p w:rsidR="00D74380" w:rsidRPr="008F648B" w:rsidRDefault="00D74380" w:rsidP="009677EE">
      <w:pPr>
        <w:bidi w:val="0"/>
        <w:snapToGrid w:val="0"/>
        <w:jc w:val="both"/>
        <w:rPr>
          <w:rFonts w:eastAsiaTheme="minorHAnsi"/>
          <w:b/>
          <w:bCs/>
          <w:sz w:val="20"/>
          <w:lang w:bidi="fa-IR"/>
        </w:rPr>
      </w:pPr>
      <w:r w:rsidRPr="008F648B">
        <w:rPr>
          <w:rFonts w:eastAsiaTheme="minorHAnsi"/>
          <w:b/>
          <w:bCs/>
          <w:sz w:val="20"/>
          <w:lang w:bidi="fa-IR"/>
        </w:rPr>
        <w:t xml:space="preserve">First </w:t>
      </w:r>
      <w:r w:rsidR="004D1FFF" w:rsidRPr="008F648B">
        <w:rPr>
          <w:rFonts w:eastAsiaTheme="minorHAnsi"/>
          <w:b/>
          <w:bCs/>
          <w:sz w:val="20"/>
          <w:lang w:bidi="fa-IR"/>
        </w:rPr>
        <w:t>model</w:t>
      </w:r>
      <w:r w:rsidRPr="008F648B">
        <w:rPr>
          <w:rFonts w:eastAsiaTheme="minorHAnsi"/>
          <w:b/>
          <w:bCs/>
          <w:sz w:val="20"/>
          <w:lang w:bidi="fa-IR"/>
        </w:rPr>
        <w:t xml:space="preserve"> test</w:t>
      </w:r>
    </w:p>
    <w:p w:rsidR="00DC2062" w:rsidRPr="008F648B" w:rsidRDefault="00DC2062" w:rsidP="009677EE">
      <w:pPr>
        <w:bidi w:val="0"/>
        <w:snapToGrid w:val="0"/>
        <w:ind w:firstLine="425"/>
        <w:jc w:val="both"/>
        <w:rPr>
          <w:sz w:val="20"/>
          <w:lang w:bidi="fa-IR"/>
        </w:rPr>
      </w:pPr>
      <w:r w:rsidRPr="008F648B">
        <w:rPr>
          <w:sz w:val="20"/>
        </w:rPr>
        <w:t xml:space="preserve">In order to estimation of the model coefficients related to research hypothesis test is used the </w:t>
      </w:r>
      <w:r w:rsidRPr="008F648B">
        <w:rPr>
          <w:color w:val="000000"/>
          <w:sz w:val="20"/>
        </w:rPr>
        <w:t xml:space="preserve">Chow </w:t>
      </w:r>
      <w:r w:rsidRPr="008F648B">
        <w:rPr>
          <w:color w:val="000000"/>
          <w:sz w:val="20"/>
        </w:rPr>
        <w:lastRenderedPageBreak/>
        <w:t>test</w:t>
      </w:r>
      <w:r w:rsidRPr="008F648B">
        <w:rPr>
          <w:sz w:val="20"/>
        </w:rPr>
        <w:t xml:space="preserve"> and f </w:t>
      </w:r>
      <w:proofErr w:type="spellStart"/>
      <w:r w:rsidRPr="008F648B">
        <w:rPr>
          <w:sz w:val="20"/>
        </w:rPr>
        <w:t>Limer</w:t>
      </w:r>
      <w:proofErr w:type="spellEnd"/>
      <w:r w:rsidRPr="008F648B">
        <w:rPr>
          <w:sz w:val="20"/>
        </w:rPr>
        <w:t xml:space="preserve"> test to determine method of combined data. Based on the table </w:t>
      </w:r>
      <w:r w:rsidR="00CB69EA" w:rsidRPr="008F648B">
        <w:rPr>
          <w:sz w:val="20"/>
        </w:rPr>
        <w:t>3</w:t>
      </w:r>
      <w:r w:rsidRPr="008F648B">
        <w:rPr>
          <w:sz w:val="20"/>
        </w:rPr>
        <w:t>, the result of Chow test show that F-statistic is less than 0.05.</w:t>
      </w:r>
    </w:p>
    <w:p w:rsidR="008F648B" w:rsidRDefault="008F648B" w:rsidP="009677EE">
      <w:pPr>
        <w:bidi w:val="0"/>
        <w:snapToGrid w:val="0"/>
        <w:ind w:firstLine="425"/>
        <w:jc w:val="both"/>
        <w:rPr>
          <w:sz w:val="20"/>
        </w:rPr>
        <w:sectPr w:rsidR="008F648B" w:rsidSect="009677EE">
          <w:type w:val="continuous"/>
          <w:pgSz w:w="12242" w:h="15842" w:code="1"/>
          <w:pgMar w:top="1440" w:right="1440" w:bottom="1440" w:left="1440" w:header="720" w:footer="720" w:gutter="0"/>
          <w:cols w:num="2" w:space="600"/>
          <w:docGrid w:linePitch="360"/>
        </w:sectPr>
      </w:pPr>
    </w:p>
    <w:p w:rsidR="00945AAC" w:rsidRDefault="00945AAC" w:rsidP="009677EE">
      <w:pPr>
        <w:bidi w:val="0"/>
        <w:snapToGrid w:val="0"/>
        <w:ind w:firstLine="425"/>
        <w:jc w:val="both"/>
        <w:rPr>
          <w:rFonts w:eastAsiaTheme="minorEastAsia"/>
          <w:sz w:val="20"/>
          <w:lang w:eastAsia="zh-CN"/>
        </w:rPr>
      </w:pPr>
    </w:p>
    <w:p w:rsidR="009677EE" w:rsidRPr="008F648B" w:rsidRDefault="009677EE" w:rsidP="009677EE">
      <w:pPr>
        <w:bidi w:val="0"/>
        <w:snapToGrid w:val="0"/>
        <w:jc w:val="center"/>
        <w:rPr>
          <w:color w:val="000000"/>
          <w:sz w:val="20"/>
          <w:szCs w:val="20"/>
        </w:rPr>
      </w:pPr>
      <w:r w:rsidRPr="008F648B">
        <w:rPr>
          <w:color w:val="000000"/>
          <w:sz w:val="20"/>
          <w:szCs w:val="20"/>
        </w:rPr>
        <w:t>Table 2: Chow test result</w:t>
      </w:r>
    </w:p>
    <w:tbl>
      <w:tblPr>
        <w:bidiVisual/>
        <w:tblW w:w="5000" w:type="pct"/>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4A0"/>
      </w:tblPr>
      <w:tblGrid>
        <w:gridCol w:w="3100"/>
        <w:gridCol w:w="1924"/>
        <w:gridCol w:w="1143"/>
        <w:gridCol w:w="3309"/>
      </w:tblGrid>
      <w:tr w:rsidR="00D74380" w:rsidRPr="008F648B" w:rsidTr="008F648B">
        <w:trPr>
          <w:jc w:val="center"/>
        </w:trPr>
        <w:tc>
          <w:tcPr>
            <w:tcW w:w="1636" w:type="pct"/>
            <w:tcBorders>
              <w:bottom w:val="single" w:sz="12" w:space="0" w:color="666666"/>
            </w:tcBorders>
            <w:shd w:val="clear" w:color="auto" w:fill="auto"/>
            <w:vAlign w:val="center"/>
          </w:tcPr>
          <w:p w:rsidR="00D74380" w:rsidRPr="008F648B" w:rsidRDefault="00D74380" w:rsidP="009677EE">
            <w:pPr>
              <w:autoSpaceDE w:val="0"/>
              <w:autoSpaceDN w:val="0"/>
              <w:bidi w:val="0"/>
              <w:adjustRightInd w:val="0"/>
              <w:snapToGrid w:val="0"/>
              <w:jc w:val="both"/>
              <w:rPr>
                <w:b/>
                <w:bCs/>
                <w:color w:val="000000"/>
                <w:sz w:val="20"/>
                <w:szCs w:val="20"/>
              </w:rPr>
            </w:pPr>
            <w:r w:rsidRPr="008F648B">
              <w:rPr>
                <w:b/>
                <w:bCs/>
                <w:color w:val="000000"/>
                <w:sz w:val="20"/>
                <w:szCs w:val="20"/>
              </w:rPr>
              <w:t>Chow test result</w:t>
            </w:r>
          </w:p>
        </w:tc>
        <w:tc>
          <w:tcPr>
            <w:tcW w:w="1015" w:type="pct"/>
            <w:tcBorders>
              <w:bottom w:val="single" w:sz="12" w:space="0" w:color="666666"/>
            </w:tcBorders>
            <w:shd w:val="clear" w:color="auto" w:fill="auto"/>
            <w:vAlign w:val="center"/>
          </w:tcPr>
          <w:p w:rsidR="00D74380" w:rsidRPr="008F648B" w:rsidRDefault="00D74380" w:rsidP="009677EE">
            <w:pPr>
              <w:autoSpaceDE w:val="0"/>
              <w:autoSpaceDN w:val="0"/>
              <w:bidi w:val="0"/>
              <w:adjustRightInd w:val="0"/>
              <w:snapToGrid w:val="0"/>
              <w:jc w:val="both"/>
              <w:rPr>
                <w:b/>
                <w:bCs/>
                <w:color w:val="000000"/>
                <w:sz w:val="20"/>
                <w:szCs w:val="20"/>
              </w:rPr>
            </w:pPr>
            <w:r w:rsidRPr="008F648B">
              <w:rPr>
                <w:b/>
                <w:bCs/>
                <w:sz w:val="20"/>
                <w:szCs w:val="20"/>
              </w:rPr>
              <w:t>Significance level</w:t>
            </w:r>
          </w:p>
        </w:tc>
        <w:tc>
          <w:tcPr>
            <w:tcW w:w="603" w:type="pct"/>
            <w:tcBorders>
              <w:bottom w:val="single" w:sz="12" w:space="0" w:color="666666"/>
            </w:tcBorders>
            <w:shd w:val="clear" w:color="auto" w:fill="auto"/>
            <w:vAlign w:val="center"/>
          </w:tcPr>
          <w:p w:rsidR="00D74380" w:rsidRPr="008F648B" w:rsidRDefault="00D74380" w:rsidP="009677EE">
            <w:pPr>
              <w:autoSpaceDE w:val="0"/>
              <w:autoSpaceDN w:val="0"/>
              <w:bidi w:val="0"/>
              <w:adjustRightInd w:val="0"/>
              <w:snapToGrid w:val="0"/>
              <w:jc w:val="both"/>
              <w:rPr>
                <w:b/>
                <w:bCs/>
                <w:color w:val="000000"/>
                <w:sz w:val="20"/>
                <w:szCs w:val="20"/>
              </w:rPr>
            </w:pPr>
            <w:r w:rsidRPr="008F648B">
              <w:rPr>
                <w:b/>
                <w:bCs/>
                <w:sz w:val="20"/>
                <w:szCs w:val="20"/>
              </w:rPr>
              <w:t>F statistic</w:t>
            </w:r>
          </w:p>
        </w:tc>
        <w:tc>
          <w:tcPr>
            <w:tcW w:w="1746" w:type="pct"/>
            <w:tcBorders>
              <w:bottom w:val="single" w:sz="12" w:space="0" w:color="666666"/>
            </w:tcBorders>
            <w:shd w:val="clear" w:color="auto" w:fill="auto"/>
            <w:vAlign w:val="center"/>
          </w:tcPr>
          <w:p w:rsidR="00D74380" w:rsidRPr="008F648B" w:rsidRDefault="00D74380" w:rsidP="009677EE">
            <w:pPr>
              <w:autoSpaceDE w:val="0"/>
              <w:autoSpaceDN w:val="0"/>
              <w:bidi w:val="0"/>
              <w:adjustRightInd w:val="0"/>
              <w:snapToGrid w:val="0"/>
              <w:jc w:val="both"/>
              <w:rPr>
                <w:b/>
                <w:bCs/>
                <w:color w:val="000000"/>
                <w:sz w:val="20"/>
                <w:szCs w:val="20"/>
              </w:rPr>
            </w:pPr>
            <w:r w:rsidRPr="008F648B">
              <w:rPr>
                <w:b/>
                <w:bCs/>
                <w:color w:val="000000"/>
                <w:sz w:val="20"/>
                <w:szCs w:val="20"/>
              </w:rPr>
              <w:t>Null hypothesis</w:t>
            </w:r>
          </w:p>
        </w:tc>
      </w:tr>
      <w:tr w:rsidR="00D74380" w:rsidRPr="008F648B" w:rsidTr="008F648B">
        <w:trPr>
          <w:jc w:val="center"/>
        </w:trPr>
        <w:tc>
          <w:tcPr>
            <w:tcW w:w="1636" w:type="pct"/>
            <w:shd w:val="clear" w:color="auto" w:fill="auto"/>
            <w:vAlign w:val="center"/>
          </w:tcPr>
          <w:p w:rsidR="00D74380" w:rsidRPr="008F648B" w:rsidRDefault="00D74380" w:rsidP="009677EE">
            <w:pPr>
              <w:autoSpaceDE w:val="0"/>
              <w:autoSpaceDN w:val="0"/>
              <w:bidi w:val="0"/>
              <w:adjustRightInd w:val="0"/>
              <w:snapToGrid w:val="0"/>
              <w:jc w:val="both"/>
              <w:rPr>
                <w:color w:val="000000"/>
                <w:sz w:val="20"/>
                <w:szCs w:val="20"/>
              </w:rPr>
            </w:pPr>
            <w:r w:rsidRPr="008F648B">
              <w:rPr>
                <w:color w:val="000000"/>
                <w:sz w:val="20"/>
                <w:szCs w:val="20"/>
              </w:rPr>
              <w:t>The null hypothesis is rejected</w:t>
            </w:r>
          </w:p>
        </w:tc>
        <w:tc>
          <w:tcPr>
            <w:tcW w:w="1015" w:type="pct"/>
            <w:shd w:val="clear" w:color="auto" w:fill="auto"/>
            <w:vAlign w:val="center"/>
          </w:tcPr>
          <w:p w:rsidR="00D74380" w:rsidRPr="008F648B" w:rsidRDefault="00D74380" w:rsidP="009677EE">
            <w:pPr>
              <w:autoSpaceDE w:val="0"/>
              <w:autoSpaceDN w:val="0"/>
              <w:bidi w:val="0"/>
              <w:adjustRightInd w:val="0"/>
              <w:snapToGrid w:val="0"/>
              <w:jc w:val="both"/>
              <w:rPr>
                <w:color w:val="000000"/>
                <w:sz w:val="20"/>
                <w:szCs w:val="20"/>
              </w:rPr>
            </w:pPr>
            <w:r w:rsidRPr="008F648B">
              <w:rPr>
                <w:color w:val="000000"/>
                <w:sz w:val="20"/>
                <w:szCs w:val="20"/>
              </w:rPr>
              <w:t>0.000</w:t>
            </w:r>
          </w:p>
        </w:tc>
        <w:tc>
          <w:tcPr>
            <w:tcW w:w="603" w:type="pct"/>
            <w:shd w:val="clear" w:color="auto" w:fill="auto"/>
            <w:vAlign w:val="center"/>
          </w:tcPr>
          <w:p w:rsidR="00D74380" w:rsidRPr="008F648B" w:rsidRDefault="00D74380" w:rsidP="009677EE">
            <w:pPr>
              <w:autoSpaceDE w:val="0"/>
              <w:autoSpaceDN w:val="0"/>
              <w:bidi w:val="0"/>
              <w:adjustRightInd w:val="0"/>
              <w:snapToGrid w:val="0"/>
              <w:jc w:val="both"/>
              <w:rPr>
                <w:color w:val="000000"/>
                <w:sz w:val="20"/>
                <w:szCs w:val="20"/>
              </w:rPr>
            </w:pPr>
            <w:r w:rsidRPr="008F648B">
              <w:rPr>
                <w:color w:val="000000"/>
                <w:sz w:val="20"/>
                <w:szCs w:val="20"/>
              </w:rPr>
              <w:t>6.48</w:t>
            </w:r>
          </w:p>
        </w:tc>
        <w:tc>
          <w:tcPr>
            <w:tcW w:w="1746" w:type="pct"/>
            <w:shd w:val="clear" w:color="auto" w:fill="auto"/>
            <w:vAlign w:val="center"/>
          </w:tcPr>
          <w:p w:rsidR="00D74380" w:rsidRPr="008F648B" w:rsidRDefault="00D74380" w:rsidP="009677EE">
            <w:pPr>
              <w:autoSpaceDE w:val="0"/>
              <w:autoSpaceDN w:val="0"/>
              <w:bidi w:val="0"/>
              <w:adjustRightInd w:val="0"/>
              <w:snapToGrid w:val="0"/>
              <w:jc w:val="both"/>
              <w:rPr>
                <w:color w:val="000000"/>
                <w:sz w:val="20"/>
                <w:szCs w:val="20"/>
              </w:rPr>
            </w:pPr>
            <w:r w:rsidRPr="008F648B">
              <w:rPr>
                <w:color w:val="000000"/>
                <w:sz w:val="20"/>
                <w:szCs w:val="20"/>
              </w:rPr>
              <w:t>The use of combined data model</w:t>
            </w:r>
          </w:p>
        </w:tc>
      </w:tr>
    </w:tbl>
    <w:p w:rsidR="00D74380" w:rsidRDefault="00D74380" w:rsidP="009677EE">
      <w:pPr>
        <w:bidi w:val="0"/>
        <w:snapToGrid w:val="0"/>
        <w:ind w:firstLine="425"/>
        <w:jc w:val="both"/>
        <w:rPr>
          <w:rFonts w:eastAsiaTheme="minorEastAsia"/>
          <w:sz w:val="20"/>
          <w:szCs w:val="20"/>
          <w:lang w:eastAsia="zh-CN"/>
        </w:rPr>
      </w:pPr>
    </w:p>
    <w:p w:rsidR="009677EE" w:rsidRPr="008F648B" w:rsidRDefault="009677EE" w:rsidP="009677EE">
      <w:pPr>
        <w:bidi w:val="0"/>
        <w:snapToGrid w:val="0"/>
        <w:jc w:val="center"/>
        <w:rPr>
          <w:sz w:val="20"/>
          <w:szCs w:val="20"/>
          <w:lang w:bidi="fa-IR"/>
        </w:rPr>
      </w:pPr>
      <w:r w:rsidRPr="008F648B">
        <w:rPr>
          <w:rFonts w:eastAsiaTheme="minorHAnsi"/>
          <w:sz w:val="20"/>
          <w:szCs w:val="20"/>
          <w:lang w:bidi="fa-IR"/>
        </w:rPr>
        <w:t xml:space="preserve">Table 3: </w:t>
      </w:r>
      <w:r w:rsidRPr="008F648B">
        <w:rPr>
          <w:sz w:val="20"/>
          <w:szCs w:val="20"/>
          <w:lang w:bidi="fa-IR"/>
        </w:rPr>
        <w:t>Test results of main first hypotheses and its sub-hypotheses</w:t>
      </w:r>
    </w:p>
    <w:tbl>
      <w:tblPr>
        <w:bidiVisual/>
        <w:tblW w:w="5000" w:type="pct"/>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4A0"/>
      </w:tblPr>
      <w:tblGrid>
        <w:gridCol w:w="2795"/>
        <w:gridCol w:w="1732"/>
        <w:gridCol w:w="1941"/>
        <w:gridCol w:w="3008"/>
      </w:tblGrid>
      <w:tr w:rsidR="00D74380" w:rsidRPr="008F648B" w:rsidTr="008F648B">
        <w:trPr>
          <w:jc w:val="center"/>
        </w:trPr>
        <w:tc>
          <w:tcPr>
            <w:tcW w:w="1475" w:type="pct"/>
            <w:tcBorders>
              <w:bottom w:val="single" w:sz="12" w:space="0" w:color="666666"/>
            </w:tcBorders>
            <w:shd w:val="clear" w:color="auto" w:fill="auto"/>
            <w:vAlign w:val="center"/>
          </w:tcPr>
          <w:p w:rsidR="00D74380" w:rsidRPr="008F648B" w:rsidRDefault="00D74380" w:rsidP="009677EE">
            <w:pPr>
              <w:autoSpaceDE w:val="0"/>
              <w:autoSpaceDN w:val="0"/>
              <w:bidi w:val="0"/>
              <w:adjustRightInd w:val="0"/>
              <w:snapToGrid w:val="0"/>
              <w:jc w:val="both"/>
              <w:rPr>
                <w:rFonts w:eastAsiaTheme="minorHAnsi"/>
                <w:b/>
                <w:bCs/>
                <w:color w:val="000000"/>
                <w:sz w:val="20"/>
                <w:szCs w:val="20"/>
                <w:lang w:bidi="fa-IR"/>
              </w:rPr>
            </w:pPr>
            <w:r w:rsidRPr="008F648B">
              <w:rPr>
                <w:rFonts w:eastAsiaTheme="minorHAnsi"/>
                <w:b/>
                <w:bCs/>
                <w:color w:val="000000"/>
                <w:sz w:val="20"/>
                <w:szCs w:val="20"/>
                <w:lang w:bidi="fa-IR"/>
              </w:rPr>
              <w:t>Chow test result</w:t>
            </w:r>
          </w:p>
        </w:tc>
        <w:tc>
          <w:tcPr>
            <w:tcW w:w="914" w:type="pct"/>
            <w:tcBorders>
              <w:bottom w:val="single" w:sz="12" w:space="0" w:color="666666"/>
            </w:tcBorders>
            <w:shd w:val="clear" w:color="auto" w:fill="auto"/>
            <w:vAlign w:val="center"/>
          </w:tcPr>
          <w:p w:rsidR="00D74380" w:rsidRPr="008F648B" w:rsidRDefault="00D74380" w:rsidP="009677EE">
            <w:pPr>
              <w:autoSpaceDE w:val="0"/>
              <w:autoSpaceDN w:val="0"/>
              <w:bidi w:val="0"/>
              <w:adjustRightInd w:val="0"/>
              <w:snapToGrid w:val="0"/>
              <w:jc w:val="both"/>
              <w:rPr>
                <w:rFonts w:eastAsiaTheme="minorHAnsi"/>
                <w:b/>
                <w:bCs/>
                <w:color w:val="000000"/>
                <w:sz w:val="20"/>
                <w:szCs w:val="20"/>
                <w:lang w:bidi="fa-IR"/>
              </w:rPr>
            </w:pPr>
            <w:r w:rsidRPr="008F648B">
              <w:rPr>
                <w:rFonts w:eastAsiaTheme="minorHAnsi"/>
                <w:b/>
                <w:bCs/>
                <w:sz w:val="20"/>
                <w:szCs w:val="20"/>
                <w:lang w:bidi="fa-IR"/>
              </w:rPr>
              <w:t>Significance level</w:t>
            </w:r>
          </w:p>
        </w:tc>
        <w:tc>
          <w:tcPr>
            <w:tcW w:w="1024" w:type="pct"/>
            <w:tcBorders>
              <w:bottom w:val="single" w:sz="12" w:space="0" w:color="666666"/>
            </w:tcBorders>
            <w:shd w:val="clear" w:color="auto" w:fill="auto"/>
            <w:vAlign w:val="center"/>
          </w:tcPr>
          <w:p w:rsidR="00D74380" w:rsidRPr="008F648B" w:rsidRDefault="00D74380" w:rsidP="009677EE">
            <w:pPr>
              <w:autoSpaceDE w:val="0"/>
              <w:autoSpaceDN w:val="0"/>
              <w:bidi w:val="0"/>
              <w:adjustRightInd w:val="0"/>
              <w:snapToGrid w:val="0"/>
              <w:jc w:val="both"/>
              <w:rPr>
                <w:rFonts w:eastAsiaTheme="minorHAnsi"/>
                <w:b/>
                <w:bCs/>
                <w:color w:val="000000"/>
                <w:sz w:val="20"/>
                <w:szCs w:val="20"/>
                <w:lang w:bidi="fa-IR"/>
              </w:rPr>
            </w:pPr>
            <w:r w:rsidRPr="008F648B">
              <w:rPr>
                <w:rFonts w:eastAsiaTheme="minorHAnsi"/>
                <w:b/>
                <w:bCs/>
                <w:sz w:val="20"/>
                <w:szCs w:val="20"/>
                <w:lang w:bidi="fa-IR"/>
              </w:rPr>
              <w:t>Chi-square statistic</w:t>
            </w:r>
          </w:p>
        </w:tc>
        <w:tc>
          <w:tcPr>
            <w:tcW w:w="1587" w:type="pct"/>
            <w:tcBorders>
              <w:bottom w:val="single" w:sz="12" w:space="0" w:color="666666"/>
            </w:tcBorders>
            <w:shd w:val="clear" w:color="auto" w:fill="auto"/>
            <w:vAlign w:val="center"/>
          </w:tcPr>
          <w:p w:rsidR="00D74380" w:rsidRPr="008F648B" w:rsidRDefault="00D74380" w:rsidP="009677EE">
            <w:pPr>
              <w:autoSpaceDE w:val="0"/>
              <w:autoSpaceDN w:val="0"/>
              <w:bidi w:val="0"/>
              <w:adjustRightInd w:val="0"/>
              <w:snapToGrid w:val="0"/>
              <w:jc w:val="both"/>
              <w:rPr>
                <w:rFonts w:eastAsiaTheme="minorHAnsi"/>
                <w:b/>
                <w:bCs/>
                <w:color w:val="000000"/>
                <w:sz w:val="20"/>
                <w:szCs w:val="20"/>
                <w:lang w:bidi="fa-IR"/>
              </w:rPr>
            </w:pPr>
            <w:r w:rsidRPr="008F648B">
              <w:rPr>
                <w:rFonts w:eastAsiaTheme="minorHAnsi"/>
                <w:b/>
                <w:bCs/>
                <w:color w:val="000000"/>
                <w:sz w:val="20"/>
                <w:szCs w:val="20"/>
                <w:lang w:bidi="fa-IR"/>
              </w:rPr>
              <w:t>Null hypothesis</w:t>
            </w:r>
          </w:p>
        </w:tc>
      </w:tr>
      <w:tr w:rsidR="00D74380" w:rsidRPr="008F648B" w:rsidTr="008F648B">
        <w:trPr>
          <w:jc w:val="center"/>
        </w:trPr>
        <w:tc>
          <w:tcPr>
            <w:tcW w:w="1475" w:type="pct"/>
            <w:shd w:val="clear" w:color="auto" w:fill="auto"/>
            <w:vAlign w:val="center"/>
          </w:tcPr>
          <w:p w:rsidR="00D74380" w:rsidRPr="008F648B" w:rsidRDefault="00D74380" w:rsidP="009677EE">
            <w:pPr>
              <w:autoSpaceDE w:val="0"/>
              <w:autoSpaceDN w:val="0"/>
              <w:bidi w:val="0"/>
              <w:adjustRightInd w:val="0"/>
              <w:snapToGrid w:val="0"/>
              <w:jc w:val="both"/>
              <w:rPr>
                <w:rFonts w:eastAsiaTheme="minorHAnsi"/>
                <w:color w:val="000000"/>
                <w:sz w:val="20"/>
                <w:szCs w:val="20"/>
                <w:lang w:bidi="fa-IR"/>
              </w:rPr>
            </w:pPr>
            <w:r w:rsidRPr="008F648B">
              <w:rPr>
                <w:rFonts w:eastAsiaTheme="minorHAnsi"/>
                <w:color w:val="000000"/>
                <w:sz w:val="20"/>
                <w:szCs w:val="20"/>
                <w:lang w:bidi="fa-IR"/>
              </w:rPr>
              <w:t>The null hypothesis is rejected</w:t>
            </w:r>
          </w:p>
        </w:tc>
        <w:tc>
          <w:tcPr>
            <w:tcW w:w="914" w:type="pct"/>
            <w:shd w:val="clear" w:color="auto" w:fill="auto"/>
            <w:vAlign w:val="center"/>
          </w:tcPr>
          <w:p w:rsidR="00D74380" w:rsidRPr="008F648B" w:rsidRDefault="00D74380" w:rsidP="009677EE">
            <w:pPr>
              <w:autoSpaceDE w:val="0"/>
              <w:autoSpaceDN w:val="0"/>
              <w:bidi w:val="0"/>
              <w:adjustRightInd w:val="0"/>
              <w:snapToGrid w:val="0"/>
              <w:jc w:val="both"/>
              <w:rPr>
                <w:rFonts w:eastAsiaTheme="minorHAnsi"/>
                <w:color w:val="000000"/>
                <w:sz w:val="20"/>
                <w:szCs w:val="20"/>
                <w:lang w:bidi="fa-IR"/>
              </w:rPr>
            </w:pPr>
            <w:r w:rsidRPr="008F648B">
              <w:rPr>
                <w:rFonts w:eastAsiaTheme="minorHAnsi"/>
                <w:color w:val="000000"/>
                <w:sz w:val="20"/>
                <w:szCs w:val="20"/>
                <w:lang w:bidi="fa-IR"/>
              </w:rPr>
              <w:t>0.000</w:t>
            </w:r>
          </w:p>
        </w:tc>
        <w:tc>
          <w:tcPr>
            <w:tcW w:w="1024" w:type="pct"/>
            <w:shd w:val="clear" w:color="auto" w:fill="auto"/>
            <w:vAlign w:val="center"/>
          </w:tcPr>
          <w:p w:rsidR="00D74380" w:rsidRPr="008F648B" w:rsidRDefault="00D74380" w:rsidP="009677EE">
            <w:pPr>
              <w:autoSpaceDE w:val="0"/>
              <w:autoSpaceDN w:val="0"/>
              <w:bidi w:val="0"/>
              <w:adjustRightInd w:val="0"/>
              <w:snapToGrid w:val="0"/>
              <w:jc w:val="both"/>
              <w:rPr>
                <w:rFonts w:eastAsiaTheme="minorHAnsi"/>
                <w:color w:val="000000"/>
                <w:sz w:val="20"/>
                <w:szCs w:val="20"/>
                <w:lang w:bidi="fa-IR"/>
              </w:rPr>
            </w:pPr>
            <w:r w:rsidRPr="008F648B">
              <w:rPr>
                <w:rFonts w:eastAsiaTheme="minorHAnsi"/>
                <w:color w:val="000000"/>
                <w:sz w:val="20"/>
                <w:szCs w:val="20"/>
                <w:lang w:bidi="fa-IR"/>
              </w:rPr>
              <w:t>139.278</w:t>
            </w:r>
          </w:p>
        </w:tc>
        <w:tc>
          <w:tcPr>
            <w:tcW w:w="1587" w:type="pct"/>
            <w:shd w:val="clear" w:color="auto" w:fill="auto"/>
            <w:vAlign w:val="center"/>
          </w:tcPr>
          <w:p w:rsidR="00D74380" w:rsidRPr="008F648B" w:rsidRDefault="00D74380" w:rsidP="009677EE">
            <w:pPr>
              <w:autoSpaceDE w:val="0"/>
              <w:autoSpaceDN w:val="0"/>
              <w:bidi w:val="0"/>
              <w:adjustRightInd w:val="0"/>
              <w:snapToGrid w:val="0"/>
              <w:jc w:val="both"/>
              <w:rPr>
                <w:rFonts w:eastAsiaTheme="minorHAnsi"/>
                <w:color w:val="000000"/>
                <w:sz w:val="20"/>
                <w:szCs w:val="20"/>
                <w:lang w:bidi="fa-IR"/>
              </w:rPr>
            </w:pPr>
            <w:r w:rsidRPr="008F648B">
              <w:rPr>
                <w:rFonts w:eastAsiaTheme="minorHAnsi"/>
                <w:color w:val="000000"/>
                <w:sz w:val="20"/>
                <w:szCs w:val="20"/>
                <w:lang w:bidi="fa-IR"/>
              </w:rPr>
              <w:t>The use of random effects model</w:t>
            </w:r>
          </w:p>
        </w:tc>
      </w:tr>
    </w:tbl>
    <w:p w:rsidR="00A10DB7" w:rsidRPr="008F648B" w:rsidRDefault="00A10DB7" w:rsidP="009677EE">
      <w:pPr>
        <w:bidi w:val="0"/>
        <w:snapToGrid w:val="0"/>
        <w:ind w:firstLine="425"/>
        <w:jc w:val="both"/>
        <w:rPr>
          <w:rFonts w:eastAsiaTheme="minorEastAsia"/>
          <w:sz w:val="20"/>
          <w:lang w:eastAsia="zh-CN"/>
        </w:rPr>
      </w:pPr>
    </w:p>
    <w:p w:rsidR="009677EE" w:rsidRDefault="009677EE" w:rsidP="009677EE">
      <w:pPr>
        <w:bidi w:val="0"/>
        <w:snapToGrid w:val="0"/>
        <w:ind w:firstLine="425"/>
        <w:jc w:val="both"/>
        <w:rPr>
          <w:rFonts w:eastAsiaTheme="minorEastAsia"/>
          <w:sz w:val="20"/>
          <w:lang w:eastAsia="zh-CN"/>
        </w:rPr>
        <w:sectPr w:rsidR="009677EE" w:rsidSect="009677EE">
          <w:type w:val="continuous"/>
          <w:pgSz w:w="12242" w:h="15842" w:code="1"/>
          <w:pgMar w:top="1440" w:right="1440" w:bottom="1440" w:left="1440" w:header="720" w:footer="720" w:gutter="0"/>
          <w:cols w:space="600"/>
          <w:docGrid w:linePitch="360"/>
        </w:sectPr>
      </w:pPr>
    </w:p>
    <w:p w:rsidR="002C0609" w:rsidRPr="008F648B" w:rsidRDefault="00CB69EA" w:rsidP="009677EE">
      <w:pPr>
        <w:bidi w:val="0"/>
        <w:snapToGrid w:val="0"/>
        <w:ind w:firstLine="425"/>
        <w:jc w:val="both"/>
        <w:rPr>
          <w:sz w:val="20"/>
          <w:lang w:bidi="fa-IR"/>
        </w:rPr>
      </w:pPr>
      <w:r w:rsidRPr="008F648B">
        <w:rPr>
          <w:sz w:val="20"/>
        </w:rPr>
        <w:lastRenderedPageBreak/>
        <w:t xml:space="preserve">With regard to the table </w:t>
      </w:r>
      <w:r w:rsidR="00200E9F" w:rsidRPr="008F648B">
        <w:rPr>
          <w:sz w:val="20"/>
        </w:rPr>
        <w:t>4</w:t>
      </w:r>
      <w:r w:rsidRPr="008F648B">
        <w:rPr>
          <w:sz w:val="20"/>
        </w:rPr>
        <w:t xml:space="preserve">, significant level of </w:t>
      </w:r>
      <w:proofErr w:type="spellStart"/>
      <w:r w:rsidRPr="008F648B">
        <w:rPr>
          <w:sz w:val="20"/>
        </w:rPr>
        <w:t>Hausman</w:t>
      </w:r>
      <w:proofErr w:type="spellEnd"/>
      <w:r w:rsidRPr="008F648B">
        <w:rPr>
          <w:sz w:val="20"/>
        </w:rPr>
        <w:t xml:space="preserve"> test is less than 5%. Thus, to estimate the </w:t>
      </w:r>
      <w:r w:rsidRPr="008F648B">
        <w:rPr>
          <w:sz w:val="20"/>
        </w:rPr>
        <w:lastRenderedPageBreak/>
        <w:t xml:space="preserve">mentioned model coefficients is used the fixed effects model. </w:t>
      </w:r>
    </w:p>
    <w:p w:rsidR="00A10DB7" w:rsidRPr="008F648B" w:rsidRDefault="00A10DB7" w:rsidP="009677EE">
      <w:pPr>
        <w:bidi w:val="0"/>
        <w:snapToGrid w:val="0"/>
        <w:jc w:val="both"/>
        <w:rPr>
          <w:b/>
          <w:bCs/>
          <w:sz w:val="20"/>
        </w:rPr>
        <w:sectPr w:rsidR="00A10DB7" w:rsidRPr="008F648B" w:rsidSect="009677EE">
          <w:type w:val="continuous"/>
          <w:pgSz w:w="12242" w:h="15842" w:code="1"/>
          <w:pgMar w:top="1440" w:right="1440" w:bottom="1440" w:left="1440" w:header="720" w:footer="720" w:gutter="0"/>
          <w:cols w:num="2" w:space="600"/>
          <w:docGrid w:linePitch="360"/>
        </w:sectPr>
      </w:pPr>
    </w:p>
    <w:p w:rsidR="009677EE" w:rsidRDefault="009677EE">
      <w:pPr>
        <w:bidi w:val="0"/>
        <w:spacing w:after="160" w:line="259" w:lineRule="auto"/>
        <w:rPr>
          <w:rFonts w:eastAsiaTheme="minorEastAsia" w:hint="eastAsia"/>
          <w:lang w:eastAsia="zh-CN"/>
        </w:rPr>
      </w:pPr>
    </w:p>
    <w:p w:rsidR="00920ED7" w:rsidRDefault="00920ED7" w:rsidP="00920ED7">
      <w:pPr>
        <w:bidi w:val="0"/>
        <w:spacing w:after="160" w:line="259" w:lineRule="auto"/>
        <w:rPr>
          <w:rFonts w:eastAsiaTheme="minorEastAsia"/>
          <w:lang w:eastAsia="zh-CN"/>
        </w:rPr>
      </w:pPr>
    </w:p>
    <w:p w:rsidR="009677EE" w:rsidRPr="008F648B" w:rsidRDefault="009677EE" w:rsidP="009677EE">
      <w:pPr>
        <w:bidi w:val="0"/>
        <w:snapToGrid w:val="0"/>
        <w:jc w:val="center"/>
        <w:rPr>
          <w:sz w:val="20"/>
          <w:szCs w:val="20"/>
          <w:lang w:bidi="fa-IR"/>
        </w:rPr>
      </w:pPr>
      <w:r w:rsidRPr="008F648B">
        <w:rPr>
          <w:rFonts w:eastAsiaTheme="minorHAnsi"/>
          <w:sz w:val="20"/>
          <w:szCs w:val="20"/>
          <w:lang w:bidi="fa-IR"/>
        </w:rPr>
        <w:lastRenderedPageBreak/>
        <w:t xml:space="preserve">Table 4: </w:t>
      </w:r>
      <w:r w:rsidRPr="008F648B">
        <w:rPr>
          <w:sz w:val="20"/>
          <w:szCs w:val="20"/>
          <w:lang w:bidi="fa-IR"/>
        </w:rPr>
        <w:t>Test results of main first hypotheses and its sub-hypotheses</w:t>
      </w:r>
    </w:p>
    <w:tbl>
      <w:tblPr>
        <w:tblStyle w:val="TableGrid"/>
        <w:tblW w:w="5000" w:type="pct"/>
        <w:jc w:val="center"/>
        <w:tblCellMar>
          <w:left w:w="57" w:type="dxa"/>
          <w:right w:w="57" w:type="dxa"/>
        </w:tblCellMar>
        <w:tblLook w:val="04A0"/>
      </w:tblPr>
      <w:tblGrid>
        <w:gridCol w:w="3288"/>
        <w:gridCol w:w="1736"/>
        <w:gridCol w:w="1308"/>
        <w:gridCol w:w="1628"/>
        <w:gridCol w:w="1516"/>
      </w:tblGrid>
      <w:tr w:rsidR="00526E91" w:rsidRPr="008F648B" w:rsidTr="009677EE">
        <w:trPr>
          <w:jc w:val="center"/>
        </w:trPr>
        <w:tc>
          <w:tcPr>
            <w:tcW w:w="1735" w:type="pct"/>
            <w:vAlign w:val="center"/>
          </w:tcPr>
          <w:p w:rsidR="00526E91" w:rsidRPr="008F648B" w:rsidRDefault="00526E91" w:rsidP="009677EE">
            <w:pPr>
              <w:bidi w:val="0"/>
              <w:snapToGrid w:val="0"/>
              <w:jc w:val="both"/>
              <w:rPr>
                <w:b/>
                <w:bCs/>
                <w:sz w:val="20"/>
                <w:szCs w:val="20"/>
              </w:rPr>
            </w:pPr>
            <w:r w:rsidRPr="008F648B">
              <w:rPr>
                <w:b/>
                <w:bCs/>
                <w:sz w:val="20"/>
                <w:szCs w:val="20"/>
              </w:rPr>
              <w:t>Variable</w:t>
            </w:r>
          </w:p>
        </w:tc>
        <w:tc>
          <w:tcPr>
            <w:tcW w:w="916" w:type="pct"/>
            <w:vAlign w:val="center"/>
          </w:tcPr>
          <w:p w:rsidR="00526E91" w:rsidRPr="008F648B" w:rsidRDefault="00526E91" w:rsidP="009677EE">
            <w:pPr>
              <w:bidi w:val="0"/>
              <w:snapToGrid w:val="0"/>
              <w:jc w:val="both"/>
              <w:rPr>
                <w:b/>
                <w:bCs/>
                <w:sz w:val="20"/>
                <w:szCs w:val="20"/>
              </w:rPr>
            </w:pPr>
            <w:r w:rsidRPr="008F648B">
              <w:rPr>
                <w:b/>
                <w:bCs/>
                <w:sz w:val="20"/>
                <w:szCs w:val="20"/>
              </w:rPr>
              <w:t>Significance level</w:t>
            </w:r>
          </w:p>
        </w:tc>
        <w:tc>
          <w:tcPr>
            <w:tcW w:w="690" w:type="pct"/>
            <w:vAlign w:val="center"/>
          </w:tcPr>
          <w:p w:rsidR="00526E91" w:rsidRPr="008F648B" w:rsidRDefault="00526E91" w:rsidP="009677EE">
            <w:pPr>
              <w:bidi w:val="0"/>
              <w:snapToGrid w:val="0"/>
              <w:jc w:val="both"/>
              <w:rPr>
                <w:b/>
                <w:bCs/>
                <w:sz w:val="20"/>
                <w:szCs w:val="20"/>
              </w:rPr>
            </w:pPr>
            <w:r w:rsidRPr="008F648B">
              <w:rPr>
                <w:b/>
                <w:bCs/>
                <w:sz w:val="20"/>
                <w:szCs w:val="20"/>
              </w:rPr>
              <w:t>t-statistic</w:t>
            </w:r>
          </w:p>
        </w:tc>
        <w:tc>
          <w:tcPr>
            <w:tcW w:w="859" w:type="pct"/>
            <w:vAlign w:val="center"/>
          </w:tcPr>
          <w:p w:rsidR="00526E91" w:rsidRPr="008F648B" w:rsidRDefault="00526E91" w:rsidP="009677EE">
            <w:pPr>
              <w:bidi w:val="0"/>
              <w:snapToGrid w:val="0"/>
              <w:jc w:val="both"/>
              <w:rPr>
                <w:b/>
                <w:bCs/>
                <w:sz w:val="20"/>
                <w:szCs w:val="20"/>
              </w:rPr>
            </w:pPr>
            <w:r w:rsidRPr="008F648B">
              <w:rPr>
                <w:b/>
                <w:bCs/>
                <w:sz w:val="20"/>
                <w:szCs w:val="20"/>
              </w:rPr>
              <w:t>Coefficients</w:t>
            </w:r>
          </w:p>
        </w:tc>
        <w:tc>
          <w:tcPr>
            <w:tcW w:w="800" w:type="pct"/>
            <w:vAlign w:val="center"/>
          </w:tcPr>
          <w:p w:rsidR="00526E91" w:rsidRPr="008F648B" w:rsidRDefault="00526E91" w:rsidP="009677EE">
            <w:pPr>
              <w:bidi w:val="0"/>
              <w:snapToGrid w:val="0"/>
              <w:jc w:val="both"/>
              <w:rPr>
                <w:b/>
                <w:bCs/>
                <w:sz w:val="20"/>
                <w:szCs w:val="20"/>
              </w:rPr>
            </w:pPr>
            <w:r w:rsidRPr="008F648B">
              <w:rPr>
                <w:b/>
                <w:bCs/>
                <w:sz w:val="20"/>
                <w:szCs w:val="20"/>
              </w:rPr>
              <w:t>standard error</w:t>
            </w:r>
          </w:p>
        </w:tc>
      </w:tr>
      <w:tr w:rsidR="00526E91" w:rsidRPr="008F648B" w:rsidTr="009677EE">
        <w:trPr>
          <w:jc w:val="center"/>
        </w:trPr>
        <w:tc>
          <w:tcPr>
            <w:tcW w:w="1735" w:type="pct"/>
            <w:vAlign w:val="center"/>
          </w:tcPr>
          <w:p w:rsidR="00526E91" w:rsidRPr="008F648B" w:rsidRDefault="00526E91" w:rsidP="009677EE">
            <w:pPr>
              <w:bidi w:val="0"/>
              <w:snapToGrid w:val="0"/>
              <w:jc w:val="both"/>
              <w:rPr>
                <w:sz w:val="20"/>
                <w:szCs w:val="20"/>
              </w:rPr>
            </w:pPr>
            <w:r w:rsidRPr="008F648B">
              <w:rPr>
                <w:sz w:val="20"/>
                <w:szCs w:val="20"/>
              </w:rPr>
              <w:t>Fixed value</w:t>
            </w:r>
          </w:p>
        </w:tc>
        <w:tc>
          <w:tcPr>
            <w:tcW w:w="916" w:type="pct"/>
            <w:vAlign w:val="center"/>
          </w:tcPr>
          <w:p w:rsidR="00526E91" w:rsidRPr="008F648B" w:rsidRDefault="00526E91" w:rsidP="009677EE">
            <w:pPr>
              <w:bidi w:val="0"/>
              <w:snapToGrid w:val="0"/>
              <w:jc w:val="both"/>
              <w:rPr>
                <w:sz w:val="20"/>
                <w:szCs w:val="20"/>
              </w:rPr>
            </w:pPr>
            <w:r w:rsidRPr="008F648B">
              <w:rPr>
                <w:sz w:val="20"/>
                <w:szCs w:val="20"/>
              </w:rPr>
              <w:t>0.</w:t>
            </w:r>
            <w:r w:rsidR="002C0609" w:rsidRPr="008F648B">
              <w:rPr>
                <w:sz w:val="20"/>
                <w:szCs w:val="20"/>
              </w:rPr>
              <w:t>000</w:t>
            </w:r>
          </w:p>
        </w:tc>
        <w:tc>
          <w:tcPr>
            <w:tcW w:w="690" w:type="pct"/>
            <w:vAlign w:val="center"/>
          </w:tcPr>
          <w:p w:rsidR="00526E91" w:rsidRPr="008F648B" w:rsidRDefault="00B85614" w:rsidP="009677EE">
            <w:pPr>
              <w:bidi w:val="0"/>
              <w:snapToGrid w:val="0"/>
              <w:jc w:val="both"/>
              <w:rPr>
                <w:sz w:val="20"/>
                <w:szCs w:val="20"/>
              </w:rPr>
            </w:pPr>
            <w:r w:rsidRPr="008F648B">
              <w:rPr>
                <w:sz w:val="20"/>
                <w:szCs w:val="20"/>
              </w:rPr>
              <w:t>-10.98</w:t>
            </w:r>
          </w:p>
        </w:tc>
        <w:tc>
          <w:tcPr>
            <w:tcW w:w="859" w:type="pct"/>
            <w:vAlign w:val="center"/>
          </w:tcPr>
          <w:p w:rsidR="00526E91" w:rsidRPr="008F648B" w:rsidRDefault="00526E91" w:rsidP="009677EE">
            <w:pPr>
              <w:bidi w:val="0"/>
              <w:snapToGrid w:val="0"/>
              <w:jc w:val="both"/>
              <w:rPr>
                <w:sz w:val="20"/>
                <w:szCs w:val="20"/>
              </w:rPr>
            </w:pPr>
            <w:r w:rsidRPr="008F648B">
              <w:rPr>
                <w:sz w:val="20"/>
                <w:szCs w:val="20"/>
              </w:rPr>
              <w:t>-</w:t>
            </w:r>
            <w:r w:rsidR="00B85614" w:rsidRPr="008F648B">
              <w:rPr>
                <w:sz w:val="20"/>
                <w:szCs w:val="20"/>
              </w:rPr>
              <w:t>30</w:t>
            </w:r>
            <w:r w:rsidRPr="008F648B">
              <w:rPr>
                <w:sz w:val="20"/>
                <w:szCs w:val="20"/>
              </w:rPr>
              <w:t>.</w:t>
            </w:r>
            <w:r w:rsidR="00B85614" w:rsidRPr="008F648B">
              <w:rPr>
                <w:sz w:val="20"/>
                <w:szCs w:val="20"/>
              </w:rPr>
              <w:t>91</w:t>
            </w:r>
          </w:p>
        </w:tc>
        <w:tc>
          <w:tcPr>
            <w:tcW w:w="800" w:type="pct"/>
            <w:vAlign w:val="center"/>
          </w:tcPr>
          <w:p w:rsidR="00526E91" w:rsidRPr="008F648B" w:rsidRDefault="00B85614" w:rsidP="009677EE">
            <w:pPr>
              <w:bidi w:val="0"/>
              <w:snapToGrid w:val="0"/>
              <w:jc w:val="both"/>
              <w:rPr>
                <w:sz w:val="20"/>
                <w:szCs w:val="20"/>
              </w:rPr>
            </w:pPr>
            <w:r w:rsidRPr="008F648B">
              <w:rPr>
                <w:sz w:val="20"/>
                <w:szCs w:val="20"/>
              </w:rPr>
              <w:t>2.81</w:t>
            </w:r>
          </w:p>
        </w:tc>
      </w:tr>
      <w:tr w:rsidR="002C0609" w:rsidRPr="008F648B" w:rsidTr="009677EE">
        <w:trPr>
          <w:jc w:val="center"/>
        </w:trPr>
        <w:tc>
          <w:tcPr>
            <w:tcW w:w="1735" w:type="pct"/>
            <w:vAlign w:val="center"/>
          </w:tcPr>
          <w:p w:rsidR="002C0609" w:rsidRPr="008F648B" w:rsidRDefault="002C0609" w:rsidP="009677EE">
            <w:pPr>
              <w:autoSpaceDE w:val="0"/>
              <w:autoSpaceDN w:val="0"/>
              <w:bidi w:val="0"/>
              <w:adjustRightInd w:val="0"/>
              <w:snapToGrid w:val="0"/>
              <w:jc w:val="both"/>
              <w:rPr>
                <w:sz w:val="20"/>
                <w:szCs w:val="20"/>
              </w:rPr>
            </w:pPr>
            <w:r w:rsidRPr="008F648B">
              <w:rPr>
                <w:color w:val="000000" w:themeColor="text1"/>
                <w:sz w:val="20"/>
                <w:szCs w:val="20"/>
              </w:rPr>
              <w:t>ACP</w:t>
            </w:r>
          </w:p>
        </w:tc>
        <w:tc>
          <w:tcPr>
            <w:tcW w:w="916" w:type="pct"/>
            <w:vAlign w:val="center"/>
          </w:tcPr>
          <w:p w:rsidR="002C0609" w:rsidRPr="008F648B" w:rsidRDefault="002C0609" w:rsidP="009677EE">
            <w:pPr>
              <w:bidi w:val="0"/>
              <w:snapToGrid w:val="0"/>
              <w:jc w:val="both"/>
              <w:rPr>
                <w:sz w:val="20"/>
                <w:szCs w:val="20"/>
              </w:rPr>
            </w:pPr>
            <w:r w:rsidRPr="008F648B">
              <w:rPr>
                <w:sz w:val="20"/>
                <w:szCs w:val="20"/>
              </w:rPr>
              <w:t>0.000</w:t>
            </w:r>
          </w:p>
        </w:tc>
        <w:tc>
          <w:tcPr>
            <w:tcW w:w="690" w:type="pct"/>
            <w:vAlign w:val="center"/>
          </w:tcPr>
          <w:p w:rsidR="002C0609" w:rsidRPr="008F648B" w:rsidRDefault="00B85614" w:rsidP="009677EE">
            <w:pPr>
              <w:bidi w:val="0"/>
              <w:snapToGrid w:val="0"/>
              <w:jc w:val="both"/>
              <w:rPr>
                <w:sz w:val="20"/>
                <w:szCs w:val="20"/>
              </w:rPr>
            </w:pPr>
            <w:r w:rsidRPr="008F648B">
              <w:rPr>
                <w:sz w:val="20"/>
                <w:szCs w:val="20"/>
              </w:rPr>
              <w:t>-4.26</w:t>
            </w:r>
          </w:p>
        </w:tc>
        <w:tc>
          <w:tcPr>
            <w:tcW w:w="859" w:type="pct"/>
            <w:vAlign w:val="center"/>
          </w:tcPr>
          <w:p w:rsidR="002C0609" w:rsidRPr="008F648B" w:rsidRDefault="00B85614" w:rsidP="009677EE">
            <w:pPr>
              <w:bidi w:val="0"/>
              <w:snapToGrid w:val="0"/>
              <w:jc w:val="both"/>
              <w:rPr>
                <w:sz w:val="20"/>
                <w:szCs w:val="20"/>
              </w:rPr>
            </w:pPr>
            <w:r w:rsidRPr="008F648B">
              <w:rPr>
                <w:sz w:val="20"/>
                <w:szCs w:val="20"/>
              </w:rPr>
              <w:t>-0.53</w:t>
            </w:r>
          </w:p>
        </w:tc>
        <w:tc>
          <w:tcPr>
            <w:tcW w:w="800" w:type="pct"/>
            <w:vAlign w:val="center"/>
          </w:tcPr>
          <w:p w:rsidR="002C0609" w:rsidRPr="008F648B" w:rsidRDefault="002C0609" w:rsidP="009677EE">
            <w:pPr>
              <w:bidi w:val="0"/>
              <w:snapToGrid w:val="0"/>
              <w:jc w:val="both"/>
              <w:rPr>
                <w:sz w:val="20"/>
                <w:szCs w:val="20"/>
              </w:rPr>
            </w:pPr>
            <w:r w:rsidRPr="008F648B">
              <w:rPr>
                <w:sz w:val="20"/>
                <w:szCs w:val="20"/>
              </w:rPr>
              <w:t>0.</w:t>
            </w:r>
            <w:r w:rsidR="00B85614" w:rsidRPr="008F648B">
              <w:rPr>
                <w:sz w:val="20"/>
                <w:szCs w:val="20"/>
              </w:rPr>
              <w:t>014</w:t>
            </w:r>
          </w:p>
        </w:tc>
      </w:tr>
      <w:tr w:rsidR="002C0609" w:rsidRPr="008F648B" w:rsidTr="009677EE">
        <w:trPr>
          <w:jc w:val="center"/>
        </w:trPr>
        <w:tc>
          <w:tcPr>
            <w:tcW w:w="1735" w:type="pct"/>
            <w:vAlign w:val="center"/>
          </w:tcPr>
          <w:p w:rsidR="002C0609" w:rsidRPr="008F648B" w:rsidRDefault="002C0609" w:rsidP="009677EE">
            <w:pPr>
              <w:autoSpaceDE w:val="0"/>
              <w:autoSpaceDN w:val="0"/>
              <w:bidi w:val="0"/>
              <w:adjustRightInd w:val="0"/>
              <w:snapToGrid w:val="0"/>
              <w:jc w:val="both"/>
              <w:rPr>
                <w:sz w:val="20"/>
                <w:szCs w:val="20"/>
              </w:rPr>
            </w:pPr>
            <w:r w:rsidRPr="008F648B">
              <w:rPr>
                <w:color w:val="000000" w:themeColor="text1"/>
                <w:sz w:val="20"/>
                <w:szCs w:val="20"/>
              </w:rPr>
              <w:t>ITID</w:t>
            </w:r>
          </w:p>
        </w:tc>
        <w:tc>
          <w:tcPr>
            <w:tcW w:w="916" w:type="pct"/>
            <w:vAlign w:val="center"/>
          </w:tcPr>
          <w:p w:rsidR="002C0609" w:rsidRPr="008F648B" w:rsidRDefault="002C0609" w:rsidP="009677EE">
            <w:pPr>
              <w:bidi w:val="0"/>
              <w:snapToGrid w:val="0"/>
              <w:jc w:val="both"/>
              <w:rPr>
                <w:sz w:val="20"/>
                <w:szCs w:val="20"/>
              </w:rPr>
            </w:pPr>
            <w:r w:rsidRPr="008F648B">
              <w:rPr>
                <w:sz w:val="20"/>
                <w:szCs w:val="20"/>
              </w:rPr>
              <w:t>0.0391</w:t>
            </w:r>
          </w:p>
        </w:tc>
        <w:tc>
          <w:tcPr>
            <w:tcW w:w="690" w:type="pct"/>
            <w:vAlign w:val="center"/>
          </w:tcPr>
          <w:p w:rsidR="002C0609" w:rsidRPr="008F648B" w:rsidRDefault="002C0609" w:rsidP="009677EE">
            <w:pPr>
              <w:bidi w:val="0"/>
              <w:snapToGrid w:val="0"/>
              <w:jc w:val="both"/>
              <w:rPr>
                <w:sz w:val="20"/>
                <w:szCs w:val="20"/>
              </w:rPr>
            </w:pPr>
            <w:r w:rsidRPr="008F648B">
              <w:rPr>
                <w:sz w:val="20"/>
                <w:szCs w:val="20"/>
              </w:rPr>
              <w:t>-2.27</w:t>
            </w:r>
          </w:p>
        </w:tc>
        <w:tc>
          <w:tcPr>
            <w:tcW w:w="859" w:type="pct"/>
            <w:vAlign w:val="center"/>
          </w:tcPr>
          <w:p w:rsidR="002C0609" w:rsidRPr="008F648B" w:rsidRDefault="002C0609" w:rsidP="009677EE">
            <w:pPr>
              <w:bidi w:val="0"/>
              <w:snapToGrid w:val="0"/>
              <w:jc w:val="both"/>
              <w:rPr>
                <w:sz w:val="20"/>
                <w:szCs w:val="20"/>
              </w:rPr>
            </w:pPr>
            <w:r w:rsidRPr="008F648B">
              <w:rPr>
                <w:sz w:val="20"/>
                <w:szCs w:val="20"/>
              </w:rPr>
              <w:t>-0.</w:t>
            </w:r>
            <w:r w:rsidR="00B85614" w:rsidRPr="008F648B">
              <w:rPr>
                <w:sz w:val="20"/>
                <w:szCs w:val="20"/>
              </w:rPr>
              <w:t>43</w:t>
            </w:r>
          </w:p>
        </w:tc>
        <w:tc>
          <w:tcPr>
            <w:tcW w:w="800" w:type="pct"/>
            <w:vAlign w:val="center"/>
          </w:tcPr>
          <w:p w:rsidR="002C0609" w:rsidRPr="008F648B" w:rsidRDefault="002C0609" w:rsidP="009677EE">
            <w:pPr>
              <w:bidi w:val="0"/>
              <w:snapToGrid w:val="0"/>
              <w:jc w:val="both"/>
              <w:rPr>
                <w:sz w:val="20"/>
                <w:szCs w:val="20"/>
              </w:rPr>
            </w:pPr>
            <w:r w:rsidRPr="008F648B">
              <w:rPr>
                <w:sz w:val="20"/>
                <w:szCs w:val="20"/>
              </w:rPr>
              <w:t>0.</w:t>
            </w:r>
            <w:r w:rsidR="00B85614" w:rsidRPr="008F648B">
              <w:rPr>
                <w:sz w:val="20"/>
                <w:szCs w:val="20"/>
              </w:rPr>
              <w:t>015</w:t>
            </w:r>
          </w:p>
        </w:tc>
      </w:tr>
      <w:tr w:rsidR="002C0609" w:rsidRPr="008F648B" w:rsidTr="009677EE">
        <w:trPr>
          <w:jc w:val="center"/>
        </w:trPr>
        <w:tc>
          <w:tcPr>
            <w:tcW w:w="1735" w:type="pct"/>
            <w:vAlign w:val="center"/>
          </w:tcPr>
          <w:p w:rsidR="002C0609" w:rsidRPr="008F648B" w:rsidRDefault="002C0609" w:rsidP="009677EE">
            <w:pPr>
              <w:autoSpaceDE w:val="0"/>
              <w:autoSpaceDN w:val="0"/>
              <w:bidi w:val="0"/>
              <w:adjustRightInd w:val="0"/>
              <w:snapToGrid w:val="0"/>
              <w:jc w:val="both"/>
              <w:rPr>
                <w:sz w:val="20"/>
                <w:szCs w:val="20"/>
              </w:rPr>
            </w:pPr>
            <w:r w:rsidRPr="008F648B">
              <w:rPr>
                <w:color w:val="000000" w:themeColor="text1"/>
                <w:sz w:val="20"/>
                <w:szCs w:val="20"/>
              </w:rPr>
              <w:t>APP</w:t>
            </w:r>
          </w:p>
        </w:tc>
        <w:tc>
          <w:tcPr>
            <w:tcW w:w="916" w:type="pct"/>
            <w:vAlign w:val="center"/>
          </w:tcPr>
          <w:p w:rsidR="002C0609" w:rsidRPr="008F648B" w:rsidRDefault="002C0609" w:rsidP="009677EE">
            <w:pPr>
              <w:bidi w:val="0"/>
              <w:snapToGrid w:val="0"/>
              <w:jc w:val="both"/>
              <w:rPr>
                <w:sz w:val="20"/>
                <w:szCs w:val="20"/>
              </w:rPr>
            </w:pPr>
            <w:r w:rsidRPr="008F648B">
              <w:rPr>
                <w:sz w:val="20"/>
                <w:szCs w:val="20"/>
              </w:rPr>
              <w:t>0.000</w:t>
            </w:r>
          </w:p>
        </w:tc>
        <w:tc>
          <w:tcPr>
            <w:tcW w:w="690" w:type="pct"/>
            <w:vAlign w:val="center"/>
          </w:tcPr>
          <w:p w:rsidR="002C0609" w:rsidRPr="008F648B" w:rsidRDefault="00B85614" w:rsidP="009677EE">
            <w:pPr>
              <w:bidi w:val="0"/>
              <w:snapToGrid w:val="0"/>
              <w:jc w:val="both"/>
              <w:rPr>
                <w:sz w:val="20"/>
                <w:szCs w:val="20"/>
              </w:rPr>
            </w:pPr>
            <w:r w:rsidRPr="008F648B">
              <w:rPr>
                <w:sz w:val="20"/>
                <w:szCs w:val="20"/>
              </w:rPr>
              <w:t>-3.36</w:t>
            </w:r>
          </w:p>
        </w:tc>
        <w:tc>
          <w:tcPr>
            <w:tcW w:w="859" w:type="pct"/>
            <w:vAlign w:val="center"/>
          </w:tcPr>
          <w:p w:rsidR="002C0609" w:rsidRPr="008F648B" w:rsidRDefault="00B85614" w:rsidP="009677EE">
            <w:pPr>
              <w:bidi w:val="0"/>
              <w:snapToGrid w:val="0"/>
              <w:jc w:val="both"/>
              <w:rPr>
                <w:sz w:val="20"/>
                <w:szCs w:val="20"/>
              </w:rPr>
            </w:pPr>
            <w:r w:rsidRPr="008F648B">
              <w:rPr>
                <w:sz w:val="20"/>
                <w:szCs w:val="20"/>
              </w:rPr>
              <w:t>-1.02</w:t>
            </w:r>
          </w:p>
        </w:tc>
        <w:tc>
          <w:tcPr>
            <w:tcW w:w="800" w:type="pct"/>
            <w:vAlign w:val="center"/>
          </w:tcPr>
          <w:p w:rsidR="002C0609" w:rsidRPr="008F648B" w:rsidRDefault="00B85614" w:rsidP="009677EE">
            <w:pPr>
              <w:bidi w:val="0"/>
              <w:snapToGrid w:val="0"/>
              <w:jc w:val="both"/>
              <w:rPr>
                <w:sz w:val="20"/>
                <w:szCs w:val="20"/>
              </w:rPr>
            </w:pPr>
            <w:r w:rsidRPr="008F648B">
              <w:rPr>
                <w:sz w:val="20"/>
                <w:szCs w:val="20"/>
              </w:rPr>
              <w:t>0.021</w:t>
            </w:r>
          </w:p>
        </w:tc>
      </w:tr>
      <w:tr w:rsidR="002C0609" w:rsidRPr="008F648B" w:rsidTr="009677EE">
        <w:trPr>
          <w:jc w:val="center"/>
        </w:trPr>
        <w:tc>
          <w:tcPr>
            <w:tcW w:w="1735" w:type="pct"/>
            <w:vAlign w:val="center"/>
          </w:tcPr>
          <w:p w:rsidR="002C0609" w:rsidRPr="008F648B" w:rsidRDefault="002C0609" w:rsidP="009677EE">
            <w:pPr>
              <w:autoSpaceDE w:val="0"/>
              <w:autoSpaceDN w:val="0"/>
              <w:bidi w:val="0"/>
              <w:adjustRightInd w:val="0"/>
              <w:snapToGrid w:val="0"/>
              <w:jc w:val="both"/>
              <w:rPr>
                <w:sz w:val="20"/>
                <w:szCs w:val="20"/>
              </w:rPr>
            </w:pPr>
            <w:r w:rsidRPr="008F648B">
              <w:rPr>
                <w:color w:val="000000" w:themeColor="text1"/>
                <w:sz w:val="20"/>
                <w:szCs w:val="20"/>
              </w:rPr>
              <w:t>FCF</w:t>
            </w:r>
          </w:p>
        </w:tc>
        <w:tc>
          <w:tcPr>
            <w:tcW w:w="916" w:type="pct"/>
            <w:vAlign w:val="center"/>
          </w:tcPr>
          <w:p w:rsidR="002C0609" w:rsidRPr="008F648B" w:rsidRDefault="002C0609" w:rsidP="009677EE">
            <w:pPr>
              <w:bidi w:val="0"/>
              <w:snapToGrid w:val="0"/>
              <w:jc w:val="both"/>
              <w:rPr>
                <w:sz w:val="20"/>
                <w:szCs w:val="20"/>
              </w:rPr>
            </w:pPr>
            <w:r w:rsidRPr="008F648B">
              <w:rPr>
                <w:sz w:val="20"/>
                <w:szCs w:val="20"/>
              </w:rPr>
              <w:t>0.0113</w:t>
            </w:r>
          </w:p>
        </w:tc>
        <w:tc>
          <w:tcPr>
            <w:tcW w:w="690" w:type="pct"/>
            <w:vAlign w:val="center"/>
          </w:tcPr>
          <w:p w:rsidR="002C0609" w:rsidRPr="008F648B" w:rsidRDefault="00B85614" w:rsidP="009677EE">
            <w:pPr>
              <w:bidi w:val="0"/>
              <w:snapToGrid w:val="0"/>
              <w:jc w:val="both"/>
              <w:rPr>
                <w:sz w:val="20"/>
                <w:szCs w:val="20"/>
              </w:rPr>
            </w:pPr>
            <w:r w:rsidRPr="008F648B">
              <w:rPr>
                <w:sz w:val="20"/>
                <w:szCs w:val="20"/>
              </w:rPr>
              <w:t>12.98</w:t>
            </w:r>
          </w:p>
        </w:tc>
        <w:tc>
          <w:tcPr>
            <w:tcW w:w="859" w:type="pct"/>
            <w:vAlign w:val="center"/>
          </w:tcPr>
          <w:p w:rsidR="002C0609" w:rsidRPr="008F648B" w:rsidRDefault="00B85614" w:rsidP="009677EE">
            <w:pPr>
              <w:bidi w:val="0"/>
              <w:snapToGrid w:val="0"/>
              <w:jc w:val="both"/>
              <w:rPr>
                <w:sz w:val="20"/>
                <w:szCs w:val="20"/>
              </w:rPr>
            </w:pPr>
            <w:r w:rsidRPr="008F648B">
              <w:rPr>
                <w:sz w:val="20"/>
                <w:szCs w:val="20"/>
              </w:rPr>
              <w:t>12.35</w:t>
            </w:r>
          </w:p>
        </w:tc>
        <w:tc>
          <w:tcPr>
            <w:tcW w:w="800" w:type="pct"/>
            <w:vAlign w:val="center"/>
          </w:tcPr>
          <w:p w:rsidR="002C0609" w:rsidRPr="008F648B" w:rsidRDefault="00B85614" w:rsidP="009677EE">
            <w:pPr>
              <w:bidi w:val="0"/>
              <w:snapToGrid w:val="0"/>
              <w:jc w:val="both"/>
              <w:rPr>
                <w:sz w:val="20"/>
                <w:szCs w:val="20"/>
              </w:rPr>
            </w:pPr>
            <w:r w:rsidRPr="008F648B">
              <w:rPr>
                <w:sz w:val="20"/>
                <w:szCs w:val="20"/>
              </w:rPr>
              <w:t>6.60</w:t>
            </w:r>
          </w:p>
        </w:tc>
      </w:tr>
      <w:tr w:rsidR="002C0609" w:rsidRPr="008F648B" w:rsidTr="009677EE">
        <w:trPr>
          <w:jc w:val="center"/>
        </w:trPr>
        <w:tc>
          <w:tcPr>
            <w:tcW w:w="1735" w:type="pct"/>
            <w:vAlign w:val="center"/>
          </w:tcPr>
          <w:p w:rsidR="002C0609" w:rsidRPr="008F648B" w:rsidRDefault="002C0609" w:rsidP="009677EE">
            <w:pPr>
              <w:autoSpaceDE w:val="0"/>
              <w:autoSpaceDN w:val="0"/>
              <w:bidi w:val="0"/>
              <w:adjustRightInd w:val="0"/>
              <w:snapToGrid w:val="0"/>
              <w:jc w:val="both"/>
              <w:rPr>
                <w:sz w:val="20"/>
                <w:szCs w:val="20"/>
              </w:rPr>
            </w:pPr>
            <w:r w:rsidRPr="008F648B">
              <w:rPr>
                <w:color w:val="000000" w:themeColor="text1"/>
                <w:sz w:val="20"/>
                <w:szCs w:val="20"/>
              </w:rPr>
              <w:t>Size</w:t>
            </w:r>
          </w:p>
        </w:tc>
        <w:tc>
          <w:tcPr>
            <w:tcW w:w="916" w:type="pct"/>
            <w:vAlign w:val="center"/>
          </w:tcPr>
          <w:p w:rsidR="002C0609" w:rsidRPr="008F648B" w:rsidRDefault="002C0609" w:rsidP="009677EE">
            <w:pPr>
              <w:bidi w:val="0"/>
              <w:snapToGrid w:val="0"/>
              <w:jc w:val="both"/>
              <w:rPr>
                <w:sz w:val="20"/>
                <w:szCs w:val="20"/>
              </w:rPr>
            </w:pPr>
            <w:r w:rsidRPr="008F648B">
              <w:rPr>
                <w:sz w:val="20"/>
                <w:szCs w:val="20"/>
              </w:rPr>
              <w:t>0.0056</w:t>
            </w:r>
          </w:p>
        </w:tc>
        <w:tc>
          <w:tcPr>
            <w:tcW w:w="690" w:type="pct"/>
            <w:vAlign w:val="center"/>
          </w:tcPr>
          <w:p w:rsidR="002C0609" w:rsidRPr="008F648B" w:rsidRDefault="00B85614" w:rsidP="009677EE">
            <w:pPr>
              <w:bidi w:val="0"/>
              <w:snapToGrid w:val="0"/>
              <w:jc w:val="both"/>
              <w:rPr>
                <w:sz w:val="20"/>
                <w:szCs w:val="20"/>
              </w:rPr>
            </w:pPr>
            <w:r w:rsidRPr="008F648B">
              <w:rPr>
                <w:sz w:val="20"/>
                <w:szCs w:val="20"/>
              </w:rPr>
              <w:t>2.87</w:t>
            </w:r>
          </w:p>
        </w:tc>
        <w:tc>
          <w:tcPr>
            <w:tcW w:w="859" w:type="pct"/>
            <w:vAlign w:val="center"/>
          </w:tcPr>
          <w:p w:rsidR="002C0609" w:rsidRPr="008F648B" w:rsidRDefault="002C0609" w:rsidP="009677EE">
            <w:pPr>
              <w:bidi w:val="0"/>
              <w:snapToGrid w:val="0"/>
              <w:jc w:val="both"/>
              <w:rPr>
                <w:sz w:val="20"/>
                <w:szCs w:val="20"/>
              </w:rPr>
            </w:pPr>
            <w:r w:rsidRPr="008F648B">
              <w:rPr>
                <w:sz w:val="20"/>
                <w:szCs w:val="20"/>
              </w:rPr>
              <w:t>0.</w:t>
            </w:r>
            <w:r w:rsidR="00B85614" w:rsidRPr="008F648B">
              <w:rPr>
                <w:sz w:val="20"/>
                <w:szCs w:val="20"/>
              </w:rPr>
              <w:t>21</w:t>
            </w:r>
          </w:p>
        </w:tc>
        <w:tc>
          <w:tcPr>
            <w:tcW w:w="800" w:type="pct"/>
            <w:vAlign w:val="center"/>
          </w:tcPr>
          <w:p w:rsidR="002C0609" w:rsidRPr="008F648B" w:rsidRDefault="002C0609" w:rsidP="009677EE">
            <w:pPr>
              <w:bidi w:val="0"/>
              <w:snapToGrid w:val="0"/>
              <w:jc w:val="both"/>
              <w:rPr>
                <w:sz w:val="20"/>
                <w:szCs w:val="20"/>
              </w:rPr>
            </w:pPr>
            <w:r w:rsidRPr="008F648B">
              <w:rPr>
                <w:sz w:val="20"/>
                <w:szCs w:val="20"/>
              </w:rPr>
              <w:t>0.</w:t>
            </w:r>
            <w:r w:rsidR="00B85614" w:rsidRPr="008F648B">
              <w:rPr>
                <w:sz w:val="20"/>
                <w:szCs w:val="20"/>
              </w:rPr>
              <w:t>075</w:t>
            </w:r>
          </w:p>
        </w:tc>
      </w:tr>
      <w:tr w:rsidR="002C0609" w:rsidRPr="008F648B" w:rsidTr="009677EE">
        <w:trPr>
          <w:jc w:val="center"/>
        </w:trPr>
        <w:tc>
          <w:tcPr>
            <w:tcW w:w="1735" w:type="pct"/>
            <w:vAlign w:val="center"/>
          </w:tcPr>
          <w:p w:rsidR="002C0609" w:rsidRPr="008F648B" w:rsidRDefault="002C0609" w:rsidP="009677EE">
            <w:pPr>
              <w:autoSpaceDE w:val="0"/>
              <w:autoSpaceDN w:val="0"/>
              <w:bidi w:val="0"/>
              <w:adjustRightInd w:val="0"/>
              <w:snapToGrid w:val="0"/>
              <w:jc w:val="both"/>
              <w:rPr>
                <w:sz w:val="20"/>
                <w:szCs w:val="20"/>
              </w:rPr>
            </w:pPr>
            <w:r w:rsidRPr="008F648B">
              <w:rPr>
                <w:color w:val="000000" w:themeColor="text1"/>
                <w:sz w:val="20"/>
                <w:szCs w:val="20"/>
              </w:rPr>
              <w:t>FL</w:t>
            </w:r>
          </w:p>
        </w:tc>
        <w:tc>
          <w:tcPr>
            <w:tcW w:w="916" w:type="pct"/>
            <w:vAlign w:val="center"/>
          </w:tcPr>
          <w:p w:rsidR="002C0609" w:rsidRPr="008F648B" w:rsidRDefault="002C0609" w:rsidP="009677EE">
            <w:pPr>
              <w:bidi w:val="0"/>
              <w:snapToGrid w:val="0"/>
              <w:jc w:val="both"/>
              <w:rPr>
                <w:sz w:val="20"/>
                <w:szCs w:val="20"/>
              </w:rPr>
            </w:pPr>
            <w:r w:rsidRPr="008F648B">
              <w:rPr>
                <w:sz w:val="20"/>
                <w:szCs w:val="20"/>
              </w:rPr>
              <w:t>0.0006</w:t>
            </w:r>
          </w:p>
        </w:tc>
        <w:tc>
          <w:tcPr>
            <w:tcW w:w="690" w:type="pct"/>
            <w:vAlign w:val="center"/>
          </w:tcPr>
          <w:p w:rsidR="002C0609" w:rsidRPr="008F648B" w:rsidRDefault="00B85614" w:rsidP="009677EE">
            <w:pPr>
              <w:bidi w:val="0"/>
              <w:snapToGrid w:val="0"/>
              <w:jc w:val="both"/>
              <w:rPr>
                <w:sz w:val="20"/>
                <w:szCs w:val="20"/>
              </w:rPr>
            </w:pPr>
            <w:r w:rsidRPr="008F648B">
              <w:rPr>
                <w:sz w:val="20"/>
                <w:szCs w:val="20"/>
              </w:rPr>
              <w:t>-3.45</w:t>
            </w:r>
          </w:p>
        </w:tc>
        <w:tc>
          <w:tcPr>
            <w:tcW w:w="859" w:type="pct"/>
            <w:vAlign w:val="center"/>
          </w:tcPr>
          <w:p w:rsidR="002C0609" w:rsidRPr="008F648B" w:rsidRDefault="00B85614" w:rsidP="009677EE">
            <w:pPr>
              <w:bidi w:val="0"/>
              <w:snapToGrid w:val="0"/>
              <w:jc w:val="both"/>
              <w:rPr>
                <w:sz w:val="20"/>
                <w:szCs w:val="20"/>
              </w:rPr>
            </w:pPr>
            <w:r w:rsidRPr="008F648B">
              <w:rPr>
                <w:sz w:val="20"/>
                <w:szCs w:val="20"/>
              </w:rPr>
              <w:t>-2.76</w:t>
            </w:r>
          </w:p>
        </w:tc>
        <w:tc>
          <w:tcPr>
            <w:tcW w:w="800" w:type="pct"/>
            <w:vAlign w:val="center"/>
          </w:tcPr>
          <w:p w:rsidR="002C0609" w:rsidRPr="008F648B" w:rsidRDefault="002C0609" w:rsidP="009677EE">
            <w:pPr>
              <w:bidi w:val="0"/>
              <w:snapToGrid w:val="0"/>
              <w:jc w:val="both"/>
              <w:rPr>
                <w:sz w:val="20"/>
                <w:szCs w:val="20"/>
              </w:rPr>
            </w:pPr>
            <w:r w:rsidRPr="008F648B">
              <w:rPr>
                <w:sz w:val="20"/>
                <w:szCs w:val="20"/>
              </w:rPr>
              <w:t>0.</w:t>
            </w:r>
            <w:r w:rsidR="00B85614" w:rsidRPr="008F648B">
              <w:rPr>
                <w:sz w:val="20"/>
                <w:szCs w:val="20"/>
              </w:rPr>
              <w:t>80</w:t>
            </w:r>
          </w:p>
        </w:tc>
      </w:tr>
      <w:tr w:rsidR="00526E91" w:rsidRPr="008F648B" w:rsidTr="009677EE">
        <w:trPr>
          <w:jc w:val="center"/>
        </w:trPr>
        <w:tc>
          <w:tcPr>
            <w:tcW w:w="1735" w:type="pct"/>
            <w:vAlign w:val="center"/>
          </w:tcPr>
          <w:p w:rsidR="00526E91" w:rsidRPr="008F648B" w:rsidRDefault="00526E91" w:rsidP="009677EE">
            <w:pPr>
              <w:bidi w:val="0"/>
              <w:snapToGrid w:val="0"/>
              <w:jc w:val="both"/>
              <w:rPr>
                <w:b/>
                <w:bCs/>
                <w:sz w:val="20"/>
                <w:szCs w:val="20"/>
              </w:rPr>
            </w:pPr>
            <w:r w:rsidRPr="008F648B">
              <w:rPr>
                <w:b/>
                <w:bCs/>
                <w:sz w:val="20"/>
                <w:szCs w:val="20"/>
              </w:rPr>
              <w:t xml:space="preserve">Determination coefficient </w:t>
            </w:r>
          </w:p>
        </w:tc>
        <w:tc>
          <w:tcPr>
            <w:tcW w:w="916" w:type="pct"/>
            <w:vAlign w:val="center"/>
          </w:tcPr>
          <w:p w:rsidR="00526E91" w:rsidRPr="008F648B" w:rsidRDefault="00526E91" w:rsidP="009677EE">
            <w:pPr>
              <w:bidi w:val="0"/>
              <w:snapToGrid w:val="0"/>
              <w:jc w:val="both"/>
              <w:rPr>
                <w:sz w:val="20"/>
                <w:szCs w:val="20"/>
              </w:rPr>
            </w:pPr>
            <w:r w:rsidRPr="008F648B">
              <w:rPr>
                <w:sz w:val="20"/>
                <w:szCs w:val="20"/>
              </w:rPr>
              <w:t>0.</w:t>
            </w:r>
            <w:r w:rsidR="002C0609" w:rsidRPr="008F648B">
              <w:rPr>
                <w:sz w:val="20"/>
                <w:szCs w:val="20"/>
              </w:rPr>
              <w:t>789</w:t>
            </w:r>
          </w:p>
        </w:tc>
        <w:tc>
          <w:tcPr>
            <w:tcW w:w="1549" w:type="pct"/>
            <w:gridSpan w:val="2"/>
            <w:vAlign w:val="center"/>
          </w:tcPr>
          <w:p w:rsidR="00526E91" w:rsidRPr="008F648B" w:rsidRDefault="00526E91" w:rsidP="009677EE">
            <w:pPr>
              <w:bidi w:val="0"/>
              <w:snapToGrid w:val="0"/>
              <w:jc w:val="both"/>
              <w:rPr>
                <w:b/>
                <w:bCs/>
                <w:sz w:val="20"/>
                <w:szCs w:val="20"/>
              </w:rPr>
            </w:pPr>
            <w:r w:rsidRPr="008F648B">
              <w:rPr>
                <w:b/>
                <w:bCs/>
                <w:sz w:val="20"/>
                <w:szCs w:val="20"/>
              </w:rPr>
              <w:t>F statistic</w:t>
            </w:r>
          </w:p>
        </w:tc>
        <w:tc>
          <w:tcPr>
            <w:tcW w:w="800" w:type="pct"/>
            <w:vAlign w:val="center"/>
          </w:tcPr>
          <w:p w:rsidR="00526E91" w:rsidRPr="008F648B" w:rsidRDefault="00B85614" w:rsidP="009677EE">
            <w:pPr>
              <w:bidi w:val="0"/>
              <w:snapToGrid w:val="0"/>
              <w:jc w:val="both"/>
              <w:rPr>
                <w:sz w:val="20"/>
                <w:szCs w:val="20"/>
              </w:rPr>
            </w:pPr>
            <w:r w:rsidRPr="008F648B">
              <w:rPr>
                <w:sz w:val="20"/>
                <w:szCs w:val="20"/>
              </w:rPr>
              <w:t>17.28</w:t>
            </w:r>
          </w:p>
        </w:tc>
      </w:tr>
      <w:tr w:rsidR="00526E91" w:rsidRPr="008F648B" w:rsidTr="009677EE">
        <w:trPr>
          <w:jc w:val="center"/>
        </w:trPr>
        <w:tc>
          <w:tcPr>
            <w:tcW w:w="1735" w:type="pct"/>
            <w:vAlign w:val="center"/>
          </w:tcPr>
          <w:p w:rsidR="00526E91" w:rsidRPr="008F648B" w:rsidRDefault="00526E91" w:rsidP="009677EE">
            <w:pPr>
              <w:bidi w:val="0"/>
              <w:snapToGrid w:val="0"/>
              <w:jc w:val="both"/>
              <w:rPr>
                <w:sz w:val="20"/>
                <w:szCs w:val="20"/>
              </w:rPr>
            </w:pPr>
            <w:r w:rsidRPr="008F648B">
              <w:rPr>
                <w:b/>
                <w:bCs/>
                <w:sz w:val="20"/>
                <w:szCs w:val="20"/>
              </w:rPr>
              <w:t>justified determination coefficient</w:t>
            </w:r>
          </w:p>
        </w:tc>
        <w:tc>
          <w:tcPr>
            <w:tcW w:w="916" w:type="pct"/>
            <w:vAlign w:val="center"/>
          </w:tcPr>
          <w:p w:rsidR="00526E91" w:rsidRPr="008F648B" w:rsidRDefault="00526E91" w:rsidP="009677EE">
            <w:pPr>
              <w:bidi w:val="0"/>
              <w:snapToGrid w:val="0"/>
              <w:jc w:val="both"/>
              <w:rPr>
                <w:sz w:val="20"/>
                <w:szCs w:val="20"/>
              </w:rPr>
            </w:pPr>
            <w:r w:rsidRPr="008F648B">
              <w:rPr>
                <w:sz w:val="20"/>
                <w:szCs w:val="20"/>
              </w:rPr>
              <w:t>0.</w:t>
            </w:r>
            <w:r w:rsidR="002C0609" w:rsidRPr="008F648B">
              <w:rPr>
                <w:sz w:val="20"/>
                <w:szCs w:val="20"/>
              </w:rPr>
              <w:t>743</w:t>
            </w:r>
          </w:p>
        </w:tc>
        <w:tc>
          <w:tcPr>
            <w:tcW w:w="1549" w:type="pct"/>
            <w:gridSpan w:val="2"/>
            <w:vAlign w:val="center"/>
          </w:tcPr>
          <w:p w:rsidR="00526E91" w:rsidRPr="008F648B" w:rsidRDefault="00526E91" w:rsidP="009677EE">
            <w:pPr>
              <w:bidi w:val="0"/>
              <w:snapToGrid w:val="0"/>
              <w:jc w:val="both"/>
              <w:rPr>
                <w:b/>
                <w:bCs/>
                <w:sz w:val="20"/>
                <w:szCs w:val="20"/>
              </w:rPr>
            </w:pPr>
            <w:r w:rsidRPr="008F648B">
              <w:rPr>
                <w:b/>
                <w:bCs/>
                <w:sz w:val="20"/>
                <w:szCs w:val="20"/>
              </w:rPr>
              <w:t>Significance level of F statistic</w:t>
            </w:r>
          </w:p>
        </w:tc>
        <w:tc>
          <w:tcPr>
            <w:tcW w:w="800" w:type="pct"/>
            <w:vAlign w:val="center"/>
          </w:tcPr>
          <w:p w:rsidR="00526E91" w:rsidRPr="008F648B" w:rsidRDefault="00526E91" w:rsidP="009677EE">
            <w:pPr>
              <w:bidi w:val="0"/>
              <w:snapToGrid w:val="0"/>
              <w:jc w:val="both"/>
              <w:rPr>
                <w:sz w:val="20"/>
                <w:szCs w:val="20"/>
              </w:rPr>
            </w:pPr>
            <w:r w:rsidRPr="008F648B">
              <w:rPr>
                <w:sz w:val="20"/>
                <w:szCs w:val="20"/>
              </w:rPr>
              <w:t>0.000</w:t>
            </w:r>
          </w:p>
        </w:tc>
      </w:tr>
      <w:tr w:rsidR="00526E91" w:rsidRPr="008F648B" w:rsidTr="008F648B">
        <w:trPr>
          <w:jc w:val="center"/>
        </w:trPr>
        <w:tc>
          <w:tcPr>
            <w:tcW w:w="1735" w:type="pct"/>
            <w:vAlign w:val="center"/>
          </w:tcPr>
          <w:p w:rsidR="00526E91" w:rsidRPr="008F648B" w:rsidRDefault="00526E91" w:rsidP="009677EE">
            <w:pPr>
              <w:bidi w:val="0"/>
              <w:snapToGrid w:val="0"/>
              <w:jc w:val="both"/>
              <w:rPr>
                <w:b/>
                <w:bCs/>
                <w:color w:val="000000" w:themeColor="text1"/>
                <w:sz w:val="20"/>
                <w:szCs w:val="20"/>
              </w:rPr>
            </w:pPr>
            <w:r w:rsidRPr="008F648B">
              <w:rPr>
                <w:b/>
                <w:bCs/>
                <w:color w:val="000000" w:themeColor="text1"/>
                <w:sz w:val="20"/>
                <w:szCs w:val="20"/>
                <w:shd w:val="clear" w:color="auto" w:fill="FFFFFF"/>
              </w:rPr>
              <w:t>Durbin-</w:t>
            </w:r>
            <w:r w:rsidRPr="008F648B">
              <w:rPr>
                <w:rStyle w:val="Emphasis"/>
                <w:b/>
                <w:bCs/>
                <w:i w:val="0"/>
                <w:iCs w:val="0"/>
                <w:color w:val="000000" w:themeColor="text1"/>
                <w:sz w:val="20"/>
                <w:szCs w:val="20"/>
                <w:shd w:val="clear" w:color="auto" w:fill="FFFFFF"/>
              </w:rPr>
              <w:t>Watson</w:t>
            </w:r>
          </w:p>
        </w:tc>
        <w:tc>
          <w:tcPr>
            <w:tcW w:w="916" w:type="pct"/>
            <w:vAlign w:val="center"/>
          </w:tcPr>
          <w:p w:rsidR="00526E91" w:rsidRPr="008F648B" w:rsidRDefault="002C0609" w:rsidP="009677EE">
            <w:pPr>
              <w:bidi w:val="0"/>
              <w:snapToGrid w:val="0"/>
              <w:jc w:val="both"/>
              <w:rPr>
                <w:sz w:val="20"/>
                <w:szCs w:val="20"/>
              </w:rPr>
            </w:pPr>
            <w:r w:rsidRPr="008F648B">
              <w:rPr>
                <w:sz w:val="20"/>
                <w:szCs w:val="20"/>
              </w:rPr>
              <w:t>1.82</w:t>
            </w:r>
          </w:p>
        </w:tc>
        <w:tc>
          <w:tcPr>
            <w:tcW w:w="2349" w:type="pct"/>
            <w:gridSpan w:val="3"/>
            <w:vAlign w:val="center"/>
          </w:tcPr>
          <w:p w:rsidR="00526E91" w:rsidRPr="008F648B" w:rsidRDefault="00526E91" w:rsidP="009677EE">
            <w:pPr>
              <w:bidi w:val="0"/>
              <w:snapToGrid w:val="0"/>
              <w:jc w:val="both"/>
              <w:rPr>
                <w:b/>
                <w:bCs/>
                <w:sz w:val="20"/>
                <w:szCs w:val="20"/>
              </w:rPr>
            </w:pPr>
            <w:r w:rsidRPr="008F648B">
              <w:rPr>
                <w:b/>
                <w:bCs/>
                <w:sz w:val="20"/>
                <w:szCs w:val="20"/>
              </w:rPr>
              <w:t>LS method</w:t>
            </w:r>
          </w:p>
        </w:tc>
      </w:tr>
    </w:tbl>
    <w:p w:rsidR="009677EE" w:rsidRDefault="009677EE" w:rsidP="009677EE">
      <w:pPr>
        <w:bidi w:val="0"/>
        <w:snapToGrid w:val="0"/>
        <w:ind w:firstLine="425"/>
        <w:jc w:val="both"/>
        <w:rPr>
          <w:rFonts w:eastAsiaTheme="minorHAnsi"/>
          <w:sz w:val="20"/>
          <w:szCs w:val="20"/>
          <w:lang w:bidi="fa-IR"/>
        </w:rPr>
        <w:sectPr w:rsidR="009677EE" w:rsidSect="009677EE">
          <w:type w:val="continuous"/>
          <w:pgSz w:w="12242" w:h="15842" w:code="1"/>
          <w:pgMar w:top="1440" w:right="1440" w:bottom="1440" w:left="1440" w:header="720" w:footer="720" w:gutter="0"/>
          <w:cols w:space="600"/>
          <w:docGrid w:linePitch="360"/>
        </w:sectPr>
      </w:pPr>
    </w:p>
    <w:p w:rsidR="009677EE" w:rsidRDefault="009677EE" w:rsidP="009677EE">
      <w:pPr>
        <w:bidi w:val="0"/>
        <w:snapToGrid w:val="0"/>
        <w:ind w:firstLine="425"/>
        <w:jc w:val="both"/>
        <w:rPr>
          <w:rFonts w:eastAsiaTheme="minorEastAsia"/>
          <w:sz w:val="20"/>
          <w:lang w:eastAsia="zh-CN"/>
        </w:rPr>
      </w:pPr>
    </w:p>
    <w:p w:rsidR="009677EE" w:rsidRDefault="009677EE" w:rsidP="009677EE">
      <w:pPr>
        <w:bidi w:val="0"/>
        <w:snapToGrid w:val="0"/>
        <w:ind w:firstLine="425"/>
        <w:jc w:val="both"/>
        <w:rPr>
          <w:rFonts w:eastAsiaTheme="minorEastAsia"/>
          <w:sz w:val="20"/>
          <w:lang w:eastAsia="zh-CN"/>
        </w:rPr>
        <w:sectPr w:rsidR="009677EE" w:rsidSect="009677EE">
          <w:type w:val="continuous"/>
          <w:pgSz w:w="12242" w:h="15842" w:code="1"/>
          <w:pgMar w:top="1440" w:right="1440" w:bottom="1440" w:left="1440" w:header="720" w:footer="720" w:gutter="0"/>
          <w:cols w:space="600"/>
          <w:docGrid w:linePitch="360"/>
        </w:sectPr>
      </w:pPr>
    </w:p>
    <w:p w:rsidR="006201CB" w:rsidRPr="008F648B" w:rsidRDefault="006201CB" w:rsidP="009677EE">
      <w:pPr>
        <w:bidi w:val="0"/>
        <w:snapToGrid w:val="0"/>
        <w:ind w:firstLine="425"/>
        <w:jc w:val="both"/>
        <w:rPr>
          <w:color w:val="000000"/>
          <w:sz w:val="20"/>
        </w:rPr>
      </w:pPr>
      <w:r w:rsidRPr="008F648B">
        <w:rPr>
          <w:sz w:val="20"/>
        </w:rPr>
        <w:lastRenderedPageBreak/>
        <w:t xml:space="preserve">In above model, when </w:t>
      </w:r>
      <w:r w:rsidRPr="008F648B">
        <w:rPr>
          <w:i/>
          <w:iCs/>
          <w:sz w:val="20"/>
        </w:rPr>
        <w:t>β</w:t>
      </w:r>
      <w:r w:rsidRPr="008F648B">
        <w:rPr>
          <w:i/>
          <w:iCs/>
          <w:sz w:val="20"/>
          <w:vertAlign w:val="subscript"/>
        </w:rPr>
        <w:t>1</w:t>
      </w:r>
      <w:r w:rsidRPr="008F648B">
        <w:rPr>
          <w:sz w:val="20"/>
        </w:rPr>
        <w:t xml:space="preserve"> and </w:t>
      </w:r>
      <w:r w:rsidRPr="008F648B">
        <w:rPr>
          <w:i/>
          <w:iCs/>
          <w:sz w:val="20"/>
        </w:rPr>
        <w:t>β</w:t>
      </w:r>
      <w:r w:rsidRPr="008F648B">
        <w:rPr>
          <w:sz w:val="20"/>
          <w:vertAlign w:val="subscript"/>
        </w:rPr>
        <w:t>2</w:t>
      </w:r>
      <w:r w:rsidRPr="008F648B">
        <w:rPr>
          <w:sz w:val="20"/>
        </w:rPr>
        <w:t xml:space="preserve"> are significant, the first hypothesis is confirmed and when </w:t>
      </w:r>
      <w:r w:rsidRPr="008F648B">
        <w:rPr>
          <w:i/>
          <w:iCs/>
          <w:sz w:val="20"/>
        </w:rPr>
        <w:t>β</w:t>
      </w:r>
      <w:r w:rsidRPr="008F648B">
        <w:rPr>
          <w:i/>
          <w:iCs/>
          <w:sz w:val="20"/>
          <w:vertAlign w:val="subscript"/>
        </w:rPr>
        <w:t>4</w:t>
      </w:r>
      <w:r w:rsidRPr="008F648B">
        <w:rPr>
          <w:sz w:val="20"/>
        </w:rPr>
        <w:t xml:space="preserve"> is significant, the second hypothesis is confirmed. With regard to table 4, because t-</w:t>
      </w:r>
      <w:r w:rsidRPr="008F648B">
        <w:rPr>
          <w:color w:val="000000"/>
          <w:sz w:val="20"/>
        </w:rPr>
        <w:t xml:space="preserve">statistic for average of collection period, </w:t>
      </w:r>
      <w:r w:rsidRPr="008F648B">
        <w:rPr>
          <w:rStyle w:val="Emphasis"/>
          <w:i w:val="0"/>
          <w:iCs w:val="0"/>
          <w:color w:val="000000"/>
          <w:sz w:val="20"/>
          <w:shd w:val="clear" w:color="auto" w:fill="FFFFFF"/>
        </w:rPr>
        <w:t>average of inventory turnover duration</w:t>
      </w:r>
      <w:r w:rsidRPr="008F648B">
        <w:rPr>
          <w:color w:val="000000"/>
          <w:sz w:val="20"/>
        </w:rPr>
        <w:t xml:space="preserve">, </w:t>
      </w:r>
      <w:r w:rsidRPr="008F648B">
        <w:rPr>
          <w:rStyle w:val="Emphasis"/>
          <w:i w:val="0"/>
          <w:iCs w:val="0"/>
          <w:color w:val="000000"/>
          <w:sz w:val="20"/>
          <w:shd w:val="clear" w:color="auto" w:fill="FFFFFF"/>
        </w:rPr>
        <w:t>average of</w:t>
      </w:r>
      <w:r w:rsidRPr="008F648B">
        <w:rPr>
          <w:color w:val="000000"/>
          <w:sz w:val="20"/>
        </w:rPr>
        <w:t xml:space="preserve"> debt payment period and free cash flow of the firm </w:t>
      </w:r>
      <w:r w:rsidRPr="008F648B">
        <w:rPr>
          <w:sz w:val="20"/>
        </w:rPr>
        <w:t xml:space="preserve">has been more than +1.965 and significant level is less than 0.05, thus, there is an inverse and significant relationship between </w:t>
      </w:r>
      <w:r w:rsidRPr="008F648B">
        <w:rPr>
          <w:color w:val="000000"/>
          <w:sz w:val="20"/>
        </w:rPr>
        <w:t xml:space="preserve">average of collection period, </w:t>
      </w:r>
      <w:r w:rsidRPr="008F648B">
        <w:rPr>
          <w:rStyle w:val="Emphasis"/>
          <w:i w:val="0"/>
          <w:iCs w:val="0"/>
          <w:color w:val="000000"/>
          <w:sz w:val="20"/>
          <w:shd w:val="clear" w:color="auto" w:fill="FFFFFF"/>
        </w:rPr>
        <w:t>average of inventory turnover duration</w:t>
      </w:r>
      <w:r w:rsidRPr="008F648B">
        <w:rPr>
          <w:color w:val="000000"/>
          <w:sz w:val="20"/>
        </w:rPr>
        <w:t xml:space="preserve">, </w:t>
      </w:r>
      <w:r w:rsidRPr="008F648B">
        <w:rPr>
          <w:rStyle w:val="Emphasis"/>
          <w:i w:val="0"/>
          <w:iCs w:val="0"/>
          <w:color w:val="000000"/>
          <w:sz w:val="20"/>
          <w:shd w:val="clear" w:color="auto" w:fill="FFFFFF"/>
        </w:rPr>
        <w:t>average of</w:t>
      </w:r>
      <w:r w:rsidRPr="008F648B">
        <w:rPr>
          <w:color w:val="000000"/>
          <w:sz w:val="20"/>
        </w:rPr>
        <w:t xml:space="preserve"> debt payment period and free cash flow</w:t>
      </w:r>
      <w:r w:rsidRPr="008F648B">
        <w:rPr>
          <w:sz w:val="20"/>
        </w:rPr>
        <w:t xml:space="preserve"> and profitability of listed companies in Tehran Stock Exchange. </w:t>
      </w:r>
      <w:r w:rsidRPr="008F648B">
        <w:rPr>
          <w:color w:val="000000"/>
          <w:sz w:val="20"/>
        </w:rPr>
        <w:t xml:space="preserve">Thus, the first hypothesis of this study is confirmed. Furthermore, </w:t>
      </w:r>
      <w:r w:rsidRPr="008F648B">
        <w:rPr>
          <w:sz w:val="20"/>
        </w:rPr>
        <w:t>there is a positive and significant relationship between</w:t>
      </w:r>
      <w:r w:rsidRPr="008F648B">
        <w:rPr>
          <w:color w:val="000000"/>
          <w:sz w:val="20"/>
        </w:rPr>
        <w:t xml:space="preserve"> free cash flow</w:t>
      </w:r>
      <w:r w:rsidRPr="008F648B">
        <w:rPr>
          <w:sz w:val="20"/>
        </w:rPr>
        <w:t xml:space="preserve"> and profitability of listed companies in Tehran </w:t>
      </w:r>
      <w:r w:rsidRPr="008F648B">
        <w:rPr>
          <w:sz w:val="20"/>
        </w:rPr>
        <w:lastRenderedPageBreak/>
        <w:t>Stock Exchange.</w:t>
      </w:r>
      <w:r w:rsidRPr="008F648B">
        <w:rPr>
          <w:color w:val="000000"/>
          <w:sz w:val="20"/>
        </w:rPr>
        <w:t xml:space="preserve"> In result, the second hypothesis of this study is confirmed.</w:t>
      </w:r>
    </w:p>
    <w:p w:rsidR="006201CB" w:rsidRPr="008F648B" w:rsidRDefault="006201CB" w:rsidP="009677EE">
      <w:pPr>
        <w:bidi w:val="0"/>
        <w:snapToGrid w:val="0"/>
        <w:ind w:firstLine="425"/>
        <w:jc w:val="both"/>
        <w:rPr>
          <w:color w:val="000000"/>
          <w:sz w:val="20"/>
        </w:rPr>
      </w:pPr>
      <w:r w:rsidRPr="008F648B">
        <w:rPr>
          <w:color w:val="000000"/>
          <w:sz w:val="20"/>
        </w:rPr>
        <w:t xml:space="preserve">Also, control variables of firm size have a positive relationship with </w:t>
      </w:r>
      <w:r w:rsidRPr="008F648B">
        <w:rPr>
          <w:sz w:val="20"/>
        </w:rPr>
        <w:t xml:space="preserve">profitability and Financial Leverage </w:t>
      </w:r>
      <w:r w:rsidRPr="008F648B">
        <w:rPr>
          <w:color w:val="000000"/>
          <w:sz w:val="20"/>
        </w:rPr>
        <w:t xml:space="preserve">have an inverse relationship with </w:t>
      </w:r>
      <w:r w:rsidRPr="008F648B">
        <w:rPr>
          <w:sz w:val="20"/>
        </w:rPr>
        <w:t>profitability of listed companies in Tehran Stock Exchange</w:t>
      </w:r>
      <w:r w:rsidRPr="008F648B">
        <w:rPr>
          <w:color w:val="000000"/>
          <w:sz w:val="20"/>
        </w:rPr>
        <w:t xml:space="preserve"> </w:t>
      </w:r>
      <w:r w:rsidRPr="008F648B">
        <w:rPr>
          <w:sz w:val="20"/>
        </w:rPr>
        <w:t xml:space="preserve">(T-statistic is higher than 1.965 and significant level is less than 0.05). </w:t>
      </w:r>
    </w:p>
    <w:p w:rsidR="00526E91" w:rsidRPr="008F648B" w:rsidRDefault="00A337D0" w:rsidP="009677EE">
      <w:pPr>
        <w:bidi w:val="0"/>
        <w:snapToGrid w:val="0"/>
        <w:ind w:firstLine="425"/>
        <w:jc w:val="both"/>
        <w:rPr>
          <w:sz w:val="20"/>
          <w:lang w:bidi="fa-IR"/>
        </w:rPr>
      </w:pPr>
      <w:proofErr w:type="spellStart"/>
      <w:r w:rsidRPr="008F648B">
        <w:rPr>
          <w:sz w:val="20"/>
        </w:rPr>
        <w:t>Dorbin</w:t>
      </w:r>
      <w:proofErr w:type="spellEnd"/>
      <w:r w:rsidRPr="008F648B">
        <w:rPr>
          <w:sz w:val="20"/>
        </w:rPr>
        <w:t xml:space="preserve">-Watson statistic of model is between 1.5 and 2.5. Also, significance level of F-statistic is 0.000 that is less than 0.05 and indicated that model is significant. Furthermore, the adjusted determination coefficient in the model is 74 percent that indicate 74 percent of changes in the dependent variable explained by the independent and control variables. </w:t>
      </w:r>
    </w:p>
    <w:p w:rsidR="008F648B" w:rsidRDefault="008F648B" w:rsidP="009677EE">
      <w:pPr>
        <w:bidi w:val="0"/>
        <w:snapToGrid w:val="0"/>
        <w:ind w:firstLine="425"/>
        <w:jc w:val="both"/>
        <w:rPr>
          <w:sz w:val="20"/>
        </w:rPr>
        <w:sectPr w:rsidR="008F648B" w:rsidSect="009677EE">
          <w:type w:val="continuous"/>
          <w:pgSz w:w="12242" w:h="15842" w:code="1"/>
          <w:pgMar w:top="1440" w:right="1440" w:bottom="1440" w:left="1440" w:header="720" w:footer="720" w:gutter="0"/>
          <w:cols w:num="2" w:space="600"/>
          <w:docGrid w:linePitch="360"/>
        </w:sectPr>
      </w:pPr>
    </w:p>
    <w:p w:rsidR="00526E91" w:rsidRPr="008F648B" w:rsidRDefault="008F648B" w:rsidP="009677EE">
      <w:pPr>
        <w:bidi w:val="0"/>
        <w:snapToGrid w:val="0"/>
        <w:jc w:val="center"/>
        <w:rPr>
          <w:sz w:val="20"/>
        </w:rPr>
      </w:pPr>
      <w:r>
        <w:rPr>
          <w:sz w:val="20"/>
        </w:rPr>
        <w:lastRenderedPageBreak/>
        <w:cr/>
      </w:r>
      <w:r w:rsidR="00485F47" w:rsidRPr="008F648B">
        <w:rPr>
          <w:b/>
          <w:bCs/>
          <w:noProof/>
          <w:sz w:val="20"/>
          <w:lang w:eastAsia="zh-CN"/>
        </w:rPr>
        <w:drawing>
          <wp:inline distT="0" distB="0" distL="0" distR="0">
            <wp:extent cx="5050155" cy="21475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50155" cy="2147570"/>
                    </a:xfrm>
                    <a:prstGeom prst="rect">
                      <a:avLst/>
                    </a:prstGeom>
                    <a:noFill/>
                    <a:ln>
                      <a:noFill/>
                    </a:ln>
                  </pic:spPr>
                </pic:pic>
              </a:graphicData>
            </a:graphic>
          </wp:inline>
        </w:drawing>
      </w:r>
    </w:p>
    <w:p w:rsidR="00D74380" w:rsidRPr="008F648B" w:rsidRDefault="00485F47" w:rsidP="009677EE">
      <w:pPr>
        <w:bidi w:val="0"/>
        <w:snapToGrid w:val="0"/>
        <w:jc w:val="center"/>
        <w:rPr>
          <w:sz w:val="20"/>
        </w:rPr>
      </w:pPr>
      <w:r w:rsidRPr="008F648B">
        <w:rPr>
          <w:sz w:val="20"/>
        </w:rPr>
        <w:t>Fig 1: Scatter plot of residuals</w:t>
      </w:r>
    </w:p>
    <w:p w:rsidR="009677EE" w:rsidRDefault="009677EE" w:rsidP="009677EE">
      <w:pPr>
        <w:bidi w:val="0"/>
        <w:snapToGrid w:val="0"/>
        <w:ind w:firstLine="425"/>
        <w:jc w:val="both"/>
        <w:rPr>
          <w:rFonts w:eastAsiaTheme="minorEastAsia"/>
          <w:sz w:val="20"/>
          <w:lang w:eastAsia="zh-CN"/>
        </w:rPr>
      </w:pPr>
    </w:p>
    <w:p w:rsidR="009677EE" w:rsidRPr="009677EE" w:rsidRDefault="009677EE" w:rsidP="009677EE">
      <w:pPr>
        <w:bidi w:val="0"/>
        <w:snapToGrid w:val="0"/>
        <w:ind w:firstLine="425"/>
        <w:jc w:val="both"/>
        <w:rPr>
          <w:rFonts w:eastAsiaTheme="minorEastAsia"/>
          <w:sz w:val="20"/>
          <w:lang w:eastAsia="zh-CN"/>
        </w:rPr>
        <w:sectPr w:rsidR="009677EE" w:rsidRPr="009677EE" w:rsidSect="009677EE">
          <w:type w:val="continuous"/>
          <w:pgSz w:w="12242" w:h="15842" w:code="1"/>
          <w:pgMar w:top="1440" w:right="1440" w:bottom="1440" w:left="1440" w:header="720" w:footer="720" w:gutter="0"/>
          <w:cols w:space="600"/>
          <w:docGrid w:linePitch="360"/>
        </w:sectPr>
      </w:pPr>
    </w:p>
    <w:p w:rsidR="00D64211" w:rsidRPr="008F648B" w:rsidRDefault="004D1FFF" w:rsidP="009677EE">
      <w:pPr>
        <w:bidi w:val="0"/>
        <w:snapToGrid w:val="0"/>
        <w:jc w:val="both"/>
        <w:rPr>
          <w:sz w:val="20"/>
        </w:rPr>
      </w:pPr>
      <w:r w:rsidRPr="008F648B">
        <w:rPr>
          <w:b/>
          <w:bCs/>
          <w:sz w:val="20"/>
          <w:lang w:bidi="fa-IR"/>
        </w:rPr>
        <w:lastRenderedPageBreak/>
        <w:t>Test results of main second hypotheses and its sub-hypotheses</w:t>
      </w:r>
    </w:p>
    <w:p w:rsidR="00D64211" w:rsidRPr="008F648B" w:rsidRDefault="00D64211" w:rsidP="009677EE">
      <w:pPr>
        <w:bidi w:val="0"/>
        <w:snapToGrid w:val="0"/>
        <w:ind w:firstLine="425"/>
        <w:jc w:val="both"/>
        <w:rPr>
          <w:sz w:val="20"/>
          <w:lang w:bidi="fa-IR"/>
        </w:rPr>
      </w:pPr>
      <w:r w:rsidRPr="008F648B">
        <w:rPr>
          <w:b/>
          <w:bCs/>
          <w:sz w:val="20"/>
          <w:lang w:bidi="fa-IR"/>
        </w:rPr>
        <w:t>Main second hypotheses</w:t>
      </w:r>
      <w:r w:rsidRPr="008F648B">
        <w:rPr>
          <w:sz w:val="20"/>
          <w:lang w:bidi="fa-IR"/>
        </w:rPr>
        <w:t xml:space="preserve">: There is a significant relationship between financial variables of working capital and cash holdings and return on capital. </w:t>
      </w:r>
    </w:p>
    <w:p w:rsidR="00D64211" w:rsidRPr="008F648B" w:rsidRDefault="00D64211" w:rsidP="009677EE">
      <w:pPr>
        <w:numPr>
          <w:ilvl w:val="1"/>
          <w:numId w:val="1"/>
        </w:numPr>
        <w:bidi w:val="0"/>
        <w:snapToGrid w:val="0"/>
        <w:ind w:left="0" w:firstLine="425"/>
        <w:jc w:val="both"/>
        <w:rPr>
          <w:sz w:val="20"/>
          <w:lang w:bidi="fa-IR"/>
        </w:rPr>
      </w:pPr>
      <w:r w:rsidRPr="008F648B">
        <w:rPr>
          <w:sz w:val="20"/>
          <w:lang w:bidi="fa-IR"/>
        </w:rPr>
        <w:t>There is a significant relationship between firm working capital and return on capital.</w:t>
      </w:r>
    </w:p>
    <w:p w:rsidR="00D64211" w:rsidRPr="008F648B" w:rsidRDefault="00D64211" w:rsidP="009677EE">
      <w:pPr>
        <w:numPr>
          <w:ilvl w:val="1"/>
          <w:numId w:val="1"/>
        </w:numPr>
        <w:bidi w:val="0"/>
        <w:snapToGrid w:val="0"/>
        <w:ind w:left="0" w:firstLine="425"/>
        <w:jc w:val="both"/>
        <w:rPr>
          <w:sz w:val="20"/>
          <w:lang w:bidi="fa-IR"/>
        </w:rPr>
      </w:pPr>
      <w:r w:rsidRPr="008F648B">
        <w:rPr>
          <w:sz w:val="20"/>
          <w:lang w:bidi="fa-IR"/>
        </w:rPr>
        <w:lastRenderedPageBreak/>
        <w:t>There is a significant relationship between cash holdings and return on capital.</w:t>
      </w:r>
    </w:p>
    <w:p w:rsidR="00DE2A4E" w:rsidRPr="008F648B" w:rsidRDefault="00A337D0" w:rsidP="009677EE">
      <w:pPr>
        <w:bidi w:val="0"/>
        <w:snapToGrid w:val="0"/>
        <w:ind w:firstLine="425"/>
        <w:jc w:val="both"/>
        <w:rPr>
          <w:sz w:val="20"/>
        </w:rPr>
      </w:pPr>
      <w:r w:rsidRPr="008F648B">
        <w:rPr>
          <w:sz w:val="20"/>
        </w:rPr>
        <w:t xml:space="preserve">In order to estimation of the model coefficients related to research hypothesis test is used the </w:t>
      </w:r>
      <w:r w:rsidRPr="008F648B">
        <w:rPr>
          <w:color w:val="000000"/>
          <w:sz w:val="20"/>
        </w:rPr>
        <w:t>Chow test</w:t>
      </w:r>
      <w:r w:rsidRPr="008F648B">
        <w:rPr>
          <w:sz w:val="20"/>
        </w:rPr>
        <w:t xml:space="preserve"> and f </w:t>
      </w:r>
      <w:proofErr w:type="spellStart"/>
      <w:r w:rsidRPr="008F648B">
        <w:rPr>
          <w:sz w:val="20"/>
        </w:rPr>
        <w:t>Limer</w:t>
      </w:r>
      <w:proofErr w:type="spellEnd"/>
      <w:r w:rsidRPr="008F648B">
        <w:rPr>
          <w:sz w:val="20"/>
        </w:rPr>
        <w:t xml:space="preserve"> test to determine method of combined data. Results of test has been mentioned in the table 5. </w:t>
      </w:r>
    </w:p>
    <w:p w:rsidR="008F648B" w:rsidRDefault="008F648B" w:rsidP="009677EE">
      <w:pPr>
        <w:bidi w:val="0"/>
        <w:snapToGrid w:val="0"/>
        <w:ind w:firstLine="425"/>
        <w:jc w:val="both"/>
        <w:rPr>
          <w:sz w:val="20"/>
        </w:rPr>
        <w:sectPr w:rsidR="008F648B" w:rsidSect="009677EE">
          <w:type w:val="continuous"/>
          <w:pgSz w:w="12242" w:h="15842" w:code="1"/>
          <w:pgMar w:top="1440" w:right="1440" w:bottom="1440" w:left="1440" w:header="720" w:footer="720" w:gutter="0"/>
          <w:cols w:num="2" w:space="600"/>
          <w:docGrid w:linePitch="360"/>
        </w:sectPr>
      </w:pPr>
    </w:p>
    <w:p w:rsidR="009677EE" w:rsidRDefault="009677EE">
      <w:pPr>
        <w:bidi w:val="0"/>
        <w:spacing w:after="160" w:line="259" w:lineRule="auto"/>
        <w:rPr>
          <w:rFonts w:eastAsiaTheme="minorEastAsia"/>
          <w:sz w:val="20"/>
          <w:lang w:eastAsia="zh-CN"/>
        </w:rPr>
      </w:pPr>
    </w:p>
    <w:p w:rsidR="00920ED7" w:rsidRDefault="00920ED7" w:rsidP="009677EE">
      <w:pPr>
        <w:bidi w:val="0"/>
        <w:snapToGrid w:val="0"/>
        <w:jc w:val="center"/>
        <w:rPr>
          <w:rFonts w:eastAsiaTheme="minorEastAsia" w:hint="eastAsia"/>
          <w:color w:val="000000"/>
          <w:sz w:val="20"/>
          <w:szCs w:val="20"/>
          <w:lang w:eastAsia="zh-CN"/>
        </w:rPr>
      </w:pPr>
    </w:p>
    <w:p w:rsidR="009677EE" w:rsidRPr="008F648B" w:rsidRDefault="009677EE" w:rsidP="00920ED7">
      <w:pPr>
        <w:bidi w:val="0"/>
        <w:snapToGrid w:val="0"/>
        <w:jc w:val="center"/>
        <w:rPr>
          <w:color w:val="000000"/>
          <w:sz w:val="20"/>
          <w:szCs w:val="20"/>
        </w:rPr>
      </w:pPr>
      <w:r w:rsidRPr="008F648B">
        <w:rPr>
          <w:color w:val="000000"/>
          <w:sz w:val="20"/>
          <w:szCs w:val="20"/>
        </w:rPr>
        <w:t>Table 5: Chow test result</w:t>
      </w:r>
    </w:p>
    <w:tbl>
      <w:tblPr>
        <w:bidiVisual/>
        <w:tblW w:w="5000" w:type="pct"/>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4A0"/>
      </w:tblPr>
      <w:tblGrid>
        <w:gridCol w:w="3100"/>
        <w:gridCol w:w="1924"/>
        <w:gridCol w:w="1143"/>
        <w:gridCol w:w="3309"/>
      </w:tblGrid>
      <w:tr w:rsidR="00DE2A4E" w:rsidRPr="008F648B" w:rsidTr="008F648B">
        <w:trPr>
          <w:jc w:val="center"/>
        </w:trPr>
        <w:tc>
          <w:tcPr>
            <w:tcW w:w="1636" w:type="pct"/>
            <w:tcBorders>
              <w:bottom w:val="single" w:sz="12" w:space="0" w:color="666666"/>
            </w:tcBorders>
            <w:shd w:val="clear" w:color="auto" w:fill="auto"/>
            <w:vAlign w:val="center"/>
          </w:tcPr>
          <w:p w:rsidR="00DE2A4E" w:rsidRPr="008F648B" w:rsidRDefault="00DE2A4E" w:rsidP="009677EE">
            <w:pPr>
              <w:autoSpaceDE w:val="0"/>
              <w:autoSpaceDN w:val="0"/>
              <w:bidi w:val="0"/>
              <w:adjustRightInd w:val="0"/>
              <w:snapToGrid w:val="0"/>
              <w:jc w:val="both"/>
              <w:rPr>
                <w:b/>
                <w:bCs/>
                <w:color w:val="000000"/>
                <w:sz w:val="20"/>
                <w:szCs w:val="20"/>
              </w:rPr>
            </w:pPr>
            <w:r w:rsidRPr="008F648B">
              <w:rPr>
                <w:b/>
                <w:bCs/>
                <w:color w:val="000000"/>
                <w:sz w:val="20"/>
                <w:szCs w:val="20"/>
              </w:rPr>
              <w:t>Chow test result</w:t>
            </w:r>
          </w:p>
        </w:tc>
        <w:tc>
          <w:tcPr>
            <w:tcW w:w="1015" w:type="pct"/>
            <w:tcBorders>
              <w:bottom w:val="single" w:sz="12" w:space="0" w:color="666666"/>
            </w:tcBorders>
            <w:shd w:val="clear" w:color="auto" w:fill="auto"/>
            <w:vAlign w:val="center"/>
          </w:tcPr>
          <w:p w:rsidR="00DE2A4E" w:rsidRPr="008F648B" w:rsidRDefault="00DE2A4E" w:rsidP="009677EE">
            <w:pPr>
              <w:autoSpaceDE w:val="0"/>
              <w:autoSpaceDN w:val="0"/>
              <w:bidi w:val="0"/>
              <w:adjustRightInd w:val="0"/>
              <w:snapToGrid w:val="0"/>
              <w:jc w:val="both"/>
              <w:rPr>
                <w:b/>
                <w:bCs/>
                <w:color w:val="000000"/>
                <w:sz w:val="20"/>
                <w:szCs w:val="20"/>
              </w:rPr>
            </w:pPr>
            <w:r w:rsidRPr="008F648B">
              <w:rPr>
                <w:b/>
                <w:bCs/>
                <w:sz w:val="20"/>
                <w:szCs w:val="20"/>
              </w:rPr>
              <w:t>Significance level</w:t>
            </w:r>
          </w:p>
        </w:tc>
        <w:tc>
          <w:tcPr>
            <w:tcW w:w="603" w:type="pct"/>
            <w:tcBorders>
              <w:bottom w:val="single" w:sz="12" w:space="0" w:color="666666"/>
            </w:tcBorders>
            <w:shd w:val="clear" w:color="auto" w:fill="auto"/>
            <w:vAlign w:val="center"/>
          </w:tcPr>
          <w:p w:rsidR="00DE2A4E" w:rsidRPr="008F648B" w:rsidRDefault="00DE2A4E" w:rsidP="009677EE">
            <w:pPr>
              <w:autoSpaceDE w:val="0"/>
              <w:autoSpaceDN w:val="0"/>
              <w:bidi w:val="0"/>
              <w:adjustRightInd w:val="0"/>
              <w:snapToGrid w:val="0"/>
              <w:jc w:val="both"/>
              <w:rPr>
                <w:b/>
                <w:bCs/>
                <w:color w:val="000000"/>
                <w:sz w:val="20"/>
                <w:szCs w:val="20"/>
              </w:rPr>
            </w:pPr>
            <w:r w:rsidRPr="008F648B">
              <w:rPr>
                <w:b/>
                <w:bCs/>
                <w:sz w:val="20"/>
                <w:szCs w:val="20"/>
              </w:rPr>
              <w:t>F statistic</w:t>
            </w:r>
          </w:p>
        </w:tc>
        <w:tc>
          <w:tcPr>
            <w:tcW w:w="1746" w:type="pct"/>
            <w:tcBorders>
              <w:bottom w:val="single" w:sz="12" w:space="0" w:color="666666"/>
            </w:tcBorders>
            <w:shd w:val="clear" w:color="auto" w:fill="auto"/>
            <w:vAlign w:val="center"/>
          </w:tcPr>
          <w:p w:rsidR="00DE2A4E" w:rsidRPr="008F648B" w:rsidRDefault="00DE2A4E" w:rsidP="009677EE">
            <w:pPr>
              <w:autoSpaceDE w:val="0"/>
              <w:autoSpaceDN w:val="0"/>
              <w:bidi w:val="0"/>
              <w:adjustRightInd w:val="0"/>
              <w:snapToGrid w:val="0"/>
              <w:jc w:val="both"/>
              <w:rPr>
                <w:b/>
                <w:bCs/>
                <w:color w:val="000000"/>
                <w:sz w:val="20"/>
                <w:szCs w:val="20"/>
              </w:rPr>
            </w:pPr>
            <w:r w:rsidRPr="008F648B">
              <w:rPr>
                <w:b/>
                <w:bCs/>
                <w:color w:val="000000"/>
                <w:sz w:val="20"/>
                <w:szCs w:val="20"/>
              </w:rPr>
              <w:t>Null hypothesis</w:t>
            </w:r>
          </w:p>
        </w:tc>
      </w:tr>
      <w:tr w:rsidR="00DE2A4E" w:rsidRPr="008F648B" w:rsidTr="008F648B">
        <w:trPr>
          <w:jc w:val="center"/>
        </w:trPr>
        <w:tc>
          <w:tcPr>
            <w:tcW w:w="1636" w:type="pct"/>
            <w:shd w:val="clear" w:color="auto" w:fill="auto"/>
            <w:vAlign w:val="center"/>
          </w:tcPr>
          <w:p w:rsidR="00DE2A4E" w:rsidRPr="008F648B" w:rsidRDefault="00DE2A4E" w:rsidP="009677EE">
            <w:pPr>
              <w:autoSpaceDE w:val="0"/>
              <w:autoSpaceDN w:val="0"/>
              <w:bidi w:val="0"/>
              <w:adjustRightInd w:val="0"/>
              <w:snapToGrid w:val="0"/>
              <w:jc w:val="both"/>
              <w:rPr>
                <w:color w:val="000000"/>
                <w:sz w:val="20"/>
                <w:szCs w:val="20"/>
              </w:rPr>
            </w:pPr>
            <w:r w:rsidRPr="008F648B">
              <w:rPr>
                <w:color w:val="000000"/>
                <w:sz w:val="20"/>
                <w:szCs w:val="20"/>
              </w:rPr>
              <w:t>The null hypothesis is rejected</w:t>
            </w:r>
          </w:p>
        </w:tc>
        <w:tc>
          <w:tcPr>
            <w:tcW w:w="1015" w:type="pct"/>
            <w:shd w:val="clear" w:color="auto" w:fill="auto"/>
            <w:vAlign w:val="center"/>
          </w:tcPr>
          <w:p w:rsidR="00DE2A4E" w:rsidRPr="008F648B" w:rsidRDefault="00DE2A4E" w:rsidP="009677EE">
            <w:pPr>
              <w:autoSpaceDE w:val="0"/>
              <w:autoSpaceDN w:val="0"/>
              <w:bidi w:val="0"/>
              <w:adjustRightInd w:val="0"/>
              <w:snapToGrid w:val="0"/>
              <w:jc w:val="both"/>
              <w:rPr>
                <w:color w:val="000000"/>
                <w:sz w:val="20"/>
                <w:szCs w:val="20"/>
              </w:rPr>
            </w:pPr>
            <w:r w:rsidRPr="008F648B">
              <w:rPr>
                <w:color w:val="000000"/>
                <w:sz w:val="20"/>
                <w:szCs w:val="20"/>
              </w:rPr>
              <w:t>0.000</w:t>
            </w:r>
          </w:p>
        </w:tc>
        <w:tc>
          <w:tcPr>
            <w:tcW w:w="603" w:type="pct"/>
            <w:shd w:val="clear" w:color="auto" w:fill="auto"/>
            <w:vAlign w:val="center"/>
          </w:tcPr>
          <w:p w:rsidR="00DE2A4E" w:rsidRPr="008F648B" w:rsidRDefault="00DE2A4E" w:rsidP="009677EE">
            <w:pPr>
              <w:autoSpaceDE w:val="0"/>
              <w:autoSpaceDN w:val="0"/>
              <w:bidi w:val="0"/>
              <w:adjustRightInd w:val="0"/>
              <w:snapToGrid w:val="0"/>
              <w:jc w:val="both"/>
              <w:rPr>
                <w:color w:val="000000"/>
                <w:sz w:val="20"/>
                <w:szCs w:val="20"/>
              </w:rPr>
            </w:pPr>
            <w:r w:rsidRPr="008F648B">
              <w:rPr>
                <w:color w:val="000000"/>
                <w:sz w:val="20"/>
                <w:szCs w:val="20"/>
              </w:rPr>
              <w:t>21.965</w:t>
            </w:r>
          </w:p>
        </w:tc>
        <w:tc>
          <w:tcPr>
            <w:tcW w:w="1746" w:type="pct"/>
            <w:shd w:val="clear" w:color="auto" w:fill="auto"/>
            <w:vAlign w:val="center"/>
          </w:tcPr>
          <w:p w:rsidR="00DE2A4E" w:rsidRPr="008F648B" w:rsidRDefault="00DE2A4E" w:rsidP="009677EE">
            <w:pPr>
              <w:autoSpaceDE w:val="0"/>
              <w:autoSpaceDN w:val="0"/>
              <w:bidi w:val="0"/>
              <w:adjustRightInd w:val="0"/>
              <w:snapToGrid w:val="0"/>
              <w:jc w:val="both"/>
              <w:rPr>
                <w:color w:val="000000"/>
                <w:sz w:val="20"/>
                <w:szCs w:val="20"/>
              </w:rPr>
            </w:pPr>
            <w:r w:rsidRPr="008F648B">
              <w:rPr>
                <w:color w:val="000000"/>
                <w:sz w:val="20"/>
                <w:szCs w:val="20"/>
              </w:rPr>
              <w:t>The use of combined data model</w:t>
            </w:r>
          </w:p>
        </w:tc>
      </w:tr>
    </w:tbl>
    <w:p w:rsidR="00DE2A4E" w:rsidRDefault="00DE2A4E" w:rsidP="009677EE">
      <w:pPr>
        <w:bidi w:val="0"/>
        <w:snapToGrid w:val="0"/>
        <w:ind w:firstLine="425"/>
        <w:jc w:val="both"/>
        <w:rPr>
          <w:rFonts w:eastAsiaTheme="minorEastAsia"/>
          <w:sz w:val="20"/>
          <w:szCs w:val="20"/>
          <w:lang w:eastAsia="zh-CN"/>
        </w:rPr>
      </w:pPr>
    </w:p>
    <w:p w:rsidR="009677EE" w:rsidRPr="008F648B" w:rsidRDefault="009677EE" w:rsidP="009677EE">
      <w:pPr>
        <w:bidi w:val="0"/>
        <w:snapToGrid w:val="0"/>
        <w:jc w:val="center"/>
        <w:rPr>
          <w:sz w:val="20"/>
          <w:szCs w:val="20"/>
          <w:lang w:bidi="fa-IR"/>
        </w:rPr>
      </w:pPr>
      <w:r w:rsidRPr="008F648B">
        <w:rPr>
          <w:rFonts w:eastAsiaTheme="minorHAnsi"/>
          <w:sz w:val="20"/>
          <w:szCs w:val="20"/>
          <w:lang w:bidi="fa-IR"/>
        </w:rPr>
        <w:t xml:space="preserve">Table 6: </w:t>
      </w:r>
      <w:r w:rsidRPr="008F648B">
        <w:rPr>
          <w:sz w:val="20"/>
          <w:szCs w:val="20"/>
          <w:lang w:bidi="fa-IR"/>
        </w:rPr>
        <w:t>Test results of main second hypotheses and its sub-hypotheses</w:t>
      </w:r>
    </w:p>
    <w:tbl>
      <w:tblPr>
        <w:bidiVisual/>
        <w:tblW w:w="5000" w:type="pct"/>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4A0"/>
      </w:tblPr>
      <w:tblGrid>
        <w:gridCol w:w="2795"/>
        <w:gridCol w:w="1732"/>
        <w:gridCol w:w="1941"/>
        <w:gridCol w:w="3008"/>
      </w:tblGrid>
      <w:tr w:rsidR="00DE2A4E" w:rsidRPr="008F648B" w:rsidTr="008F648B">
        <w:trPr>
          <w:jc w:val="center"/>
        </w:trPr>
        <w:tc>
          <w:tcPr>
            <w:tcW w:w="1475" w:type="pct"/>
            <w:tcBorders>
              <w:bottom w:val="single" w:sz="12" w:space="0" w:color="666666"/>
            </w:tcBorders>
            <w:shd w:val="clear" w:color="auto" w:fill="auto"/>
            <w:vAlign w:val="center"/>
          </w:tcPr>
          <w:p w:rsidR="00DE2A4E" w:rsidRPr="008F648B" w:rsidRDefault="00DE2A4E" w:rsidP="009677EE">
            <w:pPr>
              <w:autoSpaceDE w:val="0"/>
              <w:autoSpaceDN w:val="0"/>
              <w:bidi w:val="0"/>
              <w:adjustRightInd w:val="0"/>
              <w:snapToGrid w:val="0"/>
              <w:jc w:val="both"/>
              <w:rPr>
                <w:rFonts w:eastAsiaTheme="minorHAnsi"/>
                <w:b/>
                <w:bCs/>
                <w:color w:val="000000"/>
                <w:sz w:val="20"/>
                <w:szCs w:val="20"/>
                <w:lang w:bidi="fa-IR"/>
              </w:rPr>
            </w:pPr>
            <w:r w:rsidRPr="008F648B">
              <w:rPr>
                <w:rFonts w:eastAsiaTheme="minorHAnsi"/>
                <w:b/>
                <w:bCs/>
                <w:color w:val="000000"/>
                <w:sz w:val="20"/>
                <w:szCs w:val="20"/>
                <w:lang w:bidi="fa-IR"/>
              </w:rPr>
              <w:t>Chow test result</w:t>
            </w:r>
          </w:p>
        </w:tc>
        <w:tc>
          <w:tcPr>
            <w:tcW w:w="914" w:type="pct"/>
            <w:tcBorders>
              <w:bottom w:val="single" w:sz="12" w:space="0" w:color="666666"/>
            </w:tcBorders>
            <w:shd w:val="clear" w:color="auto" w:fill="auto"/>
            <w:vAlign w:val="center"/>
          </w:tcPr>
          <w:p w:rsidR="00DE2A4E" w:rsidRPr="008F648B" w:rsidRDefault="00DE2A4E" w:rsidP="009677EE">
            <w:pPr>
              <w:autoSpaceDE w:val="0"/>
              <w:autoSpaceDN w:val="0"/>
              <w:bidi w:val="0"/>
              <w:adjustRightInd w:val="0"/>
              <w:snapToGrid w:val="0"/>
              <w:jc w:val="both"/>
              <w:rPr>
                <w:rFonts w:eastAsiaTheme="minorHAnsi"/>
                <w:b/>
                <w:bCs/>
                <w:color w:val="000000"/>
                <w:sz w:val="20"/>
                <w:szCs w:val="20"/>
                <w:lang w:bidi="fa-IR"/>
              </w:rPr>
            </w:pPr>
            <w:r w:rsidRPr="008F648B">
              <w:rPr>
                <w:rFonts w:eastAsiaTheme="minorHAnsi"/>
                <w:b/>
                <w:bCs/>
                <w:sz w:val="20"/>
                <w:szCs w:val="20"/>
                <w:lang w:bidi="fa-IR"/>
              </w:rPr>
              <w:t>Significance level</w:t>
            </w:r>
          </w:p>
        </w:tc>
        <w:tc>
          <w:tcPr>
            <w:tcW w:w="1024" w:type="pct"/>
            <w:tcBorders>
              <w:bottom w:val="single" w:sz="12" w:space="0" w:color="666666"/>
            </w:tcBorders>
            <w:shd w:val="clear" w:color="auto" w:fill="auto"/>
            <w:vAlign w:val="center"/>
          </w:tcPr>
          <w:p w:rsidR="00DE2A4E" w:rsidRPr="008F648B" w:rsidRDefault="00DE2A4E" w:rsidP="009677EE">
            <w:pPr>
              <w:autoSpaceDE w:val="0"/>
              <w:autoSpaceDN w:val="0"/>
              <w:bidi w:val="0"/>
              <w:adjustRightInd w:val="0"/>
              <w:snapToGrid w:val="0"/>
              <w:jc w:val="both"/>
              <w:rPr>
                <w:rFonts w:eastAsiaTheme="minorHAnsi"/>
                <w:b/>
                <w:bCs/>
                <w:color w:val="000000"/>
                <w:sz w:val="20"/>
                <w:szCs w:val="20"/>
                <w:lang w:bidi="fa-IR"/>
              </w:rPr>
            </w:pPr>
            <w:r w:rsidRPr="008F648B">
              <w:rPr>
                <w:rFonts w:eastAsiaTheme="minorHAnsi"/>
                <w:b/>
                <w:bCs/>
                <w:sz w:val="20"/>
                <w:szCs w:val="20"/>
                <w:lang w:bidi="fa-IR"/>
              </w:rPr>
              <w:t>Chi-square statistic</w:t>
            </w:r>
          </w:p>
        </w:tc>
        <w:tc>
          <w:tcPr>
            <w:tcW w:w="1587" w:type="pct"/>
            <w:tcBorders>
              <w:bottom w:val="single" w:sz="12" w:space="0" w:color="666666"/>
            </w:tcBorders>
            <w:shd w:val="clear" w:color="auto" w:fill="auto"/>
            <w:vAlign w:val="center"/>
          </w:tcPr>
          <w:p w:rsidR="00DE2A4E" w:rsidRPr="008F648B" w:rsidRDefault="00DE2A4E" w:rsidP="009677EE">
            <w:pPr>
              <w:autoSpaceDE w:val="0"/>
              <w:autoSpaceDN w:val="0"/>
              <w:bidi w:val="0"/>
              <w:adjustRightInd w:val="0"/>
              <w:snapToGrid w:val="0"/>
              <w:jc w:val="both"/>
              <w:rPr>
                <w:rFonts w:eastAsiaTheme="minorHAnsi"/>
                <w:b/>
                <w:bCs/>
                <w:color w:val="000000"/>
                <w:sz w:val="20"/>
                <w:szCs w:val="20"/>
                <w:lang w:bidi="fa-IR"/>
              </w:rPr>
            </w:pPr>
            <w:r w:rsidRPr="008F648B">
              <w:rPr>
                <w:rFonts w:eastAsiaTheme="minorHAnsi"/>
                <w:b/>
                <w:bCs/>
                <w:color w:val="000000"/>
                <w:sz w:val="20"/>
                <w:szCs w:val="20"/>
                <w:lang w:bidi="fa-IR"/>
              </w:rPr>
              <w:t>Null hypothesis</w:t>
            </w:r>
          </w:p>
        </w:tc>
      </w:tr>
      <w:tr w:rsidR="00DE2A4E" w:rsidRPr="008F648B" w:rsidTr="008F648B">
        <w:trPr>
          <w:jc w:val="center"/>
        </w:trPr>
        <w:tc>
          <w:tcPr>
            <w:tcW w:w="1475" w:type="pct"/>
            <w:shd w:val="clear" w:color="auto" w:fill="auto"/>
            <w:vAlign w:val="center"/>
          </w:tcPr>
          <w:p w:rsidR="00DE2A4E" w:rsidRPr="008F648B" w:rsidRDefault="00DE2A4E" w:rsidP="009677EE">
            <w:pPr>
              <w:autoSpaceDE w:val="0"/>
              <w:autoSpaceDN w:val="0"/>
              <w:bidi w:val="0"/>
              <w:adjustRightInd w:val="0"/>
              <w:snapToGrid w:val="0"/>
              <w:jc w:val="both"/>
              <w:rPr>
                <w:rFonts w:eastAsiaTheme="minorHAnsi"/>
                <w:color w:val="000000"/>
                <w:sz w:val="20"/>
                <w:szCs w:val="20"/>
                <w:lang w:bidi="fa-IR"/>
              </w:rPr>
            </w:pPr>
            <w:r w:rsidRPr="008F648B">
              <w:rPr>
                <w:rFonts w:eastAsiaTheme="minorHAnsi"/>
                <w:color w:val="000000"/>
                <w:sz w:val="20"/>
                <w:szCs w:val="20"/>
                <w:lang w:bidi="fa-IR"/>
              </w:rPr>
              <w:t>The null hypothesis is rejected</w:t>
            </w:r>
          </w:p>
        </w:tc>
        <w:tc>
          <w:tcPr>
            <w:tcW w:w="914" w:type="pct"/>
            <w:shd w:val="clear" w:color="auto" w:fill="auto"/>
            <w:vAlign w:val="center"/>
          </w:tcPr>
          <w:p w:rsidR="00DE2A4E" w:rsidRPr="008F648B" w:rsidRDefault="00DE2A4E" w:rsidP="009677EE">
            <w:pPr>
              <w:autoSpaceDE w:val="0"/>
              <w:autoSpaceDN w:val="0"/>
              <w:bidi w:val="0"/>
              <w:adjustRightInd w:val="0"/>
              <w:snapToGrid w:val="0"/>
              <w:jc w:val="both"/>
              <w:rPr>
                <w:rFonts w:eastAsiaTheme="minorHAnsi"/>
                <w:color w:val="000000"/>
                <w:sz w:val="20"/>
                <w:szCs w:val="20"/>
                <w:lang w:bidi="fa-IR"/>
              </w:rPr>
            </w:pPr>
            <w:r w:rsidRPr="008F648B">
              <w:rPr>
                <w:rFonts w:eastAsiaTheme="minorHAnsi"/>
                <w:color w:val="000000"/>
                <w:sz w:val="20"/>
                <w:szCs w:val="20"/>
                <w:lang w:bidi="fa-IR"/>
              </w:rPr>
              <w:t>0.000</w:t>
            </w:r>
          </w:p>
        </w:tc>
        <w:tc>
          <w:tcPr>
            <w:tcW w:w="1024" w:type="pct"/>
            <w:shd w:val="clear" w:color="auto" w:fill="auto"/>
            <w:vAlign w:val="center"/>
          </w:tcPr>
          <w:p w:rsidR="00DE2A4E" w:rsidRPr="008F648B" w:rsidRDefault="00DE2A4E" w:rsidP="009677EE">
            <w:pPr>
              <w:autoSpaceDE w:val="0"/>
              <w:autoSpaceDN w:val="0"/>
              <w:bidi w:val="0"/>
              <w:adjustRightInd w:val="0"/>
              <w:snapToGrid w:val="0"/>
              <w:jc w:val="both"/>
              <w:rPr>
                <w:rFonts w:eastAsiaTheme="minorHAnsi"/>
                <w:color w:val="000000"/>
                <w:sz w:val="20"/>
                <w:szCs w:val="20"/>
                <w:lang w:bidi="fa-IR"/>
              </w:rPr>
            </w:pPr>
            <w:r w:rsidRPr="008F648B">
              <w:rPr>
                <w:rFonts w:eastAsiaTheme="minorHAnsi"/>
                <w:color w:val="000000"/>
                <w:sz w:val="20"/>
                <w:szCs w:val="20"/>
                <w:lang w:bidi="fa-IR"/>
              </w:rPr>
              <w:t>109.981</w:t>
            </w:r>
          </w:p>
        </w:tc>
        <w:tc>
          <w:tcPr>
            <w:tcW w:w="1587" w:type="pct"/>
            <w:shd w:val="clear" w:color="auto" w:fill="auto"/>
            <w:vAlign w:val="center"/>
          </w:tcPr>
          <w:p w:rsidR="00DE2A4E" w:rsidRPr="008F648B" w:rsidRDefault="00DE2A4E" w:rsidP="009677EE">
            <w:pPr>
              <w:autoSpaceDE w:val="0"/>
              <w:autoSpaceDN w:val="0"/>
              <w:bidi w:val="0"/>
              <w:adjustRightInd w:val="0"/>
              <w:snapToGrid w:val="0"/>
              <w:jc w:val="both"/>
              <w:rPr>
                <w:rFonts w:eastAsiaTheme="minorHAnsi"/>
                <w:color w:val="000000"/>
                <w:sz w:val="20"/>
                <w:szCs w:val="20"/>
                <w:lang w:bidi="fa-IR"/>
              </w:rPr>
            </w:pPr>
            <w:r w:rsidRPr="008F648B">
              <w:rPr>
                <w:rFonts w:eastAsiaTheme="minorHAnsi"/>
                <w:color w:val="000000"/>
                <w:sz w:val="20"/>
                <w:szCs w:val="20"/>
                <w:lang w:bidi="fa-IR"/>
              </w:rPr>
              <w:t>The use of random effects model</w:t>
            </w:r>
          </w:p>
        </w:tc>
      </w:tr>
    </w:tbl>
    <w:p w:rsidR="009677EE" w:rsidRDefault="009677EE" w:rsidP="009677EE">
      <w:pPr>
        <w:bidi w:val="0"/>
        <w:snapToGrid w:val="0"/>
        <w:ind w:firstLine="425"/>
        <w:jc w:val="both"/>
        <w:rPr>
          <w:rFonts w:eastAsiaTheme="minorEastAsia"/>
          <w:sz w:val="20"/>
          <w:lang w:eastAsia="zh-CN"/>
        </w:rPr>
      </w:pPr>
    </w:p>
    <w:p w:rsidR="009677EE" w:rsidRPr="009677EE" w:rsidRDefault="009677EE" w:rsidP="009677EE">
      <w:pPr>
        <w:bidi w:val="0"/>
        <w:snapToGrid w:val="0"/>
        <w:ind w:firstLine="425"/>
        <w:jc w:val="both"/>
        <w:rPr>
          <w:rFonts w:eastAsiaTheme="minorEastAsia"/>
          <w:sz w:val="20"/>
          <w:lang w:eastAsia="zh-CN"/>
        </w:rPr>
        <w:sectPr w:rsidR="009677EE" w:rsidRPr="009677EE" w:rsidSect="009677EE">
          <w:type w:val="continuous"/>
          <w:pgSz w:w="12242" w:h="15842" w:code="1"/>
          <w:pgMar w:top="1440" w:right="1440" w:bottom="1440" w:left="1440" w:header="720" w:footer="720" w:gutter="0"/>
          <w:cols w:space="600"/>
          <w:docGrid w:linePitch="360"/>
        </w:sectPr>
      </w:pPr>
    </w:p>
    <w:p w:rsidR="00883611" w:rsidRPr="008F648B" w:rsidRDefault="00A337D0" w:rsidP="009677EE">
      <w:pPr>
        <w:bidi w:val="0"/>
        <w:snapToGrid w:val="0"/>
        <w:ind w:firstLine="425"/>
        <w:jc w:val="both"/>
        <w:rPr>
          <w:b/>
          <w:bCs/>
          <w:sz w:val="20"/>
          <w:lang w:bidi="fa-IR"/>
        </w:rPr>
      </w:pPr>
      <w:r w:rsidRPr="008F648B">
        <w:rPr>
          <w:sz w:val="20"/>
        </w:rPr>
        <w:lastRenderedPageBreak/>
        <w:t xml:space="preserve">With regard to the table 6, significant level of </w:t>
      </w:r>
      <w:proofErr w:type="spellStart"/>
      <w:r w:rsidRPr="008F648B">
        <w:rPr>
          <w:sz w:val="20"/>
        </w:rPr>
        <w:t>Hausman</w:t>
      </w:r>
      <w:proofErr w:type="spellEnd"/>
      <w:r w:rsidRPr="008F648B">
        <w:rPr>
          <w:sz w:val="20"/>
        </w:rPr>
        <w:t xml:space="preserve"> test is less than 5%. Thus, to estimate the </w:t>
      </w:r>
      <w:r w:rsidRPr="008F648B">
        <w:rPr>
          <w:sz w:val="20"/>
        </w:rPr>
        <w:lastRenderedPageBreak/>
        <w:t xml:space="preserve">mentioned model coefficients is used the fixed effects model. </w:t>
      </w:r>
    </w:p>
    <w:p w:rsidR="00A10DB7" w:rsidRPr="008F648B" w:rsidRDefault="00A10DB7" w:rsidP="009677EE">
      <w:pPr>
        <w:bidi w:val="0"/>
        <w:snapToGrid w:val="0"/>
        <w:jc w:val="both"/>
        <w:rPr>
          <w:b/>
          <w:bCs/>
          <w:sz w:val="20"/>
        </w:rPr>
        <w:sectPr w:rsidR="00A10DB7" w:rsidRPr="008F648B" w:rsidSect="009677EE">
          <w:type w:val="continuous"/>
          <w:pgSz w:w="12242" w:h="15842" w:code="1"/>
          <w:pgMar w:top="1440" w:right="1440" w:bottom="1440" w:left="1440" w:header="720" w:footer="720" w:gutter="0"/>
          <w:cols w:num="2" w:space="600"/>
          <w:docGrid w:linePitch="360"/>
        </w:sectPr>
      </w:pPr>
    </w:p>
    <w:p w:rsidR="009677EE" w:rsidRDefault="009677EE" w:rsidP="009677EE">
      <w:pPr>
        <w:bidi w:val="0"/>
        <w:rPr>
          <w:rFonts w:eastAsiaTheme="minorEastAsia"/>
          <w:lang w:eastAsia="zh-CN"/>
        </w:rPr>
      </w:pPr>
    </w:p>
    <w:p w:rsidR="009677EE" w:rsidRPr="009677EE" w:rsidRDefault="009677EE" w:rsidP="009677EE">
      <w:pPr>
        <w:bidi w:val="0"/>
        <w:snapToGrid w:val="0"/>
        <w:jc w:val="center"/>
        <w:rPr>
          <w:rFonts w:eastAsiaTheme="minorEastAsia"/>
          <w:lang w:eastAsia="zh-CN"/>
        </w:rPr>
      </w:pPr>
      <w:r w:rsidRPr="008F648B">
        <w:rPr>
          <w:rFonts w:eastAsiaTheme="minorHAnsi"/>
          <w:sz w:val="20"/>
          <w:szCs w:val="20"/>
          <w:lang w:bidi="fa-IR"/>
        </w:rPr>
        <w:t xml:space="preserve">Table 7: </w:t>
      </w:r>
      <w:r w:rsidRPr="008F648B">
        <w:rPr>
          <w:sz w:val="20"/>
          <w:szCs w:val="20"/>
          <w:lang w:bidi="fa-IR"/>
        </w:rPr>
        <w:t>Test results of main second hypotheses and its sub-hypotheses</w:t>
      </w:r>
    </w:p>
    <w:tbl>
      <w:tblPr>
        <w:tblStyle w:val="TableGrid"/>
        <w:tblW w:w="5000" w:type="pct"/>
        <w:jc w:val="center"/>
        <w:tblCellMar>
          <w:left w:w="57" w:type="dxa"/>
          <w:right w:w="57" w:type="dxa"/>
        </w:tblCellMar>
        <w:tblLook w:val="04A0"/>
      </w:tblPr>
      <w:tblGrid>
        <w:gridCol w:w="3288"/>
        <w:gridCol w:w="1736"/>
        <w:gridCol w:w="1308"/>
        <w:gridCol w:w="1628"/>
        <w:gridCol w:w="1516"/>
      </w:tblGrid>
      <w:tr w:rsidR="00883611" w:rsidRPr="008F648B" w:rsidTr="009677EE">
        <w:trPr>
          <w:jc w:val="center"/>
        </w:trPr>
        <w:tc>
          <w:tcPr>
            <w:tcW w:w="1735" w:type="pct"/>
            <w:vAlign w:val="center"/>
          </w:tcPr>
          <w:p w:rsidR="00883611" w:rsidRPr="008F648B" w:rsidRDefault="00883611" w:rsidP="009677EE">
            <w:pPr>
              <w:bidi w:val="0"/>
              <w:snapToGrid w:val="0"/>
              <w:jc w:val="both"/>
              <w:rPr>
                <w:b/>
                <w:bCs/>
                <w:sz w:val="20"/>
                <w:szCs w:val="20"/>
              </w:rPr>
            </w:pPr>
            <w:r w:rsidRPr="008F648B">
              <w:rPr>
                <w:b/>
                <w:bCs/>
                <w:sz w:val="20"/>
                <w:szCs w:val="20"/>
              </w:rPr>
              <w:t>Variable</w:t>
            </w:r>
          </w:p>
        </w:tc>
        <w:tc>
          <w:tcPr>
            <w:tcW w:w="916" w:type="pct"/>
            <w:vAlign w:val="center"/>
          </w:tcPr>
          <w:p w:rsidR="00883611" w:rsidRPr="008F648B" w:rsidRDefault="00883611" w:rsidP="009677EE">
            <w:pPr>
              <w:bidi w:val="0"/>
              <w:snapToGrid w:val="0"/>
              <w:jc w:val="both"/>
              <w:rPr>
                <w:b/>
                <w:bCs/>
                <w:sz w:val="20"/>
                <w:szCs w:val="20"/>
              </w:rPr>
            </w:pPr>
            <w:r w:rsidRPr="008F648B">
              <w:rPr>
                <w:b/>
                <w:bCs/>
                <w:sz w:val="20"/>
                <w:szCs w:val="20"/>
              </w:rPr>
              <w:t>Significance level</w:t>
            </w:r>
          </w:p>
        </w:tc>
        <w:tc>
          <w:tcPr>
            <w:tcW w:w="690" w:type="pct"/>
            <w:vAlign w:val="center"/>
          </w:tcPr>
          <w:p w:rsidR="00883611" w:rsidRPr="008F648B" w:rsidRDefault="00883611" w:rsidP="009677EE">
            <w:pPr>
              <w:bidi w:val="0"/>
              <w:snapToGrid w:val="0"/>
              <w:jc w:val="both"/>
              <w:rPr>
                <w:b/>
                <w:bCs/>
                <w:sz w:val="20"/>
                <w:szCs w:val="20"/>
              </w:rPr>
            </w:pPr>
            <w:r w:rsidRPr="008F648B">
              <w:rPr>
                <w:b/>
                <w:bCs/>
                <w:sz w:val="20"/>
                <w:szCs w:val="20"/>
              </w:rPr>
              <w:t>t-statistic</w:t>
            </w:r>
          </w:p>
        </w:tc>
        <w:tc>
          <w:tcPr>
            <w:tcW w:w="859" w:type="pct"/>
            <w:vAlign w:val="center"/>
          </w:tcPr>
          <w:p w:rsidR="00883611" w:rsidRPr="008F648B" w:rsidRDefault="00883611" w:rsidP="009677EE">
            <w:pPr>
              <w:bidi w:val="0"/>
              <w:snapToGrid w:val="0"/>
              <w:jc w:val="both"/>
              <w:rPr>
                <w:b/>
                <w:bCs/>
                <w:sz w:val="20"/>
                <w:szCs w:val="20"/>
              </w:rPr>
            </w:pPr>
            <w:r w:rsidRPr="008F648B">
              <w:rPr>
                <w:b/>
                <w:bCs/>
                <w:sz w:val="20"/>
                <w:szCs w:val="20"/>
              </w:rPr>
              <w:t>Coefficients</w:t>
            </w:r>
          </w:p>
        </w:tc>
        <w:tc>
          <w:tcPr>
            <w:tcW w:w="800" w:type="pct"/>
            <w:vAlign w:val="center"/>
          </w:tcPr>
          <w:p w:rsidR="00883611" w:rsidRPr="008F648B" w:rsidRDefault="00883611" w:rsidP="009677EE">
            <w:pPr>
              <w:bidi w:val="0"/>
              <w:snapToGrid w:val="0"/>
              <w:jc w:val="both"/>
              <w:rPr>
                <w:b/>
                <w:bCs/>
                <w:sz w:val="20"/>
                <w:szCs w:val="20"/>
              </w:rPr>
            </w:pPr>
            <w:r w:rsidRPr="008F648B">
              <w:rPr>
                <w:b/>
                <w:bCs/>
                <w:sz w:val="20"/>
                <w:szCs w:val="20"/>
              </w:rPr>
              <w:t>standard error</w:t>
            </w:r>
          </w:p>
        </w:tc>
      </w:tr>
      <w:tr w:rsidR="00883611" w:rsidRPr="008F648B" w:rsidTr="009677EE">
        <w:trPr>
          <w:jc w:val="center"/>
        </w:trPr>
        <w:tc>
          <w:tcPr>
            <w:tcW w:w="1735" w:type="pct"/>
            <w:vAlign w:val="center"/>
          </w:tcPr>
          <w:p w:rsidR="00883611" w:rsidRPr="008F648B" w:rsidRDefault="00883611" w:rsidP="009677EE">
            <w:pPr>
              <w:bidi w:val="0"/>
              <w:snapToGrid w:val="0"/>
              <w:jc w:val="both"/>
              <w:rPr>
                <w:sz w:val="20"/>
                <w:szCs w:val="20"/>
              </w:rPr>
            </w:pPr>
            <w:r w:rsidRPr="008F648B">
              <w:rPr>
                <w:sz w:val="20"/>
                <w:szCs w:val="20"/>
              </w:rPr>
              <w:t>Fixed value</w:t>
            </w:r>
          </w:p>
        </w:tc>
        <w:tc>
          <w:tcPr>
            <w:tcW w:w="916" w:type="pct"/>
            <w:vAlign w:val="center"/>
          </w:tcPr>
          <w:p w:rsidR="00883611" w:rsidRPr="008F648B" w:rsidRDefault="00883611" w:rsidP="009677EE">
            <w:pPr>
              <w:bidi w:val="0"/>
              <w:snapToGrid w:val="0"/>
              <w:jc w:val="both"/>
              <w:rPr>
                <w:sz w:val="20"/>
                <w:szCs w:val="20"/>
              </w:rPr>
            </w:pPr>
            <w:r w:rsidRPr="008F648B">
              <w:rPr>
                <w:sz w:val="20"/>
                <w:szCs w:val="20"/>
              </w:rPr>
              <w:t>0.000</w:t>
            </w:r>
          </w:p>
        </w:tc>
        <w:tc>
          <w:tcPr>
            <w:tcW w:w="690" w:type="pct"/>
            <w:vAlign w:val="center"/>
          </w:tcPr>
          <w:p w:rsidR="00883611" w:rsidRPr="008F648B" w:rsidRDefault="00883611" w:rsidP="009677EE">
            <w:pPr>
              <w:bidi w:val="0"/>
              <w:snapToGrid w:val="0"/>
              <w:jc w:val="both"/>
              <w:rPr>
                <w:sz w:val="20"/>
                <w:szCs w:val="20"/>
              </w:rPr>
            </w:pPr>
            <w:r w:rsidRPr="008F648B">
              <w:rPr>
                <w:sz w:val="20"/>
                <w:szCs w:val="20"/>
              </w:rPr>
              <w:t>5.09</w:t>
            </w:r>
          </w:p>
        </w:tc>
        <w:tc>
          <w:tcPr>
            <w:tcW w:w="859" w:type="pct"/>
            <w:vAlign w:val="center"/>
          </w:tcPr>
          <w:p w:rsidR="00883611" w:rsidRPr="008F648B" w:rsidRDefault="00883611" w:rsidP="009677EE">
            <w:pPr>
              <w:bidi w:val="0"/>
              <w:snapToGrid w:val="0"/>
              <w:jc w:val="both"/>
              <w:rPr>
                <w:sz w:val="20"/>
                <w:szCs w:val="20"/>
              </w:rPr>
            </w:pPr>
            <w:r w:rsidRPr="008F648B">
              <w:rPr>
                <w:sz w:val="20"/>
                <w:szCs w:val="20"/>
              </w:rPr>
              <w:t>0.543</w:t>
            </w:r>
          </w:p>
        </w:tc>
        <w:tc>
          <w:tcPr>
            <w:tcW w:w="800" w:type="pct"/>
            <w:vAlign w:val="center"/>
          </w:tcPr>
          <w:p w:rsidR="00883611" w:rsidRPr="008F648B" w:rsidRDefault="00883611" w:rsidP="009677EE">
            <w:pPr>
              <w:bidi w:val="0"/>
              <w:snapToGrid w:val="0"/>
              <w:jc w:val="both"/>
              <w:rPr>
                <w:sz w:val="20"/>
                <w:szCs w:val="20"/>
              </w:rPr>
            </w:pPr>
            <w:r w:rsidRPr="008F648B">
              <w:rPr>
                <w:sz w:val="20"/>
                <w:szCs w:val="20"/>
              </w:rPr>
              <w:t>0.106</w:t>
            </w:r>
          </w:p>
        </w:tc>
      </w:tr>
      <w:tr w:rsidR="00883611" w:rsidRPr="008F648B" w:rsidTr="009677EE">
        <w:trPr>
          <w:jc w:val="center"/>
        </w:trPr>
        <w:tc>
          <w:tcPr>
            <w:tcW w:w="1735" w:type="pct"/>
            <w:vAlign w:val="center"/>
          </w:tcPr>
          <w:p w:rsidR="00883611" w:rsidRPr="008F648B" w:rsidRDefault="00883611" w:rsidP="009677EE">
            <w:pPr>
              <w:autoSpaceDE w:val="0"/>
              <w:autoSpaceDN w:val="0"/>
              <w:bidi w:val="0"/>
              <w:adjustRightInd w:val="0"/>
              <w:snapToGrid w:val="0"/>
              <w:jc w:val="both"/>
              <w:rPr>
                <w:sz w:val="20"/>
                <w:szCs w:val="20"/>
              </w:rPr>
            </w:pPr>
            <w:r w:rsidRPr="008F648B">
              <w:rPr>
                <w:color w:val="000000" w:themeColor="text1"/>
                <w:sz w:val="20"/>
                <w:szCs w:val="20"/>
              </w:rPr>
              <w:t>ACP</w:t>
            </w:r>
          </w:p>
        </w:tc>
        <w:tc>
          <w:tcPr>
            <w:tcW w:w="916" w:type="pct"/>
            <w:vAlign w:val="center"/>
          </w:tcPr>
          <w:p w:rsidR="00883611" w:rsidRPr="008F648B" w:rsidRDefault="00883611" w:rsidP="009677EE">
            <w:pPr>
              <w:bidi w:val="0"/>
              <w:snapToGrid w:val="0"/>
              <w:jc w:val="both"/>
              <w:rPr>
                <w:sz w:val="20"/>
                <w:szCs w:val="20"/>
              </w:rPr>
            </w:pPr>
            <w:r w:rsidRPr="008F648B">
              <w:rPr>
                <w:sz w:val="20"/>
                <w:szCs w:val="20"/>
              </w:rPr>
              <w:t>0.000</w:t>
            </w:r>
          </w:p>
        </w:tc>
        <w:tc>
          <w:tcPr>
            <w:tcW w:w="690" w:type="pct"/>
            <w:vAlign w:val="center"/>
          </w:tcPr>
          <w:p w:rsidR="00883611" w:rsidRPr="008F648B" w:rsidRDefault="00883611" w:rsidP="009677EE">
            <w:pPr>
              <w:bidi w:val="0"/>
              <w:snapToGrid w:val="0"/>
              <w:jc w:val="both"/>
              <w:rPr>
                <w:sz w:val="20"/>
                <w:szCs w:val="20"/>
              </w:rPr>
            </w:pPr>
            <w:r w:rsidRPr="008F648B">
              <w:rPr>
                <w:sz w:val="20"/>
                <w:szCs w:val="20"/>
              </w:rPr>
              <w:t>4.42</w:t>
            </w:r>
          </w:p>
        </w:tc>
        <w:tc>
          <w:tcPr>
            <w:tcW w:w="859" w:type="pct"/>
            <w:vAlign w:val="center"/>
          </w:tcPr>
          <w:p w:rsidR="00883611" w:rsidRPr="008F648B" w:rsidRDefault="00883611" w:rsidP="009677EE">
            <w:pPr>
              <w:bidi w:val="0"/>
              <w:snapToGrid w:val="0"/>
              <w:jc w:val="both"/>
              <w:rPr>
                <w:sz w:val="20"/>
                <w:szCs w:val="20"/>
              </w:rPr>
            </w:pPr>
            <w:r w:rsidRPr="008F648B">
              <w:rPr>
                <w:sz w:val="20"/>
                <w:szCs w:val="20"/>
              </w:rPr>
              <w:t>0.0004</w:t>
            </w:r>
          </w:p>
        </w:tc>
        <w:tc>
          <w:tcPr>
            <w:tcW w:w="800" w:type="pct"/>
            <w:vAlign w:val="center"/>
          </w:tcPr>
          <w:p w:rsidR="00883611" w:rsidRPr="008F648B" w:rsidRDefault="00883611" w:rsidP="009677EE">
            <w:pPr>
              <w:bidi w:val="0"/>
              <w:snapToGrid w:val="0"/>
              <w:jc w:val="both"/>
              <w:rPr>
                <w:sz w:val="20"/>
                <w:szCs w:val="20"/>
              </w:rPr>
            </w:pPr>
            <w:r w:rsidRPr="008F648B">
              <w:rPr>
                <w:sz w:val="20"/>
                <w:szCs w:val="20"/>
              </w:rPr>
              <w:t>0.0001</w:t>
            </w:r>
          </w:p>
        </w:tc>
      </w:tr>
      <w:tr w:rsidR="00883611" w:rsidRPr="008F648B" w:rsidTr="009677EE">
        <w:trPr>
          <w:jc w:val="center"/>
        </w:trPr>
        <w:tc>
          <w:tcPr>
            <w:tcW w:w="1735" w:type="pct"/>
            <w:vAlign w:val="center"/>
          </w:tcPr>
          <w:p w:rsidR="00883611" w:rsidRPr="008F648B" w:rsidRDefault="00883611" w:rsidP="009677EE">
            <w:pPr>
              <w:autoSpaceDE w:val="0"/>
              <w:autoSpaceDN w:val="0"/>
              <w:bidi w:val="0"/>
              <w:adjustRightInd w:val="0"/>
              <w:snapToGrid w:val="0"/>
              <w:jc w:val="both"/>
              <w:rPr>
                <w:sz w:val="20"/>
                <w:szCs w:val="20"/>
              </w:rPr>
            </w:pPr>
            <w:r w:rsidRPr="008F648B">
              <w:rPr>
                <w:color w:val="000000" w:themeColor="text1"/>
                <w:sz w:val="20"/>
                <w:szCs w:val="20"/>
              </w:rPr>
              <w:t>ITID</w:t>
            </w:r>
          </w:p>
        </w:tc>
        <w:tc>
          <w:tcPr>
            <w:tcW w:w="916" w:type="pct"/>
            <w:vAlign w:val="center"/>
          </w:tcPr>
          <w:p w:rsidR="00883611" w:rsidRPr="008F648B" w:rsidRDefault="00883611" w:rsidP="009677EE">
            <w:pPr>
              <w:bidi w:val="0"/>
              <w:snapToGrid w:val="0"/>
              <w:jc w:val="both"/>
              <w:rPr>
                <w:sz w:val="20"/>
                <w:szCs w:val="20"/>
              </w:rPr>
            </w:pPr>
            <w:r w:rsidRPr="008F648B">
              <w:rPr>
                <w:sz w:val="20"/>
                <w:szCs w:val="20"/>
              </w:rPr>
              <w:t>0.000</w:t>
            </w:r>
          </w:p>
        </w:tc>
        <w:tc>
          <w:tcPr>
            <w:tcW w:w="690" w:type="pct"/>
            <w:vAlign w:val="center"/>
          </w:tcPr>
          <w:p w:rsidR="00883611" w:rsidRPr="008F648B" w:rsidRDefault="00883611" w:rsidP="009677EE">
            <w:pPr>
              <w:bidi w:val="0"/>
              <w:snapToGrid w:val="0"/>
              <w:jc w:val="both"/>
              <w:rPr>
                <w:sz w:val="20"/>
                <w:szCs w:val="20"/>
              </w:rPr>
            </w:pPr>
            <w:r w:rsidRPr="008F648B">
              <w:rPr>
                <w:sz w:val="20"/>
                <w:szCs w:val="20"/>
              </w:rPr>
              <w:t>-5.91</w:t>
            </w:r>
          </w:p>
        </w:tc>
        <w:tc>
          <w:tcPr>
            <w:tcW w:w="859" w:type="pct"/>
            <w:vAlign w:val="center"/>
          </w:tcPr>
          <w:p w:rsidR="00883611" w:rsidRPr="008F648B" w:rsidRDefault="00883611" w:rsidP="009677EE">
            <w:pPr>
              <w:bidi w:val="0"/>
              <w:snapToGrid w:val="0"/>
              <w:jc w:val="both"/>
              <w:rPr>
                <w:sz w:val="20"/>
                <w:szCs w:val="20"/>
              </w:rPr>
            </w:pPr>
            <w:r w:rsidRPr="008F648B">
              <w:rPr>
                <w:sz w:val="20"/>
                <w:szCs w:val="20"/>
              </w:rPr>
              <w:t>-0.002</w:t>
            </w:r>
          </w:p>
        </w:tc>
        <w:tc>
          <w:tcPr>
            <w:tcW w:w="800" w:type="pct"/>
            <w:vAlign w:val="center"/>
          </w:tcPr>
          <w:p w:rsidR="00883611" w:rsidRPr="008F648B" w:rsidRDefault="00883611" w:rsidP="009677EE">
            <w:pPr>
              <w:bidi w:val="0"/>
              <w:snapToGrid w:val="0"/>
              <w:jc w:val="both"/>
              <w:rPr>
                <w:sz w:val="20"/>
                <w:szCs w:val="20"/>
              </w:rPr>
            </w:pPr>
            <w:r w:rsidRPr="008F648B">
              <w:rPr>
                <w:sz w:val="20"/>
                <w:szCs w:val="20"/>
              </w:rPr>
              <w:t>0.0003</w:t>
            </w:r>
          </w:p>
        </w:tc>
      </w:tr>
      <w:tr w:rsidR="00883611" w:rsidRPr="008F648B" w:rsidTr="009677EE">
        <w:trPr>
          <w:jc w:val="center"/>
        </w:trPr>
        <w:tc>
          <w:tcPr>
            <w:tcW w:w="1735" w:type="pct"/>
            <w:vAlign w:val="center"/>
          </w:tcPr>
          <w:p w:rsidR="00883611" w:rsidRPr="008F648B" w:rsidRDefault="00883611" w:rsidP="009677EE">
            <w:pPr>
              <w:autoSpaceDE w:val="0"/>
              <w:autoSpaceDN w:val="0"/>
              <w:bidi w:val="0"/>
              <w:adjustRightInd w:val="0"/>
              <w:snapToGrid w:val="0"/>
              <w:jc w:val="both"/>
              <w:rPr>
                <w:sz w:val="20"/>
                <w:szCs w:val="20"/>
              </w:rPr>
            </w:pPr>
            <w:r w:rsidRPr="008F648B">
              <w:rPr>
                <w:color w:val="000000" w:themeColor="text1"/>
                <w:sz w:val="20"/>
                <w:szCs w:val="20"/>
              </w:rPr>
              <w:t>APP</w:t>
            </w:r>
          </w:p>
        </w:tc>
        <w:tc>
          <w:tcPr>
            <w:tcW w:w="916" w:type="pct"/>
            <w:vAlign w:val="center"/>
          </w:tcPr>
          <w:p w:rsidR="00883611" w:rsidRPr="008F648B" w:rsidRDefault="00883611" w:rsidP="009677EE">
            <w:pPr>
              <w:bidi w:val="0"/>
              <w:snapToGrid w:val="0"/>
              <w:jc w:val="both"/>
              <w:rPr>
                <w:sz w:val="20"/>
                <w:szCs w:val="20"/>
              </w:rPr>
            </w:pPr>
            <w:r w:rsidRPr="008F648B">
              <w:rPr>
                <w:sz w:val="20"/>
                <w:szCs w:val="20"/>
              </w:rPr>
              <w:t>0.000</w:t>
            </w:r>
          </w:p>
        </w:tc>
        <w:tc>
          <w:tcPr>
            <w:tcW w:w="690" w:type="pct"/>
            <w:vAlign w:val="center"/>
          </w:tcPr>
          <w:p w:rsidR="00883611" w:rsidRPr="008F648B" w:rsidRDefault="00883611" w:rsidP="009677EE">
            <w:pPr>
              <w:bidi w:val="0"/>
              <w:snapToGrid w:val="0"/>
              <w:jc w:val="both"/>
              <w:rPr>
                <w:sz w:val="20"/>
                <w:szCs w:val="20"/>
              </w:rPr>
            </w:pPr>
            <w:r w:rsidRPr="008F648B">
              <w:rPr>
                <w:sz w:val="20"/>
                <w:szCs w:val="20"/>
              </w:rPr>
              <w:t>-4.3</w:t>
            </w:r>
          </w:p>
        </w:tc>
        <w:tc>
          <w:tcPr>
            <w:tcW w:w="859" w:type="pct"/>
            <w:vAlign w:val="center"/>
          </w:tcPr>
          <w:p w:rsidR="00883611" w:rsidRPr="008F648B" w:rsidRDefault="00883611" w:rsidP="009677EE">
            <w:pPr>
              <w:bidi w:val="0"/>
              <w:snapToGrid w:val="0"/>
              <w:jc w:val="both"/>
              <w:rPr>
                <w:sz w:val="20"/>
                <w:szCs w:val="20"/>
              </w:rPr>
            </w:pPr>
            <w:r w:rsidRPr="008F648B">
              <w:rPr>
                <w:sz w:val="20"/>
                <w:szCs w:val="20"/>
              </w:rPr>
              <w:t>-1.001</w:t>
            </w:r>
          </w:p>
        </w:tc>
        <w:tc>
          <w:tcPr>
            <w:tcW w:w="800" w:type="pct"/>
            <w:vAlign w:val="center"/>
          </w:tcPr>
          <w:p w:rsidR="00883611" w:rsidRPr="008F648B" w:rsidRDefault="00883611" w:rsidP="009677EE">
            <w:pPr>
              <w:bidi w:val="0"/>
              <w:snapToGrid w:val="0"/>
              <w:jc w:val="both"/>
              <w:rPr>
                <w:sz w:val="20"/>
                <w:szCs w:val="20"/>
              </w:rPr>
            </w:pPr>
            <w:r w:rsidRPr="008F648B">
              <w:rPr>
                <w:sz w:val="20"/>
                <w:szCs w:val="20"/>
              </w:rPr>
              <w:t>0.0003</w:t>
            </w:r>
          </w:p>
        </w:tc>
      </w:tr>
      <w:tr w:rsidR="00883611" w:rsidRPr="008F648B" w:rsidTr="009677EE">
        <w:trPr>
          <w:jc w:val="center"/>
        </w:trPr>
        <w:tc>
          <w:tcPr>
            <w:tcW w:w="1735" w:type="pct"/>
            <w:vAlign w:val="center"/>
          </w:tcPr>
          <w:p w:rsidR="00883611" w:rsidRPr="008F648B" w:rsidRDefault="00883611" w:rsidP="009677EE">
            <w:pPr>
              <w:autoSpaceDE w:val="0"/>
              <w:autoSpaceDN w:val="0"/>
              <w:bidi w:val="0"/>
              <w:adjustRightInd w:val="0"/>
              <w:snapToGrid w:val="0"/>
              <w:jc w:val="both"/>
              <w:rPr>
                <w:sz w:val="20"/>
                <w:szCs w:val="20"/>
              </w:rPr>
            </w:pPr>
            <w:r w:rsidRPr="008F648B">
              <w:rPr>
                <w:color w:val="000000" w:themeColor="text1"/>
                <w:sz w:val="20"/>
                <w:szCs w:val="20"/>
              </w:rPr>
              <w:t>FCF</w:t>
            </w:r>
          </w:p>
        </w:tc>
        <w:tc>
          <w:tcPr>
            <w:tcW w:w="916" w:type="pct"/>
            <w:vAlign w:val="center"/>
          </w:tcPr>
          <w:p w:rsidR="00883611" w:rsidRPr="008F648B" w:rsidRDefault="00883611" w:rsidP="009677EE">
            <w:pPr>
              <w:bidi w:val="0"/>
              <w:snapToGrid w:val="0"/>
              <w:jc w:val="both"/>
              <w:rPr>
                <w:sz w:val="20"/>
                <w:szCs w:val="20"/>
              </w:rPr>
            </w:pPr>
            <w:r w:rsidRPr="008F648B">
              <w:rPr>
                <w:sz w:val="20"/>
                <w:szCs w:val="20"/>
              </w:rPr>
              <w:t>0.618</w:t>
            </w:r>
          </w:p>
        </w:tc>
        <w:tc>
          <w:tcPr>
            <w:tcW w:w="690" w:type="pct"/>
            <w:vAlign w:val="center"/>
          </w:tcPr>
          <w:p w:rsidR="00883611" w:rsidRPr="008F648B" w:rsidRDefault="00883611" w:rsidP="009677EE">
            <w:pPr>
              <w:bidi w:val="0"/>
              <w:snapToGrid w:val="0"/>
              <w:jc w:val="both"/>
              <w:rPr>
                <w:sz w:val="20"/>
                <w:szCs w:val="20"/>
              </w:rPr>
            </w:pPr>
            <w:r w:rsidRPr="008F648B">
              <w:rPr>
                <w:sz w:val="20"/>
                <w:szCs w:val="20"/>
              </w:rPr>
              <w:t>0.49</w:t>
            </w:r>
          </w:p>
        </w:tc>
        <w:tc>
          <w:tcPr>
            <w:tcW w:w="859" w:type="pct"/>
            <w:vAlign w:val="center"/>
          </w:tcPr>
          <w:p w:rsidR="00883611" w:rsidRPr="008F648B" w:rsidRDefault="00883611" w:rsidP="009677EE">
            <w:pPr>
              <w:bidi w:val="0"/>
              <w:snapToGrid w:val="0"/>
              <w:jc w:val="both"/>
              <w:rPr>
                <w:sz w:val="20"/>
                <w:szCs w:val="20"/>
              </w:rPr>
            </w:pPr>
            <w:r w:rsidRPr="008F648B">
              <w:rPr>
                <w:sz w:val="20"/>
                <w:szCs w:val="20"/>
              </w:rPr>
              <w:t>0.009</w:t>
            </w:r>
          </w:p>
        </w:tc>
        <w:tc>
          <w:tcPr>
            <w:tcW w:w="800" w:type="pct"/>
            <w:vAlign w:val="center"/>
          </w:tcPr>
          <w:p w:rsidR="00883611" w:rsidRPr="008F648B" w:rsidRDefault="00883611" w:rsidP="009677EE">
            <w:pPr>
              <w:bidi w:val="0"/>
              <w:snapToGrid w:val="0"/>
              <w:jc w:val="both"/>
              <w:rPr>
                <w:sz w:val="20"/>
                <w:szCs w:val="20"/>
              </w:rPr>
            </w:pPr>
            <w:r w:rsidRPr="008F648B">
              <w:rPr>
                <w:sz w:val="20"/>
                <w:szCs w:val="20"/>
              </w:rPr>
              <w:t>0.019</w:t>
            </w:r>
          </w:p>
        </w:tc>
      </w:tr>
      <w:tr w:rsidR="00883611" w:rsidRPr="008F648B" w:rsidTr="009677EE">
        <w:trPr>
          <w:jc w:val="center"/>
        </w:trPr>
        <w:tc>
          <w:tcPr>
            <w:tcW w:w="1735" w:type="pct"/>
            <w:vAlign w:val="center"/>
          </w:tcPr>
          <w:p w:rsidR="00883611" w:rsidRPr="008F648B" w:rsidRDefault="00883611" w:rsidP="009677EE">
            <w:pPr>
              <w:autoSpaceDE w:val="0"/>
              <w:autoSpaceDN w:val="0"/>
              <w:bidi w:val="0"/>
              <w:adjustRightInd w:val="0"/>
              <w:snapToGrid w:val="0"/>
              <w:jc w:val="both"/>
              <w:rPr>
                <w:sz w:val="20"/>
                <w:szCs w:val="20"/>
              </w:rPr>
            </w:pPr>
            <w:r w:rsidRPr="008F648B">
              <w:rPr>
                <w:color w:val="000000" w:themeColor="text1"/>
                <w:sz w:val="20"/>
                <w:szCs w:val="20"/>
              </w:rPr>
              <w:t>Size</w:t>
            </w:r>
          </w:p>
        </w:tc>
        <w:tc>
          <w:tcPr>
            <w:tcW w:w="916" w:type="pct"/>
            <w:vAlign w:val="center"/>
          </w:tcPr>
          <w:p w:rsidR="00883611" w:rsidRPr="008F648B" w:rsidRDefault="00883611" w:rsidP="009677EE">
            <w:pPr>
              <w:bidi w:val="0"/>
              <w:snapToGrid w:val="0"/>
              <w:jc w:val="both"/>
              <w:rPr>
                <w:sz w:val="20"/>
                <w:szCs w:val="20"/>
              </w:rPr>
            </w:pPr>
            <w:r w:rsidRPr="008F648B">
              <w:rPr>
                <w:sz w:val="20"/>
                <w:szCs w:val="20"/>
              </w:rPr>
              <w:t>0.039</w:t>
            </w:r>
          </w:p>
        </w:tc>
        <w:tc>
          <w:tcPr>
            <w:tcW w:w="690" w:type="pct"/>
            <w:vAlign w:val="center"/>
          </w:tcPr>
          <w:p w:rsidR="00883611" w:rsidRPr="008F648B" w:rsidRDefault="00883611" w:rsidP="009677EE">
            <w:pPr>
              <w:bidi w:val="0"/>
              <w:snapToGrid w:val="0"/>
              <w:jc w:val="both"/>
              <w:rPr>
                <w:sz w:val="20"/>
                <w:szCs w:val="20"/>
              </w:rPr>
            </w:pPr>
            <w:r w:rsidRPr="008F648B">
              <w:rPr>
                <w:sz w:val="20"/>
                <w:szCs w:val="20"/>
              </w:rPr>
              <w:t>-2.07</w:t>
            </w:r>
          </w:p>
        </w:tc>
        <w:tc>
          <w:tcPr>
            <w:tcW w:w="859" w:type="pct"/>
            <w:vAlign w:val="center"/>
          </w:tcPr>
          <w:p w:rsidR="00883611" w:rsidRPr="008F648B" w:rsidRDefault="00883611" w:rsidP="009677EE">
            <w:pPr>
              <w:bidi w:val="0"/>
              <w:snapToGrid w:val="0"/>
              <w:jc w:val="both"/>
              <w:rPr>
                <w:sz w:val="20"/>
                <w:szCs w:val="20"/>
              </w:rPr>
            </w:pPr>
            <w:r w:rsidRPr="008F648B">
              <w:rPr>
                <w:sz w:val="20"/>
                <w:szCs w:val="20"/>
              </w:rPr>
              <w:t>0.016</w:t>
            </w:r>
          </w:p>
        </w:tc>
        <w:tc>
          <w:tcPr>
            <w:tcW w:w="800" w:type="pct"/>
            <w:vAlign w:val="center"/>
          </w:tcPr>
          <w:p w:rsidR="00883611" w:rsidRPr="008F648B" w:rsidRDefault="00883611" w:rsidP="009677EE">
            <w:pPr>
              <w:bidi w:val="0"/>
              <w:snapToGrid w:val="0"/>
              <w:jc w:val="both"/>
              <w:rPr>
                <w:sz w:val="20"/>
                <w:szCs w:val="20"/>
              </w:rPr>
            </w:pPr>
            <w:r w:rsidRPr="008F648B">
              <w:rPr>
                <w:sz w:val="20"/>
                <w:szCs w:val="20"/>
              </w:rPr>
              <w:t>0.008</w:t>
            </w:r>
          </w:p>
        </w:tc>
      </w:tr>
      <w:tr w:rsidR="00883611" w:rsidRPr="008F648B" w:rsidTr="009677EE">
        <w:trPr>
          <w:jc w:val="center"/>
        </w:trPr>
        <w:tc>
          <w:tcPr>
            <w:tcW w:w="1735" w:type="pct"/>
            <w:vAlign w:val="center"/>
          </w:tcPr>
          <w:p w:rsidR="00883611" w:rsidRPr="008F648B" w:rsidRDefault="00883611" w:rsidP="009677EE">
            <w:pPr>
              <w:autoSpaceDE w:val="0"/>
              <w:autoSpaceDN w:val="0"/>
              <w:bidi w:val="0"/>
              <w:adjustRightInd w:val="0"/>
              <w:snapToGrid w:val="0"/>
              <w:jc w:val="both"/>
              <w:rPr>
                <w:sz w:val="20"/>
                <w:szCs w:val="20"/>
              </w:rPr>
            </w:pPr>
            <w:r w:rsidRPr="008F648B">
              <w:rPr>
                <w:color w:val="000000" w:themeColor="text1"/>
                <w:sz w:val="20"/>
                <w:szCs w:val="20"/>
              </w:rPr>
              <w:t>FL</w:t>
            </w:r>
          </w:p>
        </w:tc>
        <w:tc>
          <w:tcPr>
            <w:tcW w:w="916" w:type="pct"/>
            <w:vAlign w:val="center"/>
          </w:tcPr>
          <w:p w:rsidR="00883611" w:rsidRPr="008F648B" w:rsidRDefault="00883611" w:rsidP="009677EE">
            <w:pPr>
              <w:bidi w:val="0"/>
              <w:snapToGrid w:val="0"/>
              <w:jc w:val="both"/>
              <w:rPr>
                <w:sz w:val="20"/>
                <w:szCs w:val="20"/>
              </w:rPr>
            </w:pPr>
            <w:r w:rsidRPr="008F648B">
              <w:rPr>
                <w:sz w:val="20"/>
                <w:szCs w:val="20"/>
              </w:rPr>
              <w:t>0.699</w:t>
            </w:r>
          </w:p>
        </w:tc>
        <w:tc>
          <w:tcPr>
            <w:tcW w:w="690" w:type="pct"/>
            <w:vAlign w:val="center"/>
          </w:tcPr>
          <w:p w:rsidR="00883611" w:rsidRPr="008F648B" w:rsidRDefault="00883611" w:rsidP="009677EE">
            <w:pPr>
              <w:bidi w:val="0"/>
              <w:snapToGrid w:val="0"/>
              <w:jc w:val="both"/>
              <w:rPr>
                <w:sz w:val="20"/>
                <w:szCs w:val="20"/>
              </w:rPr>
            </w:pPr>
            <w:r w:rsidRPr="008F648B">
              <w:rPr>
                <w:sz w:val="20"/>
                <w:szCs w:val="20"/>
              </w:rPr>
              <w:t>0.39</w:t>
            </w:r>
          </w:p>
        </w:tc>
        <w:tc>
          <w:tcPr>
            <w:tcW w:w="859" w:type="pct"/>
            <w:vAlign w:val="center"/>
          </w:tcPr>
          <w:p w:rsidR="00883611" w:rsidRPr="008F648B" w:rsidRDefault="00883611" w:rsidP="009677EE">
            <w:pPr>
              <w:bidi w:val="0"/>
              <w:snapToGrid w:val="0"/>
              <w:jc w:val="both"/>
              <w:rPr>
                <w:sz w:val="20"/>
                <w:szCs w:val="20"/>
              </w:rPr>
            </w:pPr>
            <w:r w:rsidRPr="008F648B">
              <w:rPr>
                <w:sz w:val="20"/>
                <w:szCs w:val="20"/>
              </w:rPr>
              <w:t>0.046</w:t>
            </w:r>
          </w:p>
        </w:tc>
        <w:tc>
          <w:tcPr>
            <w:tcW w:w="800" w:type="pct"/>
            <w:vAlign w:val="center"/>
          </w:tcPr>
          <w:p w:rsidR="00883611" w:rsidRPr="008F648B" w:rsidRDefault="00883611" w:rsidP="009677EE">
            <w:pPr>
              <w:bidi w:val="0"/>
              <w:snapToGrid w:val="0"/>
              <w:jc w:val="both"/>
              <w:rPr>
                <w:sz w:val="20"/>
                <w:szCs w:val="20"/>
              </w:rPr>
            </w:pPr>
            <w:r w:rsidRPr="008F648B">
              <w:rPr>
                <w:sz w:val="20"/>
                <w:szCs w:val="20"/>
              </w:rPr>
              <w:t>0.118</w:t>
            </w:r>
          </w:p>
        </w:tc>
      </w:tr>
      <w:tr w:rsidR="00883611" w:rsidRPr="008F648B" w:rsidTr="009677EE">
        <w:trPr>
          <w:jc w:val="center"/>
        </w:trPr>
        <w:tc>
          <w:tcPr>
            <w:tcW w:w="1735" w:type="pct"/>
            <w:vAlign w:val="center"/>
          </w:tcPr>
          <w:p w:rsidR="00883611" w:rsidRPr="008F648B" w:rsidRDefault="00883611" w:rsidP="009677EE">
            <w:pPr>
              <w:bidi w:val="0"/>
              <w:snapToGrid w:val="0"/>
              <w:jc w:val="both"/>
              <w:rPr>
                <w:b/>
                <w:bCs/>
                <w:sz w:val="20"/>
                <w:szCs w:val="20"/>
              </w:rPr>
            </w:pPr>
            <w:r w:rsidRPr="008F648B">
              <w:rPr>
                <w:b/>
                <w:bCs/>
                <w:sz w:val="20"/>
                <w:szCs w:val="20"/>
              </w:rPr>
              <w:t xml:space="preserve">Determination coefficient </w:t>
            </w:r>
          </w:p>
        </w:tc>
        <w:tc>
          <w:tcPr>
            <w:tcW w:w="916" w:type="pct"/>
            <w:vAlign w:val="center"/>
          </w:tcPr>
          <w:p w:rsidR="00883611" w:rsidRPr="008F648B" w:rsidRDefault="00883611" w:rsidP="009677EE">
            <w:pPr>
              <w:bidi w:val="0"/>
              <w:snapToGrid w:val="0"/>
              <w:jc w:val="both"/>
              <w:rPr>
                <w:sz w:val="20"/>
                <w:szCs w:val="20"/>
              </w:rPr>
            </w:pPr>
            <w:r w:rsidRPr="008F648B">
              <w:rPr>
                <w:sz w:val="20"/>
                <w:szCs w:val="20"/>
              </w:rPr>
              <w:t>0.42</w:t>
            </w:r>
          </w:p>
        </w:tc>
        <w:tc>
          <w:tcPr>
            <w:tcW w:w="1549" w:type="pct"/>
            <w:gridSpan w:val="2"/>
            <w:vAlign w:val="center"/>
          </w:tcPr>
          <w:p w:rsidR="00883611" w:rsidRPr="008F648B" w:rsidRDefault="00883611" w:rsidP="009677EE">
            <w:pPr>
              <w:bidi w:val="0"/>
              <w:snapToGrid w:val="0"/>
              <w:jc w:val="both"/>
              <w:rPr>
                <w:b/>
                <w:bCs/>
                <w:sz w:val="20"/>
                <w:szCs w:val="20"/>
              </w:rPr>
            </w:pPr>
            <w:r w:rsidRPr="008F648B">
              <w:rPr>
                <w:b/>
                <w:bCs/>
                <w:sz w:val="20"/>
                <w:szCs w:val="20"/>
              </w:rPr>
              <w:t>F statistic</w:t>
            </w:r>
          </w:p>
        </w:tc>
        <w:tc>
          <w:tcPr>
            <w:tcW w:w="800" w:type="pct"/>
            <w:vAlign w:val="center"/>
          </w:tcPr>
          <w:p w:rsidR="00883611" w:rsidRPr="008F648B" w:rsidRDefault="00883611" w:rsidP="009677EE">
            <w:pPr>
              <w:bidi w:val="0"/>
              <w:snapToGrid w:val="0"/>
              <w:jc w:val="both"/>
              <w:rPr>
                <w:sz w:val="20"/>
                <w:szCs w:val="20"/>
              </w:rPr>
            </w:pPr>
            <w:r w:rsidRPr="008F648B">
              <w:rPr>
                <w:sz w:val="20"/>
                <w:szCs w:val="20"/>
              </w:rPr>
              <w:t>3.4</w:t>
            </w:r>
          </w:p>
        </w:tc>
      </w:tr>
      <w:tr w:rsidR="00883611" w:rsidRPr="008F648B" w:rsidTr="009677EE">
        <w:trPr>
          <w:jc w:val="center"/>
        </w:trPr>
        <w:tc>
          <w:tcPr>
            <w:tcW w:w="1735" w:type="pct"/>
            <w:vAlign w:val="center"/>
          </w:tcPr>
          <w:p w:rsidR="00883611" w:rsidRPr="008F648B" w:rsidRDefault="00883611" w:rsidP="009677EE">
            <w:pPr>
              <w:bidi w:val="0"/>
              <w:snapToGrid w:val="0"/>
              <w:jc w:val="both"/>
              <w:rPr>
                <w:sz w:val="20"/>
                <w:szCs w:val="20"/>
              </w:rPr>
            </w:pPr>
            <w:r w:rsidRPr="008F648B">
              <w:rPr>
                <w:b/>
                <w:bCs/>
                <w:sz w:val="20"/>
                <w:szCs w:val="20"/>
              </w:rPr>
              <w:t>justified determination coefficient</w:t>
            </w:r>
          </w:p>
        </w:tc>
        <w:tc>
          <w:tcPr>
            <w:tcW w:w="916" w:type="pct"/>
            <w:vAlign w:val="center"/>
          </w:tcPr>
          <w:p w:rsidR="00883611" w:rsidRPr="008F648B" w:rsidRDefault="00883611" w:rsidP="009677EE">
            <w:pPr>
              <w:bidi w:val="0"/>
              <w:snapToGrid w:val="0"/>
              <w:jc w:val="both"/>
              <w:rPr>
                <w:sz w:val="20"/>
                <w:szCs w:val="20"/>
              </w:rPr>
            </w:pPr>
            <w:r w:rsidRPr="008F648B">
              <w:rPr>
                <w:sz w:val="20"/>
                <w:szCs w:val="20"/>
              </w:rPr>
              <w:t>0.30</w:t>
            </w:r>
          </w:p>
        </w:tc>
        <w:tc>
          <w:tcPr>
            <w:tcW w:w="1549" w:type="pct"/>
            <w:gridSpan w:val="2"/>
            <w:vAlign w:val="center"/>
          </w:tcPr>
          <w:p w:rsidR="00883611" w:rsidRPr="008F648B" w:rsidRDefault="00883611" w:rsidP="009677EE">
            <w:pPr>
              <w:bidi w:val="0"/>
              <w:snapToGrid w:val="0"/>
              <w:jc w:val="both"/>
              <w:rPr>
                <w:b/>
                <w:bCs/>
                <w:sz w:val="20"/>
                <w:szCs w:val="20"/>
              </w:rPr>
            </w:pPr>
            <w:r w:rsidRPr="008F648B">
              <w:rPr>
                <w:b/>
                <w:bCs/>
                <w:sz w:val="20"/>
                <w:szCs w:val="20"/>
              </w:rPr>
              <w:t>Significance level of F statistic</w:t>
            </w:r>
          </w:p>
        </w:tc>
        <w:tc>
          <w:tcPr>
            <w:tcW w:w="800" w:type="pct"/>
            <w:vAlign w:val="center"/>
          </w:tcPr>
          <w:p w:rsidR="00883611" w:rsidRPr="008F648B" w:rsidRDefault="00883611" w:rsidP="009677EE">
            <w:pPr>
              <w:bidi w:val="0"/>
              <w:snapToGrid w:val="0"/>
              <w:jc w:val="both"/>
              <w:rPr>
                <w:sz w:val="20"/>
                <w:szCs w:val="20"/>
              </w:rPr>
            </w:pPr>
            <w:r w:rsidRPr="008F648B">
              <w:rPr>
                <w:sz w:val="20"/>
                <w:szCs w:val="20"/>
              </w:rPr>
              <w:t>0.000</w:t>
            </w:r>
          </w:p>
        </w:tc>
      </w:tr>
      <w:tr w:rsidR="00883611" w:rsidRPr="008F648B" w:rsidTr="008F648B">
        <w:trPr>
          <w:jc w:val="center"/>
        </w:trPr>
        <w:tc>
          <w:tcPr>
            <w:tcW w:w="1735" w:type="pct"/>
            <w:vAlign w:val="center"/>
          </w:tcPr>
          <w:p w:rsidR="00883611" w:rsidRPr="008F648B" w:rsidRDefault="00883611" w:rsidP="009677EE">
            <w:pPr>
              <w:bidi w:val="0"/>
              <w:snapToGrid w:val="0"/>
              <w:jc w:val="both"/>
              <w:rPr>
                <w:b/>
                <w:bCs/>
                <w:color w:val="000000" w:themeColor="text1"/>
                <w:sz w:val="20"/>
                <w:szCs w:val="20"/>
              </w:rPr>
            </w:pPr>
            <w:r w:rsidRPr="008F648B">
              <w:rPr>
                <w:b/>
                <w:bCs/>
                <w:color w:val="000000" w:themeColor="text1"/>
                <w:sz w:val="20"/>
                <w:szCs w:val="20"/>
                <w:shd w:val="clear" w:color="auto" w:fill="FFFFFF"/>
              </w:rPr>
              <w:t>Durbin-</w:t>
            </w:r>
            <w:r w:rsidRPr="008F648B">
              <w:rPr>
                <w:rStyle w:val="Emphasis"/>
                <w:b/>
                <w:bCs/>
                <w:i w:val="0"/>
                <w:iCs w:val="0"/>
                <w:color w:val="000000" w:themeColor="text1"/>
                <w:sz w:val="20"/>
                <w:szCs w:val="20"/>
                <w:shd w:val="clear" w:color="auto" w:fill="FFFFFF"/>
              </w:rPr>
              <w:t>Watson</w:t>
            </w:r>
          </w:p>
        </w:tc>
        <w:tc>
          <w:tcPr>
            <w:tcW w:w="916" w:type="pct"/>
            <w:vAlign w:val="center"/>
          </w:tcPr>
          <w:p w:rsidR="00883611" w:rsidRPr="008F648B" w:rsidRDefault="00883611" w:rsidP="009677EE">
            <w:pPr>
              <w:bidi w:val="0"/>
              <w:snapToGrid w:val="0"/>
              <w:jc w:val="both"/>
              <w:rPr>
                <w:sz w:val="20"/>
                <w:szCs w:val="20"/>
              </w:rPr>
            </w:pPr>
            <w:r w:rsidRPr="008F648B">
              <w:rPr>
                <w:sz w:val="20"/>
                <w:szCs w:val="20"/>
              </w:rPr>
              <w:t>2.3</w:t>
            </w:r>
          </w:p>
        </w:tc>
        <w:tc>
          <w:tcPr>
            <w:tcW w:w="2349" w:type="pct"/>
            <w:gridSpan w:val="3"/>
            <w:vAlign w:val="center"/>
          </w:tcPr>
          <w:p w:rsidR="00883611" w:rsidRPr="008F648B" w:rsidRDefault="00883611" w:rsidP="009677EE">
            <w:pPr>
              <w:bidi w:val="0"/>
              <w:snapToGrid w:val="0"/>
              <w:jc w:val="both"/>
              <w:rPr>
                <w:b/>
                <w:bCs/>
                <w:sz w:val="20"/>
                <w:szCs w:val="20"/>
              </w:rPr>
            </w:pPr>
            <w:r w:rsidRPr="008F648B">
              <w:rPr>
                <w:b/>
                <w:bCs/>
                <w:sz w:val="20"/>
                <w:szCs w:val="20"/>
              </w:rPr>
              <w:t>LS method</w:t>
            </w:r>
          </w:p>
        </w:tc>
      </w:tr>
    </w:tbl>
    <w:p w:rsidR="008F648B" w:rsidRPr="008F648B" w:rsidRDefault="008F648B" w:rsidP="009677EE">
      <w:pPr>
        <w:bidi w:val="0"/>
        <w:snapToGrid w:val="0"/>
        <w:ind w:firstLine="425"/>
        <w:jc w:val="both"/>
        <w:rPr>
          <w:sz w:val="20"/>
        </w:rPr>
      </w:pPr>
    </w:p>
    <w:p w:rsidR="008F648B" w:rsidRDefault="008F648B" w:rsidP="009677EE">
      <w:pPr>
        <w:bidi w:val="0"/>
        <w:snapToGrid w:val="0"/>
        <w:ind w:firstLine="425"/>
        <w:jc w:val="both"/>
        <w:rPr>
          <w:sz w:val="20"/>
        </w:rPr>
        <w:sectPr w:rsidR="008F648B" w:rsidSect="008F648B">
          <w:type w:val="continuous"/>
          <w:pgSz w:w="12242" w:h="15842" w:code="1"/>
          <w:pgMar w:top="1440" w:right="1440" w:bottom="1440" w:left="1440" w:header="720" w:footer="720" w:gutter="0"/>
          <w:cols w:space="708"/>
          <w:bidi/>
          <w:docGrid w:linePitch="360"/>
        </w:sectPr>
      </w:pPr>
    </w:p>
    <w:p w:rsidR="00A337D0" w:rsidRPr="008F648B" w:rsidRDefault="00A337D0" w:rsidP="009677EE">
      <w:pPr>
        <w:bidi w:val="0"/>
        <w:snapToGrid w:val="0"/>
        <w:ind w:firstLine="425"/>
        <w:jc w:val="both"/>
        <w:rPr>
          <w:color w:val="000000"/>
          <w:sz w:val="20"/>
        </w:rPr>
      </w:pPr>
      <w:r w:rsidRPr="008F648B">
        <w:rPr>
          <w:sz w:val="20"/>
        </w:rPr>
        <w:lastRenderedPageBreak/>
        <w:t xml:space="preserve">In above model, when </w:t>
      </w:r>
      <w:r w:rsidRPr="008F648B">
        <w:rPr>
          <w:i/>
          <w:iCs/>
          <w:sz w:val="20"/>
        </w:rPr>
        <w:t>β</w:t>
      </w:r>
      <w:r w:rsidRPr="008F648B">
        <w:rPr>
          <w:i/>
          <w:iCs/>
          <w:sz w:val="20"/>
          <w:vertAlign w:val="subscript"/>
        </w:rPr>
        <w:t>1</w:t>
      </w:r>
      <w:r w:rsidRPr="008F648B">
        <w:rPr>
          <w:sz w:val="20"/>
        </w:rPr>
        <w:t xml:space="preserve"> and </w:t>
      </w:r>
      <w:r w:rsidRPr="008F648B">
        <w:rPr>
          <w:i/>
          <w:iCs/>
          <w:sz w:val="20"/>
        </w:rPr>
        <w:t>β</w:t>
      </w:r>
      <w:r w:rsidRPr="008F648B">
        <w:rPr>
          <w:sz w:val="20"/>
          <w:vertAlign w:val="subscript"/>
        </w:rPr>
        <w:t>3</w:t>
      </w:r>
      <w:r w:rsidRPr="008F648B">
        <w:rPr>
          <w:sz w:val="20"/>
        </w:rPr>
        <w:t xml:space="preserve"> are significant, the third sub-hypothesis is confirmed and when </w:t>
      </w:r>
      <w:r w:rsidRPr="008F648B">
        <w:rPr>
          <w:i/>
          <w:iCs/>
          <w:sz w:val="20"/>
        </w:rPr>
        <w:t>β</w:t>
      </w:r>
      <w:r w:rsidRPr="008F648B">
        <w:rPr>
          <w:i/>
          <w:iCs/>
          <w:sz w:val="20"/>
          <w:vertAlign w:val="subscript"/>
        </w:rPr>
        <w:t>4</w:t>
      </w:r>
      <w:r w:rsidRPr="008F648B">
        <w:rPr>
          <w:sz w:val="20"/>
        </w:rPr>
        <w:t xml:space="preserve"> is significant, the fourth sub-hypothesis is confirmed. With regard to table 7, because t-</w:t>
      </w:r>
      <w:r w:rsidRPr="008F648B">
        <w:rPr>
          <w:color w:val="000000"/>
          <w:sz w:val="20"/>
        </w:rPr>
        <w:t xml:space="preserve">statistic for average of collection period and </w:t>
      </w:r>
      <w:r w:rsidRPr="008F648B">
        <w:rPr>
          <w:color w:val="000000"/>
          <w:sz w:val="20"/>
          <w:shd w:val="clear" w:color="auto" w:fill="FFFFFF"/>
        </w:rPr>
        <w:t>average of</w:t>
      </w:r>
      <w:r w:rsidRPr="008F648B">
        <w:rPr>
          <w:color w:val="000000"/>
          <w:sz w:val="20"/>
        </w:rPr>
        <w:t xml:space="preserve"> debt payment period </w:t>
      </w:r>
      <w:r w:rsidRPr="008F648B">
        <w:rPr>
          <w:sz w:val="20"/>
        </w:rPr>
        <w:t xml:space="preserve">has been more than +1.965 and significant level is less than 0.05, thus, there is a significant relationship between </w:t>
      </w:r>
      <w:r w:rsidRPr="008F648B">
        <w:rPr>
          <w:color w:val="000000"/>
          <w:sz w:val="20"/>
        </w:rPr>
        <w:t xml:space="preserve">average of collection period </w:t>
      </w:r>
      <w:r w:rsidRPr="008F648B">
        <w:rPr>
          <w:sz w:val="20"/>
        </w:rPr>
        <w:t xml:space="preserve">and Return on capital of listed companies in Tehran Stock Exchange. </w:t>
      </w:r>
      <w:r w:rsidRPr="008F648B">
        <w:rPr>
          <w:color w:val="000000"/>
          <w:sz w:val="20"/>
        </w:rPr>
        <w:t xml:space="preserve">Thus, the third </w:t>
      </w:r>
      <w:r w:rsidRPr="008F648B">
        <w:rPr>
          <w:sz w:val="20"/>
        </w:rPr>
        <w:t xml:space="preserve">sub-hypothesis </w:t>
      </w:r>
      <w:r w:rsidRPr="008F648B">
        <w:rPr>
          <w:color w:val="000000"/>
          <w:sz w:val="20"/>
        </w:rPr>
        <w:t xml:space="preserve">of this study is confirmed. Furthermore, </w:t>
      </w:r>
      <w:r w:rsidRPr="008F648B">
        <w:rPr>
          <w:sz w:val="20"/>
        </w:rPr>
        <w:t>there is not a significant relationship between</w:t>
      </w:r>
      <w:r w:rsidRPr="008F648B">
        <w:rPr>
          <w:color w:val="000000"/>
          <w:sz w:val="20"/>
        </w:rPr>
        <w:t xml:space="preserve"> free cash flow</w:t>
      </w:r>
      <w:r w:rsidRPr="008F648B">
        <w:rPr>
          <w:sz w:val="20"/>
        </w:rPr>
        <w:t xml:space="preserve"> and return on capital of listed companies in Tehran Stock Exchange.</w:t>
      </w:r>
      <w:r w:rsidRPr="008F648B">
        <w:rPr>
          <w:color w:val="000000"/>
          <w:sz w:val="20"/>
        </w:rPr>
        <w:t xml:space="preserve"> In result, the </w:t>
      </w:r>
      <w:r w:rsidRPr="008F648B">
        <w:rPr>
          <w:sz w:val="20"/>
        </w:rPr>
        <w:t xml:space="preserve">fourth sub-hypothesis </w:t>
      </w:r>
      <w:r w:rsidRPr="008F648B">
        <w:rPr>
          <w:color w:val="000000"/>
          <w:sz w:val="20"/>
        </w:rPr>
        <w:t xml:space="preserve">of this study is confirmed. </w:t>
      </w:r>
    </w:p>
    <w:p w:rsidR="00A337D0" w:rsidRPr="008F648B" w:rsidRDefault="00A337D0" w:rsidP="009677EE">
      <w:pPr>
        <w:bidi w:val="0"/>
        <w:snapToGrid w:val="0"/>
        <w:ind w:firstLine="425"/>
        <w:jc w:val="both"/>
        <w:rPr>
          <w:sz w:val="20"/>
          <w:lang w:bidi="fa-IR"/>
        </w:rPr>
      </w:pPr>
      <w:proofErr w:type="spellStart"/>
      <w:r w:rsidRPr="008F648B">
        <w:rPr>
          <w:sz w:val="20"/>
        </w:rPr>
        <w:t>Dorbin</w:t>
      </w:r>
      <w:proofErr w:type="spellEnd"/>
      <w:r w:rsidRPr="008F648B">
        <w:rPr>
          <w:sz w:val="20"/>
        </w:rPr>
        <w:t xml:space="preserve">-Watson statistic of model is between 1.5 and 2.5. Also, significance level of F-statistic is 0.000 that is less than 0.05 and indicated that model and second sub-hypothesis is significant. Furthermore, the adjusted determination coefficient in the model are significant. </w:t>
      </w:r>
    </w:p>
    <w:p w:rsidR="009677EE" w:rsidRDefault="009677EE" w:rsidP="009677EE">
      <w:pPr>
        <w:bidi w:val="0"/>
        <w:snapToGrid w:val="0"/>
        <w:jc w:val="both"/>
        <w:rPr>
          <w:rFonts w:eastAsiaTheme="minorEastAsia"/>
          <w:b/>
          <w:bCs/>
          <w:sz w:val="20"/>
          <w:lang w:eastAsia="zh-CN" w:bidi="fa-IR"/>
        </w:rPr>
      </w:pPr>
    </w:p>
    <w:p w:rsidR="004D1FFF" w:rsidRPr="008F648B" w:rsidRDefault="00C475B6" w:rsidP="009677EE">
      <w:pPr>
        <w:bidi w:val="0"/>
        <w:snapToGrid w:val="0"/>
        <w:jc w:val="both"/>
        <w:rPr>
          <w:b/>
          <w:bCs/>
          <w:sz w:val="20"/>
          <w:lang w:bidi="fa-IR"/>
        </w:rPr>
      </w:pPr>
      <w:r w:rsidRPr="008F648B">
        <w:rPr>
          <w:b/>
          <w:bCs/>
          <w:sz w:val="20"/>
          <w:lang w:bidi="fa-IR"/>
        </w:rPr>
        <w:t xml:space="preserve">Conclusions </w:t>
      </w:r>
    </w:p>
    <w:p w:rsidR="00DD512A" w:rsidRPr="008F648B" w:rsidRDefault="00DD512A" w:rsidP="009677EE">
      <w:pPr>
        <w:bidi w:val="0"/>
        <w:snapToGrid w:val="0"/>
        <w:ind w:firstLine="425"/>
        <w:jc w:val="both"/>
        <w:rPr>
          <w:sz w:val="20"/>
        </w:rPr>
      </w:pPr>
      <w:r w:rsidRPr="008F648B">
        <w:rPr>
          <w:sz w:val="20"/>
        </w:rPr>
        <w:t xml:space="preserve">In this study, research hypotheses were tested based on the collected data from 77 companies listed in Tehran Stock Exchange during the years from 2009 to 2014 by using the hybrid regression analysis. Initially, descriptive statistics was presented for the dependent, independent and control variables. Then, two main hypotheses were tested. Coefficients </w:t>
      </w:r>
      <w:r w:rsidRPr="008F648B">
        <w:rPr>
          <w:sz w:val="20"/>
        </w:rPr>
        <w:lastRenderedPageBreak/>
        <w:t xml:space="preserve">significant test results based on the fitted regression equations indicated that there is a negative and significant between </w:t>
      </w:r>
      <w:r w:rsidRPr="008F648B">
        <w:rPr>
          <w:sz w:val="20"/>
          <w:lang w:bidi="fa-IR"/>
        </w:rPr>
        <w:t>working capital</w:t>
      </w:r>
      <w:r w:rsidRPr="008F648B">
        <w:rPr>
          <w:sz w:val="20"/>
        </w:rPr>
        <w:t xml:space="preserve"> and profitability and there is a negative and significant between </w:t>
      </w:r>
      <w:r w:rsidRPr="008F648B">
        <w:rPr>
          <w:sz w:val="20"/>
          <w:lang w:bidi="fa-IR"/>
        </w:rPr>
        <w:t>cash holdings</w:t>
      </w:r>
      <w:r w:rsidRPr="008F648B">
        <w:rPr>
          <w:sz w:val="20"/>
        </w:rPr>
        <w:t xml:space="preserve"> and profitability and companies listed in Tehran Stock Exchange. Comparing the results of this study with similar studies is presented in three parts.</w:t>
      </w:r>
    </w:p>
    <w:p w:rsidR="00435DF3" w:rsidRPr="008F648B" w:rsidRDefault="00571C91" w:rsidP="009677EE">
      <w:pPr>
        <w:autoSpaceDE w:val="0"/>
        <w:autoSpaceDN w:val="0"/>
        <w:bidi w:val="0"/>
        <w:adjustRightInd w:val="0"/>
        <w:snapToGrid w:val="0"/>
        <w:ind w:firstLine="425"/>
        <w:jc w:val="both"/>
        <w:rPr>
          <w:sz w:val="20"/>
          <w:lang w:bidi="fa-IR"/>
        </w:rPr>
      </w:pPr>
      <w:r w:rsidRPr="008F648B">
        <w:rPr>
          <w:sz w:val="20"/>
          <w:lang w:bidi="fa-IR"/>
        </w:rPr>
        <w:t>-</w:t>
      </w:r>
      <w:r w:rsidR="00E53A41" w:rsidRPr="008F648B">
        <w:rPr>
          <w:sz w:val="20"/>
          <w:lang w:bidi="fa-IR"/>
        </w:rPr>
        <w:t>There is a significant relationship between working capital management and cash holdings and profitability.</w:t>
      </w:r>
      <w:r w:rsidR="00E53A41" w:rsidRPr="008F648B">
        <w:rPr>
          <w:sz w:val="20"/>
        </w:rPr>
        <w:t xml:space="preserve"> </w:t>
      </w:r>
      <w:r w:rsidR="00E53A41" w:rsidRPr="008F648B">
        <w:rPr>
          <w:sz w:val="20"/>
          <w:lang w:bidi="fa-IR"/>
        </w:rPr>
        <w:t xml:space="preserve">The results of this research is consistent with studies of </w:t>
      </w:r>
      <w:proofErr w:type="spellStart"/>
      <w:r w:rsidR="00E53A41" w:rsidRPr="008F648B">
        <w:rPr>
          <w:sz w:val="20"/>
          <w:lang w:bidi="fa-IR"/>
        </w:rPr>
        <w:t>Rezazadeh</w:t>
      </w:r>
      <w:proofErr w:type="spellEnd"/>
      <w:r w:rsidR="00E53A41" w:rsidRPr="008F648B">
        <w:rPr>
          <w:sz w:val="20"/>
          <w:lang w:bidi="fa-IR"/>
        </w:rPr>
        <w:t xml:space="preserve"> and </w:t>
      </w:r>
      <w:proofErr w:type="spellStart"/>
      <w:r w:rsidR="00E53A41" w:rsidRPr="008F648B">
        <w:rPr>
          <w:sz w:val="20"/>
          <w:lang w:bidi="fa-IR"/>
        </w:rPr>
        <w:t>Heudarian</w:t>
      </w:r>
      <w:proofErr w:type="spellEnd"/>
      <w:r w:rsidR="00E53A41" w:rsidRPr="008F648B">
        <w:rPr>
          <w:sz w:val="20"/>
          <w:lang w:bidi="fa-IR"/>
        </w:rPr>
        <w:t xml:space="preserve"> (2010), Safari (2010), </w:t>
      </w:r>
      <w:proofErr w:type="spellStart"/>
      <w:r w:rsidR="00E53A41" w:rsidRPr="008F648B">
        <w:rPr>
          <w:sz w:val="20"/>
          <w:lang w:bidi="fa-IR"/>
        </w:rPr>
        <w:t>Ardakanian</w:t>
      </w:r>
      <w:proofErr w:type="spellEnd"/>
      <w:r w:rsidR="00E53A41" w:rsidRPr="008F648B">
        <w:rPr>
          <w:sz w:val="20"/>
          <w:lang w:bidi="fa-IR"/>
        </w:rPr>
        <w:t xml:space="preserve"> (2009), Ran (2012), Graham et al (2011), Gill et al (2010), </w:t>
      </w:r>
      <w:proofErr w:type="spellStart"/>
      <w:r w:rsidR="00E53A41" w:rsidRPr="008F648B">
        <w:rPr>
          <w:sz w:val="20"/>
          <w:lang w:bidi="fa-IR"/>
        </w:rPr>
        <w:t>Yar</w:t>
      </w:r>
      <w:proofErr w:type="spellEnd"/>
      <w:r w:rsidR="00E53A41" w:rsidRPr="008F648B">
        <w:rPr>
          <w:sz w:val="20"/>
          <w:lang w:bidi="fa-IR"/>
        </w:rPr>
        <w:t xml:space="preserve"> (2009), </w:t>
      </w:r>
      <w:proofErr w:type="spellStart"/>
      <w:r w:rsidR="00E53A41" w:rsidRPr="008F648B">
        <w:rPr>
          <w:sz w:val="20"/>
          <w:lang w:bidi="fa-IR"/>
        </w:rPr>
        <w:t>Padac</w:t>
      </w:r>
      <w:r w:rsidR="00286C97" w:rsidRPr="008F648B">
        <w:rPr>
          <w:sz w:val="20"/>
          <w:lang w:bidi="fa-IR"/>
        </w:rPr>
        <w:t>hi</w:t>
      </w:r>
      <w:proofErr w:type="spellEnd"/>
      <w:r w:rsidR="00286C97" w:rsidRPr="008F648B">
        <w:rPr>
          <w:sz w:val="20"/>
          <w:lang w:bidi="fa-IR"/>
        </w:rPr>
        <w:t xml:space="preserve"> (2006), </w:t>
      </w:r>
      <w:proofErr w:type="spellStart"/>
      <w:r w:rsidR="00286C97" w:rsidRPr="008F648B">
        <w:rPr>
          <w:sz w:val="20"/>
          <w:lang w:bidi="fa-IR"/>
        </w:rPr>
        <w:t>Delouf</w:t>
      </w:r>
      <w:proofErr w:type="spellEnd"/>
      <w:r w:rsidR="00286C97" w:rsidRPr="008F648B">
        <w:rPr>
          <w:sz w:val="20"/>
          <w:lang w:bidi="fa-IR"/>
        </w:rPr>
        <w:t xml:space="preserve"> (2003). This researchers concluded that impact of working capital management on investigated companies' profitability is significant and negative. Conversion cycle to the cash as a measure of working capital management have a significant and negative on the working capital management. Components of conversion cycle to the cash which includes accounts receivable collection period, inventory turnover period and the period of delay in the payment of accounts payable have a significant and negative effect on companies' profitability. This means that</w:t>
      </w:r>
      <w:r w:rsidR="00286C97" w:rsidRPr="008F648B">
        <w:rPr>
          <w:sz w:val="20"/>
        </w:rPr>
        <w:t xml:space="preserve"> </w:t>
      </w:r>
      <w:r w:rsidR="00286C97" w:rsidRPr="008F648B">
        <w:rPr>
          <w:sz w:val="20"/>
          <w:lang w:bidi="fa-IR"/>
        </w:rPr>
        <w:t>companies can obtains a higher level of profitability with efficient management of inventories and shortening the collection period of accounts receivable. In addition, the suspension period of shorter payment increase the profitability of the company.</w:t>
      </w:r>
      <w:r w:rsidR="00EB3698" w:rsidRPr="008F648B">
        <w:rPr>
          <w:sz w:val="20"/>
        </w:rPr>
        <w:t xml:space="preserve"> Totally, research results indicated that </w:t>
      </w:r>
      <w:r w:rsidR="00EB3698" w:rsidRPr="008F648B">
        <w:rPr>
          <w:sz w:val="20"/>
        </w:rPr>
        <w:lastRenderedPageBreak/>
        <w:t>efficient management of working capital and its components by companies have a significant effect on companies' profitability. Also, results indicated that investment in working capital processes and efficiency of</w:t>
      </w:r>
      <w:r w:rsidR="00EB3698" w:rsidRPr="008F648B">
        <w:rPr>
          <w:sz w:val="20"/>
          <w:lang w:bidi="fa-IR"/>
        </w:rPr>
        <w:t xml:space="preserve"> working capital management</w:t>
      </w:r>
      <w:r w:rsidR="00EB3698" w:rsidRPr="008F648B">
        <w:rPr>
          <w:sz w:val="20"/>
        </w:rPr>
        <w:t xml:space="preserve"> with usual routines is essential for companies' profitability. </w:t>
      </w:r>
      <w:r w:rsidR="004022EA" w:rsidRPr="008F648B">
        <w:rPr>
          <w:sz w:val="20"/>
          <w:lang w:bidi="fa-IR"/>
        </w:rPr>
        <w:t xml:space="preserve">It's essential that companies considers working capital management in process of their financial planning. Studies results of </w:t>
      </w:r>
      <w:proofErr w:type="spellStart"/>
      <w:r w:rsidR="004022EA" w:rsidRPr="008F648B">
        <w:rPr>
          <w:sz w:val="20"/>
          <w:lang w:bidi="fa-IR"/>
        </w:rPr>
        <w:t>Nasiri</w:t>
      </w:r>
      <w:proofErr w:type="spellEnd"/>
      <w:r w:rsidR="004022EA" w:rsidRPr="008F648B">
        <w:rPr>
          <w:sz w:val="20"/>
          <w:lang w:bidi="fa-IR"/>
        </w:rPr>
        <w:t xml:space="preserve"> et al (2014) and </w:t>
      </w:r>
      <w:proofErr w:type="spellStart"/>
      <w:r w:rsidR="004022EA" w:rsidRPr="008F648B">
        <w:rPr>
          <w:sz w:val="20"/>
          <w:lang w:bidi="fa-IR"/>
        </w:rPr>
        <w:t>Manouchehri</w:t>
      </w:r>
      <w:proofErr w:type="spellEnd"/>
      <w:r w:rsidR="004022EA" w:rsidRPr="008F648B">
        <w:rPr>
          <w:sz w:val="20"/>
          <w:lang w:bidi="fa-IR"/>
        </w:rPr>
        <w:t xml:space="preserve"> (2013) showed that there is a significant relationship between companies' liquidity and profitability.</w:t>
      </w:r>
      <w:r w:rsidR="008F648B" w:rsidRPr="008F648B">
        <w:rPr>
          <w:sz w:val="20"/>
          <w:lang w:bidi="fa-IR"/>
        </w:rPr>
        <w:t xml:space="preserve"> </w:t>
      </w:r>
    </w:p>
    <w:p w:rsidR="00435DF3" w:rsidRPr="008F648B" w:rsidRDefault="00571C91" w:rsidP="009677EE">
      <w:pPr>
        <w:autoSpaceDE w:val="0"/>
        <w:autoSpaceDN w:val="0"/>
        <w:bidi w:val="0"/>
        <w:adjustRightInd w:val="0"/>
        <w:snapToGrid w:val="0"/>
        <w:ind w:firstLine="425"/>
        <w:jc w:val="both"/>
        <w:rPr>
          <w:sz w:val="20"/>
          <w:lang w:bidi="fa-IR"/>
        </w:rPr>
      </w:pPr>
      <w:r w:rsidRPr="008F648B">
        <w:rPr>
          <w:sz w:val="20"/>
          <w:lang w:bidi="fa-IR"/>
        </w:rPr>
        <w:t>-</w:t>
      </w:r>
      <w:r w:rsidR="00726448" w:rsidRPr="008F648B">
        <w:rPr>
          <w:sz w:val="20"/>
          <w:lang w:bidi="fa-IR"/>
        </w:rPr>
        <w:t xml:space="preserve">There is a significant relationship between </w:t>
      </w:r>
      <w:r w:rsidR="003C67ED" w:rsidRPr="008F648B">
        <w:rPr>
          <w:sz w:val="20"/>
          <w:lang w:bidi="fa-IR"/>
        </w:rPr>
        <w:t xml:space="preserve">working capital management, cash holdings and return on assets. </w:t>
      </w:r>
      <w:r w:rsidR="00435DF3" w:rsidRPr="008F648B">
        <w:rPr>
          <w:sz w:val="20"/>
          <w:lang w:bidi="fa-IR"/>
        </w:rPr>
        <w:t>The results of this research is consistent with studies of</w:t>
      </w:r>
      <w:r w:rsidR="00435DF3" w:rsidRPr="008F648B">
        <w:rPr>
          <w:sz w:val="20"/>
        </w:rPr>
        <w:t xml:space="preserve"> </w:t>
      </w:r>
      <w:proofErr w:type="spellStart"/>
      <w:r w:rsidR="00435DF3" w:rsidRPr="008F648B">
        <w:rPr>
          <w:sz w:val="20"/>
        </w:rPr>
        <w:t>Yazdani</w:t>
      </w:r>
      <w:proofErr w:type="spellEnd"/>
      <w:r w:rsidR="00435DF3" w:rsidRPr="008F648B">
        <w:rPr>
          <w:sz w:val="20"/>
        </w:rPr>
        <w:t xml:space="preserve"> and </w:t>
      </w:r>
      <w:proofErr w:type="spellStart"/>
      <w:r w:rsidR="00435DF3" w:rsidRPr="008F648B">
        <w:rPr>
          <w:sz w:val="20"/>
        </w:rPr>
        <w:t>Gholipour</w:t>
      </w:r>
      <w:proofErr w:type="spellEnd"/>
      <w:r w:rsidR="00435DF3" w:rsidRPr="008F648B">
        <w:rPr>
          <w:sz w:val="20"/>
        </w:rPr>
        <w:t xml:space="preserve"> (2013), </w:t>
      </w:r>
      <w:proofErr w:type="spellStart"/>
      <w:r w:rsidR="00435DF3" w:rsidRPr="008F648B">
        <w:rPr>
          <w:sz w:val="20"/>
        </w:rPr>
        <w:t>Baharmoghadam</w:t>
      </w:r>
      <w:proofErr w:type="spellEnd"/>
      <w:r w:rsidR="00435DF3" w:rsidRPr="008F648B">
        <w:rPr>
          <w:sz w:val="20"/>
        </w:rPr>
        <w:t xml:space="preserve"> et al (2011). Man et al (2015). </w:t>
      </w:r>
      <w:proofErr w:type="spellStart"/>
      <w:r w:rsidR="00435DF3" w:rsidRPr="008F648B">
        <w:rPr>
          <w:sz w:val="20"/>
        </w:rPr>
        <w:t>Yazdani</w:t>
      </w:r>
      <w:proofErr w:type="spellEnd"/>
      <w:r w:rsidR="00435DF3" w:rsidRPr="008F648B">
        <w:rPr>
          <w:sz w:val="20"/>
        </w:rPr>
        <w:t xml:space="preserve"> and </w:t>
      </w:r>
      <w:proofErr w:type="spellStart"/>
      <w:r w:rsidR="00435DF3" w:rsidRPr="008F648B">
        <w:rPr>
          <w:sz w:val="20"/>
        </w:rPr>
        <w:t>Gholipour</w:t>
      </w:r>
      <w:proofErr w:type="spellEnd"/>
      <w:r w:rsidR="00435DF3" w:rsidRPr="008F648B">
        <w:rPr>
          <w:sz w:val="20"/>
        </w:rPr>
        <w:t xml:space="preserve"> (2013) indicated that cash conversion cycle have a significant and inverse relationship with the return on assets. </w:t>
      </w:r>
      <w:proofErr w:type="spellStart"/>
      <w:r w:rsidR="00435DF3" w:rsidRPr="008F648B">
        <w:rPr>
          <w:sz w:val="20"/>
        </w:rPr>
        <w:t>Baharmoghadam</w:t>
      </w:r>
      <w:proofErr w:type="spellEnd"/>
      <w:r w:rsidR="00435DF3" w:rsidRPr="008F648B">
        <w:rPr>
          <w:sz w:val="20"/>
        </w:rPr>
        <w:t xml:space="preserve"> et al (2011) showed that liquidity and firm size have a significant and positive relationship with the return on assets. Man et al (2015) indicated that there is interaction effects between liquidity and return on assets.</w:t>
      </w:r>
    </w:p>
    <w:p w:rsidR="00726448" w:rsidRPr="008F648B" w:rsidRDefault="00571C91" w:rsidP="009677EE">
      <w:pPr>
        <w:bidi w:val="0"/>
        <w:snapToGrid w:val="0"/>
        <w:ind w:firstLine="425"/>
        <w:jc w:val="both"/>
        <w:rPr>
          <w:sz w:val="20"/>
          <w:lang w:bidi="fa-IR"/>
        </w:rPr>
      </w:pPr>
      <w:r w:rsidRPr="008F648B">
        <w:rPr>
          <w:sz w:val="20"/>
        </w:rPr>
        <w:t>-</w:t>
      </w:r>
      <w:r w:rsidR="000C3EB7" w:rsidRPr="008F648B">
        <w:rPr>
          <w:sz w:val="20"/>
        </w:rPr>
        <w:t xml:space="preserve">There is a significant relationship between average debt collection period, cash holdings and return on capital. With regard to the significant relationship between average debt collection period, cash holdings and return on capital in Tehran Stock Exchange, some of results have adverse results with this study. The results of this research is consistent with research of </w:t>
      </w:r>
      <w:proofErr w:type="spellStart"/>
      <w:r w:rsidR="000C3EB7" w:rsidRPr="008F648B">
        <w:rPr>
          <w:sz w:val="20"/>
        </w:rPr>
        <w:t>Yazdani</w:t>
      </w:r>
      <w:proofErr w:type="spellEnd"/>
      <w:r w:rsidR="000C3EB7" w:rsidRPr="008F648B">
        <w:rPr>
          <w:sz w:val="20"/>
        </w:rPr>
        <w:t xml:space="preserve"> and </w:t>
      </w:r>
      <w:proofErr w:type="spellStart"/>
      <w:r w:rsidR="000C3EB7" w:rsidRPr="008F648B">
        <w:rPr>
          <w:sz w:val="20"/>
        </w:rPr>
        <w:t>Gholipour</w:t>
      </w:r>
      <w:proofErr w:type="spellEnd"/>
      <w:r w:rsidR="000C3EB7" w:rsidRPr="008F648B">
        <w:rPr>
          <w:sz w:val="20"/>
        </w:rPr>
        <w:t xml:space="preserve"> (2013).</w:t>
      </w:r>
      <w:r w:rsidR="008F648B" w:rsidRPr="008F648B">
        <w:rPr>
          <w:sz w:val="20"/>
        </w:rPr>
        <w:t xml:space="preserve"> </w:t>
      </w:r>
      <w:proofErr w:type="spellStart"/>
      <w:r w:rsidR="000C3EB7" w:rsidRPr="008F648B">
        <w:rPr>
          <w:sz w:val="20"/>
        </w:rPr>
        <w:t>Yazdani</w:t>
      </w:r>
      <w:proofErr w:type="spellEnd"/>
      <w:r w:rsidR="000C3EB7" w:rsidRPr="008F648B">
        <w:rPr>
          <w:sz w:val="20"/>
        </w:rPr>
        <w:t xml:space="preserve"> and </w:t>
      </w:r>
      <w:proofErr w:type="spellStart"/>
      <w:r w:rsidR="000C3EB7" w:rsidRPr="008F648B">
        <w:rPr>
          <w:sz w:val="20"/>
        </w:rPr>
        <w:t>Gholipour</w:t>
      </w:r>
      <w:proofErr w:type="spellEnd"/>
      <w:r w:rsidR="000C3EB7" w:rsidRPr="008F648B">
        <w:rPr>
          <w:sz w:val="20"/>
        </w:rPr>
        <w:t xml:space="preserve"> (2013) concluded that cash conversion cycle has a significant and inverse relationship with the return on equity. </w:t>
      </w:r>
    </w:p>
    <w:p w:rsidR="00200E9F" w:rsidRPr="008F648B" w:rsidRDefault="008F648B" w:rsidP="009677EE">
      <w:pPr>
        <w:bidi w:val="0"/>
        <w:snapToGrid w:val="0"/>
        <w:jc w:val="both"/>
        <w:rPr>
          <w:b/>
          <w:bCs/>
          <w:sz w:val="20"/>
          <w:lang w:bidi="fa-IR"/>
        </w:rPr>
      </w:pPr>
      <w:bookmarkStart w:id="0" w:name="_GoBack"/>
      <w:r>
        <w:rPr>
          <w:b/>
          <w:bCs/>
          <w:sz w:val="20"/>
          <w:lang w:bidi="fa-IR"/>
        </w:rPr>
        <w:cr/>
      </w:r>
      <w:r w:rsidR="00AB4AB3" w:rsidRPr="008F648B">
        <w:rPr>
          <w:b/>
          <w:bCs/>
          <w:sz w:val="20"/>
          <w:lang w:bidi="fa-IR"/>
        </w:rPr>
        <w:t>References</w:t>
      </w:r>
    </w:p>
    <w:p w:rsidR="00200E9F" w:rsidRPr="009677EE" w:rsidRDefault="00200E9F" w:rsidP="009677EE">
      <w:pPr>
        <w:pStyle w:val="ListParagraph"/>
        <w:numPr>
          <w:ilvl w:val="0"/>
          <w:numId w:val="6"/>
        </w:numPr>
        <w:bidi w:val="0"/>
        <w:snapToGrid w:val="0"/>
        <w:jc w:val="both"/>
        <w:rPr>
          <w:color w:val="000000" w:themeColor="text1"/>
          <w:sz w:val="20"/>
        </w:rPr>
      </w:pPr>
      <w:proofErr w:type="spellStart"/>
      <w:r w:rsidRPr="009677EE">
        <w:rPr>
          <w:color w:val="000000" w:themeColor="text1"/>
          <w:sz w:val="20"/>
          <w:lang w:bidi="fa-IR"/>
        </w:rPr>
        <w:t>Aktas</w:t>
      </w:r>
      <w:proofErr w:type="spellEnd"/>
      <w:r w:rsidRPr="009677EE">
        <w:rPr>
          <w:color w:val="000000" w:themeColor="text1"/>
          <w:sz w:val="20"/>
          <w:lang w:bidi="fa-IR"/>
        </w:rPr>
        <w:t xml:space="preserve">, N., </w:t>
      </w:r>
      <w:proofErr w:type="spellStart"/>
      <w:r w:rsidRPr="009677EE">
        <w:rPr>
          <w:color w:val="000000" w:themeColor="text1"/>
          <w:sz w:val="20"/>
          <w:lang w:bidi="fa-IR"/>
        </w:rPr>
        <w:t>Ettore</w:t>
      </w:r>
      <w:proofErr w:type="spellEnd"/>
      <w:r w:rsidRPr="009677EE">
        <w:rPr>
          <w:color w:val="000000" w:themeColor="text1"/>
          <w:sz w:val="20"/>
          <w:lang w:bidi="fa-IR"/>
        </w:rPr>
        <w:t xml:space="preserve">, C. and </w:t>
      </w:r>
      <w:proofErr w:type="spellStart"/>
      <w:r w:rsidRPr="009677EE">
        <w:rPr>
          <w:color w:val="000000" w:themeColor="text1"/>
          <w:sz w:val="20"/>
          <w:lang w:bidi="fa-IR"/>
        </w:rPr>
        <w:t>Dimitris</w:t>
      </w:r>
      <w:proofErr w:type="spellEnd"/>
      <w:r w:rsidRPr="009677EE">
        <w:rPr>
          <w:color w:val="000000" w:themeColor="text1"/>
          <w:sz w:val="20"/>
          <w:lang w:bidi="fa-IR"/>
        </w:rPr>
        <w:t xml:space="preserve">, P. (2014). Is working capital management value-enhancing? Evidence from firm performance and investments, Journal of Corporate Finance (2014), </w:t>
      </w:r>
      <w:proofErr w:type="spellStart"/>
      <w:r w:rsidRPr="009677EE">
        <w:rPr>
          <w:color w:val="000000" w:themeColor="text1"/>
          <w:sz w:val="20"/>
          <w:lang w:bidi="fa-IR"/>
        </w:rPr>
        <w:t>doi</w:t>
      </w:r>
      <w:proofErr w:type="spellEnd"/>
      <w:r w:rsidRPr="009677EE">
        <w:rPr>
          <w:color w:val="000000" w:themeColor="text1"/>
          <w:sz w:val="20"/>
          <w:lang w:bidi="fa-IR"/>
        </w:rPr>
        <w:t>: 10.1016/j.jcorpfin.2014.12.008.</w:t>
      </w:r>
    </w:p>
    <w:p w:rsidR="00200E9F" w:rsidRPr="009677EE" w:rsidRDefault="00200E9F" w:rsidP="009677EE">
      <w:pPr>
        <w:pStyle w:val="ListParagraph"/>
        <w:numPr>
          <w:ilvl w:val="0"/>
          <w:numId w:val="6"/>
        </w:numPr>
        <w:bidi w:val="0"/>
        <w:snapToGrid w:val="0"/>
        <w:jc w:val="both"/>
        <w:rPr>
          <w:color w:val="000000" w:themeColor="text1"/>
          <w:sz w:val="20"/>
        </w:rPr>
      </w:pPr>
      <w:proofErr w:type="spellStart"/>
      <w:r w:rsidRPr="009677EE">
        <w:rPr>
          <w:color w:val="000000" w:themeColor="text1"/>
          <w:sz w:val="20"/>
          <w:lang w:bidi="fa-IR"/>
        </w:rPr>
        <w:t>Ardakanian</w:t>
      </w:r>
      <w:proofErr w:type="spellEnd"/>
      <w:r w:rsidRPr="009677EE">
        <w:rPr>
          <w:color w:val="000000" w:themeColor="text1"/>
          <w:sz w:val="20"/>
          <w:lang w:bidi="fa-IR"/>
        </w:rPr>
        <w:t xml:space="preserve">, N. (2009). </w:t>
      </w:r>
      <w:r w:rsidRPr="009677EE">
        <w:rPr>
          <w:color w:val="000000" w:themeColor="text1"/>
          <w:sz w:val="20"/>
        </w:rPr>
        <w:t xml:space="preserve">Investigate the relationship between working capital management and profitability. Master's thesis, </w:t>
      </w:r>
      <w:proofErr w:type="spellStart"/>
      <w:r w:rsidRPr="009677EE">
        <w:rPr>
          <w:color w:val="000000" w:themeColor="text1"/>
          <w:sz w:val="20"/>
        </w:rPr>
        <w:t>Shahid</w:t>
      </w:r>
      <w:proofErr w:type="spellEnd"/>
      <w:r w:rsidRPr="009677EE">
        <w:rPr>
          <w:color w:val="000000" w:themeColor="text1"/>
          <w:sz w:val="20"/>
        </w:rPr>
        <w:t xml:space="preserve"> </w:t>
      </w:r>
      <w:proofErr w:type="spellStart"/>
      <w:r w:rsidRPr="009677EE">
        <w:rPr>
          <w:color w:val="000000" w:themeColor="text1"/>
          <w:sz w:val="20"/>
        </w:rPr>
        <w:t>Beheshti</w:t>
      </w:r>
      <w:proofErr w:type="spellEnd"/>
      <w:r w:rsidRPr="009677EE">
        <w:rPr>
          <w:color w:val="000000" w:themeColor="text1"/>
          <w:sz w:val="20"/>
        </w:rPr>
        <w:t xml:space="preserve"> University. </w:t>
      </w:r>
    </w:p>
    <w:p w:rsidR="00200E9F" w:rsidRPr="009677EE" w:rsidRDefault="00200E9F" w:rsidP="009677EE">
      <w:pPr>
        <w:pStyle w:val="ListParagraph"/>
        <w:numPr>
          <w:ilvl w:val="0"/>
          <w:numId w:val="6"/>
        </w:numPr>
        <w:bidi w:val="0"/>
        <w:snapToGrid w:val="0"/>
        <w:jc w:val="both"/>
        <w:rPr>
          <w:color w:val="000000" w:themeColor="text1"/>
          <w:sz w:val="20"/>
        </w:rPr>
      </w:pPr>
      <w:proofErr w:type="spellStart"/>
      <w:r w:rsidRPr="009677EE">
        <w:rPr>
          <w:color w:val="000000" w:themeColor="text1"/>
          <w:sz w:val="20"/>
        </w:rPr>
        <w:t>Baharmoghadam</w:t>
      </w:r>
      <w:proofErr w:type="spellEnd"/>
      <w:r w:rsidRPr="009677EE">
        <w:rPr>
          <w:color w:val="000000" w:themeColor="text1"/>
          <w:sz w:val="20"/>
        </w:rPr>
        <w:t>, M.</w:t>
      </w:r>
      <w:r w:rsidR="008F648B" w:rsidRPr="009677EE">
        <w:rPr>
          <w:color w:val="000000" w:themeColor="text1"/>
          <w:sz w:val="20"/>
        </w:rPr>
        <w:t xml:space="preserve"> &amp; </w:t>
      </w:r>
      <w:proofErr w:type="spellStart"/>
      <w:r w:rsidRPr="009677EE">
        <w:rPr>
          <w:color w:val="000000" w:themeColor="text1"/>
          <w:sz w:val="20"/>
        </w:rPr>
        <w:t>Yazdi</w:t>
      </w:r>
      <w:proofErr w:type="spellEnd"/>
      <w:r w:rsidRPr="009677EE">
        <w:rPr>
          <w:color w:val="000000" w:themeColor="text1"/>
          <w:sz w:val="20"/>
        </w:rPr>
        <w:t>, Z. (2011). Investigate the effects of working capital management on profitability of listed companies Tehran Stock Exchange, Management accounting, 4 (10): 63-75.</w:t>
      </w:r>
    </w:p>
    <w:p w:rsidR="00200E9F" w:rsidRPr="009677EE" w:rsidRDefault="00200E9F" w:rsidP="009677EE">
      <w:pPr>
        <w:pStyle w:val="ListParagraph"/>
        <w:numPr>
          <w:ilvl w:val="0"/>
          <w:numId w:val="6"/>
        </w:numPr>
        <w:bidi w:val="0"/>
        <w:snapToGrid w:val="0"/>
        <w:jc w:val="both"/>
        <w:rPr>
          <w:color w:val="000000" w:themeColor="text1"/>
          <w:sz w:val="20"/>
        </w:rPr>
      </w:pPr>
      <w:r w:rsidRPr="009677EE">
        <w:rPr>
          <w:color w:val="000000" w:themeColor="text1"/>
          <w:sz w:val="20"/>
          <w:lang w:bidi="fa-IR"/>
        </w:rPr>
        <w:t xml:space="preserve">Blinder, A. S. and </w:t>
      </w:r>
      <w:proofErr w:type="spellStart"/>
      <w:r w:rsidRPr="009677EE">
        <w:rPr>
          <w:color w:val="000000" w:themeColor="text1"/>
          <w:sz w:val="20"/>
          <w:lang w:bidi="fa-IR"/>
        </w:rPr>
        <w:t>Maccini</w:t>
      </w:r>
      <w:proofErr w:type="spellEnd"/>
      <w:r w:rsidRPr="009677EE">
        <w:rPr>
          <w:color w:val="000000" w:themeColor="text1"/>
          <w:sz w:val="20"/>
          <w:lang w:bidi="fa-IR"/>
        </w:rPr>
        <w:t>, L. J. (1991). The resurgence of inventory research: what have we learned? J. Econ. Survey, 5, 291–328.</w:t>
      </w:r>
    </w:p>
    <w:p w:rsidR="00200E9F" w:rsidRPr="009677EE" w:rsidRDefault="00200E9F" w:rsidP="009677EE">
      <w:pPr>
        <w:pStyle w:val="ListParagraph"/>
        <w:numPr>
          <w:ilvl w:val="0"/>
          <w:numId w:val="6"/>
        </w:numPr>
        <w:bidi w:val="0"/>
        <w:snapToGrid w:val="0"/>
        <w:jc w:val="both"/>
        <w:rPr>
          <w:color w:val="000000" w:themeColor="text1"/>
          <w:sz w:val="20"/>
        </w:rPr>
      </w:pPr>
      <w:proofErr w:type="spellStart"/>
      <w:r w:rsidRPr="009677EE">
        <w:rPr>
          <w:color w:val="000000" w:themeColor="text1"/>
          <w:sz w:val="20"/>
          <w:lang w:bidi="fa-IR"/>
        </w:rPr>
        <w:t>Buchmann</w:t>
      </w:r>
      <w:proofErr w:type="spellEnd"/>
      <w:r w:rsidRPr="009677EE">
        <w:rPr>
          <w:color w:val="000000" w:themeColor="text1"/>
          <w:sz w:val="20"/>
          <w:lang w:bidi="fa-IR"/>
        </w:rPr>
        <w:t xml:space="preserve">, P., </w:t>
      </w:r>
      <w:proofErr w:type="spellStart"/>
      <w:r w:rsidRPr="009677EE">
        <w:rPr>
          <w:color w:val="000000" w:themeColor="text1"/>
          <w:sz w:val="20"/>
          <w:lang w:bidi="fa-IR"/>
        </w:rPr>
        <w:t>Roos</w:t>
      </w:r>
      <w:proofErr w:type="spellEnd"/>
      <w:r w:rsidRPr="009677EE">
        <w:rPr>
          <w:color w:val="000000" w:themeColor="text1"/>
          <w:sz w:val="20"/>
          <w:lang w:bidi="fa-IR"/>
        </w:rPr>
        <w:t xml:space="preserve">, A., Jung, U. and </w:t>
      </w:r>
      <w:proofErr w:type="spellStart"/>
      <w:r w:rsidRPr="009677EE">
        <w:rPr>
          <w:color w:val="000000" w:themeColor="text1"/>
          <w:sz w:val="20"/>
          <w:lang w:bidi="fa-IR"/>
        </w:rPr>
        <w:t>Wörtler</w:t>
      </w:r>
      <w:proofErr w:type="spellEnd"/>
      <w:r w:rsidRPr="009677EE">
        <w:rPr>
          <w:color w:val="000000" w:themeColor="text1"/>
          <w:sz w:val="20"/>
          <w:lang w:bidi="fa-IR"/>
        </w:rPr>
        <w:t xml:space="preserve">, M. (2008). Cash for growth: the neglected power </w:t>
      </w:r>
      <w:r w:rsidRPr="009677EE">
        <w:rPr>
          <w:color w:val="000000" w:themeColor="text1"/>
          <w:sz w:val="20"/>
          <w:lang w:bidi="fa-IR"/>
        </w:rPr>
        <w:lastRenderedPageBreak/>
        <w:t xml:space="preserve">of </w:t>
      </w:r>
      <w:proofErr w:type="spellStart"/>
      <w:r w:rsidRPr="009677EE">
        <w:rPr>
          <w:color w:val="000000" w:themeColor="text1"/>
          <w:sz w:val="20"/>
          <w:lang w:bidi="fa-IR"/>
        </w:rPr>
        <w:t>workingcapital</w:t>
      </w:r>
      <w:proofErr w:type="spellEnd"/>
      <w:r w:rsidRPr="009677EE">
        <w:rPr>
          <w:color w:val="000000" w:themeColor="text1"/>
          <w:sz w:val="20"/>
          <w:lang w:bidi="fa-IR"/>
        </w:rPr>
        <w:t xml:space="preserve"> management. The Boston Consulting Group. Available at </w:t>
      </w:r>
      <w:hyperlink r:id="rId12" w:history="1">
        <w:r w:rsidRPr="009677EE">
          <w:rPr>
            <w:color w:val="000000" w:themeColor="text1"/>
            <w:sz w:val="20"/>
            <w:lang w:bidi="fa-IR"/>
          </w:rPr>
          <w:t>https://www.bcgperspectives.com/</w:t>
        </w:r>
      </w:hyperlink>
      <w:r w:rsidRPr="009677EE">
        <w:rPr>
          <w:color w:val="000000" w:themeColor="text1"/>
          <w:sz w:val="20"/>
          <w:lang w:bidi="fa-IR"/>
        </w:rPr>
        <w:t>.</w:t>
      </w:r>
    </w:p>
    <w:p w:rsidR="00200E9F" w:rsidRPr="009677EE" w:rsidRDefault="00200E9F" w:rsidP="009677EE">
      <w:pPr>
        <w:pStyle w:val="ListParagraph"/>
        <w:numPr>
          <w:ilvl w:val="0"/>
          <w:numId w:val="6"/>
        </w:numPr>
        <w:bidi w:val="0"/>
        <w:snapToGrid w:val="0"/>
        <w:jc w:val="both"/>
        <w:rPr>
          <w:color w:val="000000" w:themeColor="text1"/>
          <w:sz w:val="20"/>
        </w:rPr>
      </w:pPr>
      <w:proofErr w:type="spellStart"/>
      <w:r w:rsidRPr="009677EE">
        <w:rPr>
          <w:color w:val="000000" w:themeColor="text1"/>
          <w:sz w:val="20"/>
          <w:lang w:bidi="fa-IR"/>
        </w:rPr>
        <w:t>Corsten</w:t>
      </w:r>
      <w:proofErr w:type="spellEnd"/>
      <w:r w:rsidRPr="009677EE">
        <w:rPr>
          <w:color w:val="000000" w:themeColor="text1"/>
          <w:sz w:val="20"/>
          <w:lang w:bidi="fa-IR"/>
        </w:rPr>
        <w:t xml:space="preserve">, D. and </w:t>
      </w:r>
      <w:proofErr w:type="spellStart"/>
      <w:r w:rsidRPr="009677EE">
        <w:rPr>
          <w:color w:val="000000" w:themeColor="text1"/>
          <w:sz w:val="20"/>
          <w:lang w:bidi="fa-IR"/>
        </w:rPr>
        <w:t>Gruen</w:t>
      </w:r>
      <w:proofErr w:type="spellEnd"/>
      <w:r w:rsidRPr="009677EE">
        <w:rPr>
          <w:color w:val="000000" w:themeColor="text1"/>
          <w:sz w:val="20"/>
          <w:lang w:bidi="fa-IR"/>
        </w:rPr>
        <w:t xml:space="preserve">, T. (2004). Stock-outs cause walkouts. </w:t>
      </w:r>
      <w:proofErr w:type="spellStart"/>
      <w:r w:rsidRPr="009677EE">
        <w:rPr>
          <w:color w:val="000000" w:themeColor="text1"/>
          <w:sz w:val="20"/>
          <w:lang w:bidi="fa-IR"/>
        </w:rPr>
        <w:t>Harv</w:t>
      </w:r>
      <w:proofErr w:type="spellEnd"/>
      <w:r w:rsidRPr="009677EE">
        <w:rPr>
          <w:color w:val="000000" w:themeColor="text1"/>
          <w:sz w:val="20"/>
          <w:lang w:bidi="fa-IR"/>
        </w:rPr>
        <w:t>. Bus. Rev. 82, 26–28.</w:t>
      </w:r>
    </w:p>
    <w:p w:rsidR="00200E9F" w:rsidRPr="009677EE" w:rsidRDefault="00200E9F" w:rsidP="009677EE">
      <w:pPr>
        <w:pStyle w:val="ListParagraph"/>
        <w:numPr>
          <w:ilvl w:val="0"/>
          <w:numId w:val="6"/>
        </w:numPr>
        <w:bidi w:val="0"/>
        <w:snapToGrid w:val="0"/>
        <w:jc w:val="both"/>
        <w:rPr>
          <w:color w:val="000000" w:themeColor="text1"/>
          <w:sz w:val="20"/>
        </w:rPr>
      </w:pPr>
      <w:proofErr w:type="spellStart"/>
      <w:r w:rsidRPr="009677EE">
        <w:rPr>
          <w:color w:val="000000" w:themeColor="text1"/>
          <w:sz w:val="20"/>
          <w:lang w:bidi="fa-IR"/>
        </w:rPr>
        <w:t>Deloof</w:t>
      </w:r>
      <w:proofErr w:type="spellEnd"/>
      <w:r w:rsidRPr="009677EE">
        <w:rPr>
          <w:color w:val="000000" w:themeColor="text1"/>
          <w:sz w:val="20"/>
          <w:lang w:bidi="fa-IR"/>
        </w:rPr>
        <w:t>, M. (2003). Does working capital management affect profitability of Belgian firms? Journal of Business Finance</w:t>
      </w:r>
      <w:r w:rsidR="008F648B" w:rsidRPr="009677EE">
        <w:rPr>
          <w:color w:val="000000" w:themeColor="text1"/>
          <w:sz w:val="20"/>
          <w:lang w:bidi="fa-IR"/>
        </w:rPr>
        <w:t xml:space="preserve"> &amp; </w:t>
      </w:r>
      <w:r w:rsidRPr="009677EE">
        <w:rPr>
          <w:color w:val="000000" w:themeColor="text1"/>
          <w:sz w:val="20"/>
          <w:lang w:bidi="fa-IR"/>
        </w:rPr>
        <w:t>Accounting, 30 (3–4), 573–587.</w:t>
      </w:r>
    </w:p>
    <w:p w:rsidR="00200E9F" w:rsidRPr="009677EE" w:rsidRDefault="00200E9F" w:rsidP="009677EE">
      <w:pPr>
        <w:pStyle w:val="ListParagraph"/>
        <w:numPr>
          <w:ilvl w:val="0"/>
          <w:numId w:val="6"/>
        </w:numPr>
        <w:bidi w:val="0"/>
        <w:snapToGrid w:val="0"/>
        <w:jc w:val="both"/>
        <w:rPr>
          <w:color w:val="000000" w:themeColor="text1"/>
          <w:sz w:val="20"/>
        </w:rPr>
      </w:pPr>
      <w:proofErr w:type="spellStart"/>
      <w:r w:rsidRPr="009677EE">
        <w:rPr>
          <w:color w:val="000000" w:themeColor="text1"/>
          <w:sz w:val="20"/>
          <w:lang w:bidi="fa-IR"/>
        </w:rPr>
        <w:t>Ek</w:t>
      </w:r>
      <w:proofErr w:type="spellEnd"/>
      <w:r w:rsidRPr="009677EE">
        <w:rPr>
          <w:color w:val="000000" w:themeColor="text1"/>
          <w:sz w:val="20"/>
          <w:lang w:bidi="fa-IR"/>
        </w:rPr>
        <w:t xml:space="preserve">, R. and Guerin, S. (2011). Is there a right level of working capital? J. Corp. Treas. </w:t>
      </w:r>
      <w:proofErr w:type="spellStart"/>
      <w:r w:rsidRPr="009677EE">
        <w:rPr>
          <w:color w:val="000000" w:themeColor="text1"/>
          <w:sz w:val="20"/>
          <w:lang w:bidi="fa-IR"/>
        </w:rPr>
        <w:t>Manag</w:t>
      </w:r>
      <w:proofErr w:type="spellEnd"/>
      <w:r w:rsidRPr="009677EE">
        <w:rPr>
          <w:color w:val="000000" w:themeColor="text1"/>
          <w:sz w:val="20"/>
          <w:lang w:bidi="fa-IR"/>
        </w:rPr>
        <w:t>. 4, 137–149.</w:t>
      </w:r>
    </w:p>
    <w:p w:rsidR="00200E9F" w:rsidRPr="009677EE" w:rsidRDefault="00200E9F" w:rsidP="009677EE">
      <w:pPr>
        <w:pStyle w:val="ListParagraph"/>
        <w:numPr>
          <w:ilvl w:val="0"/>
          <w:numId w:val="6"/>
        </w:numPr>
        <w:bidi w:val="0"/>
        <w:snapToGrid w:val="0"/>
        <w:jc w:val="both"/>
        <w:rPr>
          <w:color w:val="000000" w:themeColor="text1"/>
          <w:sz w:val="20"/>
        </w:rPr>
      </w:pPr>
      <w:r w:rsidRPr="009677EE">
        <w:rPr>
          <w:color w:val="000000" w:themeColor="text1"/>
          <w:sz w:val="20"/>
          <w:lang w:bidi="fa-IR"/>
        </w:rPr>
        <w:t>Ernst</w:t>
      </w:r>
      <w:r w:rsidR="008F648B" w:rsidRPr="009677EE">
        <w:rPr>
          <w:color w:val="000000" w:themeColor="text1"/>
          <w:sz w:val="20"/>
          <w:lang w:bidi="fa-IR"/>
        </w:rPr>
        <w:t xml:space="preserve"> &amp; </w:t>
      </w:r>
      <w:r w:rsidRPr="009677EE">
        <w:rPr>
          <w:color w:val="000000" w:themeColor="text1"/>
          <w:sz w:val="20"/>
          <w:lang w:bidi="fa-IR"/>
        </w:rPr>
        <w:t xml:space="preserve">Young. (2012). all tied up: working capital management report. Available at: </w:t>
      </w:r>
      <w:hyperlink r:id="rId13" w:history="1">
        <w:r w:rsidRPr="009677EE">
          <w:rPr>
            <w:color w:val="000000" w:themeColor="text1"/>
            <w:sz w:val="20"/>
            <w:lang w:bidi="fa-IR"/>
          </w:rPr>
          <w:t>www.ey.com</w:t>
        </w:r>
      </w:hyperlink>
      <w:r w:rsidRPr="009677EE">
        <w:rPr>
          <w:color w:val="000000" w:themeColor="text1"/>
          <w:sz w:val="20"/>
          <w:lang w:bidi="fa-IR"/>
        </w:rPr>
        <w:t>.</w:t>
      </w:r>
    </w:p>
    <w:p w:rsidR="00200E9F" w:rsidRPr="009677EE" w:rsidRDefault="00200E9F" w:rsidP="009677EE">
      <w:pPr>
        <w:pStyle w:val="ListParagraph"/>
        <w:numPr>
          <w:ilvl w:val="0"/>
          <w:numId w:val="6"/>
        </w:numPr>
        <w:bidi w:val="0"/>
        <w:snapToGrid w:val="0"/>
        <w:jc w:val="both"/>
        <w:rPr>
          <w:color w:val="000000" w:themeColor="text1"/>
          <w:sz w:val="20"/>
        </w:rPr>
      </w:pPr>
      <w:proofErr w:type="spellStart"/>
      <w:r w:rsidRPr="009677EE">
        <w:rPr>
          <w:color w:val="000000" w:themeColor="text1"/>
          <w:sz w:val="20"/>
          <w:lang w:bidi="fa-IR"/>
        </w:rPr>
        <w:t>Fazzari</w:t>
      </w:r>
      <w:proofErr w:type="spellEnd"/>
      <w:r w:rsidRPr="009677EE">
        <w:rPr>
          <w:color w:val="000000" w:themeColor="text1"/>
          <w:sz w:val="20"/>
          <w:lang w:bidi="fa-IR"/>
        </w:rPr>
        <w:t>, S. M. and Petersen, B. C. (1993). Working capital and fixed investment: new evidence on financing constraints. RAND J. Econ. 24, 328–342.</w:t>
      </w:r>
    </w:p>
    <w:p w:rsidR="00200E9F" w:rsidRPr="009677EE" w:rsidRDefault="00200E9F" w:rsidP="009677EE">
      <w:pPr>
        <w:pStyle w:val="ListParagraph"/>
        <w:numPr>
          <w:ilvl w:val="0"/>
          <w:numId w:val="6"/>
        </w:numPr>
        <w:bidi w:val="0"/>
        <w:snapToGrid w:val="0"/>
        <w:jc w:val="both"/>
        <w:rPr>
          <w:color w:val="000000" w:themeColor="text1"/>
          <w:sz w:val="20"/>
        </w:rPr>
      </w:pPr>
      <w:r w:rsidRPr="009677EE">
        <w:rPr>
          <w:color w:val="000000" w:themeColor="text1"/>
          <w:sz w:val="20"/>
          <w:lang w:bidi="fa-IR"/>
        </w:rPr>
        <w:t xml:space="preserve">Gill, A., </w:t>
      </w:r>
      <w:proofErr w:type="spellStart"/>
      <w:r w:rsidRPr="009677EE">
        <w:rPr>
          <w:color w:val="000000" w:themeColor="text1"/>
          <w:sz w:val="20"/>
          <w:lang w:bidi="fa-IR"/>
        </w:rPr>
        <w:t>Biger</w:t>
      </w:r>
      <w:proofErr w:type="spellEnd"/>
      <w:r w:rsidRPr="009677EE">
        <w:rPr>
          <w:color w:val="000000" w:themeColor="text1"/>
          <w:sz w:val="20"/>
          <w:lang w:bidi="fa-IR"/>
        </w:rPr>
        <w:t xml:space="preserve">, N. and </w:t>
      </w:r>
      <w:proofErr w:type="spellStart"/>
      <w:r w:rsidRPr="009677EE">
        <w:rPr>
          <w:color w:val="000000" w:themeColor="text1"/>
          <w:sz w:val="20"/>
          <w:lang w:bidi="fa-IR"/>
        </w:rPr>
        <w:t>Mathur</w:t>
      </w:r>
      <w:proofErr w:type="spellEnd"/>
      <w:r w:rsidRPr="009677EE">
        <w:rPr>
          <w:color w:val="000000" w:themeColor="text1"/>
          <w:sz w:val="20"/>
          <w:lang w:bidi="fa-IR"/>
        </w:rPr>
        <w:t xml:space="preserve">, N. (2010). The relationship between working capital management and profitability: evidence from the United States. Business Economic Journal (BEJ-10), 1–9, Available at: </w:t>
      </w:r>
      <w:hyperlink r:id="rId14" w:history="1">
        <w:r w:rsidRPr="009677EE">
          <w:rPr>
            <w:rStyle w:val="Hyperlink"/>
            <w:color w:val="000000" w:themeColor="text1"/>
            <w:sz w:val="20"/>
            <w:u w:val="none"/>
            <w:lang w:bidi="fa-IR"/>
          </w:rPr>
          <w:t>http://astonjournals.com/bejvols.html</w:t>
        </w:r>
      </w:hyperlink>
      <w:r w:rsidRPr="009677EE">
        <w:rPr>
          <w:color w:val="000000" w:themeColor="text1"/>
          <w:sz w:val="20"/>
          <w:lang w:bidi="fa-IR"/>
        </w:rPr>
        <w:t>.</w:t>
      </w:r>
    </w:p>
    <w:p w:rsidR="00200E9F" w:rsidRPr="009677EE" w:rsidRDefault="00200E9F" w:rsidP="009677EE">
      <w:pPr>
        <w:pStyle w:val="ListParagraph"/>
        <w:numPr>
          <w:ilvl w:val="0"/>
          <w:numId w:val="6"/>
        </w:numPr>
        <w:bidi w:val="0"/>
        <w:snapToGrid w:val="0"/>
        <w:jc w:val="both"/>
        <w:rPr>
          <w:color w:val="000000" w:themeColor="text1"/>
          <w:sz w:val="20"/>
        </w:rPr>
      </w:pPr>
      <w:r w:rsidRPr="009677EE">
        <w:rPr>
          <w:color w:val="000000" w:themeColor="text1"/>
          <w:sz w:val="20"/>
          <w:lang w:bidi="fa-IR"/>
        </w:rPr>
        <w:t xml:space="preserve">Gomes, D.F.N. (2013). How does working capital management affect firm's profitability? Evidence from Portugal. </w:t>
      </w:r>
      <w:proofErr w:type="spellStart"/>
      <w:r w:rsidRPr="009677EE">
        <w:rPr>
          <w:color w:val="000000" w:themeColor="text1"/>
          <w:sz w:val="20"/>
          <w:lang w:bidi="fa-IR"/>
        </w:rPr>
        <w:t>Lisboa</w:t>
      </w:r>
      <w:proofErr w:type="spellEnd"/>
      <w:r w:rsidRPr="009677EE">
        <w:rPr>
          <w:color w:val="000000" w:themeColor="text1"/>
          <w:sz w:val="20"/>
          <w:lang w:bidi="fa-IR"/>
        </w:rPr>
        <w:t xml:space="preserve"> School of economics</w:t>
      </w:r>
      <w:r w:rsidR="008F648B" w:rsidRPr="009677EE">
        <w:rPr>
          <w:color w:val="000000" w:themeColor="text1"/>
          <w:sz w:val="20"/>
          <w:lang w:bidi="fa-IR"/>
        </w:rPr>
        <w:t xml:space="preserve"> &amp; </w:t>
      </w:r>
      <w:r w:rsidRPr="009677EE">
        <w:rPr>
          <w:color w:val="000000" w:themeColor="text1"/>
          <w:sz w:val="20"/>
          <w:lang w:bidi="fa-IR"/>
        </w:rPr>
        <w:t xml:space="preserve">management. </w:t>
      </w:r>
      <w:proofErr w:type="spellStart"/>
      <w:r w:rsidRPr="009677EE">
        <w:rPr>
          <w:color w:val="000000" w:themeColor="text1"/>
          <w:sz w:val="20"/>
          <w:lang w:bidi="fa-IR"/>
        </w:rPr>
        <w:t>Trabalho</w:t>
      </w:r>
      <w:proofErr w:type="spellEnd"/>
      <w:r w:rsidRPr="009677EE">
        <w:rPr>
          <w:color w:val="000000" w:themeColor="text1"/>
          <w:sz w:val="20"/>
          <w:lang w:bidi="fa-IR"/>
        </w:rPr>
        <w:t xml:space="preserve"> final de </w:t>
      </w:r>
      <w:proofErr w:type="spellStart"/>
      <w:r w:rsidRPr="009677EE">
        <w:rPr>
          <w:color w:val="000000" w:themeColor="text1"/>
          <w:sz w:val="20"/>
          <w:lang w:bidi="fa-IR"/>
        </w:rPr>
        <w:t>mestrado</w:t>
      </w:r>
      <w:proofErr w:type="spellEnd"/>
      <w:r w:rsidRPr="009677EE">
        <w:rPr>
          <w:color w:val="000000" w:themeColor="text1"/>
          <w:sz w:val="20"/>
          <w:lang w:bidi="fa-IR"/>
        </w:rPr>
        <w:t xml:space="preserve">. </w:t>
      </w:r>
      <w:proofErr w:type="spellStart"/>
      <w:r w:rsidRPr="009677EE">
        <w:rPr>
          <w:color w:val="000000" w:themeColor="text1"/>
          <w:sz w:val="20"/>
          <w:lang w:bidi="fa-IR"/>
        </w:rPr>
        <w:t>Dissertacao</w:t>
      </w:r>
      <w:proofErr w:type="spellEnd"/>
      <w:r w:rsidRPr="009677EE">
        <w:rPr>
          <w:color w:val="000000" w:themeColor="text1"/>
          <w:sz w:val="20"/>
          <w:lang w:bidi="fa-IR"/>
        </w:rPr>
        <w:t xml:space="preserve">. </w:t>
      </w:r>
    </w:p>
    <w:p w:rsidR="00200E9F" w:rsidRPr="009677EE" w:rsidRDefault="00200E9F" w:rsidP="009677EE">
      <w:pPr>
        <w:pStyle w:val="ListParagraph"/>
        <w:numPr>
          <w:ilvl w:val="0"/>
          <w:numId w:val="6"/>
        </w:numPr>
        <w:bidi w:val="0"/>
        <w:snapToGrid w:val="0"/>
        <w:jc w:val="both"/>
        <w:rPr>
          <w:color w:val="000000" w:themeColor="text1"/>
          <w:sz w:val="20"/>
        </w:rPr>
      </w:pPr>
      <w:proofErr w:type="spellStart"/>
      <w:r w:rsidRPr="009677EE">
        <w:rPr>
          <w:color w:val="000000" w:themeColor="text1"/>
          <w:sz w:val="20"/>
          <w:lang w:bidi="fa-IR"/>
        </w:rPr>
        <w:t>Kieschnick</w:t>
      </w:r>
      <w:proofErr w:type="spellEnd"/>
      <w:r w:rsidRPr="009677EE">
        <w:rPr>
          <w:color w:val="000000" w:themeColor="text1"/>
          <w:sz w:val="20"/>
          <w:lang w:bidi="fa-IR"/>
        </w:rPr>
        <w:t xml:space="preserve">, R., </w:t>
      </w:r>
      <w:proofErr w:type="spellStart"/>
      <w:r w:rsidRPr="009677EE">
        <w:rPr>
          <w:color w:val="000000" w:themeColor="text1"/>
          <w:sz w:val="20"/>
          <w:lang w:bidi="fa-IR"/>
        </w:rPr>
        <w:t>Laplante</w:t>
      </w:r>
      <w:proofErr w:type="spellEnd"/>
      <w:r w:rsidRPr="009677EE">
        <w:rPr>
          <w:color w:val="000000" w:themeColor="text1"/>
          <w:sz w:val="20"/>
          <w:lang w:bidi="fa-IR"/>
        </w:rPr>
        <w:t xml:space="preserve">, M. and </w:t>
      </w:r>
      <w:proofErr w:type="spellStart"/>
      <w:r w:rsidRPr="009677EE">
        <w:rPr>
          <w:color w:val="000000" w:themeColor="text1"/>
          <w:sz w:val="20"/>
          <w:lang w:bidi="fa-IR"/>
        </w:rPr>
        <w:t>Moussawi</w:t>
      </w:r>
      <w:proofErr w:type="spellEnd"/>
      <w:r w:rsidRPr="009677EE">
        <w:rPr>
          <w:color w:val="000000" w:themeColor="text1"/>
          <w:sz w:val="20"/>
          <w:lang w:bidi="fa-IR"/>
        </w:rPr>
        <w:t xml:space="preserve">, R. (2013). Working capital management and shareholders’ wealth. Rev. </w:t>
      </w:r>
      <w:proofErr w:type="spellStart"/>
      <w:r w:rsidRPr="009677EE">
        <w:rPr>
          <w:color w:val="000000" w:themeColor="text1"/>
          <w:sz w:val="20"/>
          <w:lang w:bidi="fa-IR"/>
        </w:rPr>
        <w:t>Financ</w:t>
      </w:r>
      <w:proofErr w:type="spellEnd"/>
      <w:r w:rsidRPr="009677EE">
        <w:rPr>
          <w:color w:val="000000" w:themeColor="text1"/>
          <w:sz w:val="20"/>
          <w:lang w:bidi="fa-IR"/>
        </w:rPr>
        <w:t>. 17, 1827–1852.</w:t>
      </w:r>
    </w:p>
    <w:p w:rsidR="00200E9F" w:rsidRPr="009677EE" w:rsidRDefault="00200E9F" w:rsidP="009677EE">
      <w:pPr>
        <w:pStyle w:val="ListParagraph"/>
        <w:numPr>
          <w:ilvl w:val="0"/>
          <w:numId w:val="6"/>
        </w:numPr>
        <w:bidi w:val="0"/>
        <w:snapToGrid w:val="0"/>
        <w:jc w:val="both"/>
        <w:rPr>
          <w:color w:val="000000" w:themeColor="text1"/>
          <w:sz w:val="20"/>
        </w:rPr>
      </w:pPr>
      <w:proofErr w:type="spellStart"/>
      <w:r w:rsidRPr="009677EE">
        <w:rPr>
          <w:color w:val="000000" w:themeColor="text1"/>
          <w:sz w:val="20"/>
          <w:lang w:bidi="fa-IR"/>
        </w:rPr>
        <w:t>Kroes</w:t>
      </w:r>
      <w:proofErr w:type="spellEnd"/>
      <w:r w:rsidRPr="009677EE">
        <w:rPr>
          <w:color w:val="000000" w:themeColor="text1"/>
          <w:sz w:val="20"/>
          <w:lang w:bidi="fa-IR"/>
        </w:rPr>
        <w:t xml:space="preserve">, J.R. and </w:t>
      </w:r>
      <w:proofErr w:type="spellStart"/>
      <w:r w:rsidRPr="009677EE">
        <w:rPr>
          <w:color w:val="000000" w:themeColor="text1"/>
          <w:sz w:val="20"/>
          <w:lang w:bidi="fa-IR"/>
        </w:rPr>
        <w:t>Manikas</w:t>
      </w:r>
      <w:proofErr w:type="spellEnd"/>
      <w:r w:rsidRPr="009677EE">
        <w:rPr>
          <w:color w:val="000000" w:themeColor="text1"/>
          <w:sz w:val="20"/>
          <w:lang w:bidi="fa-IR"/>
        </w:rPr>
        <w:t>, A.S. (2014). Cash flow management and manufacturing firm financial performance: a longitudinal perspective. International Journal of Production Economics, 148, 37-50.</w:t>
      </w:r>
    </w:p>
    <w:p w:rsidR="00200E9F" w:rsidRPr="009677EE" w:rsidRDefault="00200E9F" w:rsidP="009677EE">
      <w:pPr>
        <w:pStyle w:val="ListParagraph"/>
        <w:numPr>
          <w:ilvl w:val="0"/>
          <w:numId w:val="6"/>
        </w:numPr>
        <w:bidi w:val="0"/>
        <w:snapToGrid w:val="0"/>
        <w:jc w:val="both"/>
        <w:rPr>
          <w:color w:val="000000" w:themeColor="text1"/>
          <w:sz w:val="20"/>
          <w:lang w:bidi="fa-IR"/>
        </w:rPr>
      </w:pPr>
      <w:proofErr w:type="spellStart"/>
      <w:r w:rsidRPr="009677EE">
        <w:rPr>
          <w:color w:val="000000" w:themeColor="text1"/>
          <w:sz w:val="20"/>
          <w:lang w:bidi="fa-IR"/>
        </w:rPr>
        <w:t>Lazaridis</w:t>
      </w:r>
      <w:proofErr w:type="spellEnd"/>
      <w:r w:rsidRPr="009677EE">
        <w:rPr>
          <w:color w:val="000000" w:themeColor="text1"/>
          <w:sz w:val="20"/>
          <w:lang w:bidi="fa-IR"/>
        </w:rPr>
        <w:t xml:space="preserve">, I. and </w:t>
      </w:r>
      <w:proofErr w:type="spellStart"/>
      <w:r w:rsidRPr="009677EE">
        <w:rPr>
          <w:color w:val="000000" w:themeColor="text1"/>
          <w:sz w:val="20"/>
          <w:lang w:bidi="fa-IR"/>
        </w:rPr>
        <w:t>Tryfonidis</w:t>
      </w:r>
      <w:proofErr w:type="spellEnd"/>
      <w:r w:rsidRPr="009677EE">
        <w:rPr>
          <w:color w:val="000000" w:themeColor="text1"/>
          <w:sz w:val="20"/>
          <w:lang w:bidi="fa-IR"/>
        </w:rPr>
        <w:t>, D. (2006). Relationship between Working Capital Management and Profitability of Listed Companies in the Athens Stock Exchange. Journal of Financial Management and Analysis, 19 (1), 26–35.</w:t>
      </w:r>
    </w:p>
    <w:p w:rsidR="00200E9F" w:rsidRPr="009677EE" w:rsidRDefault="00200E9F" w:rsidP="009677EE">
      <w:pPr>
        <w:pStyle w:val="ListParagraph"/>
        <w:numPr>
          <w:ilvl w:val="0"/>
          <w:numId w:val="6"/>
        </w:numPr>
        <w:bidi w:val="0"/>
        <w:snapToGrid w:val="0"/>
        <w:jc w:val="both"/>
        <w:rPr>
          <w:color w:val="000000" w:themeColor="text1"/>
          <w:sz w:val="20"/>
        </w:rPr>
      </w:pPr>
      <w:proofErr w:type="spellStart"/>
      <w:r w:rsidRPr="009677EE">
        <w:rPr>
          <w:color w:val="000000" w:themeColor="text1"/>
          <w:sz w:val="20"/>
        </w:rPr>
        <w:t>Manouchehri</w:t>
      </w:r>
      <w:proofErr w:type="spellEnd"/>
      <w:r w:rsidRPr="009677EE">
        <w:rPr>
          <w:color w:val="000000" w:themeColor="text1"/>
          <w:sz w:val="20"/>
        </w:rPr>
        <w:t>, Y et al. (2014). Investigate the effects of working capital management on profitability of listed companies Tehran Stock Exchange. The first international conference on economics, management, accounting and social sciences.</w:t>
      </w:r>
    </w:p>
    <w:p w:rsidR="00200E9F" w:rsidRPr="009677EE" w:rsidRDefault="00200E9F" w:rsidP="009677EE">
      <w:pPr>
        <w:pStyle w:val="ListParagraph"/>
        <w:numPr>
          <w:ilvl w:val="0"/>
          <w:numId w:val="6"/>
        </w:numPr>
        <w:bidi w:val="0"/>
        <w:snapToGrid w:val="0"/>
        <w:jc w:val="both"/>
        <w:rPr>
          <w:color w:val="000000" w:themeColor="text1"/>
          <w:sz w:val="20"/>
        </w:rPr>
      </w:pPr>
      <w:proofErr w:type="spellStart"/>
      <w:r w:rsidRPr="009677EE">
        <w:rPr>
          <w:color w:val="000000" w:themeColor="text1"/>
          <w:sz w:val="20"/>
        </w:rPr>
        <w:t>Mun</w:t>
      </w:r>
      <w:proofErr w:type="spellEnd"/>
      <w:r w:rsidRPr="009677EE">
        <w:rPr>
          <w:color w:val="000000" w:themeColor="text1"/>
          <w:sz w:val="20"/>
        </w:rPr>
        <w:t>, S. G. and Jang, S. (2015). Working capital, cash holding, and profitability of restaurant firms. International Journal of Hospitality Management, International Journal of Hospitality Management, 48, 1–11.</w:t>
      </w:r>
    </w:p>
    <w:p w:rsidR="00200E9F" w:rsidRPr="009677EE" w:rsidRDefault="00200E9F" w:rsidP="009677EE">
      <w:pPr>
        <w:pStyle w:val="ListParagraph"/>
        <w:numPr>
          <w:ilvl w:val="0"/>
          <w:numId w:val="6"/>
        </w:numPr>
        <w:bidi w:val="0"/>
        <w:snapToGrid w:val="0"/>
        <w:jc w:val="both"/>
        <w:rPr>
          <w:color w:val="000000" w:themeColor="text1"/>
          <w:sz w:val="20"/>
        </w:rPr>
      </w:pPr>
      <w:proofErr w:type="spellStart"/>
      <w:r w:rsidRPr="009677EE">
        <w:rPr>
          <w:color w:val="000000" w:themeColor="text1"/>
          <w:sz w:val="20"/>
        </w:rPr>
        <w:lastRenderedPageBreak/>
        <w:t>NNobanee</w:t>
      </w:r>
      <w:proofErr w:type="spellEnd"/>
      <w:r w:rsidRPr="009677EE">
        <w:rPr>
          <w:color w:val="000000" w:themeColor="text1"/>
          <w:sz w:val="20"/>
        </w:rPr>
        <w:t xml:space="preserve">, H (2011),” Working Capital Management and </w:t>
      </w:r>
      <w:proofErr w:type="spellStart"/>
      <w:r w:rsidRPr="009677EE">
        <w:rPr>
          <w:color w:val="000000" w:themeColor="text1"/>
          <w:sz w:val="20"/>
        </w:rPr>
        <w:t>Firm`s</w:t>
      </w:r>
      <w:proofErr w:type="spellEnd"/>
      <w:r w:rsidRPr="009677EE">
        <w:rPr>
          <w:color w:val="000000" w:themeColor="text1"/>
          <w:sz w:val="20"/>
        </w:rPr>
        <w:t xml:space="preserve"> Profitability</w:t>
      </w:r>
      <w:r w:rsidR="009677EE" w:rsidRPr="009677EE">
        <w:rPr>
          <w:color w:val="000000" w:themeColor="text1"/>
          <w:sz w:val="20"/>
        </w:rPr>
        <w:t>:</w:t>
      </w:r>
      <w:r w:rsidR="009677EE">
        <w:rPr>
          <w:color w:val="000000" w:themeColor="text1"/>
          <w:sz w:val="20"/>
        </w:rPr>
        <w:t xml:space="preserve"> </w:t>
      </w:r>
      <w:r w:rsidR="009677EE" w:rsidRPr="009677EE">
        <w:rPr>
          <w:color w:val="000000" w:themeColor="text1"/>
          <w:sz w:val="20"/>
        </w:rPr>
        <w:t>A</w:t>
      </w:r>
      <w:r w:rsidRPr="009677EE">
        <w:rPr>
          <w:color w:val="000000" w:themeColor="text1"/>
          <w:sz w:val="20"/>
        </w:rPr>
        <w:t>n Optimal Cash Conversion Cycle”</w:t>
      </w:r>
      <w:r w:rsidR="008F648B" w:rsidRPr="009677EE">
        <w:rPr>
          <w:color w:val="000000" w:themeColor="text1"/>
          <w:sz w:val="20"/>
        </w:rPr>
        <w:t>.</w:t>
      </w:r>
      <w:r w:rsidRPr="009677EE">
        <w:rPr>
          <w:color w:val="000000" w:themeColor="text1"/>
          <w:sz w:val="20"/>
        </w:rPr>
        <w:t xml:space="preserve"> </w:t>
      </w:r>
      <w:hyperlink r:id="rId15" w:history="1">
        <w:r w:rsidRPr="009677EE">
          <w:rPr>
            <w:rStyle w:val="Hyperlink"/>
            <w:color w:val="000000" w:themeColor="text1"/>
            <w:sz w:val="20"/>
            <w:u w:val="none"/>
          </w:rPr>
          <w:t>www.ssrn.com.13910218</w:t>
        </w:r>
      </w:hyperlink>
    </w:p>
    <w:p w:rsidR="00200E9F" w:rsidRPr="009677EE" w:rsidRDefault="00200E9F" w:rsidP="009677EE">
      <w:pPr>
        <w:pStyle w:val="ListParagraph"/>
        <w:numPr>
          <w:ilvl w:val="0"/>
          <w:numId w:val="6"/>
        </w:numPr>
        <w:bidi w:val="0"/>
        <w:snapToGrid w:val="0"/>
        <w:jc w:val="both"/>
        <w:rPr>
          <w:color w:val="000000" w:themeColor="text1"/>
          <w:sz w:val="20"/>
        </w:rPr>
      </w:pPr>
      <w:proofErr w:type="spellStart"/>
      <w:r w:rsidRPr="009677EE">
        <w:rPr>
          <w:color w:val="000000" w:themeColor="text1"/>
          <w:sz w:val="20"/>
          <w:lang w:bidi="fa-IR"/>
        </w:rPr>
        <w:t>Padachi</w:t>
      </w:r>
      <w:proofErr w:type="spellEnd"/>
      <w:r w:rsidRPr="009677EE">
        <w:rPr>
          <w:color w:val="000000" w:themeColor="text1"/>
          <w:sz w:val="20"/>
          <w:lang w:bidi="fa-IR"/>
        </w:rPr>
        <w:t xml:space="preserve">, K. (2006). Trends in Working Capital Management and its Impact on Firms’ Performance: An Analysis of Mauritian Small Manufacturing Firms. International Review of Business Research Papers, 2(2), 45-58. </w:t>
      </w:r>
    </w:p>
    <w:p w:rsidR="00200E9F" w:rsidRPr="009677EE" w:rsidRDefault="00200E9F" w:rsidP="009677EE">
      <w:pPr>
        <w:pStyle w:val="ListParagraph"/>
        <w:numPr>
          <w:ilvl w:val="0"/>
          <w:numId w:val="6"/>
        </w:numPr>
        <w:bidi w:val="0"/>
        <w:snapToGrid w:val="0"/>
        <w:jc w:val="both"/>
        <w:rPr>
          <w:color w:val="000000" w:themeColor="text1"/>
          <w:sz w:val="20"/>
        </w:rPr>
      </w:pPr>
      <w:proofErr w:type="spellStart"/>
      <w:r w:rsidRPr="009677EE">
        <w:rPr>
          <w:color w:val="000000" w:themeColor="text1"/>
          <w:sz w:val="20"/>
        </w:rPr>
        <w:t>Raheman</w:t>
      </w:r>
      <w:proofErr w:type="spellEnd"/>
      <w:r w:rsidRPr="009677EE">
        <w:rPr>
          <w:color w:val="000000" w:themeColor="text1"/>
          <w:sz w:val="20"/>
        </w:rPr>
        <w:t>, A. and Nasr, M. (2007). Working Capital Management and Profitability-Case of Pakistan Firms. International Review of Business Research Papers, 3, 279 – 300.</w:t>
      </w:r>
    </w:p>
    <w:p w:rsidR="00200E9F" w:rsidRPr="009677EE" w:rsidRDefault="00200E9F" w:rsidP="009677EE">
      <w:pPr>
        <w:pStyle w:val="ListParagraph"/>
        <w:numPr>
          <w:ilvl w:val="0"/>
          <w:numId w:val="6"/>
        </w:numPr>
        <w:bidi w:val="0"/>
        <w:snapToGrid w:val="0"/>
        <w:jc w:val="both"/>
        <w:rPr>
          <w:color w:val="000000" w:themeColor="text1"/>
          <w:sz w:val="20"/>
        </w:rPr>
      </w:pPr>
      <w:proofErr w:type="spellStart"/>
      <w:r w:rsidRPr="009677EE">
        <w:rPr>
          <w:color w:val="000000" w:themeColor="text1"/>
          <w:sz w:val="20"/>
        </w:rPr>
        <w:t>Rehn</w:t>
      </w:r>
      <w:proofErr w:type="spellEnd"/>
      <w:r w:rsidR="008F648B" w:rsidRPr="009677EE">
        <w:rPr>
          <w:color w:val="000000" w:themeColor="text1"/>
          <w:sz w:val="20"/>
        </w:rPr>
        <w:t>,</w:t>
      </w:r>
      <w:r w:rsidRPr="009677EE">
        <w:rPr>
          <w:color w:val="000000" w:themeColor="text1"/>
          <w:sz w:val="20"/>
        </w:rPr>
        <w:t xml:space="preserve"> E</w:t>
      </w:r>
      <w:r w:rsidR="008F648B" w:rsidRPr="009677EE">
        <w:rPr>
          <w:color w:val="000000" w:themeColor="text1"/>
          <w:sz w:val="20"/>
        </w:rPr>
        <w:t>. (</w:t>
      </w:r>
      <w:r w:rsidRPr="009677EE">
        <w:rPr>
          <w:color w:val="000000" w:themeColor="text1"/>
          <w:sz w:val="20"/>
        </w:rPr>
        <w:t>2012)</w:t>
      </w:r>
      <w:r w:rsidR="008F648B" w:rsidRPr="009677EE">
        <w:rPr>
          <w:color w:val="000000" w:themeColor="text1"/>
          <w:sz w:val="20"/>
        </w:rPr>
        <w:t>,</w:t>
      </w:r>
      <w:r w:rsidRPr="009677EE">
        <w:rPr>
          <w:color w:val="000000" w:themeColor="text1"/>
          <w:sz w:val="20"/>
        </w:rPr>
        <w:t>” Effects of Working Capital Management on company Profitability”</w:t>
      </w:r>
      <w:r w:rsidR="008F648B" w:rsidRPr="009677EE">
        <w:rPr>
          <w:color w:val="000000" w:themeColor="text1"/>
          <w:sz w:val="20"/>
        </w:rPr>
        <w:t>,</w:t>
      </w:r>
      <w:r w:rsidRPr="009677EE">
        <w:rPr>
          <w:color w:val="000000" w:themeColor="text1"/>
          <w:sz w:val="20"/>
        </w:rPr>
        <w:t xml:space="preserve"> </w:t>
      </w:r>
      <w:proofErr w:type="spellStart"/>
      <w:r w:rsidRPr="009677EE">
        <w:rPr>
          <w:color w:val="000000" w:themeColor="text1"/>
          <w:sz w:val="20"/>
        </w:rPr>
        <w:t>Master`s</w:t>
      </w:r>
      <w:proofErr w:type="spellEnd"/>
      <w:r w:rsidRPr="009677EE">
        <w:rPr>
          <w:color w:val="000000" w:themeColor="text1"/>
          <w:sz w:val="20"/>
        </w:rPr>
        <w:t xml:space="preserve"> Thesis</w:t>
      </w:r>
      <w:r w:rsidR="009677EE" w:rsidRPr="009677EE">
        <w:rPr>
          <w:color w:val="000000" w:themeColor="text1"/>
          <w:sz w:val="20"/>
        </w:rPr>
        <w:t>.</w:t>
      </w:r>
      <w:r w:rsidR="009677EE">
        <w:rPr>
          <w:color w:val="000000" w:themeColor="text1"/>
          <w:sz w:val="20"/>
        </w:rPr>
        <w:t xml:space="preserve"> </w:t>
      </w:r>
      <w:proofErr w:type="spellStart"/>
      <w:r w:rsidR="009677EE" w:rsidRPr="009677EE">
        <w:rPr>
          <w:color w:val="000000" w:themeColor="text1"/>
          <w:sz w:val="20"/>
        </w:rPr>
        <w:t>H</w:t>
      </w:r>
      <w:r w:rsidRPr="009677EE">
        <w:rPr>
          <w:color w:val="000000" w:themeColor="text1"/>
          <w:sz w:val="20"/>
        </w:rPr>
        <w:t>anken</w:t>
      </w:r>
      <w:proofErr w:type="spellEnd"/>
      <w:r w:rsidRPr="009677EE">
        <w:rPr>
          <w:color w:val="000000" w:themeColor="text1"/>
          <w:sz w:val="20"/>
        </w:rPr>
        <w:t xml:space="preserve"> </w:t>
      </w:r>
      <w:proofErr w:type="spellStart"/>
      <w:r w:rsidRPr="009677EE">
        <w:rPr>
          <w:color w:val="000000" w:themeColor="text1"/>
          <w:sz w:val="20"/>
        </w:rPr>
        <w:t>Schoole</w:t>
      </w:r>
      <w:proofErr w:type="spellEnd"/>
      <w:r w:rsidRPr="009677EE">
        <w:rPr>
          <w:color w:val="000000" w:themeColor="text1"/>
          <w:sz w:val="20"/>
        </w:rPr>
        <w:t xml:space="preserve"> of</w:t>
      </w:r>
      <w:r w:rsidR="008F648B" w:rsidRPr="009677EE">
        <w:rPr>
          <w:color w:val="000000" w:themeColor="text1"/>
          <w:sz w:val="20"/>
        </w:rPr>
        <w:t xml:space="preserve"> </w:t>
      </w:r>
      <w:r w:rsidRPr="009677EE">
        <w:rPr>
          <w:color w:val="000000" w:themeColor="text1"/>
          <w:sz w:val="20"/>
        </w:rPr>
        <w:t>Economics</w:t>
      </w:r>
      <w:r w:rsidR="008F648B" w:rsidRPr="009677EE">
        <w:rPr>
          <w:color w:val="000000" w:themeColor="text1"/>
          <w:sz w:val="20"/>
        </w:rPr>
        <w:t>.</w:t>
      </w:r>
      <w:r w:rsidRPr="009677EE">
        <w:rPr>
          <w:color w:val="000000" w:themeColor="text1"/>
          <w:sz w:val="20"/>
        </w:rPr>
        <w:t>www.google.com</w:t>
      </w:r>
    </w:p>
    <w:p w:rsidR="00200E9F" w:rsidRPr="009677EE" w:rsidRDefault="00200E9F" w:rsidP="009677EE">
      <w:pPr>
        <w:pStyle w:val="ListParagraph"/>
        <w:numPr>
          <w:ilvl w:val="0"/>
          <w:numId w:val="6"/>
        </w:numPr>
        <w:bidi w:val="0"/>
        <w:snapToGrid w:val="0"/>
        <w:jc w:val="both"/>
        <w:rPr>
          <w:color w:val="000000" w:themeColor="text1"/>
          <w:sz w:val="20"/>
        </w:rPr>
      </w:pPr>
      <w:proofErr w:type="spellStart"/>
      <w:r w:rsidRPr="009677EE">
        <w:rPr>
          <w:color w:val="000000" w:themeColor="text1"/>
          <w:sz w:val="20"/>
        </w:rPr>
        <w:t>Rezazadeh</w:t>
      </w:r>
      <w:proofErr w:type="spellEnd"/>
      <w:r w:rsidRPr="009677EE">
        <w:rPr>
          <w:color w:val="000000" w:themeColor="text1"/>
          <w:sz w:val="20"/>
        </w:rPr>
        <w:t>, J.</w:t>
      </w:r>
      <w:r w:rsidR="008F648B" w:rsidRPr="009677EE">
        <w:rPr>
          <w:color w:val="000000" w:themeColor="text1"/>
          <w:sz w:val="20"/>
        </w:rPr>
        <w:t xml:space="preserve"> &amp; </w:t>
      </w:r>
      <w:proofErr w:type="spellStart"/>
      <w:r w:rsidRPr="009677EE">
        <w:rPr>
          <w:color w:val="000000" w:themeColor="text1"/>
          <w:sz w:val="20"/>
        </w:rPr>
        <w:t>Heidarian</w:t>
      </w:r>
      <w:proofErr w:type="spellEnd"/>
      <w:r w:rsidRPr="009677EE">
        <w:rPr>
          <w:color w:val="000000" w:themeColor="text1"/>
          <w:sz w:val="20"/>
        </w:rPr>
        <w:t>, J. (2010). The effects of working capital management on profitability of Iranian companies. Journal of Accounting and Auditing, 7: (20).</w:t>
      </w:r>
    </w:p>
    <w:p w:rsidR="00200E9F" w:rsidRPr="009677EE" w:rsidRDefault="00200E9F" w:rsidP="009677EE">
      <w:pPr>
        <w:pStyle w:val="ListParagraph"/>
        <w:numPr>
          <w:ilvl w:val="0"/>
          <w:numId w:val="6"/>
        </w:numPr>
        <w:bidi w:val="0"/>
        <w:snapToGrid w:val="0"/>
        <w:jc w:val="both"/>
        <w:rPr>
          <w:color w:val="000000" w:themeColor="text1"/>
          <w:sz w:val="20"/>
        </w:rPr>
      </w:pPr>
      <w:r w:rsidRPr="009677EE">
        <w:rPr>
          <w:color w:val="000000" w:themeColor="text1"/>
          <w:sz w:val="20"/>
        </w:rPr>
        <w:t xml:space="preserve">Safari, H. (2010). Investigate the relationship between working capital management and profitability of listed companies Tehran Stock Exchange, Master's thesis, </w:t>
      </w:r>
      <w:proofErr w:type="spellStart"/>
      <w:r w:rsidRPr="009677EE">
        <w:rPr>
          <w:color w:val="000000" w:themeColor="text1"/>
          <w:sz w:val="20"/>
        </w:rPr>
        <w:t>Shahid</w:t>
      </w:r>
      <w:proofErr w:type="spellEnd"/>
      <w:r w:rsidRPr="009677EE">
        <w:rPr>
          <w:color w:val="000000" w:themeColor="text1"/>
          <w:sz w:val="20"/>
        </w:rPr>
        <w:t xml:space="preserve"> </w:t>
      </w:r>
      <w:proofErr w:type="spellStart"/>
      <w:r w:rsidRPr="009677EE">
        <w:rPr>
          <w:color w:val="000000" w:themeColor="text1"/>
          <w:sz w:val="20"/>
        </w:rPr>
        <w:t>Beheshti</w:t>
      </w:r>
      <w:proofErr w:type="spellEnd"/>
      <w:r w:rsidRPr="009677EE">
        <w:rPr>
          <w:color w:val="000000" w:themeColor="text1"/>
          <w:sz w:val="20"/>
        </w:rPr>
        <w:t xml:space="preserve"> University.</w:t>
      </w:r>
    </w:p>
    <w:p w:rsidR="009677EE" w:rsidRDefault="00200E9F" w:rsidP="009677EE">
      <w:pPr>
        <w:pStyle w:val="ListParagraph"/>
        <w:numPr>
          <w:ilvl w:val="0"/>
          <w:numId w:val="6"/>
        </w:numPr>
        <w:bidi w:val="0"/>
        <w:snapToGrid w:val="0"/>
        <w:jc w:val="both"/>
        <w:rPr>
          <w:color w:val="000000" w:themeColor="text1"/>
          <w:sz w:val="20"/>
        </w:rPr>
      </w:pPr>
      <w:r w:rsidRPr="009677EE">
        <w:rPr>
          <w:color w:val="000000" w:themeColor="text1"/>
          <w:sz w:val="20"/>
        </w:rPr>
        <w:t xml:space="preserve">Sunday, E., </w:t>
      </w:r>
      <w:proofErr w:type="spellStart"/>
      <w:r w:rsidRPr="009677EE">
        <w:rPr>
          <w:color w:val="000000" w:themeColor="text1"/>
          <w:sz w:val="20"/>
        </w:rPr>
        <w:t>Idown</w:t>
      </w:r>
      <w:proofErr w:type="spellEnd"/>
      <w:r w:rsidRPr="009677EE">
        <w:rPr>
          <w:color w:val="000000" w:themeColor="text1"/>
          <w:sz w:val="20"/>
        </w:rPr>
        <w:t>, A.</w:t>
      </w:r>
      <w:r w:rsidR="008F648B" w:rsidRPr="009677EE">
        <w:rPr>
          <w:color w:val="000000" w:themeColor="text1"/>
          <w:sz w:val="20"/>
        </w:rPr>
        <w:t xml:space="preserve"> &amp; </w:t>
      </w:r>
      <w:proofErr w:type="spellStart"/>
      <w:r w:rsidRPr="009677EE">
        <w:rPr>
          <w:color w:val="000000" w:themeColor="text1"/>
          <w:sz w:val="20"/>
        </w:rPr>
        <w:t>Lawrencia</w:t>
      </w:r>
      <w:proofErr w:type="spellEnd"/>
      <w:r w:rsidRPr="009677EE">
        <w:rPr>
          <w:color w:val="000000" w:themeColor="text1"/>
          <w:sz w:val="20"/>
        </w:rPr>
        <w:t>. (2012). “Working Capital Management, Firms Performance and Market Valuation in Nigeria “</w:t>
      </w:r>
      <w:r w:rsidR="009677EE" w:rsidRPr="009677EE">
        <w:rPr>
          <w:color w:val="000000" w:themeColor="text1"/>
          <w:sz w:val="20"/>
        </w:rPr>
        <w:t>.</w:t>
      </w:r>
      <w:r w:rsidR="009677EE">
        <w:rPr>
          <w:color w:val="000000" w:themeColor="text1"/>
          <w:sz w:val="20"/>
        </w:rPr>
        <w:t xml:space="preserve"> </w:t>
      </w:r>
      <w:r w:rsidR="009677EE" w:rsidRPr="009677EE">
        <w:rPr>
          <w:color w:val="000000" w:themeColor="text1"/>
          <w:sz w:val="20"/>
        </w:rPr>
        <w:lastRenderedPageBreak/>
        <w:t>I</w:t>
      </w:r>
      <w:r w:rsidRPr="009677EE">
        <w:rPr>
          <w:color w:val="000000" w:themeColor="text1"/>
          <w:sz w:val="20"/>
        </w:rPr>
        <w:t xml:space="preserve">nternational Journal of Social and Human Sciences. </w:t>
      </w:r>
      <w:r w:rsidR="009677EE" w:rsidRPr="009677EE">
        <w:rPr>
          <w:color w:val="000000" w:themeColor="text1"/>
          <w:sz w:val="20"/>
        </w:rPr>
        <w:t>6</w:t>
      </w:r>
      <w:r w:rsidR="009677EE">
        <w:rPr>
          <w:color w:val="000000" w:themeColor="text1"/>
          <w:sz w:val="20"/>
        </w:rPr>
        <w:t>.</w:t>
      </w:r>
    </w:p>
    <w:p w:rsidR="00200E9F" w:rsidRPr="009677EE" w:rsidRDefault="00200E9F" w:rsidP="009677EE">
      <w:pPr>
        <w:pStyle w:val="ListParagraph"/>
        <w:numPr>
          <w:ilvl w:val="0"/>
          <w:numId w:val="6"/>
        </w:numPr>
        <w:bidi w:val="0"/>
        <w:snapToGrid w:val="0"/>
        <w:jc w:val="both"/>
        <w:rPr>
          <w:color w:val="000000" w:themeColor="text1"/>
          <w:sz w:val="20"/>
        </w:rPr>
      </w:pPr>
      <w:proofErr w:type="spellStart"/>
      <w:r w:rsidRPr="009677EE">
        <w:rPr>
          <w:color w:val="000000" w:themeColor="text1"/>
          <w:sz w:val="20"/>
        </w:rPr>
        <w:t>Vaez</w:t>
      </w:r>
      <w:proofErr w:type="spellEnd"/>
      <w:r w:rsidRPr="009677EE">
        <w:rPr>
          <w:color w:val="000000" w:themeColor="text1"/>
          <w:sz w:val="20"/>
        </w:rPr>
        <w:t xml:space="preserve">, S. A., </w:t>
      </w:r>
      <w:proofErr w:type="spellStart"/>
      <w:r w:rsidRPr="009677EE">
        <w:rPr>
          <w:color w:val="000000" w:themeColor="text1"/>
          <w:sz w:val="20"/>
        </w:rPr>
        <w:t>Ghalamber</w:t>
      </w:r>
      <w:proofErr w:type="spellEnd"/>
      <w:r w:rsidRPr="009677EE">
        <w:rPr>
          <w:color w:val="000000" w:themeColor="text1"/>
          <w:sz w:val="20"/>
        </w:rPr>
        <w:t>, M. H.</w:t>
      </w:r>
      <w:r w:rsidR="008F648B" w:rsidRPr="009677EE">
        <w:rPr>
          <w:color w:val="000000" w:themeColor="text1"/>
          <w:sz w:val="20"/>
        </w:rPr>
        <w:t xml:space="preserve"> &amp; </w:t>
      </w:r>
      <w:proofErr w:type="spellStart"/>
      <w:r w:rsidRPr="009677EE">
        <w:rPr>
          <w:color w:val="000000" w:themeColor="text1"/>
          <w:sz w:val="20"/>
        </w:rPr>
        <w:t>Shzkeri</w:t>
      </w:r>
      <w:proofErr w:type="spellEnd"/>
      <w:r w:rsidRPr="009677EE">
        <w:rPr>
          <w:color w:val="000000" w:themeColor="text1"/>
          <w:sz w:val="20"/>
        </w:rPr>
        <w:t>, F. (2013).</w:t>
      </w:r>
      <w:r w:rsidR="008F648B" w:rsidRPr="009677EE">
        <w:rPr>
          <w:color w:val="000000" w:themeColor="text1"/>
          <w:sz w:val="20"/>
        </w:rPr>
        <w:t xml:space="preserve"> </w:t>
      </w:r>
      <w:r w:rsidRPr="009677EE">
        <w:rPr>
          <w:color w:val="000000" w:themeColor="text1"/>
          <w:sz w:val="20"/>
        </w:rPr>
        <w:t xml:space="preserve">Investigate the effects of working capital management on profitability of listed companies Tehran Stock Exchange. Journal of Financial Accounting, 5 (19): 46-68. </w:t>
      </w:r>
    </w:p>
    <w:p w:rsidR="00200E9F" w:rsidRPr="009677EE" w:rsidRDefault="00200E9F" w:rsidP="009677EE">
      <w:pPr>
        <w:pStyle w:val="ListParagraph"/>
        <w:numPr>
          <w:ilvl w:val="0"/>
          <w:numId w:val="6"/>
        </w:numPr>
        <w:bidi w:val="0"/>
        <w:snapToGrid w:val="0"/>
        <w:jc w:val="both"/>
        <w:rPr>
          <w:color w:val="000000" w:themeColor="text1"/>
          <w:sz w:val="20"/>
        </w:rPr>
      </w:pPr>
      <w:r w:rsidRPr="009677EE">
        <w:rPr>
          <w:color w:val="000000" w:themeColor="text1"/>
          <w:sz w:val="20"/>
        </w:rPr>
        <w:t xml:space="preserve">Wang, Y., </w:t>
      </w:r>
      <w:proofErr w:type="spellStart"/>
      <w:r w:rsidRPr="009677EE">
        <w:rPr>
          <w:color w:val="000000" w:themeColor="text1"/>
          <w:sz w:val="20"/>
        </w:rPr>
        <w:t>Ji</w:t>
      </w:r>
      <w:proofErr w:type="spellEnd"/>
      <w:r w:rsidRPr="009677EE">
        <w:rPr>
          <w:color w:val="000000" w:themeColor="text1"/>
          <w:sz w:val="20"/>
        </w:rPr>
        <w:t xml:space="preserve">, Y., Chen, X. and Song, C. (2013). Inflation, operating cycle, and cash holdings. China Journal of Accounting Research, </w:t>
      </w:r>
      <w:hyperlink r:id="rId16" w:history="1">
        <w:r w:rsidRPr="009677EE">
          <w:rPr>
            <w:rStyle w:val="Hyperlink"/>
            <w:color w:val="000000" w:themeColor="text1"/>
            <w:sz w:val="20"/>
            <w:u w:val="none"/>
          </w:rPr>
          <w:t>http://dx.doi.org/10.1016/j.cjar.2013.07.001</w:t>
        </w:r>
      </w:hyperlink>
      <w:r w:rsidRPr="009677EE">
        <w:rPr>
          <w:color w:val="000000" w:themeColor="text1"/>
          <w:sz w:val="20"/>
        </w:rPr>
        <w:t>.</w:t>
      </w:r>
    </w:p>
    <w:p w:rsidR="00200E9F" w:rsidRPr="009677EE" w:rsidRDefault="00200E9F" w:rsidP="009677EE">
      <w:pPr>
        <w:pStyle w:val="ListParagraph"/>
        <w:numPr>
          <w:ilvl w:val="0"/>
          <w:numId w:val="6"/>
        </w:numPr>
        <w:bidi w:val="0"/>
        <w:snapToGrid w:val="0"/>
        <w:jc w:val="both"/>
        <w:rPr>
          <w:color w:val="000000" w:themeColor="text1"/>
          <w:sz w:val="20"/>
        </w:rPr>
      </w:pPr>
      <w:proofErr w:type="spellStart"/>
      <w:r w:rsidRPr="009677EE">
        <w:rPr>
          <w:color w:val="000000" w:themeColor="text1"/>
          <w:sz w:val="20"/>
        </w:rPr>
        <w:t>Yaghoubnejad</w:t>
      </w:r>
      <w:proofErr w:type="spellEnd"/>
      <w:r w:rsidRPr="009677EE">
        <w:rPr>
          <w:color w:val="000000" w:themeColor="text1"/>
          <w:sz w:val="20"/>
        </w:rPr>
        <w:t xml:space="preserve">, A., </w:t>
      </w:r>
      <w:proofErr w:type="spellStart"/>
      <w:r w:rsidRPr="009677EE">
        <w:rPr>
          <w:color w:val="000000" w:themeColor="text1"/>
          <w:sz w:val="20"/>
        </w:rPr>
        <w:t>Vakilifard</w:t>
      </w:r>
      <w:proofErr w:type="spellEnd"/>
      <w:r w:rsidRPr="009677EE">
        <w:rPr>
          <w:color w:val="000000" w:themeColor="text1"/>
          <w:sz w:val="20"/>
        </w:rPr>
        <w:t>, H.</w:t>
      </w:r>
      <w:r w:rsidR="008F648B" w:rsidRPr="009677EE">
        <w:rPr>
          <w:color w:val="000000" w:themeColor="text1"/>
          <w:sz w:val="20"/>
        </w:rPr>
        <w:t xml:space="preserve"> &amp; </w:t>
      </w:r>
      <w:proofErr w:type="spellStart"/>
      <w:r w:rsidRPr="009677EE">
        <w:rPr>
          <w:color w:val="000000" w:themeColor="text1"/>
          <w:sz w:val="20"/>
        </w:rPr>
        <w:t>Babaei</w:t>
      </w:r>
      <w:proofErr w:type="spellEnd"/>
      <w:r w:rsidRPr="009677EE">
        <w:rPr>
          <w:color w:val="000000" w:themeColor="text1"/>
          <w:sz w:val="20"/>
        </w:rPr>
        <w:t xml:space="preserve">, A. (2010). Investigate the effects of working capital management on profitability of listed companies Tehran Stock Exchange. Journal of Financial Engineering and portfolio management, 2: 117-137. </w:t>
      </w:r>
    </w:p>
    <w:p w:rsidR="00200E9F" w:rsidRPr="009677EE" w:rsidRDefault="00200E9F" w:rsidP="009677EE">
      <w:pPr>
        <w:pStyle w:val="ListParagraph"/>
        <w:numPr>
          <w:ilvl w:val="0"/>
          <w:numId w:val="6"/>
        </w:numPr>
        <w:bidi w:val="0"/>
        <w:snapToGrid w:val="0"/>
        <w:jc w:val="both"/>
        <w:rPr>
          <w:color w:val="000000" w:themeColor="text1"/>
          <w:sz w:val="20"/>
        </w:rPr>
      </w:pPr>
      <w:proofErr w:type="spellStart"/>
      <w:r w:rsidRPr="009677EE">
        <w:rPr>
          <w:color w:val="000000" w:themeColor="text1"/>
          <w:sz w:val="20"/>
        </w:rPr>
        <w:t>Yahyazadeh</w:t>
      </w:r>
      <w:proofErr w:type="spellEnd"/>
      <w:r w:rsidRPr="009677EE">
        <w:rPr>
          <w:color w:val="000000" w:themeColor="text1"/>
          <w:sz w:val="20"/>
        </w:rPr>
        <w:t xml:space="preserve">, M., </w:t>
      </w:r>
      <w:proofErr w:type="spellStart"/>
      <w:r w:rsidRPr="009677EE">
        <w:rPr>
          <w:color w:val="000000" w:themeColor="text1"/>
          <w:sz w:val="20"/>
        </w:rPr>
        <w:t>Rezaei</w:t>
      </w:r>
      <w:proofErr w:type="spellEnd"/>
      <w:r w:rsidRPr="009677EE">
        <w:rPr>
          <w:color w:val="000000" w:themeColor="text1"/>
          <w:sz w:val="20"/>
        </w:rPr>
        <w:t>, H.</w:t>
      </w:r>
      <w:r w:rsidR="008F648B" w:rsidRPr="009677EE">
        <w:rPr>
          <w:color w:val="000000" w:themeColor="text1"/>
          <w:sz w:val="20"/>
        </w:rPr>
        <w:t xml:space="preserve"> &amp; </w:t>
      </w:r>
      <w:r w:rsidRPr="009677EE">
        <w:rPr>
          <w:color w:val="000000" w:themeColor="text1"/>
          <w:sz w:val="20"/>
        </w:rPr>
        <w:t xml:space="preserve">Shams, Sh. (2014). Investigate the effects of working capital management on profitability of listed companies Tehran Stock Exchange. Studies of Accounting and Auditing, 3 (12): 15-29. </w:t>
      </w:r>
    </w:p>
    <w:p w:rsidR="00200E9F" w:rsidRPr="009677EE" w:rsidRDefault="00200E9F" w:rsidP="009677EE">
      <w:pPr>
        <w:pStyle w:val="ListParagraph"/>
        <w:numPr>
          <w:ilvl w:val="0"/>
          <w:numId w:val="6"/>
        </w:numPr>
        <w:bidi w:val="0"/>
        <w:snapToGrid w:val="0"/>
        <w:jc w:val="both"/>
        <w:rPr>
          <w:color w:val="000000" w:themeColor="text1"/>
          <w:sz w:val="20"/>
        </w:rPr>
      </w:pPr>
      <w:proofErr w:type="spellStart"/>
      <w:r w:rsidRPr="009677EE">
        <w:rPr>
          <w:color w:val="000000" w:themeColor="text1"/>
          <w:sz w:val="20"/>
        </w:rPr>
        <w:t>Yazdani</w:t>
      </w:r>
      <w:proofErr w:type="spellEnd"/>
      <w:r w:rsidRPr="009677EE">
        <w:rPr>
          <w:color w:val="000000" w:themeColor="text1"/>
          <w:sz w:val="20"/>
        </w:rPr>
        <w:t>, M.</w:t>
      </w:r>
      <w:r w:rsidR="008F648B" w:rsidRPr="009677EE">
        <w:rPr>
          <w:color w:val="000000" w:themeColor="text1"/>
          <w:sz w:val="20"/>
        </w:rPr>
        <w:t xml:space="preserve"> &amp; </w:t>
      </w:r>
      <w:proofErr w:type="spellStart"/>
      <w:r w:rsidRPr="009677EE">
        <w:rPr>
          <w:color w:val="000000" w:themeColor="text1"/>
          <w:sz w:val="20"/>
        </w:rPr>
        <w:t>Gholipour</w:t>
      </w:r>
      <w:proofErr w:type="spellEnd"/>
      <w:r w:rsidRPr="009677EE">
        <w:rPr>
          <w:color w:val="000000" w:themeColor="text1"/>
          <w:sz w:val="20"/>
        </w:rPr>
        <w:t xml:space="preserve">, </w:t>
      </w:r>
      <w:proofErr w:type="spellStart"/>
      <w:r w:rsidRPr="009677EE">
        <w:rPr>
          <w:color w:val="000000" w:themeColor="text1"/>
          <w:sz w:val="20"/>
        </w:rPr>
        <w:t>Sh</w:t>
      </w:r>
      <w:proofErr w:type="spellEnd"/>
      <w:r w:rsidRPr="009677EE">
        <w:rPr>
          <w:color w:val="000000" w:themeColor="text1"/>
          <w:sz w:val="20"/>
        </w:rPr>
        <w:t>, (2013). Investigate the relationship between the cash conversion cycle and firm profitability on listed companies Tehran Stock Exchange. First National Conference on Accounting and Management.</w:t>
      </w:r>
    </w:p>
    <w:p w:rsidR="009677EE" w:rsidRPr="009677EE" w:rsidRDefault="00200E9F" w:rsidP="009677EE">
      <w:pPr>
        <w:pStyle w:val="ListParagraph"/>
        <w:numPr>
          <w:ilvl w:val="0"/>
          <w:numId w:val="6"/>
        </w:numPr>
        <w:bidi w:val="0"/>
        <w:snapToGrid w:val="0"/>
        <w:jc w:val="both"/>
        <w:rPr>
          <w:rFonts w:eastAsiaTheme="minorEastAsia"/>
          <w:color w:val="000000" w:themeColor="text1"/>
          <w:sz w:val="20"/>
          <w:lang w:eastAsia="zh-CN"/>
        </w:rPr>
      </w:pPr>
      <w:r w:rsidRPr="009677EE">
        <w:rPr>
          <w:color w:val="000000" w:themeColor="text1"/>
          <w:sz w:val="20"/>
        </w:rPr>
        <w:t>Y</w:t>
      </w:r>
      <w:r w:rsidR="00CE2F5C">
        <w:rPr>
          <w:rFonts w:eastAsiaTheme="minorEastAsia" w:hint="eastAsia"/>
          <w:color w:val="000000" w:themeColor="text1"/>
          <w:sz w:val="20"/>
          <w:lang w:eastAsia="zh-CN"/>
        </w:rPr>
        <w:t xml:space="preserve"> </w:t>
      </w:r>
      <w:proofErr w:type="spellStart"/>
      <w:r w:rsidRPr="009677EE">
        <w:rPr>
          <w:color w:val="000000" w:themeColor="text1"/>
          <w:sz w:val="20"/>
        </w:rPr>
        <w:t>Yar</w:t>
      </w:r>
      <w:proofErr w:type="spellEnd"/>
      <w:r w:rsidRPr="009677EE">
        <w:rPr>
          <w:color w:val="000000" w:themeColor="text1"/>
          <w:sz w:val="20"/>
        </w:rPr>
        <w:t>, A. (2009). Working Capital Management, Firms Size</w:t>
      </w:r>
      <w:r w:rsidR="009677EE" w:rsidRPr="009677EE">
        <w:rPr>
          <w:color w:val="000000" w:themeColor="text1"/>
          <w:sz w:val="20"/>
        </w:rPr>
        <w:t>.</w:t>
      </w:r>
      <w:r w:rsidR="009677EE">
        <w:rPr>
          <w:color w:val="000000" w:themeColor="text1"/>
          <w:sz w:val="20"/>
        </w:rPr>
        <w:t xml:space="preserve"> </w:t>
      </w:r>
      <w:r w:rsidR="009677EE" w:rsidRPr="009677EE">
        <w:rPr>
          <w:color w:val="000000" w:themeColor="text1"/>
          <w:sz w:val="20"/>
        </w:rPr>
        <w:t>I</w:t>
      </w:r>
      <w:r w:rsidRPr="009677EE">
        <w:rPr>
          <w:color w:val="000000" w:themeColor="text1"/>
          <w:sz w:val="20"/>
        </w:rPr>
        <w:t>nternational Journal of Social a</w:t>
      </w:r>
      <w:bookmarkEnd w:id="0"/>
      <w:r w:rsidR="009677EE" w:rsidRPr="009677EE">
        <w:rPr>
          <w:color w:val="000000" w:themeColor="text1"/>
          <w:sz w:val="20"/>
        </w:rPr>
        <w:t>nd Human Sciences. 6.</w:t>
      </w:r>
    </w:p>
    <w:p w:rsidR="009677EE" w:rsidRPr="009677EE" w:rsidRDefault="009677EE" w:rsidP="009677EE">
      <w:pPr>
        <w:bidi w:val="0"/>
        <w:snapToGrid w:val="0"/>
        <w:ind w:firstLine="425"/>
        <w:jc w:val="both"/>
        <w:rPr>
          <w:rFonts w:eastAsiaTheme="minorEastAsia"/>
          <w:color w:val="000000" w:themeColor="text1"/>
          <w:sz w:val="20"/>
          <w:lang w:eastAsia="zh-CN"/>
        </w:rPr>
        <w:sectPr w:rsidR="009677EE" w:rsidRPr="009677EE" w:rsidSect="009677EE">
          <w:type w:val="continuous"/>
          <w:pgSz w:w="12242" w:h="15842" w:code="1"/>
          <w:pgMar w:top="1440" w:right="1440" w:bottom="1440" w:left="1440" w:header="720" w:footer="720" w:gutter="0"/>
          <w:cols w:num="2" w:space="600"/>
          <w:docGrid w:linePitch="360"/>
        </w:sectPr>
      </w:pPr>
    </w:p>
    <w:p w:rsidR="008F648B" w:rsidRDefault="008F648B" w:rsidP="009677EE">
      <w:pPr>
        <w:bidi w:val="0"/>
        <w:snapToGrid w:val="0"/>
        <w:ind w:firstLine="425"/>
        <w:jc w:val="both"/>
        <w:rPr>
          <w:color w:val="000000" w:themeColor="text1"/>
          <w:sz w:val="20"/>
        </w:rPr>
        <w:sectPr w:rsidR="008F648B" w:rsidSect="008F648B">
          <w:type w:val="continuous"/>
          <w:pgSz w:w="12242" w:h="15842" w:code="1"/>
          <w:pgMar w:top="1440" w:right="1440" w:bottom="1440" w:left="1440" w:header="720" w:footer="720" w:gutter="0"/>
          <w:cols w:space="708"/>
          <w:bidi/>
          <w:docGrid w:linePitch="360"/>
        </w:sectPr>
      </w:pPr>
      <w:r>
        <w:rPr>
          <w:color w:val="000000" w:themeColor="text1"/>
          <w:sz w:val="20"/>
        </w:rPr>
        <w:lastRenderedPageBreak/>
        <w:cr/>
      </w:r>
    </w:p>
    <w:p w:rsidR="009677EE" w:rsidRPr="009677EE" w:rsidRDefault="008F648B" w:rsidP="009677EE">
      <w:pPr>
        <w:bidi w:val="0"/>
        <w:snapToGrid w:val="0"/>
        <w:ind w:firstLine="425"/>
        <w:jc w:val="both"/>
        <w:rPr>
          <w:rFonts w:eastAsiaTheme="minorEastAsia"/>
          <w:color w:val="000000" w:themeColor="text1"/>
          <w:sz w:val="20"/>
          <w:lang w:eastAsia="zh-CN"/>
        </w:rPr>
      </w:pPr>
      <w:r>
        <w:rPr>
          <w:color w:val="000000" w:themeColor="text1"/>
          <w:sz w:val="20"/>
        </w:rPr>
        <w:lastRenderedPageBreak/>
        <w:t xml:space="preserve"> </w:t>
      </w:r>
      <w:r>
        <w:rPr>
          <w:color w:val="000000" w:themeColor="text1"/>
          <w:sz w:val="20"/>
        </w:rPr>
        <w:cr/>
      </w:r>
    </w:p>
    <w:p w:rsidR="00200E9F" w:rsidRPr="008F648B" w:rsidRDefault="008F648B" w:rsidP="009677EE">
      <w:pPr>
        <w:bidi w:val="0"/>
        <w:snapToGrid w:val="0"/>
        <w:ind w:left="425" w:hanging="425"/>
        <w:jc w:val="both"/>
        <w:rPr>
          <w:color w:val="000000" w:themeColor="text1"/>
          <w:sz w:val="20"/>
        </w:rPr>
      </w:pPr>
      <w:r w:rsidRPr="008F648B">
        <w:rPr>
          <w:color w:val="000000" w:themeColor="text1"/>
          <w:sz w:val="20"/>
        </w:rPr>
        <w:t>5/19/2018</w:t>
      </w:r>
    </w:p>
    <w:sectPr w:rsidR="00200E9F" w:rsidRPr="008F648B" w:rsidSect="008F648B">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EC1" w:rsidRDefault="00BE0EC1" w:rsidP="003F71D6">
      <w:r>
        <w:separator/>
      </w:r>
    </w:p>
  </w:endnote>
  <w:endnote w:type="continuationSeparator" w:id="0">
    <w:p w:rsidR="00BE0EC1" w:rsidRDefault="00BE0EC1" w:rsidP="003F71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Lotus">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 Zar">
    <w:altName w:val="Courier New"/>
    <w:charset w:val="B2"/>
    <w:family w:val="auto"/>
    <w:pitch w:val="variable"/>
    <w:sig w:usb0="00002000" w:usb1="80000000" w:usb2="00000008" w:usb3="00000000" w:csb0="00000040" w:csb1="00000000"/>
  </w:font>
  <w:font w:name="DOIAKN+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B5C" w:rsidRPr="001E2814" w:rsidRDefault="003D0329" w:rsidP="001E2814">
    <w:pPr>
      <w:bidi w:val="0"/>
      <w:jc w:val="center"/>
      <w:rPr>
        <w:sz w:val="20"/>
      </w:rPr>
    </w:pPr>
    <w:r w:rsidRPr="001E2814">
      <w:rPr>
        <w:sz w:val="20"/>
      </w:rPr>
      <w:fldChar w:fldCharType="begin"/>
    </w:r>
    <w:r w:rsidR="001E2814" w:rsidRPr="001E2814">
      <w:rPr>
        <w:sz w:val="20"/>
      </w:rPr>
      <w:instrText xml:space="preserve"> page </w:instrText>
    </w:r>
    <w:r w:rsidRPr="001E2814">
      <w:rPr>
        <w:sz w:val="20"/>
      </w:rPr>
      <w:fldChar w:fldCharType="separate"/>
    </w:r>
    <w:r w:rsidR="00CE2F5C">
      <w:rPr>
        <w:noProof/>
        <w:sz w:val="20"/>
      </w:rPr>
      <w:t>45</w:t>
    </w:r>
    <w:r w:rsidRPr="001E2814">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EC1" w:rsidRDefault="00BE0EC1" w:rsidP="003F71D6">
      <w:r>
        <w:separator/>
      </w:r>
    </w:p>
  </w:footnote>
  <w:footnote w:type="continuationSeparator" w:id="0">
    <w:p w:rsidR="00BE0EC1" w:rsidRDefault="00BE0EC1" w:rsidP="003F71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814" w:rsidRPr="001E2814" w:rsidRDefault="001E2814" w:rsidP="001E2814">
    <w:pPr>
      <w:pBdr>
        <w:bottom w:val="thinThickMediumGap" w:sz="12" w:space="1" w:color="auto"/>
      </w:pBdr>
      <w:tabs>
        <w:tab w:val="left" w:pos="851"/>
        <w:tab w:val="right" w:pos="8364"/>
      </w:tabs>
      <w:bidi w:val="0"/>
      <w:adjustRightInd w:val="0"/>
      <w:snapToGrid w:val="0"/>
      <w:jc w:val="both"/>
      <w:rPr>
        <w:iCs/>
        <w:sz w:val="20"/>
        <w:szCs w:val="20"/>
      </w:rPr>
    </w:pPr>
    <w:r w:rsidRPr="001E2814">
      <w:rPr>
        <w:rFonts w:hint="eastAsia"/>
        <w:iCs/>
        <w:color w:val="000000"/>
        <w:sz w:val="20"/>
        <w:szCs w:val="20"/>
      </w:rPr>
      <w:tab/>
    </w:r>
    <w:r w:rsidRPr="001E2814">
      <w:rPr>
        <w:iCs/>
        <w:color w:val="000000"/>
        <w:sz w:val="20"/>
        <w:szCs w:val="20"/>
      </w:rPr>
      <w:t xml:space="preserve">Researcher </w:t>
    </w:r>
    <w:r w:rsidRPr="001E2814">
      <w:rPr>
        <w:iCs/>
        <w:sz w:val="20"/>
        <w:szCs w:val="20"/>
      </w:rPr>
      <w:t>201</w:t>
    </w:r>
    <w:r w:rsidRPr="001E2814">
      <w:rPr>
        <w:rFonts w:hint="eastAsia"/>
        <w:iCs/>
        <w:sz w:val="20"/>
        <w:szCs w:val="20"/>
      </w:rPr>
      <w:t>8</w:t>
    </w:r>
    <w:r w:rsidRPr="001E2814">
      <w:rPr>
        <w:iCs/>
        <w:sz w:val="20"/>
        <w:szCs w:val="20"/>
      </w:rPr>
      <w:t>;</w:t>
    </w:r>
    <w:r w:rsidRPr="001E2814">
      <w:rPr>
        <w:rFonts w:hint="eastAsia"/>
        <w:iCs/>
        <w:sz w:val="20"/>
        <w:szCs w:val="20"/>
      </w:rPr>
      <w:t>10</w:t>
    </w:r>
    <w:r w:rsidRPr="001E2814">
      <w:rPr>
        <w:iCs/>
        <w:sz w:val="20"/>
        <w:szCs w:val="20"/>
      </w:rPr>
      <w:t>(</w:t>
    </w:r>
    <w:r w:rsidRPr="001E2814">
      <w:rPr>
        <w:rFonts w:hint="eastAsia"/>
        <w:iCs/>
        <w:sz w:val="20"/>
        <w:szCs w:val="20"/>
      </w:rPr>
      <w:t>5</w:t>
    </w:r>
    <w:r w:rsidRPr="001E2814">
      <w:rPr>
        <w:iCs/>
        <w:sz w:val="20"/>
        <w:szCs w:val="20"/>
      </w:rPr>
      <w:t xml:space="preserve">)  </w:t>
    </w:r>
    <w:r w:rsidRPr="001E2814">
      <w:rPr>
        <w:rFonts w:hint="eastAsia"/>
        <w:iCs/>
        <w:sz w:val="20"/>
        <w:szCs w:val="20"/>
      </w:rPr>
      <w:t xml:space="preserve"> </w:t>
    </w:r>
    <w:r w:rsidRPr="001E2814">
      <w:rPr>
        <w:iCs/>
        <w:sz w:val="20"/>
        <w:szCs w:val="20"/>
      </w:rPr>
      <w:t xml:space="preserve"> </w:t>
    </w:r>
    <w:r w:rsidRPr="001E2814">
      <w:rPr>
        <w:rFonts w:hint="eastAsia"/>
        <w:iCs/>
        <w:sz w:val="20"/>
        <w:szCs w:val="20"/>
      </w:rPr>
      <w:tab/>
    </w:r>
    <w:r w:rsidRPr="001E2814">
      <w:rPr>
        <w:iCs/>
        <w:sz w:val="20"/>
        <w:szCs w:val="20"/>
      </w:rPr>
      <w:t xml:space="preserve">    </w:t>
    </w:r>
    <w:r w:rsidRPr="001E2814">
      <w:rPr>
        <w:sz w:val="20"/>
        <w:szCs w:val="20"/>
      </w:rPr>
      <w:t xml:space="preserve"> </w:t>
    </w:r>
    <w:hyperlink r:id="rId1" w:history="1">
      <w:r w:rsidRPr="001E2814">
        <w:rPr>
          <w:rStyle w:val="Hyperlink"/>
          <w:sz w:val="20"/>
          <w:szCs w:val="20"/>
        </w:rPr>
        <w:t>http://www.sciencepub.net/researcher</w:t>
      </w:r>
    </w:hyperlink>
  </w:p>
  <w:p w:rsidR="001E2814" w:rsidRPr="001E2814" w:rsidRDefault="001E2814" w:rsidP="001E2814">
    <w:pPr>
      <w:tabs>
        <w:tab w:val="left" w:pos="851"/>
        <w:tab w:val="right" w:pos="8364"/>
      </w:tabs>
      <w:bidi w:val="0"/>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470E"/>
    <w:multiLevelType w:val="hybridMultilevel"/>
    <w:tmpl w:val="84260A5C"/>
    <w:lvl w:ilvl="0" w:tplc="381606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816030C"/>
    <w:multiLevelType w:val="hybridMultilevel"/>
    <w:tmpl w:val="0B1A64EC"/>
    <w:lvl w:ilvl="0" w:tplc="D638DCA2">
      <w:numFmt w:val="bullet"/>
      <w:lvlText w:val="-"/>
      <w:lvlJc w:val="left"/>
      <w:pPr>
        <w:ind w:left="720" w:hanging="360"/>
      </w:pPr>
      <w:rPr>
        <w:rFonts w:ascii="Calibri" w:eastAsia="Times New Roman"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FC14CB"/>
    <w:multiLevelType w:val="hybridMultilevel"/>
    <w:tmpl w:val="A880E106"/>
    <w:lvl w:ilvl="0" w:tplc="D638DCA2">
      <w:numFmt w:val="bullet"/>
      <w:lvlText w:val="-"/>
      <w:lvlJc w:val="left"/>
      <w:pPr>
        <w:ind w:left="720" w:hanging="360"/>
      </w:pPr>
      <w:rPr>
        <w:rFonts w:ascii="Calibri" w:eastAsia="Times New Roman"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1E0BEE"/>
    <w:multiLevelType w:val="hybridMultilevel"/>
    <w:tmpl w:val="D2F0BD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B4D6863"/>
    <w:multiLevelType w:val="multilevel"/>
    <w:tmpl w:val="DC04391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75CC63C2"/>
    <w:multiLevelType w:val="hybridMultilevel"/>
    <w:tmpl w:val="1108C686"/>
    <w:lvl w:ilvl="0" w:tplc="4D0C13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446731"/>
    <w:rsid w:val="00000C37"/>
    <w:rsid w:val="00003FB9"/>
    <w:rsid w:val="000048E2"/>
    <w:rsid w:val="000055B3"/>
    <w:rsid w:val="00006983"/>
    <w:rsid w:val="000102FA"/>
    <w:rsid w:val="000112EE"/>
    <w:rsid w:val="00011C3C"/>
    <w:rsid w:val="0001447B"/>
    <w:rsid w:val="00016E58"/>
    <w:rsid w:val="00017223"/>
    <w:rsid w:val="0002232C"/>
    <w:rsid w:val="0002251F"/>
    <w:rsid w:val="0002496A"/>
    <w:rsid w:val="00025090"/>
    <w:rsid w:val="00026245"/>
    <w:rsid w:val="0002683B"/>
    <w:rsid w:val="00027BFF"/>
    <w:rsid w:val="00030014"/>
    <w:rsid w:val="00032BC9"/>
    <w:rsid w:val="000357DE"/>
    <w:rsid w:val="000362A3"/>
    <w:rsid w:val="00036B16"/>
    <w:rsid w:val="00037030"/>
    <w:rsid w:val="00040E0D"/>
    <w:rsid w:val="0004234B"/>
    <w:rsid w:val="00042965"/>
    <w:rsid w:val="0004420D"/>
    <w:rsid w:val="00045F64"/>
    <w:rsid w:val="000467F2"/>
    <w:rsid w:val="0004788D"/>
    <w:rsid w:val="000529B3"/>
    <w:rsid w:val="00053287"/>
    <w:rsid w:val="00054EF8"/>
    <w:rsid w:val="00054F6B"/>
    <w:rsid w:val="000567E1"/>
    <w:rsid w:val="0005684D"/>
    <w:rsid w:val="0005716E"/>
    <w:rsid w:val="00061545"/>
    <w:rsid w:val="00061B01"/>
    <w:rsid w:val="00062746"/>
    <w:rsid w:val="00062E55"/>
    <w:rsid w:val="000639F9"/>
    <w:rsid w:val="00070CAA"/>
    <w:rsid w:val="0007188A"/>
    <w:rsid w:val="00072C84"/>
    <w:rsid w:val="000732E6"/>
    <w:rsid w:val="000734CB"/>
    <w:rsid w:val="00075B27"/>
    <w:rsid w:val="00076334"/>
    <w:rsid w:val="00077E22"/>
    <w:rsid w:val="0008393F"/>
    <w:rsid w:val="00084317"/>
    <w:rsid w:val="000848C3"/>
    <w:rsid w:val="000848EA"/>
    <w:rsid w:val="00084E51"/>
    <w:rsid w:val="00087E28"/>
    <w:rsid w:val="000917C9"/>
    <w:rsid w:val="00094B83"/>
    <w:rsid w:val="00095F7E"/>
    <w:rsid w:val="00096441"/>
    <w:rsid w:val="000964F5"/>
    <w:rsid w:val="000A1DB6"/>
    <w:rsid w:val="000A31E3"/>
    <w:rsid w:val="000B0A8F"/>
    <w:rsid w:val="000B2EA6"/>
    <w:rsid w:val="000B2FA1"/>
    <w:rsid w:val="000B300B"/>
    <w:rsid w:val="000B3284"/>
    <w:rsid w:val="000B3A22"/>
    <w:rsid w:val="000B4EC8"/>
    <w:rsid w:val="000B578A"/>
    <w:rsid w:val="000B7154"/>
    <w:rsid w:val="000B7A18"/>
    <w:rsid w:val="000C08BB"/>
    <w:rsid w:val="000C0CE2"/>
    <w:rsid w:val="000C3EB7"/>
    <w:rsid w:val="000C5A5E"/>
    <w:rsid w:val="000C5CFB"/>
    <w:rsid w:val="000C69BF"/>
    <w:rsid w:val="000C74A2"/>
    <w:rsid w:val="000C76A1"/>
    <w:rsid w:val="000C7956"/>
    <w:rsid w:val="000C79D3"/>
    <w:rsid w:val="000D0012"/>
    <w:rsid w:val="000D0504"/>
    <w:rsid w:val="000E0CA8"/>
    <w:rsid w:val="000E0E2C"/>
    <w:rsid w:val="000E1D85"/>
    <w:rsid w:val="000E2EEF"/>
    <w:rsid w:val="000E3000"/>
    <w:rsid w:val="000E3732"/>
    <w:rsid w:val="000E4F19"/>
    <w:rsid w:val="000E7D38"/>
    <w:rsid w:val="000F0D88"/>
    <w:rsid w:val="000F32F4"/>
    <w:rsid w:val="000F4758"/>
    <w:rsid w:val="000F541A"/>
    <w:rsid w:val="000F7B05"/>
    <w:rsid w:val="000F7E88"/>
    <w:rsid w:val="00100709"/>
    <w:rsid w:val="00100964"/>
    <w:rsid w:val="00101E64"/>
    <w:rsid w:val="0010502C"/>
    <w:rsid w:val="00106DA5"/>
    <w:rsid w:val="0011040A"/>
    <w:rsid w:val="00110CD8"/>
    <w:rsid w:val="00113414"/>
    <w:rsid w:val="0011592D"/>
    <w:rsid w:val="0011603D"/>
    <w:rsid w:val="00117F6A"/>
    <w:rsid w:val="00120032"/>
    <w:rsid w:val="001211C9"/>
    <w:rsid w:val="001220D3"/>
    <w:rsid w:val="001229AE"/>
    <w:rsid w:val="00122EF9"/>
    <w:rsid w:val="00124236"/>
    <w:rsid w:val="00124E4E"/>
    <w:rsid w:val="001266BD"/>
    <w:rsid w:val="00133219"/>
    <w:rsid w:val="001334BA"/>
    <w:rsid w:val="0013497E"/>
    <w:rsid w:val="00134D15"/>
    <w:rsid w:val="00136A88"/>
    <w:rsid w:val="00137155"/>
    <w:rsid w:val="0014051C"/>
    <w:rsid w:val="00143B05"/>
    <w:rsid w:val="00143FD9"/>
    <w:rsid w:val="00146019"/>
    <w:rsid w:val="00146FF9"/>
    <w:rsid w:val="00150E0B"/>
    <w:rsid w:val="00152AB2"/>
    <w:rsid w:val="00153A52"/>
    <w:rsid w:val="00155589"/>
    <w:rsid w:val="001608FD"/>
    <w:rsid w:val="001613B0"/>
    <w:rsid w:val="00164785"/>
    <w:rsid w:val="00165967"/>
    <w:rsid w:val="00165A0A"/>
    <w:rsid w:val="00167440"/>
    <w:rsid w:val="0017015D"/>
    <w:rsid w:val="00172C54"/>
    <w:rsid w:val="00173039"/>
    <w:rsid w:val="001752DF"/>
    <w:rsid w:val="001758C4"/>
    <w:rsid w:val="00177A97"/>
    <w:rsid w:val="001814F6"/>
    <w:rsid w:val="00181F4F"/>
    <w:rsid w:val="00186891"/>
    <w:rsid w:val="00187672"/>
    <w:rsid w:val="0019178C"/>
    <w:rsid w:val="00191883"/>
    <w:rsid w:val="00192834"/>
    <w:rsid w:val="00193E91"/>
    <w:rsid w:val="001956CB"/>
    <w:rsid w:val="001958C3"/>
    <w:rsid w:val="001963CA"/>
    <w:rsid w:val="001A081B"/>
    <w:rsid w:val="001A198E"/>
    <w:rsid w:val="001A3DBD"/>
    <w:rsid w:val="001A5941"/>
    <w:rsid w:val="001A6073"/>
    <w:rsid w:val="001A669B"/>
    <w:rsid w:val="001A6908"/>
    <w:rsid w:val="001A74B5"/>
    <w:rsid w:val="001A77C1"/>
    <w:rsid w:val="001B0702"/>
    <w:rsid w:val="001B1A8C"/>
    <w:rsid w:val="001B2393"/>
    <w:rsid w:val="001B2655"/>
    <w:rsid w:val="001B660F"/>
    <w:rsid w:val="001B765A"/>
    <w:rsid w:val="001C37D4"/>
    <w:rsid w:val="001C3B6B"/>
    <w:rsid w:val="001C6B51"/>
    <w:rsid w:val="001C722B"/>
    <w:rsid w:val="001D026B"/>
    <w:rsid w:val="001D0A07"/>
    <w:rsid w:val="001D0C15"/>
    <w:rsid w:val="001D0C85"/>
    <w:rsid w:val="001D219C"/>
    <w:rsid w:val="001D35C2"/>
    <w:rsid w:val="001D5553"/>
    <w:rsid w:val="001D60F5"/>
    <w:rsid w:val="001D7830"/>
    <w:rsid w:val="001E0283"/>
    <w:rsid w:val="001E0571"/>
    <w:rsid w:val="001E2814"/>
    <w:rsid w:val="001E3ACE"/>
    <w:rsid w:val="001E46F4"/>
    <w:rsid w:val="001F22A9"/>
    <w:rsid w:val="001F4760"/>
    <w:rsid w:val="001F5EA7"/>
    <w:rsid w:val="001F6CF9"/>
    <w:rsid w:val="001F777F"/>
    <w:rsid w:val="00200E9F"/>
    <w:rsid w:val="00201423"/>
    <w:rsid w:val="00201532"/>
    <w:rsid w:val="00202228"/>
    <w:rsid w:val="00203444"/>
    <w:rsid w:val="00204BA0"/>
    <w:rsid w:val="0021036F"/>
    <w:rsid w:val="00210F91"/>
    <w:rsid w:val="0021347D"/>
    <w:rsid w:val="0021574E"/>
    <w:rsid w:val="00220415"/>
    <w:rsid w:val="00221B16"/>
    <w:rsid w:val="0022443A"/>
    <w:rsid w:val="002248A2"/>
    <w:rsid w:val="00225396"/>
    <w:rsid w:val="002273CA"/>
    <w:rsid w:val="00231186"/>
    <w:rsid w:val="00231B99"/>
    <w:rsid w:val="0023264D"/>
    <w:rsid w:val="00234302"/>
    <w:rsid w:val="002348C2"/>
    <w:rsid w:val="00235BC7"/>
    <w:rsid w:val="00236E55"/>
    <w:rsid w:val="0023730D"/>
    <w:rsid w:val="002377BB"/>
    <w:rsid w:val="0024123B"/>
    <w:rsid w:val="002413B2"/>
    <w:rsid w:val="00243280"/>
    <w:rsid w:val="002438BC"/>
    <w:rsid w:val="00245712"/>
    <w:rsid w:val="00247115"/>
    <w:rsid w:val="0024722B"/>
    <w:rsid w:val="00250001"/>
    <w:rsid w:val="00252E85"/>
    <w:rsid w:val="0025377A"/>
    <w:rsid w:val="002560B6"/>
    <w:rsid w:val="0025716C"/>
    <w:rsid w:val="00257BF8"/>
    <w:rsid w:val="002609FD"/>
    <w:rsid w:val="00262960"/>
    <w:rsid w:val="00264603"/>
    <w:rsid w:val="00264DCB"/>
    <w:rsid w:val="00265096"/>
    <w:rsid w:val="002665F0"/>
    <w:rsid w:val="00266F88"/>
    <w:rsid w:val="00267366"/>
    <w:rsid w:val="002674B3"/>
    <w:rsid w:val="002678C8"/>
    <w:rsid w:val="0027041F"/>
    <w:rsid w:val="0027105B"/>
    <w:rsid w:val="002718D3"/>
    <w:rsid w:val="002727DB"/>
    <w:rsid w:val="00274C9E"/>
    <w:rsid w:val="0028004C"/>
    <w:rsid w:val="00280EEC"/>
    <w:rsid w:val="00281271"/>
    <w:rsid w:val="00281F61"/>
    <w:rsid w:val="00286C97"/>
    <w:rsid w:val="0029346F"/>
    <w:rsid w:val="00293B0D"/>
    <w:rsid w:val="00293B7F"/>
    <w:rsid w:val="002A0ABE"/>
    <w:rsid w:val="002A2D3C"/>
    <w:rsid w:val="002A3BB2"/>
    <w:rsid w:val="002A5859"/>
    <w:rsid w:val="002A779A"/>
    <w:rsid w:val="002B02E2"/>
    <w:rsid w:val="002B09D6"/>
    <w:rsid w:val="002B2417"/>
    <w:rsid w:val="002B3A05"/>
    <w:rsid w:val="002B524E"/>
    <w:rsid w:val="002B7F8E"/>
    <w:rsid w:val="002C03D8"/>
    <w:rsid w:val="002C0609"/>
    <w:rsid w:val="002C0F61"/>
    <w:rsid w:val="002C34F9"/>
    <w:rsid w:val="002C397D"/>
    <w:rsid w:val="002C39D4"/>
    <w:rsid w:val="002C4E68"/>
    <w:rsid w:val="002C5DB5"/>
    <w:rsid w:val="002C6FC1"/>
    <w:rsid w:val="002D03A5"/>
    <w:rsid w:val="002D1D44"/>
    <w:rsid w:val="002D1E41"/>
    <w:rsid w:val="002D21BF"/>
    <w:rsid w:val="002D2B96"/>
    <w:rsid w:val="002D3C0C"/>
    <w:rsid w:val="002D487D"/>
    <w:rsid w:val="002E1FB6"/>
    <w:rsid w:val="002E4695"/>
    <w:rsid w:val="002E48B6"/>
    <w:rsid w:val="002E59D3"/>
    <w:rsid w:val="002E632B"/>
    <w:rsid w:val="002F11BF"/>
    <w:rsid w:val="002F1EB6"/>
    <w:rsid w:val="002F205F"/>
    <w:rsid w:val="002F3F8E"/>
    <w:rsid w:val="002F44D7"/>
    <w:rsid w:val="00300D7C"/>
    <w:rsid w:val="003034DA"/>
    <w:rsid w:val="00304879"/>
    <w:rsid w:val="00304905"/>
    <w:rsid w:val="003049C3"/>
    <w:rsid w:val="00305CE8"/>
    <w:rsid w:val="00305D67"/>
    <w:rsid w:val="00313606"/>
    <w:rsid w:val="00313F92"/>
    <w:rsid w:val="00315D53"/>
    <w:rsid w:val="0031648E"/>
    <w:rsid w:val="00322712"/>
    <w:rsid w:val="00322C48"/>
    <w:rsid w:val="003232E1"/>
    <w:rsid w:val="003234C1"/>
    <w:rsid w:val="003239B9"/>
    <w:rsid w:val="00323D0B"/>
    <w:rsid w:val="00323D0E"/>
    <w:rsid w:val="00324A44"/>
    <w:rsid w:val="00330F0B"/>
    <w:rsid w:val="00331588"/>
    <w:rsid w:val="003330C7"/>
    <w:rsid w:val="003337ED"/>
    <w:rsid w:val="003347AF"/>
    <w:rsid w:val="00340A91"/>
    <w:rsid w:val="00342F96"/>
    <w:rsid w:val="00343541"/>
    <w:rsid w:val="00343F43"/>
    <w:rsid w:val="00344A9E"/>
    <w:rsid w:val="00350A1F"/>
    <w:rsid w:val="00352C66"/>
    <w:rsid w:val="00354D45"/>
    <w:rsid w:val="003572E6"/>
    <w:rsid w:val="00360FC9"/>
    <w:rsid w:val="003616F8"/>
    <w:rsid w:val="00361A7B"/>
    <w:rsid w:val="00362997"/>
    <w:rsid w:val="00363801"/>
    <w:rsid w:val="00364AD9"/>
    <w:rsid w:val="00365CF8"/>
    <w:rsid w:val="00366E44"/>
    <w:rsid w:val="003670D3"/>
    <w:rsid w:val="0037240A"/>
    <w:rsid w:val="003750F0"/>
    <w:rsid w:val="0037703C"/>
    <w:rsid w:val="00377868"/>
    <w:rsid w:val="00380289"/>
    <w:rsid w:val="00381E0B"/>
    <w:rsid w:val="003820E4"/>
    <w:rsid w:val="00382266"/>
    <w:rsid w:val="00382676"/>
    <w:rsid w:val="003829CE"/>
    <w:rsid w:val="003833B7"/>
    <w:rsid w:val="00383FB5"/>
    <w:rsid w:val="00385559"/>
    <w:rsid w:val="0038696B"/>
    <w:rsid w:val="003906B7"/>
    <w:rsid w:val="00391018"/>
    <w:rsid w:val="00392029"/>
    <w:rsid w:val="00393581"/>
    <w:rsid w:val="0039563F"/>
    <w:rsid w:val="00395DCA"/>
    <w:rsid w:val="00397597"/>
    <w:rsid w:val="003A2B9C"/>
    <w:rsid w:val="003A68DF"/>
    <w:rsid w:val="003B0203"/>
    <w:rsid w:val="003B41F4"/>
    <w:rsid w:val="003B44A8"/>
    <w:rsid w:val="003B4548"/>
    <w:rsid w:val="003B5ADB"/>
    <w:rsid w:val="003B5D1B"/>
    <w:rsid w:val="003B5E63"/>
    <w:rsid w:val="003C1B57"/>
    <w:rsid w:val="003C1BF9"/>
    <w:rsid w:val="003C2021"/>
    <w:rsid w:val="003C287A"/>
    <w:rsid w:val="003C2D83"/>
    <w:rsid w:val="003C3AF5"/>
    <w:rsid w:val="003C44B2"/>
    <w:rsid w:val="003C55F1"/>
    <w:rsid w:val="003C67ED"/>
    <w:rsid w:val="003C6B3D"/>
    <w:rsid w:val="003C6CCA"/>
    <w:rsid w:val="003C7FDD"/>
    <w:rsid w:val="003D0329"/>
    <w:rsid w:val="003D11BE"/>
    <w:rsid w:val="003D52E8"/>
    <w:rsid w:val="003D55BC"/>
    <w:rsid w:val="003D6C45"/>
    <w:rsid w:val="003D7C81"/>
    <w:rsid w:val="003D7F5B"/>
    <w:rsid w:val="003E0B13"/>
    <w:rsid w:val="003E25FA"/>
    <w:rsid w:val="003E287E"/>
    <w:rsid w:val="003E505B"/>
    <w:rsid w:val="003E6F2A"/>
    <w:rsid w:val="003F0CC5"/>
    <w:rsid w:val="003F0D8A"/>
    <w:rsid w:val="003F2298"/>
    <w:rsid w:val="003F295C"/>
    <w:rsid w:val="003F29E7"/>
    <w:rsid w:val="003F2CA8"/>
    <w:rsid w:val="003F3EDA"/>
    <w:rsid w:val="003F407E"/>
    <w:rsid w:val="003F71D6"/>
    <w:rsid w:val="00400662"/>
    <w:rsid w:val="00401845"/>
    <w:rsid w:val="004022EA"/>
    <w:rsid w:val="004132F0"/>
    <w:rsid w:val="00416084"/>
    <w:rsid w:val="0041635A"/>
    <w:rsid w:val="0041731B"/>
    <w:rsid w:val="00420AB0"/>
    <w:rsid w:val="00421CF5"/>
    <w:rsid w:val="00421F01"/>
    <w:rsid w:val="00421F5A"/>
    <w:rsid w:val="004221A7"/>
    <w:rsid w:val="00426947"/>
    <w:rsid w:val="00426FA0"/>
    <w:rsid w:val="004271F1"/>
    <w:rsid w:val="00427A1A"/>
    <w:rsid w:val="00431BB8"/>
    <w:rsid w:val="00433845"/>
    <w:rsid w:val="00435DF3"/>
    <w:rsid w:val="00437BF5"/>
    <w:rsid w:val="00442073"/>
    <w:rsid w:val="00445879"/>
    <w:rsid w:val="004458F8"/>
    <w:rsid w:val="00445EBF"/>
    <w:rsid w:val="00446731"/>
    <w:rsid w:val="00450595"/>
    <w:rsid w:val="004505E5"/>
    <w:rsid w:val="00451D36"/>
    <w:rsid w:val="0045261E"/>
    <w:rsid w:val="00453C91"/>
    <w:rsid w:val="00455296"/>
    <w:rsid w:val="0046282B"/>
    <w:rsid w:val="004630B9"/>
    <w:rsid w:val="004657B4"/>
    <w:rsid w:val="00470935"/>
    <w:rsid w:val="0047363B"/>
    <w:rsid w:val="0047380B"/>
    <w:rsid w:val="00474141"/>
    <w:rsid w:val="00480C82"/>
    <w:rsid w:val="00483B4D"/>
    <w:rsid w:val="00485F47"/>
    <w:rsid w:val="004903A6"/>
    <w:rsid w:val="00490B5C"/>
    <w:rsid w:val="00490E4C"/>
    <w:rsid w:val="00491C70"/>
    <w:rsid w:val="004927DB"/>
    <w:rsid w:val="004930CF"/>
    <w:rsid w:val="00493C9C"/>
    <w:rsid w:val="00494D54"/>
    <w:rsid w:val="004960BA"/>
    <w:rsid w:val="00496597"/>
    <w:rsid w:val="004A247C"/>
    <w:rsid w:val="004A4ACC"/>
    <w:rsid w:val="004A4D51"/>
    <w:rsid w:val="004A5156"/>
    <w:rsid w:val="004A578F"/>
    <w:rsid w:val="004A6387"/>
    <w:rsid w:val="004A6C5F"/>
    <w:rsid w:val="004A7967"/>
    <w:rsid w:val="004B529A"/>
    <w:rsid w:val="004B74FC"/>
    <w:rsid w:val="004B78EB"/>
    <w:rsid w:val="004C07A6"/>
    <w:rsid w:val="004C0FF4"/>
    <w:rsid w:val="004C115A"/>
    <w:rsid w:val="004C12B4"/>
    <w:rsid w:val="004C14A3"/>
    <w:rsid w:val="004C1FEB"/>
    <w:rsid w:val="004C20ED"/>
    <w:rsid w:val="004C374B"/>
    <w:rsid w:val="004C4888"/>
    <w:rsid w:val="004C5137"/>
    <w:rsid w:val="004C7651"/>
    <w:rsid w:val="004D014A"/>
    <w:rsid w:val="004D131F"/>
    <w:rsid w:val="004D1FFF"/>
    <w:rsid w:val="004D2395"/>
    <w:rsid w:val="004D5513"/>
    <w:rsid w:val="004D7DC6"/>
    <w:rsid w:val="004E0046"/>
    <w:rsid w:val="004E0782"/>
    <w:rsid w:val="004E2023"/>
    <w:rsid w:val="004E2EFA"/>
    <w:rsid w:val="004E4C53"/>
    <w:rsid w:val="004E4E13"/>
    <w:rsid w:val="004E63F9"/>
    <w:rsid w:val="004F4382"/>
    <w:rsid w:val="004F4B40"/>
    <w:rsid w:val="004F6295"/>
    <w:rsid w:val="004F62B4"/>
    <w:rsid w:val="004F7BB5"/>
    <w:rsid w:val="005006BE"/>
    <w:rsid w:val="005013B4"/>
    <w:rsid w:val="0050743E"/>
    <w:rsid w:val="005100D7"/>
    <w:rsid w:val="005100DC"/>
    <w:rsid w:val="005120EB"/>
    <w:rsid w:val="00512798"/>
    <w:rsid w:val="005127E2"/>
    <w:rsid w:val="00515197"/>
    <w:rsid w:val="0051555A"/>
    <w:rsid w:val="00515BA4"/>
    <w:rsid w:val="005227E4"/>
    <w:rsid w:val="005228D5"/>
    <w:rsid w:val="00526E91"/>
    <w:rsid w:val="00527BD3"/>
    <w:rsid w:val="00527EAE"/>
    <w:rsid w:val="005307AF"/>
    <w:rsid w:val="005330F5"/>
    <w:rsid w:val="00533938"/>
    <w:rsid w:val="00533D97"/>
    <w:rsid w:val="00535215"/>
    <w:rsid w:val="00537380"/>
    <w:rsid w:val="005377DE"/>
    <w:rsid w:val="00537EA3"/>
    <w:rsid w:val="00541218"/>
    <w:rsid w:val="00541A24"/>
    <w:rsid w:val="00541C49"/>
    <w:rsid w:val="005428E2"/>
    <w:rsid w:val="00543660"/>
    <w:rsid w:val="0055226E"/>
    <w:rsid w:val="00554E01"/>
    <w:rsid w:val="00557151"/>
    <w:rsid w:val="0055792B"/>
    <w:rsid w:val="00557B0F"/>
    <w:rsid w:val="0056325B"/>
    <w:rsid w:val="00563DB6"/>
    <w:rsid w:val="00565283"/>
    <w:rsid w:val="005657E7"/>
    <w:rsid w:val="00565E46"/>
    <w:rsid w:val="00566C40"/>
    <w:rsid w:val="00566C4B"/>
    <w:rsid w:val="00570682"/>
    <w:rsid w:val="00571C91"/>
    <w:rsid w:val="00571D8B"/>
    <w:rsid w:val="005730BA"/>
    <w:rsid w:val="00574793"/>
    <w:rsid w:val="00574989"/>
    <w:rsid w:val="0057511F"/>
    <w:rsid w:val="00576B86"/>
    <w:rsid w:val="00576CF8"/>
    <w:rsid w:val="00576E07"/>
    <w:rsid w:val="00577683"/>
    <w:rsid w:val="00577EC7"/>
    <w:rsid w:val="0058007E"/>
    <w:rsid w:val="00581052"/>
    <w:rsid w:val="0058153F"/>
    <w:rsid w:val="005831FB"/>
    <w:rsid w:val="0058326A"/>
    <w:rsid w:val="005868DD"/>
    <w:rsid w:val="00587419"/>
    <w:rsid w:val="00591511"/>
    <w:rsid w:val="00591FDF"/>
    <w:rsid w:val="00594459"/>
    <w:rsid w:val="0059634D"/>
    <w:rsid w:val="0059700F"/>
    <w:rsid w:val="005A0C1F"/>
    <w:rsid w:val="005A100C"/>
    <w:rsid w:val="005A3BEF"/>
    <w:rsid w:val="005A42F2"/>
    <w:rsid w:val="005A76BB"/>
    <w:rsid w:val="005B0659"/>
    <w:rsid w:val="005B08FD"/>
    <w:rsid w:val="005B1BD4"/>
    <w:rsid w:val="005B2A30"/>
    <w:rsid w:val="005B2B21"/>
    <w:rsid w:val="005B335A"/>
    <w:rsid w:val="005B3E14"/>
    <w:rsid w:val="005B3EA4"/>
    <w:rsid w:val="005B596C"/>
    <w:rsid w:val="005B5B1E"/>
    <w:rsid w:val="005B6C0B"/>
    <w:rsid w:val="005C20F7"/>
    <w:rsid w:val="005C244E"/>
    <w:rsid w:val="005C454F"/>
    <w:rsid w:val="005C468D"/>
    <w:rsid w:val="005C66DA"/>
    <w:rsid w:val="005C75D9"/>
    <w:rsid w:val="005D2CF5"/>
    <w:rsid w:val="005D3061"/>
    <w:rsid w:val="005E07D6"/>
    <w:rsid w:val="005E0A97"/>
    <w:rsid w:val="005E35F8"/>
    <w:rsid w:val="005E3788"/>
    <w:rsid w:val="005E384B"/>
    <w:rsid w:val="005E66BF"/>
    <w:rsid w:val="005E6D22"/>
    <w:rsid w:val="005F0BE3"/>
    <w:rsid w:val="005F0CC3"/>
    <w:rsid w:val="005F2325"/>
    <w:rsid w:val="005F4C43"/>
    <w:rsid w:val="005F7183"/>
    <w:rsid w:val="0060039C"/>
    <w:rsid w:val="00600C54"/>
    <w:rsid w:val="00601235"/>
    <w:rsid w:val="00601DCF"/>
    <w:rsid w:val="0060714D"/>
    <w:rsid w:val="00607F44"/>
    <w:rsid w:val="006120D8"/>
    <w:rsid w:val="00613027"/>
    <w:rsid w:val="00613B98"/>
    <w:rsid w:val="00617710"/>
    <w:rsid w:val="006201CB"/>
    <w:rsid w:val="006207DA"/>
    <w:rsid w:val="00623C49"/>
    <w:rsid w:val="00623CCE"/>
    <w:rsid w:val="0062433B"/>
    <w:rsid w:val="00624FAB"/>
    <w:rsid w:val="00627796"/>
    <w:rsid w:val="00633705"/>
    <w:rsid w:val="006339F0"/>
    <w:rsid w:val="006346FB"/>
    <w:rsid w:val="00635743"/>
    <w:rsid w:val="00635897"/>
    <w:rsid w:val="00635980"/>
    <w:rsid w:val="006365ED"/>
    <w:rsid w:val="0063772B"/>
    <w:rsid w:val="00641D2B"/>
    <w:rsid w:val="006420FD"/>
    <w:rsid w:val="00643265"/>
    <w:rsid w:val="00643554"/>
    <w:rsid w:val="0064407D"/>
    <w:rsid w:val="00650BB6"/>
    <w:rsid w:val="00650D91"/>
    <w:rsid w:val="00661224"/>
    <w:rsid w:val="006621A8"/>
    <w:rsid w:val="00663E0D"/>
    <w:rsid w:val="006657E8"/>
    <w:rsid w:val="00665DBD"/>
    <w:rsid w:val="00666A06"/>
    <w:rsid w:val="006671A5"/>
    <w:rsid w:val="00670785"/>
    <w:rsid w:val="00670E2E"/>
    <w:rsid w:val="00671921"/>
    <w:rsid w:val="0067301A"/>
    <w:rsid w:val="006738C4"/>
    <w:rsid w:val="00673C8C"/>
    <w:rsid w:val="00674092"/>
    <w:rsid w:val="0067733C"/>
    <w:rsid w:val="00677C30"/>
    <w:rsid w:val="00681B36"/>
    <w:rsid w:val="006820A1"/>
    <w:rsid w:val="006849F7"/>
    <w:rsid w:val="006902D4"/>
    <w:rsid w:val="00690BF8"/>
    <w:rsid w:val="006910BC"/>
    <w:rsid w:val="00691FB6"/>
    <w:rsid w:val="00694BD7"/>
    <w:rsid w:val="006971CC"/>
    <w:rsid w:val="006A0C84"/>
    <w:rsid w:val="006A22F5"/>
    <w:rsid w:val="006A4351"/>
    <w:rsid w:val="006A4A92"/>
    <w:rsid w:val="006A6712"/>
    <w:rsid w:val="006A7343"/>
    <w:rsid w:val="006A7B34"/>
    <w:rsid w:val="006B2C98"/>
    <w:rsid w:val="006B4321"/>
    <w:rsid w:val="006B4989"/>
    <w:rsid w:val="006B5719"/>
    <w:rsid w:val="006B6CE5"/>
    <w:rsid w:val="006C2F12"/>
    <w:rsid w:val="006C4B21"/>
    <w:rsid w:val="006D0AED"/>
    <w:rsid w:val="006D1E46"/>
    <w:rsid w:val="006D23FD"/>
    <w:rsid w:val="006D3D4B"/>
    <w:rsid w:val="006D4B1A"/>
    <w:rsid w:val="006D627E"/>
    <w:rsid w:val="006D7FF1"/>
    <w:rsid w:val="006E1836"/>
    <w:rsid w:val="006E25E9"/>
    <w:rsid w:val="006E3D5C"/>
    <w:rsid w:val="006E7D7D"/>
    <w:rsid w:val="006E7EC3"/>
    <w:rsid w:val="006F0187"/>
    <w:rsid w:val="006F1655"/>
    <w:rsid w:val="006F227E"/>
    <w:rsid w:val="006F2871"/>
    <w:rsid w:val="006F2D6F"/>
    <w:rsid w:val="006F366E"/>
    <w:rsid w:val="006F4C51"/>
    <w:rsid w:val="006F5431"/>
    <w:rsid w:val="006F5DF0"/>
    <w:rsid w:val="006F6667"/>
    <w:rsid w:val="006F687D"/>
    <w:rsid w:val="006F7FA5"/>
    <w:rsid w:val="00702895"/>
    <w:rsid w:val="00703B3A"/>
    <w:rsid w:val="007047A0"/>
    <w:rsid w:val="0070497B"/>
    <w:rsid w:val="007064D0"/>
    <w:rsid w:val="0071086B"/>
    <w:rsid w:val="00711906"/>
    <w:rsid w:val="0071200A"/>
    <w:rsid w:val="00713734"/>
    <w:rsid w:val="00714212"/>
    <w:rsid w:val="007142DF"/>
    <w:rsid w:val="00714402"/>
    <w:rsid w:val="00714FBC"/>
    <w:rsid w:val="00715209"/>
    <w:rsid w:val="00716E98"/>
    <w:rsid w:val="007177C1"/>
    <w:rsid w:val="007179EA"/>
    <w:rsid w:val="00723CA0"/>
    <w:rsid w:val="00724B1A"/>
    <w:rsid w:val="007255F7"/>
    <w:rsid w:val="00726448"/>
    <w:rsid w:val="00726737"/>
    <w:rsid w:val="00727455"/>
    <w:rsid w:val="00727B5D"/>
    <w:rsid w:val="0073115C"/>
    <w:rsid w:val="007311D8"/>
    <w:rsid w:val="0073237E"/>
    <w:rsid w:val="007324DF"/>
    <w:rsid w:val="007327F4"/>
    <w:rsid w:val="0073529D"/>
    <w:rsid w:val="00741872"/>
    <w:rsid w:val="00742A6D"/>
    <w:rsid w:val="007443DF"/>
    <w:rsid w:val="00744836"/>
    <w:rsid w:val="00750394"/>
    <w:rsid w:val="007511FC"/>
    <w:rsid w:val="00752885"/>
    <w:rsid w:val="00752CCF"/>
    <w:rsid w:val="0075475B"/>
    <w:rsid w:val="00756CC9"/>
    <w:rsid w:val="00757004"/>
    <w:rsid w:val="0076067D"/>
    <w:rsid w:val="00762877"/>
    <w:rsid w:val="00762912"/>
    <w:rsid w:val="007642B9"/>
    <w:rsid w:val="00766E36"/>
    <w:rsid w:val="00767C1F"/>
    <w:rsid w:val="00771649"/>
    <w:rsid w:val="00772998"/>
    <w:rsid w:val="00781CA2"/>
    <w:rsid w:val="007825A6"/>
    <w:rsid w:val="00785EF7"/>
    <w:rsid w:val="007907EE"/>
    <w:rsid w:val="00790E79"/>
    <w:rsid w:val="00792763"/>
    <w:rsid w:val="007928B8"/>
    <w:rsid w:val="00795305"/>
    <w:rsid w:val="007A09B7"/>
    <w:rsid w:val="007A4498"/>
    <w:rsid w:val="007A77A7"/>
    <w:rsid w:val="007A7A2E"/>
    <w:rsid w:val="007B146D"/>
    <w:rsid w:val="007B2377"/>
    <w:rsid w:val="007B3AAE"/>
    <w:rsid w:val="007B3F5A"/>
    <w:rsid w:val="007B4745"/>
    <w:rsid w:val="007B6902"/>
    <w:rsid w:val="007C2158"/>
    <w:rsid w:val="007C2414"/>
    <w:rsid w:val="007C355F"/>
    <w:rsid w:val="007C6AA2"/>
    <w:rsid w:val="007C75DF"/>
    <w:rsid w:val="007D02F9"/>
    <w:rsid w:val="007D0B14"/>
    <w:rsid w:val="007D16F3"/>
    <w:rsid w:val="007D3083"/>
    <w:rsid w:val="007D31B5"/>
    <w:rsid w:val="007D3307"/>
    <w:rsid w:val="007D3498"/>
    <w:rsid w:val="007D3719"/>
    <w:rsid w:val="007D4352"/>
    <w:rsid w:val="007D6C8F"/>
    <w:rsid w:val="007D726F"/>
    <w:rsid w:val="007E1852"/>
    <w:rsid w:val="007E2A9B"/>
    <w:rsid w:val="007E3599"/>
    <w:rsid w:val="007E5781"/>
    <w:rsid w:val="007E78E9"/>
    <w:rsid w:val="007F1973"/>
    <w:rsid w:val="007F1F7E"/>
    <w:rsid w:val="007F2394"/>
    <w:rsid w:val="007F2FBD"/>
    <w:rsid w:val="007F576C"/>
    <w:rsid w:val="007F58BA"/>
    <w:rsid w:val="007F648C"/>
    <w:rsid w:val="007F6F87"/>
    <w:rsid w:val="008002FE"/>
    <w:rsid w:val="0080054D"/>
    <w:rsid w:val="00800902"/>
    <w:rsid w:val="00801713"/>
    <w:rsid w:val="008021F9"/>
    <w:rsid w:val="00806D55"/>
    <w:rsid w:val="008126B7"/>
    <w:rsid w:val="00814F13"/>
    <w:rsid w:val="00815ACD"/>
    <w:rsid w:val="008168CC"/>
    <w:rsid w:val="0082114B"/>
    <w:rsid w:val="008217D2"/>
    <w:rsid w:val="00821A7E"/>
    <w:rsid w:val="00822AB4"/>
    <w:rsid w:val="008236BF"/>
    <w:rsid w:val="00823884"/>
    <w:rsid w:val="0082493F"/>
    <w:rsid w:val="00825249"/>
    <w:rsid w:val="00825409"/>
    <w:rsid w:val="00825747"/>
    <w:rsid w:val="00826501"/>
    <w:rsid w:val="00826CCE"/>
    <w:rsid w:val="00826E1C"/>
    <w:rsid w:val="008306DE"/>
    <w:rsid w:val="00831285"/>
    <w:rsid w:val="00834094"/>
    <w:rsid w:val="0083713D"/>
    <w:rsid w:val="00837601"/>
    <w:rsid w:val="00841FB6"/>
    <w:rsid w:val="008438B2"/>
    <w:rsid w:val="00846595"/>
    <w:rsid w:val="008468A7"/>
    <w:rsid w:val="00847A30"/>
    <w:rsid w:val="008506BA"/>
    <w:rsid w:val="00850760"/>
    <w:rsid w:val="00851503"/>
    <w:rsid w:val="0085211B"/>
    <w:rsid w:val="00852A67"/>
    <w:rsid w:val="00853BFB"/>
    <w:rsid w:val="00853EF0"/>
    <w:rsid w:val="00853FD9"/>
    <w:rsid w:val="00863223"/>
    <w:rsid w:val="0087005B"/>
    <w:rsid w:val="008712F4"/>
    <w:rsid w:val="00874AC6"/>
    <w:rsid w:val="00880D17"/>
    <w:rsid w:val="008810F3"/>
    <w:rsid w:val="00881C10"/>
    <w:rsid w:val="008820A4"/>
    <w:rsid w:val="00882D04"/>
    <w:rsid w:val="00883280"/>
    <w:rsid w:val="00883611"/>
    <w:rsid w:val="00887D11"/>
    <w:rsid w:val="00891072"/>
    <w:rsid w:val="008A05A1"/>
    <w:rsid w:val="008A3E2E"/>
    <w:rsid w:val="008A5A82"/>
    <w:rsid w:val="008A755E"/>
    <w:rsid w:val="008B1F52"/>
    <w:rsid w:val="008B31E2"/>
    <w:rsid w:val="008C03B6"/>
    <w:rsid w:val="008C1CE7"/>
    <w:rsid w:val="008C2733"/>
    <w:rsid w:val="008C3163"/>
    <w:rsid w:val="008C332B"/>
    <w:rsid w:val="008C473D"/>
    <w:rsid w:val="008C5743"/>
    <w:rsid w:val="008C6FAC"/>
    <w:rsid w:val="008D2651"/>
    <w:rsid w:val="008D58C4"/>
    <w:rsid w:val="008D6B3D"/>
    <w:rsid w:val="008E0127"/>
    <w:rsid w:val="008E294D"/>
    <w:rsid w:val="008E674C"/>
    <w:rsid w:val="008F110B"/>
    <w:rsid w:val="008F119A"/>
    <w:rsid w:val="008F5C62"/>
    <w:rsid w:val="008F5FDC"/>
    <w:rsid w:val="008F648B"/>
    <w:rsid w:val="008F69B1"/>
    <w:rsid w:val="00900041"/>
    <w:rsid w:val="00902134"/>
    <w:rsid w:val="00903A2E"/>
    <w:rsid w:val="00905BF6"/>
    <w:rsid w:val="009071B3"/>
    <w:rsid w:val="00913795"/>
    <w:rsid w:val="00914D77"/>
    <w:rsid w:val="00917792"/>
    <w:rsid w:val="00920ED7"/>
    <w:rsid w:val="00922986"/>
    <w:rsid w:val="009233C4"/>
    <w:rsid w:val="00923693"/>
    <w:rsid w:val="00925A55"/>
    <w:rsid w:val="00926367"/>
    <w:rsid w:val="00927B3A"/>
    <w:rsid w:val="009317E4"/>
    <w:rsid w:val="00931BA4"/>
    <w:rsid w:val="009322FB"/>
    <w:rsid w:val="00932CF0"/>
    <w:rsid w:val="009330F1"/>
    <w:rsid w:val="009350B1"/>
    <w:rsid w:val="009372B7"/>
    <w:rsid w:val="009400AC"/>
    <w:rsid w:val="00940517"/>
    <w:rsid w:val="00942652"/>
    <w:rsid w:val="009426B0"/>
    <w:rsid w:val="00945AAC"/>
    <w:rsid w:val="00947CD3"/>
    <w:rsid w:val="00950275"/>
    <w:rsid w:val="009508D9"/>
    <w:rsid w:val="009520F4"/>
    <w:rsid w:val="00952796"/>
    <w:rsid w:val="00953843"/>
    <w:rsid w:val="00954781"/>
    <w:rsid w:val="00954C6F"/>
    <w:rsid w:val="00954CAD"/>
    <w:rsid w:val="0095572B"/>
    <w:rsid w:val="0096490C"/>
    <w:rsid w:val="00964B14"/>
    <w:rsid w:val="00965169"/>
    <w:rsid w:val="009660D6"/>
    <w:rsid w:val="00966A55"/>
    <w:rsid w:val="009671AB"/>
    <w:rsid w:val="009677EE"/>
    <w:rsid w:val="009678EF"/>
    <w:rsid w:val="00970E60"/>
    <w:rsid w:val="00971E4E"/>
    <w:rsid w:val="009725A5"/>
    <w:rsid w:val="00973292"/>
    <w:rsid w:val="00974068"/>
    <w:rsid w:val="009815E4"/>
    <w:rsid w:val="009853C3"/>
    <w:rsid w:val="009856F6"/>
    <w:rsid w:val="00986803"/>
    <w:rsid w:val="009877FA"/>
    <w:rsid w:val="00991503"/>
    <w:rsid w:val="00994107"/>
    <w:rsid w:val="009957E4"/>
    <w:rsid w:val="009961E1"/>
    <w:rsid w:val="009A1810"/>
    <w:rsid w:val="009A54FE"/>
    <w:rsid w:val="009A674F"/>
    <w:rsid w:val="009A67B2"/>
    <w:rsid w:val="009A6ECA"/>
    <w:rsid w:val="009B0C5B"/>
    <w:rsid w:val="009B1395"/>
    <w:rsid w:val="009B5173"/>
    <w:rsid w:val="009C10A8"/>
    <w:rsid w:val="009C29AE"/>
    <w:rsid w:val="009C2C86"/>
    <w:rsid w:val="009C62D4"/>
    <w:rsid w:val="009C7660"/>
    <w:rsid w:val="009C788D"/>
    <w:rsid w:val="009C7D19"/>
    <w:rsid w:val="009D0CA4"/>
    <w:rsid w:val="009D57F6"/>
    <w:rsid w:val="009E01F2"/>
    <w:rsid w:val="009E1007"/>
    <w:rsid w:val="009E20D2"/>
    <w:rsid w:val="009E3EA0"/>
    <w:rsid w:val="009E3FA6"/>
    <w:rsid w:val="009E4509"/>
    <w:rsid w:val="009E6DA8"/>
    <w:rsid w:val="009F3124"/>
    <w:rsid w:val="009F64B6"/>
    <w:rsid w:val="00A01149"/>
    <w:rsid w:val="00A04EE9"/>
    <w:rsid w:val="00A0536B"/>
    <w:rsid w:val="00A053F0"/>
    <w:rsid w:val="00A06464"/>
    <w:rsid w:val="00A10433"/>
    <w:rsid w:val="00A10592"/>
    <w:rsid w:val="00A1073F"/>
    <w:rsid w:val="00A10DB7"/>
    <w:rsid w:val="00A12782"/>
    <w:rsid w:val="00A136F5"/>
    <w:rsid w:val="00A13D44"/>
    <w:rsid w:val="00A14C01"/>
    <w:rsid w:val="00A154EA"/>
    <w:rsid w:val="00A17817"/>
    <w:rsid w:val="00A23757"/>
    <w:rsid w:val="00A25A35"/>
    <w:rsid w:val="00A25EBC"/>
    <w:rsid w:val="00A2774D"/>
    <w:rsid w:val="00A27FE2"/>
    <w:rsid w:val="00A3064C"/>
    <w:rsid w:val="00A3189F"/>
    <w:rsid w:val="00A31A18"/>
    <w:rsid w:val="00A32983"/>
    <w:rsid w:val="00A32D8A"/>
    <w:rsid w:val="00A337D0"/>
    <w:rsid w:val="00A33CD8"/>
    <w:rsid w:val="00A34ED2"/>
    <w:rsid w:val="00A364D0"/>
    <w:rsid w:val="00A36C72"/>
    <w:rsid w:val="00A41ADB"/>
    <w:rsid w:val="00A435AA"/>
    <w:rsid w:val="00A43AA5"/>
    <w:rsid w:val="00A44AD1"/>
    <w:rsid w:val="00A4777A"/>
    <w:rsid w:val="00A50721"/>
    <w:rsid w:val="00A51953"/>
    <w:rsid w:val="00A51AE5"/>
    <w:rsid w:val="00A51CA2"/>
    <w:rsid w:val="00A520F1"/>
    <w:rsid w:val="00A5456C"/>
    <w:rsid w:val="00A56566"/>
    <w:rsid w:val="00A57BE4"/>
    <w:rsid w:val="00A6064B"/>
    <w:rsid w:val="00A60F41"/>
    <w:rsid w:val="00A61793"/>
    <w:rsid w:val="00A63C3A"/>
    <w:rsid w:val="00A64103"/>
    <w:rsid w:val="00A64776"/>
    <w:rsid w:val="00A6573C"/>
    <w:rsid w:val="00A66D33"/>
    <w:rsid w:val="00A704EC"/>
    <w:rsid w:val="00A732E2"/>
    <w:rsid w:val="00A7394D"/>
    <w:rsid w:val="00A76A4A"/>
    <w:rsid w:val="00A774EC"/>
    <w:rsid w:val="00A815EA"/>
    <w:rsid w:val="00A81D49"/>
    <w:rsid w:val="00A82F2E"/>
    <w:rsid w:val="00A837F9"/>
    <w:rsid w:val="00A83A0A"/>
    <w:rsid w:val="00A83AA1"/>
    <w:rsid w:val="00A84A82"/>
    <w:rsid w:val="00A84C01"/>
    <w:rsid w:val="00A867DB"/>
    <w:rsid w:val="00A90048"/>
    <w:rsid w:val="00A90CC0"/>
    <w:rsid w:val="00A9203D"/>
    <w:rsid w:val="00AA09B4"/>
    <w:rsid w:val="00AA1139"/>
    <w:rsid w:val="00AA1F33"/>
    <w:rsid w:val="00AA4214"/>
    <w:rsid w:val="00AA50AF"/>
    <w:rsid w:val="00AA55AF"/>
    <w:rsid w:val="00AA6D68"/>
    <w:rsid w:val="00AA797E"/>
    <w:rsid w:val="00AB0C93"/>
    <w:rsid w:val="00AB1870"/>
    <w:rsid w:val="00AB2053"/>
    <w:rsid w:val="00AB3E8B"/>
    <w:rsid w:val="00AB4AB3"/>
    <w:rsid w:val="00AB622F"/>
    <w:rsid w:val="00AB7631"/>
    <w:rsid w:val="00AC19C7"/>
    <w:rsid w:val="00AC4B9D"/>
    <w:rsid w:val="00AC5D57"/>
    <w:rsid w:val="00AC5D70"/>
    <w:rsid w:val="00AC6FF5"/>
    <w:rsid w:val="00AD11D5"/>
    <w:rsid w:val="00AD2631"/>
    <w:rsid w:val="00AD4B6E"/>
    <w:rsid w:val="00AD5ED7"/>
    <w:rsid w:val="00AE01BA"/>
    <w:rsid w:val="00AE0674"/>
    <w:rsid w:val="00AE13DB"/>
    <w:rsid w:val="00AE2C09"/>
    <w:rsid w:val="00AE2F05"/>
    <w:rsid w:val="00AE660E"/>
    <w:rsid w:val="00AE6CAC"/>
    <w:rsid w:val="00AF23D9"/>
    <w:rsid w:val="00AF3D26"/>
    <w:rsid w:val="00AF79A9"/>
    <w:rsid w:val="00AF7CA9"/>
    <w:rsid w:val="00B0090D"/>
    <w:rsid w:val="00B00D0B"/>
    <w:rsid w:val="00B0243D"/>
    <w:rsid w:val="00B033C3"/>
    <w:rsid w:val="00B0607C"/>
    <w:rsid w:val="00B062E5"/>
    <w:rsid w:val="00B06651"/>
    <w:rsid w:val="00B070C6"/>
    <w:rsid w:val="00B07F19"/>
    <w:rsid w:val="00B117BD"/>
    <w:rsid w:val="00B12B85"/>
    <w:rsid w:val="00B14579"/>
    <w:rsid w:val="00B1475C"/>
    <w:rsid w:val="00B150A9"/>
    <w:rsid w:val="00B155C8"/>
    <w:rsid w:val="00B16C4F"/>
    <w:rsid w:val="00B21526"/>
    <w:rsid w:val="00B2261D"/>
    <w:rsid w:val="00B22BD7"/>
    <w:rsid w:val="00B25379"/>
    <w:rsid w:val="00B26FC2"/>
    <w:rsid w:val="00B313F1"/>
    <w:rsid w:val="00B33D92"/>
    <w:rsid w:val="00B3756E"/>
    <w:rsid w:val="00B40F1B"/>
    <w:rsid w:val="00B44466"/>
    <w:rsid w:val="00B44D06"/>
    <w:rsid w:val="00B5273D"/>
    <w:rsid w:val="00B532B3"/>
    <w:rsid w:val="00B53798"/>
    <w:rsid w:val="00B541B8"/>
    <w:rsid w:val="00B545E9"/>
    <w:rsid w:val="00B54769"/>
    <w:rsid w:val="00B5658A"/>
    <w:rsid w:val="00B60373"/>
    <w:rsid w:val="00B6098C"/>
    <w:rsid w:val="00B60A6E"/>
    <w:rsid w:val="00B63CC3"/>
    <w:rsid w:val="00B665AE"/>
    <w:rsid w:val="00B66CD8"/>
    <w:rsid w:val="00B6708C"/>
    <w:rsid w:val="00B67DD7"/>
    <w:rsid w:val="00B70BD2"/>
    <w:rsid w:val="00B71342"/>
    <w:rsid w:val="00B71C98"/>
    <w:rsid w:val="00B71E22"/>
    <w:rsid w:val="00B71E95"/>
    <w:rsid w:val="00B72034"/>
    <w:rsid w:val="00B743A8"/>
    <w:rsid w:val="00B74E45"/>
    <w:rsid w:val="00B750E3"/>
    <w:rsid w:val="00B75883"/>
    <w:rsid w:val="00B77874"/>
    <w:rsid w:val="00B77AAF"/>
    <w:rsid w:val="00B80691"/>
    <w:rsid w:val="00B8182D"/>
    <w:rsid w:val="00B8310E"/>
    <w:rsid w:val="00B84730"/>
    <w:rsid w:val="00B84D1A"/>
    <w:rsid w:val="00B85225"/>
    <w:rsid w:val="00B85614"/>
    <w:rsid w:val="00B8647F"/>
    <w:rsid w:val="00B86AE5"/>
    <w:rsid w:val="00B87662"/>
    <w:rsid w:val="00B922B1"/>
    <w:rsid w:val="00B92822"/>
    <w:rsid w:val="00B94A8B"/>
    <w:rsid w:val="00B94DD8"/>
    <w:rsid w:val="00B974E9"/>
    <w:rsid w:val="00B97727"/>
    <w:rsid w:val="00BA1E3A"/>
    <w:rsid w:val="00BA4D05"/>
    <w:rsid w:val="00BA56C2"/>
    <w:rsid w:val="00BB5EEB"/>
    <w:rsid w:val="00BB6BA8"/>
    <w:rsid w:val="00BB76B8"/>
    <w:rsid w:val="00BC0991"/>
    <w:rsid w:val="00BC15D7"/>
    <w:rsid w:val="00BD177A"/>
    <w:rsid w:val="00BD1878"/>
    <w:rsid w:val="00BD1AA2"/>
    <w:rsid w:val="00BD3590"/>
    <w:rsid w:val="00BD53EB"/>
    <w:rsid w:val="00BD7097"/>
    <w:rsid w:val="00BD7F40"/>
    <w:rsid w:val="00BE0EC1"/>
    <w:rsid w:val="00BE1AEE"/>
    <w:rsid w:val="00BE211E"/>
    <w:rsid w:val="00BE446C"/>
    <w:rsid w:val="00BE5448"/>
    <w:rsid w:val="00BE56B8"/>
    <w:rsid w:val="00BF091F"/>
    <w:rsid w:val="00BF7A96"/>
    <w:rsid w:val="00C0056A"/>
    <w:rsid w:val="00C00A2D"/>
    <w:rsid w:val="00C00D35"/>
    <w:rsid w:val="00C01804"/>
    <w:rsid w:val="00C02F6A"/>
    <w:rsid w:val="00C04EC5"/>
    <w:rsid w:val="00C06151"/>
    <w:rsid w:val="00C0625D"/>
    <w:rsid w:val="00C066F3"/>
    <w:rsid w:val="00C10BB9"/>
    <w:rsid w:val="00C10E1F"/>
    <w:rsid w:val="00C127E3"/>
    <w:rsid w:val="00C13BE1"/>
    <w:rsid w:val="00C1403B"/>
    <w:rsid w:val="00C14948"/>
    <w:rsid w:val="00C14B82"/>
    <w:rsid w:val="00C1544B"/>
    <w:rsid w:val="00C163A9"/>
    <w:rsid w:val="00C1769F"/>
    <w:rsid w:val="00C177D7"/>
    <w:rsid w:val="00C20290"/>
    <w:rsid w:val="00C209DA"/>
    <w:rsid w:val="00C2297D"/>
    <w:rsid w:val="00C233C7"/>
    <w:rsid w:val="00C23802"/>
    <w:rsid w:val="00C26893"/>
    <w:rsid w:val="00C2698D"/>
    <w:rsid w:val="00C278CC"/>
    <w:rsid w:val="00C3277F"/>
    <w:rsid w:val="00C33E91"/>
    <w:rsid w:val="00C352B6"/>
    <w:rsid w:val="00C40831"/>
    <w:rsid w:val="00C42E50"/>
    <w:rsid w:val="00C436B7"/>
    <w:rsid w:val="00C44D1C"/>
    <w:rsid w:val="00C46B6D"/>
    <w:rsid w:val="00C475B6"/>
    <w:rsid w:val="00C47CBC"/>
    <w:rsid w:val="00C546F6"/>
    <w:rsid w:val="00C55B0A"/>
    <w:rsid w:val="00C57400"/>
    <w:rsid w:val="00C577E7"/>
    <w:rsid w:val="00C604DB"/>
    <w:rsid w:val="00C65916"/>
    <w:rsid w:val="00C65C18"/>
    <w:rsid w:val="00C66AAB"/>
    <w:rsid w:val="00C67195"/>
    <w:rsid w:val="00C67A97"/>
    <w:rsid w:val="00C67D2D"/>
    <w:rsid w:val="00C70EBA"/>
    <w:rsid w:val="00C7138C"/>
    <w:rsid w:val="00C72218"/>
    <w:rsid w:val="00C72912"/>
    <w:rsid w:val="00C73788"/>
    <w:rsid w:val="00C747EA"/>
    <w:rsid w:val="00C76546"/>
    <w:rsid w:val="00C77A7A"/>
    <w:rsid w:val="00C808AF"/>
    <w:rsid w:val="00C80D3B"/>
    <w:rsid w:val="00C82186"/>
    <w:rsid w:val="00C84CB0"/>
    <w:rsid w:val="00C85408"/>
    <w:rsid w:val="00C92AEE"/>
    <w:rsid w:val="00C93405"/>
    <w:rsid w:val="00C9420A"/>
    <w:rsid w:val="00C950E9"/>
    <w:rsid w:val="00C97156"/>
    <w:rsid w:val="00C9775F"/>
    <w:rsid w:val="00CA0084"/>
    <w:rsid w:val="00CA1E29"/>
    <w:rsid w:val="00CA21D6"/>
    <w:rsid w:val="00CA242E"/>
    <w:rsid w:val="00CA28B6"/>
    <w:rsid w:val="00CA38C7"/>
    <w:rsid w:val="00CA581A"/>
    <w:rsid w:val="00CA63F0"/>
    <w:rsid w:val="00CB0ACB"/>
    <w:rsid w:val="00CB28A4"/>
    <w:rsid w:val="00CB69EA"/>
    <w:rsid w:val="00CB6AB5"/>
    <w:rsid w:val="00CB7ACC"/>
    <w:rsid w:val="00CB7FCD"/>
    <w:rsid w:val="00CC0B27"/>
    <w:rsid w:val="00CC37A3"/>
    <w:rsid w:val="00CC3AB8"/>
    <w:rsid w:val="00CC50C0"/>
    <w:rsid w:val="00CC6352"/>
    <w:rsid w:val="00CC6858"/>
    <w:rsid w:val="00CC6BE6"/>
    <w:rsid w:val="00CD0F1B"/>
    <w:rsid w:val="00CD18E7"/>
    <w:rsid w:val="00CD3961"/>
    <w:rsid w:val="00CD4627"/>
    <w:rsid w:val="00CD4885"/>
    <w:rsid w:val="00CD5CB2"/>
    <w:rsid w:val="00CE2F5C"/>
    <w:rsid w:val="00CE3F06"/>
    <w:rsid w:val="00CE450D"/>
    <w:rsid w:val="00CE47B3"/>
    <w:rsid w:val="00CE5008"/>
    <w:rsid w:val="00CE67B3"/>
    <w:rsid w:val="00CE7CE7"/>
    <w:rsid w:val="00CF1F64"/>
    <w:rsid w:val="00CF358B"/>
    <w:rsid w:val="00CF36CA"/>
    <w:rsid w:val="00CF3C65"/>
    <w:rsid w:val="00CF405D"/>
    <w:rsid w:val="00CF55BE"/>
    <w:rsid w:val="00CF6B38"/>
    <w:rsid w:val="00CF7E20"/>
    <w:rsid w:val="00D00D59"/>
    <w:rsid w:val="00D02126"/>
    <w:rsid w:val="00D04F01"/>
    <w:rsid w:val="00D054BB"/>
    <w:rsid w:val="00D0629C"/>
    <w:rsid w:val="00D0730A"/>
    <w:rsid w:val="00D07BBC"/>
    <w:rsid w:val="00D11CAF"/>
    <w:rsid w:val="00D1243D"/>
    <w:rsid w:val="00D12DE4"/>
    <w:rsid w:val="00D13A4F"/>
    <w:rsid w:val="00D13FDE"/>
    <w:rsid w:val="00D15B57"/>
    <w:rsid w:val="00D17D96"/>
    <w:rsid w:val="00D23591"/>
    <w:rsid w:val="00D2508B"/>
    <w:rsid w:val="00D25660"/>
    <w:rsid w:val="00D3145B"/>
    <w:rsid w:val="00D33E8E"/>
    <w:rsid w:val="00D346BE"/>
    <w:rsid w:val="00D36603"/>
    <w:rsid w:val="00D36710"/>
    <w:rsid w:val="00D37217"/>
    <w:rsid w:val="00D37CC2"/>
    <w:rsid w:val="00D41030"/>
    <w:rsid w:val="00D4139F"/>
    <w:rsid w:val="00D439A6"/>
    <w:rsid w:val="00D44ACB"/>
    <w:rsid w:val="00D45953"/>
    <w:rsid w:val="00D46F2F"/>
    <w:rsid w:val="00D5079C"/>
    <w:rsid w:val="00D52CC0"/>
    <w:rsid w:val="00D536F3"/>
    <w:rsid w:val="00D55281"/>
    <w:rsid w:val="00D55704"/>
    <w:rsid w:val="00D56B26"/>
    <w:rsid w:val="00D57F75"/>
    <w:rsid w:val="00D62952"/>
    <w:rsid w:val="00D63792"/>
    <w:rsid w:val="00D64211"/>
    <w:rsid w:val="00D66D45"/>
    <w:rsid w:val="00D7178A"/>
    <w:rsid w:val="00D728E9"/>
    <w:rsid w:val="00D74380"/>
    <w:rsid w:val="00D75188"/>
    <w:rsid w:val="00D75AF0"/>
    <w:rsid w:val="00D7621E"/>
    <w:rsid w:val="00D76A77"/>
    <w:rsid w:val="00D80E71"/>
    <w:rsid w:val="00D8240C"/>
    <w:rsid w:val="00D83F7B"/>
    <w:rsid w:val="00D85B97"/>
    <w:rsid w:val="00D87363"/>
    <w:rsid w:val="00D91B51"/>
    <w:rsid w:val="00D92691"/>
    <w:rsid w:val="00D939B2"/>
    <w:rsid w:val="00D94183"/>
    <w:rsid w:val="00D9681C"/>
    <w:rsid w:val="00DA000F"/>
    <w:rsid w:val="00DA167F"/>
    <w:rsid w:val="00DA23B4"/>
    <w:rsid w:val="00DA565E"/>
    <w:rsid w:val="00DA68F9"/>
    <w:rsid w:val="00DB01AD"/>
    <w:rsid w:val="00DB201E"/>
    <w:rsid w:val="00DB3665"/>
    <w:rsid w:val="00DB49BF"/>
    <w:rsid w:val="00DB5CDF"/>
    <w:rsid w:val="00DB60FE"/>
    <w:rsid w:val="00DC0136"/>
    <w:rsid w:val="00DC0A65"/>
    <w:rsid w:val="00DC2062"/>
    <w:rsid w:val="00DC46EF"/>
    <w:rsid w:val="00DC4BC9"/>
    <w:rsid w:val="00DC4E92"/>
    <w:rsid w:val="00DC7815"/>
    <w:rsid w:val="00DD0997"/>
    <w:rsid w:val="00DD0D28"/>
    <w:rsid w:val="00DD498C"/>
    <w:rsid w:val="00DD512A"/>
    <w:rsid w:val="00DD5FAF"/>
    <w:rsid w:val="00DD65FF"/>
    <w:rsid w:val="00DD6E89"/>
    <w:rsid w:val="00DD763F"/>
    <w:rsid w:val="00DE0570"/>
    <w:rsid w:val="00DE0E51"/>
    <w:rsid w:val="00DE2A4E"/>
    <w:rsid w:val="00DE2C7A"/>
    <w:rsid w:val="00DE4B73"/>
    <w:rsid w:val="00DE64D0"/>
    <w:rsid w:val="00DE7919"/>
    <w:rsid w:val="00DF1193"/>
    <w:rsid w:val="00DF14A1"/>
    <w:rsid w:val="00DF1F7A"/>
    <w:rsid w:val="00DF2242"/>
    <w:rsid w:val="00DF4D98"/>
    <w:rsid w:val="00DF6A85"/>
    <w:rsid w:val="00E009D2"/>
    <w:rsid w:val="00E02482"/>
    <w:rsid w:val="00E04EAF"/>
    <w:rsid w:val="00E07EDB"/>
    <w:rsid w:val="00E13C68"/>
    <w:rsid w:val="00E13D6C"/>
    <w:rsid w:val="00E14B88"/>
    <w:rsid w:val="00E17747"/>
    <w:rsid w:val="00E17CA1"/>
    <w:rsid w:val="00E2075F"/>
    <w:rsid w:val="00E21805"/>
    <w:rsid w:val="00E21C4E"/>
    <w:rsid w:val="00E22B7E"/>
    <w:rsid w:val="00E265C8"/>
    <w:rsid w:val="00E31FD6"/>
    <w:rsid w:val="00E33DF3"/>
    <w:rsid w:val="00E3472D"/>
    <w:rsid w:val="00E34E4C"/>
    <w:rsid w:val="00E35EA7"/>
    <w:rsid w:val="00E405C0"/>
    <w:rsid w:val="00E42EFD"/>
    <w:rsid w:val="00E438BD"/>
    <w:rsid w:val="00E43F4A"/>
    <w:rsid w:val="00E4642F"/>
    <w:rsid w:val="00E4716E"/>
    <w:rsid w:val="00E4773E"/>
    <w:rsid w:val="00E519C7"/>
    <w:rsid w:val="00E51AA7"/>
    <w:rsid w:val="00E522AC"/>
    <w:rsid w:val="00E52340"/>
    <w:rsid w:val="00E5332E"/>
    <w:rsid w:val="00E53A41"/>
    <w:rsid w:val="00E55EA6"/>
    <w:rsid w:val="00E5771B"/>
    <w:rsid w:val="00E606EB"/>
    <w:rsid w:val="00E64694"/>
    <w:rsid w:val="00E66065"/>
    <w:rsid w:val="00E67ADE"/>
    <w:rsid w:val="00E71956"/>
    <w:rsid w:val="00E726A5"/>
    <w:rsid w:val="00E73775"/>
    <w:rsid w:val="00E7747E"/>
    <w:rsid w:val="00E7751D"/>
    <w:rsid w:val="00E77A69"/>
    <w:rsid w:val="00E77C0E"/>
    <w:rsid w:val="00E8087E"/>
    <w:rsid w:val="00E80FF2"/>
    <w:rsid w:val="00E815CB"/>
    <w:rsid w:val="00E82582"/>
    <w:rsid w:val="00E82A19"/>
    <w:rsid w:val="00E82B2B"/>
    <w:rsid w:val="00E85528"/>
    <w:rsid w:val="00E85751"/>
    <w:rsid w:val="00E85BF4"/>
    <w:rsid w:val="00E92A22"/>
    <w:rsid w:val="00E93306"/>
    <w:rsid w:val="00E947D6"/>
    <w:rsid w:val="00E94829"/>
    <w:rsid w:val="00E959CD"/>
    <w:rsid w:val="00E95C9A"/>
    <w:rsid w:val="00E96021"/>
    <w:rsid w:val="00E97036"/>
    <w:rsid w:val="00E9719A"/>
    <w:rsid w:val="00E9760C"/>
    <w:rsid w:val="00EA0121"/>
    <w:rsid w:val="00EA1D3F"/>
    <w:rsid w:val="00EA3E6C"/>
    <w:rsid w:val="00EA47B0"/>
    <w:rsid w:val="00EA60CB"/>
    <w:rsid w:val="00EB0838"/>
    <w:rsid w:val="00EB137F"/>
    <w:rsid w:val="00EB14A4"/>
    <w:rsid w:val="00EB1B9B"/>
    <w:rsid w:val="00EB2168"/>
    <w:rsid w:val="00EB3496"/>
    <w:rsid w:val="00EB3698"/>
    <w:rsid w:val="00EB3BBD"/>
    <w:rsid w:val="00EB5599"/>
    <w:rsid w:val="00EB5F96"/>
    <w:rsid w:val="00EB7CF1"/>
    <w:rsid w:val="00EC07DD"/>
    <w:rsid w:val="00EC0C59"/>
    <w:rsid w:val="00EC183A"/>
    <w:rsid w:val="00EC18C5"/>
    <w:rsid w:val="00EC3920"/>
    <w:rsid w:val="00ED0B18"/>
    <w:rsid w:val="00ED3253"/>
    <w:rsid w:val="00ED39BC"/>
    <w:rsid w:val="00ED56BF"/>
    <w:rsid w:val="00ED581A"/>
    <w:rsid w:val="00EE00F2"/>
    <w:rsid w:val="00EE0B83"/>
    <w:rsid w:val="00EE2295"/>
    <w:rsid w:val="00EE4684"/>
    <w:rsid w:val="00EE5A2F"/>
    <w:rsid w:val="00EE665E"/>
    <w:rsid w:val="00EF2183"/>
    <w:rsid w:val="00EF533E"/>
    <w:rsid w:val="00EF7C25"/>
    <w:rsid w:val="00F02B3F"/>
    <w:rsid w:val="00F03190"/>
    <w:rsid w:val="00F062D8"/>
    <w:rsid w:val="00F072E2"/>
    <w:rsid w:val="00F07496"/>
    <w:rsid w:val="00F10542"/>
    <w:rsid w:val="00F14452"/>
    <w:rsid w:val="00F14F66"/>
    <w:rsid w:val="00F1580A"/>
    <w:rsid w:val="00F160D1"/>
    <w:rsid w:val="00F203CB"/>
    <w:rsid w:val="00F20952"/>
    <w:rsid w:val="00F20F43"/>
    <w:rsid w:val="00F219C6"/>
    <w:rsid w:val="00F23788"/>
    <w:rsid w:val="00F25F47"/>
    <w:rsid w:val="00F27773"/>
    <w:rsid w:val="00F301C2"/>
    <w:rsid w:val="00F32992"/>
    <w:rsid w:val="00F337D3"/>
    <w:rsid w:val="00F33CF2"/>
    <w:rsid w:val="00F35972"/>
    <w:rsid w:val="00F369C4"/>
    <w:rsid w:val="00F4453C"/>
    <w:rsid w:val="00F45318"/>
    <w:rsid w:val="00F462D0"/>
    <w:rsid w:val="00F50E48"/>
    <w:rsid w:val="00F5236B"/>
    <w:rsid w:val="00F5311D"/>
    <w:rsid w:val="00F53628"/>
    <w:rsid w:val="00F53BC7"/>
    <w:rsid w:val="00F54587"/>
    <w:rsid w:val="00F547DC"/>
    <w:rsid w:val="00F6344B"/>
    <w:rsid w:val="00F64077"/>
    <w:rsid w:val="00F64E1A"/>
    <w:rsid w:val="00F650E4"/>
    <w:rsid w:val="00F67F53"/>
    <w:rsid w:val="00F72494"/>
    <w:rsid w:val="00F7249B"/>
    <w:rsid w:val="00F72A11"/>
    <w:rsid w:val="00F7374E"/>
    <w:rsid w:val="00F76441"/>
    <w:rsid w:val="00F76ED5"/>
    <w:rsid w:val="00F7732C"/>
    <w:rsid w:val="00F77A89"/>
    <w:rsid w:val="00F80BF0"/>
    <w:rsid w:val="00F80DBD"/>
    <w:rsid w:val="00F845E7"/>
    <w:rsid w:val="00F84DED"/>
    <w:rsid w:val="00F857BA"/>
    <w:rsid w:val="00F85C5D"/>
    <w:rsid w:val="00F94EE3"/>
    <w:rsid w:val="00F951FA"/>
    <w:rsid w:val="00F9637C"/>
    <w:rsid w:val="00F96B3C"/>
    <w:rsid w:val="00FA10C3"/>
    <w:rsid w:val="00FA11CB"/>
    <w:rsid w:val="00FA1A54"/>
    <w:rsid w:val="00FA2CAA"/>
    <w:rsid w:val="00FA51B8"/>
    <w:rsid w:val="00FA5F45"/>
    <w:rsid w:val="00FA638E"/>
    <w:rsid w:val="00FA64FB"/>
    <w:rsid w:val="00FA6F8F"/>
    <w:rsid w:val="00FA7F19"/>
    <w:rsid w:val="00FA7FC3"/>
    <w:rsid w:val="00FB0776"/>
    <w:rsid w:val="00FB0DB0"/>
    <w:rsid w:val="00FB12B4"/>
    <w:rsid w:val="00FB2E04"/>
    <w:rsid w:val="00FB5427"/>
    <w:rsid w:val="00FC0FA5"/>
    <w:rsid w:val="00FC6BFD"/>
    <w:rsid w:val="00FD0071"/>
    <w:rsid w:val="00FD0118"/>
    <w:rsid w:val="00FD03C0"/>
    <w:rsid w:val="00FD0F11"/>
    <w:rsid w:val="00FD1BBB"/>
    <w:rsid w:val="00FD311D"/>
    <w:rsid w:val="00FD3CD7"/>
    <w:rsid w:val="00FD681A"/>
    <w:rsid w:val="00FE26F8"/>
    <w:rsid w:val="00FE27BD"/>
    <w:rsid w:val="00FE461A"/>
    <w:rsid w:val="00FE4D09"/>
    <w:rsid w:val="00FE6079"/>
    <w:rsid w:val="00FE79E8"/>
    <w:rsid w:val="00FF0081"/>
    <w:rsid w:val="00FF01AB"/>
    <w:rsid w:val="00FF0934"/>
    <w:rsid w:val="00FF3CE7"/>
    <w:rsid w:val="00FF4A15"/>
    <w:rsid w:val="00FF59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3C0"/>
    <w:pPr>
      <w:bidi/>
      <w:spacing w:after="0" w:line="240" w:lineRule="auto"/>
    </w:pPr>
    <w:rPr>
      <w:rFonts w:ascii="Times New Roman" w:eastAsia="Times New Roman" w:hAnsi="Times New Roman" w:cs="Times New Roman"/>
      <w:sz w:val="24"/>
      <w:szCs w:val="24"/>
      <w:lang w:bidi="ar-SA"/>
    </w:rPr>
  </w:style>
  <w:style w:type="paragraph" w:styleId="Heading1">
    <w:name w:val="heading 1"/>
    <w:aliases w:val="مطالب"/>
    <w:basedOn w:val="Normal"/>
    <w:next w:val="Normal"/>
    <w:link w:val="Heading1Char"/>
    <w:qFormat/>
    <w:rsid w:val="004E2023"/>
    <w:pPr>
      <w:keepNext/>
      <w:spacing w:line="360" w:lineRule="auto"/>
      <w:jc w:val="both"/>
      <w:outlineLvl w:val="0"/>
    </w:pPr>
    <w:rPr>
      <w:b/>
      <w:bCs/>
      <w:sz w:val="34"/>
      <w:szCs w:val="3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718D3"/>
    <w:rPr>
      <w:i/>
      <w:iCs/>
    </w:rPr>
  </w:style>
  <w:style w:type="character" w:customStyle="1" w:styleId="apple-converted-space">
    <w:name w:val="apple-converted-space"/>
    <w:basedOn w:val="DefaultParagraphFont"/>
    <w:rsid w:val="002718D3"/>
  </w:style>
  <w:style w:type="table" w:styleId="TableGrid">
    <w:name w:val="Table Grid"/>
    <w:basedOn w:val="TableNormal"/>
    <w:uiPriority w:val="39"/>
    <w:rsid w:val="00945A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مطالب Char"/>
    <w:basedOn w:val="DefaultParagraphFont"/>
    <w:link w:val="Heading1"/>
    <w:rsid w:val="004E2023"/>
    <w:rPr>
      <w:rFonts w:ascii="Times New Roman" w:eastAsia="Times New Roman" w:hAnsi="Times New Roman" w:cs="Times New Roman"/>
      <w:b/>
      <w:bCs/>
      <w:sz w:val="34"/>
      <w:szCs w:val="34"/>
    </w:rPr>
  </w:style>
  <w:style w:type="paragraph" w:styleId="ListParagraph">
    <w:name w:val="List Paragraph"/>
    <w:aliases w:val="جدول"/>
    <w:basedOn w:val="Normal"/>
    <w:link w:val="ListParagraphChar"/>
    <w:uiPriority w:val="34"/>
    <w:qFormat/>
    <w:rsid w:val="00726448"/>
    <w:pPr>
      <w:ind w:left="720"/>
      <w:contextualSpacing/>
    </w:pPr>
  </w:style>
  <w:style w:type="character" w:customStyle="1" w:styleId="ListParagraphChar">
    <w:name w:val="List Paragraph Char"/>
    <w:aliases w:val="جدول Char"/>
    <w:link w:val="ListParagraph"/>
    <w:locked/>
    <w:rsid w:val="000C3EB7"/>
    <w:rPr>
      <w:rFonts w:ascii="Times New Roman" w:eastAsia="Times New Roman" w:hAnsi="Times New Roman" w:cs="Times New Roman"/>
      <w:sz w:val="24"/>
      <w:szCs w:val="24"/>
      <w:lang w:bidi="ar-SA"/>
    </w:rPr>
  </w:style>
  <w:style w:type="character" w:customStyle="1" w:styleId="SubtitleChar">
    <w:name w:val="Subtitle Char"/>
    <w:aliases w:val="Char Char Char Char1,Char Char Char Char Char,Char Char Char1, Char Char Char Char1, Char Char Char Char Char, Char Char Char1, Char Char1"/>
    <w:basedOn w:val="DefaultParagraphFont"/>
    <w:link w:val="Subtitle"/>
    <w:locked/>
    <w:rsid w:val="00DC2062"/>
    <w:rPr>
      <w:rFonts w:cs="B Zar"/>
      <w:sz w:val="28"/>
      <w:szCs w:val="28"/>
      <w:lang w:bidi="ar-SA"/>
    </w:rPr>
  </w:style>
  <w:style w:type="paragraph" w:styleId="Subtitle">
    <w:name w:val="Subtitle"/>
    <w:aliases w:val="Char Char Char,Char Char Char Char,Char Char, Char Char Char, Char Char Char Char, Char Char, Char"/>
    <w:basedOn w:val="Normal"/>
    <w:link w:val="SubtitleChar"/>
    <w:qFormat/>
    <w:rsid w:val="00DC2062"/>
    <w:pPr>
      <w:jc w:val="center"/>
    </w:pPr>
    <w:rPr>
      <w:rFonts w:asciiTheme="minorHAnsi" w:eastAsiaTheme="minorHAnsi" w:hAnsiTheme="minorHAnsi" w:cs="B Zar"/>
      <w:sz w:val="28"/>
      <w:szCs w:val="28"/>
    </w:rPr>
  </w:style>
  <w:style w:type="character" w:customStyle="1" w:styleId="SubtitleChar1">
    <w:name w:val="Subtitle Char1"/>
    <w:basedOn w:val="DefaultParagraphFont"/>
    <w:uiPriority w:val="11"/>
    <w:rsid w:val="00DC2062"/>
    <w:rPr>
      <w:rFonts w:eastAsiaTheme="minorEastAsia"/>
      <w:color w:val="5A5A5A" w:themeColor="text1" w:themeTint="A5"/>
      <w:spacing w:val="15"/>
      <w:lang w:bidi="ar-SA"/>
    </w:rPr>
  </w:style>
  <w:style w:type="character" w:styleId="Hyperlink">
    <w:name w:val="Hyperlink"/>
    <w:uiPriority w:val="99"/>
    <w:rsid w:val="00AB4AB3"/>
    <w:rPr>
      <w:color w:val="0000FF"/>
      <w:u w:val="single"/>
    </w:rPr>
  </w:style>
  <w:style w:type="paragraph" w:customStyle="1" w:styleId="Default">
    <w:name w:val="Default"/>
    <w:uiPriority w:val="99"/>
    <w:rsid w:val="00AB4AB3"/>
    <w:pPr>
      <w:autoSpaceDE w:val="0"/>
      <w:autoSpaceDN w:val="0"/>
      <w:adjustRightInd w:val="0"/>
      <w:spacing w:after="0" w:line="240" w:lineRule="auto"/>
    </w:pPr>
    <w:rPr>
      <w:rFonts w:ascii="DOIAKN+TimesNewRoman" w:eastAsia="Times New Roman" w:hAnsi="DOIAKN+TimesNewRoman" w:cs="DOIAKN+TimesNewRoman"/>
      <w:color w:val="000000"/>
      <w:sz w:val="24"/>
      <w:szCs w:val="24"/>
      <w:lang w:bidi="ar-SA"/>
    </w:rPr>
  </w:style>
  <w:style w:type="paragraph" w:styleId="BalloonText">
    <w:name w:val="Balloon Text"/>
    <w:basedOn w:val="Normal"/>
    <w:link w:val="BalloonTextChar"/>
    <w:uiPriority w:val="99"/>
    <w:semiHidden/>
    <w:unhideWhenUsed/>
    <w:rsid w:val="00954781"/>
    <w:rPr>
      <w:rFonts w:ascii="Tahoma" w:hAnsi="Tahoma" w:cs="Tahoma"/>
      <w:sz w:val="16"/>
      <w:szCs w:val="16"/>
    </w:rPr>
  </w:style>
  <w:style w:type="character" w:customStyle="1" w:styleId="BalloonTextChar">
    <w:name w:val="Balloon Text Char"/>
    <w:basedOn w:val="DefaultParagraphFont"/>
    <w:link w:val="BalloonText"/>
    <w:uiPriority w:val="99"/>
    <w:semiHidden/>
    <w:rsid w:val="00954781"/>
    <w:rPr>
      <w:rFonts w:ascii="Tahoma" w:eastAsia="Times New Roman" w:hAnsi="Tahoma" w:cs="Tahoma"/>
      <w:sz w:val="16"/>
      <w:szCs w:val="16"/>
      <w:lang w:bidi="ar-SA"/>
    </w:rPr>
  </w:style>
  <w:style w:type="paragraph" w:styleId="Header">
    <w:name w:val="header"/>
    <w:basedOn w:val="Normal"/>
    <w:link w:val="HeaderChar"/>
    <w:uiPriority w:val="99"/>
    <w:unhideWhenUsed/>
    <w:rsid w:val="003F71D6"/>
    <w:pPr>
      <w:tabs>
        <w:tab w:val="center" w:pos="4513"/>
        <w:tab w:val="right" w:pos="9026"/>
      </w:tabs>
    </w:pPr>
  </w:style>
  <w:style w:type="character" w:customStyle="1" w:styleId="HeaderChar">
    <w:name w:val="Header Char"/>
    <w:basedOn w:val="DefaultParagraphFont"/>
    <w:link w:val="Header"/>
    <w:uiPriority w:val="99"/>
    <w:rsid w:val="003F71D6"/>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3F71D6"/>
    <w:pPr>
      <w:tabs>
        <w:tab w:val="center" w:pos="4513"/>
        <w:tab w:val="right" w:pos="9026"/>
      </w:tabs>
    </w:pPr>
  </w:style>
  <w:style w:type="character" w:customStyle="1" w:styleId="FooterChar">
    <w:name w:val="Footer Char"/>
    <w:basedOn w:val="DefaultParagraphFont"/>
    <w:link w:val="Footer"/>
    <w:uiPriority w:val="99"/>
    <w:rsid w:val="003F71D6"/>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27416290">
      <w:bodyDiv w:val="1"/>
      <w:marLeft w:val="0"/>
      <w:marRight w:val="0"/>
      <w:marTop w:val="0"/>
      <w:marBottom w:val="0"/>
      <w:divBdr>
        <w:top w:val="none" w:sz="0" w:space="0" w:color="auto"/>
        <w:left w:val="none" w:sz="0" w:space="0" w:color="auto"/>
        <w:bottom w:val="none" w:sz="0" w:space="0" w:color="auto"/>
        <w:right w:val="none" w:sz="0" w:space="0" w:color="auto"/>
      </w:divBdr>
    </w:div>
    <w:div w:id="143201364">
      <w:bodyDiv w:val="1"/>
      <w:marLeft w:val="0"/>
      <w:marRight w:val="0"/>
      <w:marTop w:val="0"/>
      <w:marBottom w:val="0"/>
      <w:divBdr>
        <w:top w:val="none" w:sz="0" w:space="0" w:color="auto"/>
        <w:left w:val="none" w:sz="0" w:space="0" w:color="auto"/>
        <w:bottom w:val="none" w:sz="0" w:space="0" w:color="auto"/>
        <w:right w:val="none" w:sz="0" w:space="0" w:color="auto"/>
      </w:divBdr>
    </w:div>
    <w:div w:id="307780717">
      <w:bodyDiv w:val="1"/>
      <w:marLeft w:val="0"/>
      <w:marRight w:val="0"/>
      <w:marTop w:val="0"/>
      <w:marBottom w:val="0"/>
      <w:divBdr>
        <w:top w:val="none" w:sz="0" w:space="0" w:color="auto"/>
        <w:left w:val="none" w:sz="0" w:space="0" w:color="auto"/>
        <w:bottom w:val="none" w:sz="0" w:space="0" w:color="auto"/>
        <w:right w:val="none" w:sz="0" w:space="0" w:color="auto"/>
      </w:divBdr>
    </w:div>
    <w:div w:id="363672745">
      <w:bodyDiv w:val="1"/>
      <w:marLeft w:val="0"/>
      <w:marRight w:val="0"/>
      <w:marTop w:val="0"/>
      <w:marBottom w:val="0"/>
      <w:divBdr>
        <w:top w:val="none" w:sz="0" w:space="0" w:color="auto"/>
        <w:left w:val="none" w:sz="0" w:space="0" w:color="auto"/>
        <w:bottom w:val="none" w:sz="0" w:space="0" w:color="auto"/>
        <w:right w:val="none" w:sz="0" w:space="0" w:color="auto"/>
      </w:divBdr>
    </w:div>
    <w:div w:id="696547312">
      <w:bodyDiv w:val="1"/>
      <w:marLeft w:val="0"/>
      <w:marRight w:val="0"/>
      <w:marTop w:val="0"/>
      <w:marBottom w:val="0"/>
      <w:divBdr>
        <w:top w:val="none" w:sz="0" w:space="0" w:color="auto"/>
        <w:left w:val="none" w:sz="0" w:space="0" w:color="auto"/>
        <w:bottom w:val="none" w:sz="0" w:space="0" w:color="auto"/>
        <w:right w:val="none" w:sz="0" w:space="0" w:color="auto"/>
      </w:divBdr>
    </w:div>
    <w:div w:id="884563276">
      <w:bodyDiv w:val="1"/>
      <w:marLeft w:val="0"/>
      <w:marRight w:val="0"/>
      <w:marTop w:val="0"/>
      <w:marBottom w:val="0"/>
      <w:divBdr>
        <w:top w:val="none" w:sz="0" w:space="0" w:color="auto"/>
        <w:left w:val="none" w:sz="0" w:space="0" w:color="auto"/>
        <w:bottom w:val="none" w:sz="0" w:space="0" w:color="auto"/>
        <w:right w:val="none" w:sz="0" w:space="0" w:color="auto"/>
      </w:divBdr>
    </w:div>
    <w:div w:id="916329056">
      <w:bodyDiv w:val="1"/>
      <w:marLeft w:val="0"/>
      <w:marRight w:val="0"/>
      <w:marTop w:val="0"/>
      <w:marBottom w:val="0"/>
      <w:divBdr>
        <w:top w:val="none" w:sz="0" w:space="0" w:color="auto"/>
        <w:left w:val="none" w:sz="0" w:space="0" w:color="auto"/>
        <w:bottom w:val="none" w:sz="0" w:space="0" w:color="auto"/>
        <w:right w:val="none" w:sz="0" w:space="0" w:color="auto"/>
      </w:divBdr>
    </w:div>
    <w:div w:id="1093014915">
      <w:bodyDiv w:val="1"/>
      <w:marLeft w:val="0"/>
      <w:marRight w:val="0"/>
      <w:marTop w:val="0"/>
      <w:marBottom w:val="0"/>
      <w:divBdr>
        <w:top w:val="none" w:sz="0" w:space="0" w:color="auto"/>
        <w:left w:val="none" w:sz="0" w:space="0" w:color="auto"/>
        <w:bottom w:val="none" w:sz="0" w:space="0" w:color="auto"/>
        <w:right w:val="none" w:sz="0" w:space="0" w:color="auto"/>
      </w:divBdr>
    </w:div>
    <w:div w:id="1194806905">
      <w:bodyDiv w:val="1"/>
      <w:marLeft w:val="0"/>
      <w:marRight w:val="0"/>
      <w:marTop w:val="0"/>
      <w:marBottom w:val="0"/>
      <w:divBdr>
        <w:top w:val="none" w:sz="0" w:space="0" w:color="auto"/>
        <w:left w:val="none" w:sz="0" w:space="0" w:color="auto"/>
        <w:bottom w:val="none" w:sz="0" w:space="0" w:color="auto"/>
        <w:right w:val="none" w:sz="0" w:space="0" w:color="auto"/>
      </w:divBdr>
    </w:div>
    <w:div w:id="1314137213">
      <w:bodyDiv w:val="1"/>
      <w:marLeft w:val="0"/>
      <w:marRight w:val="0"/>
      <w:marTop w:val="0"/>
      <w:marBottom w:val="0"/>
      <w:divBdr>
        <w:top w:val="none" w:sz="0" w:space="0" w:color="auto"/>
        <w:left w:val="none" w:sz="0" w:space="0" w:color="auto"/>
        <w:bottom w:val="none" w:sz="0" w:space="0" w:color="auto"/>
        <w:right w:val="none" w:sz="0" w:space="0" w:color="auto"/>
      </w:divBdr>
    </w:div>
    <w:div w:id="1373268463">
      <w:bodyDiv w:val="1"/>
      <w:marLeft w:val="0"/>
      <w:marRight w:val="0"/>
      <w:marTop w:val="0"/>
      <w:marBottom w:val="0"/>
      <w:divBdr>
        <w:top w:val="none" w:sz="0" w:space="0" w:color="auto"/>
        <w:left w:val="none" w:sz="0" w:space="0" w:color="auto"/>
        <w:bottom w:val="none" w:sz="0" w:space="0" w:color="auto"/>
        <w:right w:val="none" w:sz="0" w:space="0" w:color="auto"/>
      </w:divBdr>
    </w:div>
    <w:div w:id="1439063741">
      <w:bodyDiv w:val="1"/>
      <w:marLeft w:val="0"/>
      <w:marRight w:val="0"/>
      <w:marTop w:val="0"/>
      <w:marBottom w:val="0"/>
      <w:divBdr>
        <w:top w:val="none" w:sz="0" w:space="0" w:color="auto"/>
        <w:left w:val="none" w:sz="0" w:space="0" w:color="auto"/>
        <w:bottom w:val="none" w:sz="0" w:space="0" w:color="auto"/>
        <w:right w:val="none" w:sz="0" w:space="0" w:color="auto"/>
      </w:divBdr>
    </w:div>
    <w:div w:id="1520394374">
      <w:bodyDiv w:val="1"/>
      <w:marLeft w:val="0"/>
      <w:marRight w:val="0"/>
      <w:marTop w:val="0"/>
      <w:marBottom w:val="0"/>
      <w:divBdr>
        <w:top w:val="none" w:sz="0" w:space="0" w:color="auto"/>
        <w:left w:val="none" w:sz="0" w:space="0" w:color="auto"/>
        <w:bottom w:val="none" w:sz="0" w:space="0" w:color="auto"/>
        <w:right w:val="none" w:sz="0" w:space="0" w:color="auto"/>
      </w:divBdr>
    </w:div>
    <w:div w:id="1589653942">
      <w:bodyDiv w:val="1"/>
      <w:marLeft w:val="0"/>
      <w:marRight w:val="0"/>
      <w:marTop w:val="0"/>
      <w:marBottom w:val="0"/>
      <w:divBdr>
        <w:top w:val="none" w:sz="0" w:space="0" w:color="auto"/>
        <w:left w:val="none" w:sz="0" w:space="0" w:color="auto"/>
        <w:bottom w:val="none" w:sz="0" w:space="0" w:color="auto"/>
        <w:right w:val="none" w:sz="0" w:space="0" w:color="auto"/>
      </w:divBdr>
    </w:div>
    <w:div w:id="1682245753">
      <w:bodyDiv w:val="1"/>
      <w:marLeft w:val="0"/>
      <w:marRight w:val="0"/>
      <w:marTop w:val="0"/>
      <w:marBottom w:val="0"/>
      <w:divBdr>
        <w:top w:val="none" w:sz="0" w:space="0" w:color="auto"/>
        <w:left w:val="none" w:sz="0" w:space="0" w:color="auto"/>
        <w:bottom w:val="none" w:sz="0" w:space="0" w:color="auto"/>
        <w:right w:val="none" w:sz="0" w:space="0" w:color="auto"/>
      </w:divBdr>
    </w:div>
    <w:div w:id="1738622542">
      <w:bodyDiv w:val="1"/>
      <w:marLeft w:val="0"/>
      <w:marRight w:val="0"/>
      <w:marTop w:val="0"/>
      <w:marBottom w:val="0"/>
      <w:divBdr>
        <w:top w:val="none" w:sz="0" w:space="0" w:color="auto"/>
        <w:left w:val="none" w:sz="0" w:space="0" w:color="auto"/>
        <w:bottom w:val="none" w:sz="0" w:space="0" w:color="auto"/>
        <w:right w:val="none" w:sz="0" w:space="0" w:color="auto"/>
      </w:divBdr>
    </w:div>
    <w:div w:id="1760172496">
      <w:bodyDiv w:val="1"/>
      <w:marLeft w:val="0"/>
      <w:marRight w:val="0"/>
      <w:marTop w:val="0"/>
      <w:marBottom w:val="0"/>
      <w:divBdr>
        <w:top w:val="none" w:sz="0" w:space="0" w:color="auto"/>
        <w:left w:val="none" w:sz="0" w:space="0" w:color="auto"/>
        <w:bottom w:val="none" w:sz="0" w:space="0" w:color="auto"/>
        <w:right w:val="none" w:sz="0" w:space="0" w:color="auto"/>
      </w:divBdr>
    </w:div>
    <w:div w:id="1805928378">
      <w:bodyDiv w:val="1"/>
      <w:marLeft w:val="0"/>
      <w:marRight w:val="0"/>
      <w:marTop w:val="0"/>
      <w:marBottom w:val="0"/>
      <w:divBdr>
        <w:top w:val="none" w:sz="0" w:space="0" w:color="auto"/>
        <w:left w:val="none" w:sz="0" w:space="0" w:color="auto"/>
        <w:bottom w:val="none" w:sz="0" w:space="0" w:color="auto"/>
        <w:right w:val="none" w:sz="0" w:space="0" w:color="auto"/>
      </w:divBdr>
    </w:div>
    <w:div w:id="1970358640">
      <w:bodyDiv w:val="1"/>
      <w:marLeft w:val="0"/>
      <w:marRight w:val="0"/>
      <w:marTop w:val="0"/>
      <w:marBottom w:val="0"/>
      <w:divBdr>
        <w:top w:val="none" w:sz="0" w:space="0" w:color="auto"/>
        <w:left w:val="none" w:sz="0" w:space="0" w:color="auto"/>
        <w:bottom w:val="none" w:sz="0" w:space="0" w:color="auto"/>
        <w:right w:val="none" w:sz="0" w:space="0" w:color="auto"/>
      </w:divBdr>
    </w:div>
    <w:div w:id="1988388067">
      <w:bodyDiv w:val="1"/>
      <w:marLeft w:val="0"/>
      <w:marRight w:val="0"/>
      <w:marTop w:val="0"/>
      <w:marBottom w:val="0"/>
      <w:divBdr>
        <w:top w:val="none" w:sz="0" w:space="0" w:color="auto"/>
        <w:left w:val="none" w:sz="0" w:space="0" w:color="auto"/>
        <w:bottom w:val="none" w:sz="0" w:space="0" w:color="auto"/>
        <w:right w:val="none" w:sz="0" w:space="0" w:color="auto"/>
      </w:divBdr>
    </w:div>
    <w:div w:id="1988436653">
      <w:bodyDiv w:val="1"/>
      <w:marLeft w:val="0"/>
      <w:marRight w:val="0"/>
      <w:marTop w:val="0"/>
      <w:marBottom w:val="0"/>
      <w:divBdr>
        <w:top w:val="none" w:sz="0" w:space="0" w:color="auto"/>
        <w:left w:val="none" w:sz="0" w:space="0" w:color="auto"/>
        <w:bottom w:val="none" w:sz="0" w:space="0" w:color="auto"/>
        <w:right w:val="none" w:sz="0" w:space="0" w:color="auto"/>
      </w:divBdr>
    </w:div>
    <w:div w:id="2098286059">
      <w:bodyDiv w:val="1"/>
      <w:marLeft w:val="0"/>
      <w:marRight w:val="0"/>
      <w:marTop w:val="0"/>
      <w:marBottom w:val="0"/>
      <w:divBdr>
        <w:top w:val="none" w:sz="0" w:space="0" w:color="auto"/>
        <w:left w:val="none" w:sz="0" w:space="0" w:color="auto"/>
        <w:bottom w:val="none" w:sz="0" w:space="0" w:color="auto"/>
        <w:right w:val="none" w:sz="0" w:space="0" w:color="auto"/>
      </w:divBdr>
    </w:div>
    <w:div w:id="210333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rsj100518.06" TargetMode="External"/><Relationship Id="rId13" Type="http://schemas.openxmlformats.org/officeDocument/2006/relationships/hyperlink" Target="http://www.ey.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pub.net/researcher" TargetMode="External"/><Relationship Id="rId12" Type="http://schemas.openxmlformats.org/officeDocument/2006/relationships/hyperlink" Target="https://www.bcgperspective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x.doi.org/10.1016/j.cjar.2013.07.0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www.ssrn.com.13910218"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astonjournals.com/bejvols.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4109</Words>
  <Characters>23423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27478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Tarahan</dc:creator>
  <cp:lastModifiedBy>Administrator</cp:lastModifiedBy>
  <cp:revision>5</cp:revision>
  <dcterms:created xsi:type="dcterms:W3CDTF">2018-05-21T14:57:00Z</dcterms:created>
  <dcterms:modified xsi:type="dcterms:W3CDTF">2018-05-22T04:15:00Z</dcterms:modified>
</cp:coreProperties>
</file>