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DD" w:rsidRPr="00AE1008" w:rsidRDefault="00FB56D5" w:rsidP="00FF65F3">
      <w:pPr>
        <w:snapToGrid w:val="0"/>
        <w:spacing w:after="0" w:line="240" w:lineRule="auto"/>
        <w:jc w:val="center"/>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 xml:space="preserve">Energy </w:t>
      </w:r>
      <w:r w:rsidR="008F562F" w:rsidRPr="00AE1008">
        <w:rPr>
          <w:rFonts w:ascii="Times New Roman" w:eastAsia="Times New Roman" w:hAnsi="Times New Roman" w:cs="Times New Roman"/>
          <w:b/>
          <w:bCs/>
          <w:sz w:val="20"/>
          <w:szCs w:val="20"/>
        </w:rPr>
        <w:t xml:space="preserve">and Nutrients Intake among Children Aged 2-5 Years in </w:t>
      </w:r>
      <w:r w:rsidRPr="00AE1008">
        <w:rPr>
          <w:rFonts w:ascii="Times New Roman" w:eastAsia="Times New Roman" w:hAnsi="Times New Roman" w:cs="Times New Roman"/>
          <w:b/>
          <w:bCs/>
          <w:sz w:val="20"/>
          <w:szCs w:val="20"/>
        </w:rPr>
        <w:t xml:space="preserve">Upper Egypt </w:t>
      </w:r>
      <w:r w:rsidR="008F562F" w:rsidRPr="00AE1008">
        <w:rPr>
          <w:rFonts w:ascii="Times New Roman" w:eastAsia="Times New Roman" w:hAnsi="Times New Roman" w:cs="Times New Roman"/>
          <w:b/>
          <w:bCs/>
          <w:sz w:val="20"/>
          <w:szCs w:val="20"/>
        </w:rPr>
        <w:t>Governorates</w:t>
      </w:r>
    </w:p>
    <w:p w:rsidR="00F25EDD" w:rsidRPr="00AE1008" w:rsidRDefault="00F25EDD" w:rsidP="00FF65F3">
      <w:pPr>
        <w:snapToGrid w:val="0"/>
        <w:spacing w:after="0" w:line="240" w:lineRule="auto"/>
        <w:jc w:val="center"/>
        <w:rPr>
          <w:rFonts w:ascii="Times New Roman" w:eastAsia="Times New Roman" w:hAnsi="Times New Roman" w:cs="Times New Roman"/>
          <w:b/>
          <w:bCs/>
          <w:sz w:val="20"/>
          <w:szCs w:val="20"/>
        </w:rPr>
      </w:pPr>
    </w:p>
    <w:p w:rsidR="00F25EDD" w:rsidRPr="00AE1008" w:rsidRDefault="00FD0519" w:rsidP="00FF65F3">
      <w:pPr>
        <w:tabs>
          <w:tab w:val="left" w:pos="1350"/>
        </w:tabs>
        <w:snapToGrid w:val="0"/>
        <w:spacing w:after="0" w:line="240" w:lineRule="auto"/>
        <w:jc w:val="center"/>
        <w:rPr>
          <w:rFonts w:ascii="Times New Roman" w:hAnsi="Times New Roman" w:cs="Times New Roman"/>
          <w:sz w:val="20"/>
          <w:szCs w:val="20"/>
          <w:lang w:eastAsia="zh-CN"/>
        </w:rPr>
      </w:pPr>
      <w:proofErr w:type="spellStart"/>
      <w:r w:rsidRPr="00AE1008">
        <w:rPr>
          <w:rFonts w:ascii="Times New Roman" w:eastAsia="Times New Roman" w:hAnsi="Times New Roman" w:cs="Times New Roman"/>
          <w:sz w:val="20"/>
          <w:szCs w:val="20"/>
        </w:rPr>
        <w:t>Hany</w:t>
      </w:r>
      <w:proofErr w:type="spellEnd"/>
      <w:r w:rsidR="008F562F" w:rsidRPr="00AE1008">
        <w:rPr>
          <w:rFonts w:ascii="Times New Roman" w:hAnsi="Times New Roman" w:cs="Times New Roman"/>
          <w:sz w:val="20"/>
          <w:szCs w:val="20"/>
        </w:rPr>
        <w:t xml:space="preserve"> H. El-Gazzar</w:t>
      </w:r>
      <w:r w:rsidR="008F562F" w:rsidRPr="00AE1008">
        <w:rPr>
          <w:rFonts w:ascii="Times New Roman" w:hAnsi="Times New Roman" w:cs="Times New Roman"/>
          <w:sz w:val="20"/>
          <w:szCs w:val="20"/>
          <w:vertAlign w:val="superscript"/>
        </w:rPr>
        <w:t>1</w:t>
      </w:r>
      <w:r w:rsidR="008F562F" w:rsidRPr="00AE1008">
        <w:rPr>
          <w:rFonts w:ascii="Times New Roman" w:hAnsi="Times New Roman" w:cs="Times New Roman"/>
          <w:sz w:val="20"/>
          <w:szCs w:val="20"/>
        </w:rPr>
        <w:t xml:space="preserve"> </w:t>
      </w:r>
      <w:r w:rsidR="00D2784C" w:rsidRPr="00AE1008">
        <w:rPr>
          <w:rFonts w:ascii="Times New Roman" w:hAnsi="Times New Roman" w:cs="Times New Roman"/>
          <w:sz w:val="20"/>
          <w:szCs w:val="20"/>
        </w:rPr>
        <w:t>(</w:t>
      </w:r>
      <w:r w:rsidRPr="00AE1008">
        <w:rPr>
          <w:rFonts w:ascii="Times New Roman" w:hAnsi="Times New Roman" w:cs="Times New Roman"/>
          <w:sz w:val="20"/>
          <w:szCs w:val="20"/>
        </w:rPr>
        <w:t>PhD</w:t>
      </w:r>
      <w:r w:rsidR="00D2784C" w:rsidRPr="00AE1008">
        <w:rPr>
          <w:rFonts w:ascii="Times New Roman" w:hAnsi="Times New Roman" w:cs="Times New Roman"/>
          <w:sz w:val="20"/>
          <w:szCs w:val="20"/>
        </w:rPr>
        <w:t>);</w:t>
      </w:r>
      <w:r w:rsidRPr="00AE1008">
        <w:rPr>
          <w:rFonts w:ascii="Times New Roman" w:hAnsi="Times New Roman" w:cs="Times New Roman"/>
          <w:sz w:val="20"/>
          <w:szCs w:val="20"/>
        </w:rPr>
        <w:t xml:space="preserve"> </w:t>
      </w:r>
      <w:proofErr w:type="spellStart"/>
      <w:r w:rsidR="008F562F" w:rsidRPr="00AE1008">
        <w:rPr>
          <w:rFonts w:ascii="Times New Roman" w:hAnsi="Times New Roman" w:cs="Times New Roman"/>
          <w:sz w:val="20"/>
          <w:szCs w:val="20"/>
        </w:rPr>
        <w:t>Salwa</w:t>
      </w:r>
      <w:proofErr w:type="spellEnd"/>
      <w:r w:rsidR="008F562F" w:rsidRPr="00AE1008">
        <w:rPr>
          <w:rFonts w:ascii="Times New Roman" w:hAnsi="Times New Roman" w:cs="Times New Roman"/>
          <w:sz w:val="20"/>
          <w:szCs w:val="20"/>
        </w:rPr>
        <w:t xml:space="preserve"> M.</w:t>
      </w:r>
      <w:r w:rsidR="002108CB" w:rsidRPr="00AE1008">
        <w:rPr>
          <w:rFonts w:ascii="Times New Roman" w:hAnsi="Times New Roman" w:cs="Times New Roman"/>
          <w:sz w:val="20"/>
          <w:szCs w:val="20"/>
        </w:rPr>
        <w:t xml:space="preserve"> </w:t>
      </w:r>
      <w:r w:rsidR="008F562F" w:rsidRPr="00AE1008">
        <w:rPr>
          <w:rFonts w:ascii="Times New Roman" w:hAnsi="Times New Roman" w:cs="Times New Roman"/>
          <w:sz w:val="20"/>
          <w:szCs w:val="20"/>
        </w:rPr>
        <w:t>Saleh</w:t>
      </w:r>
      <w:r w:rsidR="008F562F" w:rsidRPr="00AE1008">
        <w:rPr>
          <w:rFonts w:ascii="Times New Roman" w:hAnsi="Times New Roman" w:cs="Times New Roman"/>
          <w:sz w:val="20"/>
          <w:szCs w:val="20"/>
          <w:vertAlign w:val="superscript"/>
        </w:rPr>
        <w:t>2</w:t>
      </w:r>
      <w:r w:rsidR="008F562F" w:rsidRPr="00AE1008">
        <w:rPr>
          <w:rFonts w:ascii="Times New Roman" w:hAnsi="Times New Roman" w:cs="Times New Roman"/>
          <w:sz w:val="20"/>
          <w:szCs w:val="20"/>
        </w:rPr>
        <w:t xml:space="preserve"> </w:t>
      </w:r>
      <w:r w:rsidR="00D2784C" w:rsidRPr="00AE1008">
        <w:rPr>
          <w:rFonts w:ascii="Times New Roman" w:hAnsi="Times New Roman" w:cs="Times New Roman"/>
          <w:sz w:val="20"/>
          <w:szCs w:val="20"/>
        </w:rPr>
        <w:t>(</w:t>
      </w:r>
      <w:r w:rsidR="008F562F" w:rsidRPr="00AE1008">
        <w:rPr>
          <w:rFonts w:ascii="Times New Roman" w:hAnsi="Times New Roman" w:cs="Times New Roman"/>
          <w:sz w:val="20"/>
          <w:szCs w:val="20"/>
        </w:rPr>
        <w:t>M.D</w:t>
      </w:r>
      <w:r w:rsidR="00D2784C" w:rsidRPr="00AE1008">
        <w:rPr>
          <w:rFonts w:ascii="Times New Roman" w:hAnsi="Times New Roman" w:cs="Times New Roman"/>
          <w:sz w:val="20"/>
          <w:szCs w:val="20"/>
        </w:rPr>
        <w:t xml:space="preserve">) </w:t>
      </w:r>
      <w:r w:rsidR="008F562F" w:rsidRPr="00AE1008">
        <w:rPr>
          <w:rFonts w:ascii="Times New Roman" w:hAnsi="Times New Roman" w:cs="Times New Roman"/>
          <w:sz w:val="20"/>
          <w:szCs w:val="20"/>
        </w:rPr>
        <w:t>and Ahmed</w:t>
      </w:r>
      <w:r w:rsidRPr="00AE1008">
        <w:rPr>
          <w:rFonts w:ascii="Times New Roman" w:hAnsi="Times New Roman" w:cs="Times New Roman"/>
          <w:sz w:val="20"/>
          <w:szCs w:val="20"/>
        </w:rPr>
        <w:t xml:space="preserve"> S</w:t>
      </w:r>
      <w:r w:rsidR="002108CB" w:rsidRPr="00AE1008">
        <w:rPr>
          <w:rFonts w:ascii="Times New Roman" w:hAnsi="Times New Roman" w:cs="Times New Roman"/>
          <w:sz w:val="20"/>
          <w:szCs w:val="20"/>
        </w:rPr>
        <w:t>.</w:t>
      </w:r>
      <w:r w:rsidRPr="00AE1008">
        <w:rPr>
          <w:rFonts w:ascii="Times New Roman" w:hAnsi="Times New Roman" w:cs="Times New Roman"/>
          <w:sz w:val="20"/>
          <w:szCs w:val="20"/>
        </w:rPr>
        <w:t xml:space="preserve"> Marie</w:t>
      </w:r>
      <w:r w:rsidR="008F562F" w:rsidRPr="00AE1008">
        <w:rPr>
          <w:rFonts w:ascii="Times New Roman" w:hAnsi="Times New Roman" w:cs="Times New Roman"/>
          <w:sz w:val="20"/>
          <w:szCs w:val="20"/>
          <w:vertAlign w:val="superscript"/>
        </w:rPr>
        <w:t>3</w:t>
      </w:r>
      <w:r w:rsidR="00D2784C" w:rsidRPr="00AE1008">
        <w:rPr>
          <w:rFonts w:ascii="Times New Roman" w:hAnsi="Times New Roman" w:cs="Times New Roman"/>
          <w:sz w:val="20"/>
          <w:szCs w:val="20"/>
        </w:rPr>
        <w:t xml:space="preserve"> (</w:t>
      </w:r>
      <w:r w:rsidRPr="00AE1008">
        <w:rPr>
          <w:rFonts w:ascii="Times New Roman" w:hAnsi="Times New Roman" w:cs="Times New Roman"/>
          <w:sz w:val="20"/>
          <w:szCs w:val="20"/>
        </w:rPr>
        <w:t>PhD</w:t>
      </w:r>
      <w:r w:rsidR="007A2BA0" w:rsidRPr="00AE1008">
        <w:rPr>
          <w:rFonts w:ascii="Times New Roman" w:hAnsi="Times New Roman" w:cs="Times New Roman" w:hint="eastAsia"/>
          <w:sz w:val="20"/>
          <w:szCs w:val="20"/>
          <w:lang w:eastAsia="zh-CN"/>
        </w:rPr>
        <w:t>)</w:t>
      </w:r>
    </w:p>
    <w:p w:rsidR="00F25EDD" w:rsidRPr="00AE1008" w:rsidRDefault="00F25EDD" w:rsidP="00FF65F3">
      <w:pPr>
        <w:tabs>
          <w:tab w:val="left" w:pos="1350"/>
        </w:tabs>
        <w:snapToGrid w:val="0"/>
        <w:spacing w:after="0" w:line="240" w:lineRule="auto"/>
        <w:jc w:val="center"/>
        <w:rPr>
          <w:rFonts w:ascii="Times New Roman" w:hAnsi="Times New Roman" w:cs="Times New Roman"/>
          <w:sz w:val="20"/>
          <w:szCs w:val="20"/>
        </w:rPr>
      </w:pPr>
    </w:p>
    <w:p w:rsidR="008F562F" w:rsidRPr="00AE1008" w:rsidRDefault="008F562F" w:rsidP="00FF65F3">
      <w:pPr>
        <w:tabs>
          <w:tab w:val="left" w:pos="1350"/>
        </w:tabs>
        <w:snapToGrid w:val="0"/>
        <w:spacing w:after="0" w:line="240" w:lineRule="auto"/>
        <w:jc w:val="center"/>
        <w:rPr>
          <w:rFonts w:ascii="Times New Roman" w:hAnsi="Times New Roman" w:cs="Times New Roman"/>
          <w:sz w:val="20"/>
          <w:szCs w:val="20"/>
        </w:rPr>
      </w:pPr>
      <w:r w:rsidRPr="00AE1008">
        <w:rPr>
          <w:rFonts w:ascii="Times New Roman" w:eastAsia="Times New Roman" w:hAnsi="Times New Roman" w:cs="Times New Roman"/>
          <w:sz w:val="20"/>
          <w:szCs w:val="20"/>
          <w:vertAlign w:val="superscript"/>
        </w:rPr>
        <w:t>1</w:t>
      </w:r>
      <w:r w:rsidR="00F57CD1" w:rsidRPr="00AE1008">
        <w:rPr>
          <w:rFonts w:ascii="Times New Roman" w:eastAsia="Times New Roman" w:hAnsi="Times New Roman" w:cs="Times New Roman"/>
          <w:sz w:val="20"/>
          <w:szCs w:val="20"/>
        </w:rPr>
        <w:t xml:space="preserve">Assistant </w:t>
      </w:r>
      <w:r w:rsidR="00925DAD" w:rsidRPr="00AE1008">
        <w:rPr>
          <w:rFonts w:ascii="Times New Roman" w:eastAsia="Times New Roman" w:hAnsi="Times New Roman" w:cs="Times New Roman"/>
          <w:sz w:val="20"/>
          <w:szCs w:val="20"/>
        </w:rPr>
        <w:t xml:space="preserve">Professor of Nutrition and Food Science, </w:t>
      </w:r>
      <w:r w:rsidRPr="00AE1008">
        <w:rPr>
          <w:rFonts w:ascii="Times New Roman" w:eastAsia="Times New Roman" w:hAnsi="Times New Roman" w:cs="Times New Roman"/>
          <w:sz w:val="20"/>
          <w:szCs w:val="20"/>
        </w:rPr>
        <w:t>National Nutrition Institute</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Cairo</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Egypt</w:t>
      </w:r>
    </w:p>
    <w:p w:rsidR="008F562F" w:rsidRPr="00AE1008" w:rsidRDefault="008F562F" w:rsidP="00FF65F3">
      <w:pPr>
        <w:tabs>
          <w:tab w:val="left" w:pos="1350"/>
        </w:tabs>
        <w:snapToGrid w:val="0"/>
        <w:spacing w:after="0" w:line="240" w:lineRule="auto"/>
        <w:jc w:val="center"/>
        <w:rPr>
          <w:rFonts w:ascii="Times New Roman" w:eastAsia="Times New Roman" w:hAnsi="Times New Roman" w:cs="Times New Roman"/>
          <w:sz w:val="20"/>
          <w:szCs w:val="20"/>
        </w:rPr>
      </w:pPr>
      <w:r w:rsidRPr="00AE1008">
        <w:rPr>
          <w:rFonts w:ascii="Times New Roman" w:eastAsia="Times New Roman" w:hAnsi="Times New Roman" w:cs="Times New Roman"/>
          <w:sz w:val="20"/>
          <w:szCs w:val="20"/>
          <w:vertAlign w:val="superscript"/>
        </w:rPr>
        <w:t>2</w:t>
      </w:r>
      <w:r w:rsidR="00F57CD1" w:rsidRPr="00AE1008">
        <w:rPr>
          <w:rFonts w:ascii="Times New Roman" w:eastAsia="Times New Roman" w:hAnsi="Times New Roman" w:cs="Times New Roman"/>
          <w:sz w:val="20"/>
          <w:szCs w:val="20"/>
        </w:rPr>
        <w:t>As</w:t>
      </w:r>
      <w:r w:rsidRPr="00AE1008">
        <w:rPr>
          <w:rFonts w:ascii="Times New Roman" w:eastAsia="Times New Roman" w:hAnsi="Times New Roman" w:cs="Times New Roman"/>
          <w:sz w:val="20"/>
          <w:szCs w:val="20"/>
        </w:rPr>
        <w:t xml:space="preserve">sistant </w:t>
      </w:r>
      <w:r w:rsidR="00925DAD" w:rsidRPr="00AE1008">
        <w:rPr>
          <w:rFonts w:ascii="Times New Roman" w:eastAsia="Times New Roman" w:hAnsi="Times New Roman" w:cs="Times New Roman"/>
          <w:sz w:val="20"/>
          <w:szCs w:val="20"/>
        </w:rPr>
        <w:t xml:space="preserve">Professor of Pediatrics, </w:t>
      </w:r>
      <w:r w:rsidRPr="00AE1008">
        <w:rPr>
          <w:rFonts w:ascii="Times New Roman" w:eastAsia="Times New Roman" w:hAnsi="Times New Roman" w:cs="Times New Roman"/>
          <w:sz w:val="20"/>
          <w:szCs w:val="20"/>
        </w:rPr>
        <w:t>National Nutrition Institute</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Cairo</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Egypt</w:t>
      </w:r>
    </w:p>
    <w:p w:rsidR="008F562F" w:rsidRPr="00AE1008" w:rsidRDefault="008F562F" w:rsidP="00FF65F3">
      <w:pPr>
        <w:tabs>
          <w:tab w:val="left" w:pos="1350"/>
        </w:tabs>
        <w:snapToGrid w:val="0"/>
        <w:spacing w:after="0" w:line="240" w:lineRule="auto"/>
        <w:jc w:val="center"/>
        <w:rPr>
          <w:rFonts w:ascii="Times New Roman" w:eastAsia="Times New Roman" w:hAnsi="Times New Roman" w:cs="Times New Roman"/>
          <w:sz w:val="20"/>
          <w:szCs w:val="20"/>
        </w:rPr>
      </w:pPr>
      <w:r w:rsidRPr="00AE1008">
        <w:rPr>
          <w:rFonts w:ascii="Times New Roman" w:eastAsia="Times New Roman" w:hAnsi="Times New Roman" w:cs="Times New Roman"/>
          <w:sz w:val="20"/>
          <w:szCs w:val="20"/>
          <w:vertAlign w:val="superscript"/>
        </w:rPr>
        <w:t>3</w:t>
      </w:r>
      <w:r w:rsidR="00F57CD1" w:rsidRPr="00AE1008">
        <w:rPr>
          <w:rFonts w:ascii="Times New Roman" w:eastAsia="Times New Roman" w:hAnsi="Times New Roman" w:cs="Times New Roman"/>
          <w:sz w:val="20"/>
          <w:szCs w:val="20"/>
        </w:rPr>
        <w:t xml:space="preserve">Lecture </w:t>
      </w:r>
      <w:r w:rsidR="00925DAD" w:rsidRPr="00AE1008">
        <w:rPr>
          <w:rFonts w:ascii="Times New Roman" w:eastAsia="Times New Roman" w:hAnsi="Times New Roman" w:cs="Times New Roman"/>
          <w:sz w:val="20"/>
          <w:szCs w:val="20"/>
        </w:rPr>
        <w:t xml:space="preserve">of Child Health, </w:t>
      </w:r>
      <w:r w:rsidRPr="00AE1008">
        <w:rPr>
          <w:rFonts w:ascii="Times New Roman" w:eastAsia="Times New Roman" w:hAnsi="Times New Roman" w:cs="Times New Roman"/>
          <w:sz w:val="20"/>
          <w:szCs w:val="20"/>
        </w:rPr>
        <w:t>National Nutrition Institute</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Cairo</w:t>
      </w:r>
      <w:r w:rsidR="00925DAD" w:rsidRPr="00AE1008">
        <w:rPr>
          <w:rFonts w:ascii="Times New Roman" w:eastAsia="Times New Roman" w:hAnsi="Times New Roman" w:cs="Times New Roman"/>
          <w:sz w:val="20"/>
          <w:szCs w:val="20"/>
        </w:rPr>
        <w:t xml:space="preserve">, </w:t>
      </w:r>
      <w:r w:rsidRPr="00AE1008">
        <w:rPr>
          <w:rFonts w:ascii="Times New Roman" w:eastAsia="Times New Roman" w:hAnsi="Times New Roman" w:cs="Times New Roman"/>
          <w:sz w:val="20"/>
          <w:szCs w:val="20"/>
        </w:rPr>
        <w:t>Egypt</w:t>
      </w:r>
    </w:p>
    <w:p w:rsidR="00F25EDD" w:rsidRPr="00AE1008" w:rsidRDefault="001808DB" w:rsidP="00FF65F3">
      <w:pPr>
        <w:snapToGrid w:val="0"/>
        <w:spacing w:after="0" w:line="240" w:lineRule="auto"/>
        <w:jc w:val="center"/>
        <w:rPr>
          <w:rFonts w:ascii="Times New Roman" w:eastAsia="Times New Roman" w:hAnsi="Times New Roman" w:cs="Times New Roman"/>
          <w:sz w:val="20"/>
          <w:szCs w:val="20"/>
        </w:rPr>
      </w:pPr>
      <w:hyperlink r:id="rId8" w:history="1">
        <w:r w:rsidR="00127785" w:rsidRPr="00AE1008">
          <w:rPr>
            <w:rStyle w:val="Hyperlink"/>
            <w:rFonts w:ascii="Times New Roman" w:eastAsia="Times New Roman" w:hAnsi="Times New Roman" w:cs="Times New Roman"/>
            <w:sz w:val="20"/>
            <w:szCs w:val="20"/>
          </w:rPr>
          <w:t>drsalwamahmoud@yahoo.com</w:t>
        </w:r>
      </w:hyperlink>
    </w:p>
    <w:p w:rsidR="00F25EDD" w:rsidRPr="00AE1008" w:rsidRDefault="00B84F41" w:rsidP="00FF65F3">
      <w:pPr>
        <w:snapToGrid w:val="0"/>
        <w:spacing w:after="0" w:line="240" w:lineRule="auto"/>
        <w:jc w:val="center"/>
        <w:rPr>
          <w:rFonts w:ascii="Times New Roman" w:hAnsi="Times New Roman" w:cs="Times New Roman"/>
          <w:sz w:val="20"/>
          <w:szCs w:val="20"/>
          <w:lang w:eastAsia="zh-CN"/>
        </w:rPr>
      </w:pPr>
      <w:r w:rsidRPr="00AE1008">
        <w:rPr>
          <w:rFonts w:ascii="Times New Roman" w:hAnsi="Times New Roman" w:cs="Times New Roman" w:hint="eastAsia"/>
          <w:sz w:val="20"/>
          <w:szCs w:val="20"/>
          <w:lang w:eastAsia="zh-CN"/>
        </w:rPr>
        <w:t xml:space="preserve"> </w:t>
      </w:r>
    </w:p>
    <w:p w:rsidR="00FB56D5" w:rsidRPr="00AE1008" w:rsidRDefault="00FB56D5" w:rsidP="00FF65F3">
      <w:pPr>
        <w:snapToGrid w:val="0"/>
        <w:spacing w:after="0" w:line="240" w:lineRule="auto"/>
        <w:jc w:val="both"/>
        <w:rPr>
          <w:rFonts w:ascii="Times New Roman" w:eastAsia="Calibri" w:hAnsi="Times New Roman" w:cs="Times New Roman"/>
          <w:sz w:val="20"/>
          <w:szCs w:val="20"/>
        </w:rPr>
      </w:pPr>
      <w:r w:rsidRPr="00AE1008">
        <w:rPr>
          <w:rFonts w:ascii="Times New Roman" w:eastAsia="Times New Roman" w:hAnsi="Times New Roman" w:cs="Times New Roman"/>
          <w:b/>
          <w:bCs/>
          <w:sz w:val="20"/>
          <w:szCs w:val="20"/>
        </w:rPr>
        <w:t>Abstract</w:t>
      </w:r>
      <w:r w:rsidR="008F562F" w:rsidRPr="00AE1008">
        <w:rPr>
          <w:rFonts w:ascii="Times New Roman" w:eastAsia="Times New Roman" w:hAnsi="Times New Roman" w:cs="Times New Roman"/>
          <w:b/>
          <w:bCs/>
          <w:sz w:val="20"/>
          <w:szCs w:val="20"/>
        </w:rPr>
        <w:t xml:space="preserve">: </w:t>
      </w:r>
      <w:r w:rsidRPr="00AE1008">
        <w:rPr>
          <w:rFonts w:ascii="Times New Roman" w:eastAsia="Calibri" w:hAnsi="Times New Roman" w:cs="Times New Roman"/>
          <w:sz w:val="20"/>
          <w:szCs w:val="20"/>
        </w:rPr>
        <w:t>The present study was carried out among children aged 2-5 years in Upper Egypt governorates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to assessment their nutritional status. The participants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were recruited from 4 Egyptian governorates grand total (1131) mainly in Upper Egypt</w:t>
      </w:r>
      <w:r w:rsidR="00B84F41" w:rsidRPr="00AE1008">
        <w:rPr>
          <w:rFonts w:ascii="Times New Roman" w:eastAsia="Calibri" w:hAnsi="Times New Roman" w:cs="Times New Roman"/>
          <w:sz w:val="20"/>
          <w:szCs w:val="20"/>
        </w:rPr>
        <w:t>. T</w:t>
      </w:r>
      <w:r w:rsidRPr="00AE1008">
        <w:rPr>
          <w:rFonts w:ascii="Times New Roman" w:eastAsia="Calibri" w:hAnsi="Times New Roman" w:cs="Times New Roman"/>
          <w:sz w:val="20"/>
          <w:szCs w:val="20"/>
        </w:rPr>
        <w:t xml:space="preserve">he children were selected randomly from each governorate according to these numbers were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(161 boys and 161 girls), </w:t>
      </w:r>
      <w:proofErr w:type="spellStart"/>
      <w:r w:rsidRPr="00AE1008">
        <w:rPr>
          <w:rFonts w:ascii="Times New Roman" w:eastAsia="Calibri" w:hAnsi="Times New Roman" w:cs="Times New Roman"/>
          <w:sz w:val="20"/>
          <w:szCs w:val="20"/>
        </w:rPr>
        <w:t>Assiut</w:t>
      </w:r>
      <w:proofErr w:type="spellEnd"/>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(169 boys and 138 girls),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(182 boys and 137girls ) and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(100 boys and 83) girls</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Weight and height was </w:t>
      </w:r>
      <w:r w:rsidR="00BF4D79" w:rsidRPr="00AE1008">
        <w:rPr>
          <w:rFonts w:ascii="Times New Roman" w:eastAsia="Calibri" w:hAnsi="Times New Roman" w:cs="Times New Roman"/>
          <w:sz w:val="20"/>
          <w:szCs w:val="20"/>
        </w:rPr>
        <w:t>documented affording</w:t>
      </w:r>
      <w:r w:rsidRPr="00AE1008">
        <w:rPr>
          <w:rFonts w:ascii="Times New Roman" w:eastAsia="Calibri" w:hAnsi="Times New Roman" w:cs="Times New Roman"/>
          <w:sz w:val="20"/>
          <w:szCs w:val="20"/>
        </w:rPr>
        <w:t xml:space="preserve"> to the standardized </w:t>
      </w:r>
      <w:r w:rsidR="00FB0DE4" w:rsidRPr="00AE1008">
        <w:rPr>
          <w:rFonts w:ascii="Times New Roman" w:eastAsia="Calibri" w:hAnsi="Times New Roman" w:cs="Times New Roman"/>
          <w:sz w:val="20"/>
          <w:szCs w:val="20"/>
        </w:rPr>
        <w:t>systems</w:t>
      </w:r>
      <w:r w:rsidRPr="00AE1008">
        <w:rPr>
          <w:rFonts w:ascii="Times New Roman" w:eastAsia="Calibri" w:hAnsi="Times New Roman" w:cs="Times New Roman"/>
          <w:sz w:val="20"/>
          <w:szCs w:val="20"/>
        </w:rPr>
        <w:t xml:space="preserve">. Height for age was used as indicator of stunting It is </w:t>
      </w:r>
      <w:r w:rsidR="004F7A68" w:rsidRPr="00AE1008">
        <w:rPr>
          <w:rFonts w:ascii="Times New Roman" w:eastAsia="Calibri" w:hAnsi="Times New Roman" w:cs="Times New Roman"/>
          <w:sz w:val="20"/>
          <w:szCs w:val="20"/>
        </w:rPr>
        <w:t>characterized</w:t>
      </w:r>
      <w:r w:rsidRPr="00AE1008">
        <w:rPr>
          <w:rFonts w:ascii="Times New Roman" w:eastAsia="Calibri" w:hAnsi="Times New Roman" w:cs="Times New Roman"/>
          <w:sz w:val="20"/>
          <w:szCs w:val="20"/>
        </w:rPr>
        <w:t xml:space="preserve"> as: Normal (-2 to +2SD), Short stature &lt;-2SD, and Tall if &gt;+2SD. </w:t>
      </w:r>
      <w:smartTag w:uri="urn:schemas-microsoft-com:office:smarttags" w:element="stockticker">
        <w:r w:rsidRPr="00AE1008">
          <w:rPr>
            <w:rFonts w:ascii="Times New Roman" w:eastAsia="Calibri" w:hAnsi="Times New Roman" w:cs="Times New Roman"/>
            <w:sz w:val="20"/>
            <w:szCs w:val="20"/>
          </w:rPr>
          <w:t>BMI</w:t>
        </w:r>
      </w:smartTag>
      <w:r w:rsidRPr="00AE1008">
        <w:rPr>
          <w:rFonts w:ascii="Times New Roman" w:eastAsia="Calibri" w:hAnsi="Times New Roman" w:cs="Times New Roman"/>
          <w:sz w:val="20"/>
          <w:szCs w:val="20"/>
        </w:rPr>
        <w:t xml:space="preserve"> was </w:t>
      </w:r>
      <w:r w:rsidR="004F7A68" w:rsidRPr="00AE1008">
        <w:rPr>
          <w:rFonts w:ascii="Times New Roman" w:eastAsia="Calibri" w:hAnsi="Times New Roman" w:cs="Times New Roman"/>
          <w:sz w:val="20"/>
          <w:szCs w:val="20"/>
        </w:rPr>
        <w:t>characterized</w:t>
      </w:r>
      <w:r w:rsidRPr="00AE1008">
        <w:rPr>
          <w:rFonts w:ascii="Times New Roman" w:eastAsia="Calibri" w:hAnsi="Times New Roman" w:cs="Times New Roman"/>
          <w:sz w:val="20"/>
          <w:szCs w:val="20"/>
        </w:rPr>
        <w:t xml:space="preserve"> as: Normal (&gt;-2 to &lt;+1), Over weight (&gt;+1 SD), Obese (&gt;+2SD) and Thinness (&lt;-2 SD). Data on nutritional </w:t>
      </w:r>
      <w:r w:rsidR="004F7A68" w:rsidRPr="00AE1008">
        <w:rPr>
          <w:rFonts w:ascii="Times New Roman" w:eastAsia="Calibri" w:hAnsi="Times New Roman" w:cs="Times New Roman"/>
          <w:sz w:val="20"/>
          <w:szCs w:val="20"/>
        </w:rPr>
        <w:t>standing</w:t>
      </w:r>
      <w:r w:rsidRPr="00AE1008">
        <w:rPr>
          <w:rFonts w:ascii="Times New Roman" w:eastAsia="Calibri" w:hAnsi="Times New Roman" w:cs="Times New Roman"/>
          <w:sz w:val="20"/>
          <w:szCs w:val="20"/>
        </w:rPr>
        <w:t xml:space="preserve"> had been collected using specially designed questionnaires to cover </w:t>
      </w:r>
      <w:r w:rsidR="00BF4D79" w:rsidRPr="00AE1008">
        <w:rPr>
          <w:rFonts w:ascii="Times New Roman" w:eastAsia="Calibri" w:hAnsi="Times New Roman" w:cs="Times New Roman"/>
          <w:sz w:val="20"/>
          <w:szCs w:val="20"/>
        </w:rPr>
        <w:t>essential data</w:t>
      </w:r>
      <w:r w:rsidRPr="00AE1008">
        <w:rPr>
          <w:rFonts w:ascii="Times New Roman" w:eastAsia="Calibri" w:hAnsi="Times New Roman" w:cs="Times New Roman"/>
          <w:sz w:val="20"/>
          <w:szCs w:val="20"/>
        </w:rPr>
        <w:t xml:space="preserve"> on: Food intake (24 hours recall), and Dietary pattern “Food frequency” for selected items. The energy and nutrient content of the 24 hour was computed </w:t>
      </w:r>
      <w:r w:rsidR="004F7A68" w:rsidRPr="00AE1008">
        <w:rPr>
          <w:rFonts w:ascii="Times New Roman" w:eastAsia="Calibri" w:hAnsi="Times New Roman" w:cs="Times New Roman"/>
          <w:sz w:val="20"/>
          <w:szCs w:val="20"/>
        </w:rPr>
        <w:t>within</w:t>
      </w:r>
      <w:r w:rsidRPr="00AE1008">
        <w:rPr>
          <w:rFonts w:ascii="Times New Roman" w:eastAsia="Calibri" w:hAnsi="Times New Roman" w:cs="Times New Roman"/>
          <w:sz w:val="20"/>
          <w:szCs w:val="20"/>
        </w:rPr>
        <w:t xml:space="preserve"> the </w:t>
      </w:r>
      <w:r w:rsidR="004F7A68" w:rsidRPr="00AE1008">
        <w:rPr>
          <w:rFonts w:ascii="Times New Roman" w:eastAsia="Calibri" w:hAnsi="Times New Roman" w:cs="Times New Roman"/>
          <w:sz w:val="20"/>
          <w:szCs w:val="20"/>
        </w:rPr>
        <w:t>accumulated</w:t>
      </w:r>
      <w:r w:rsidRPr="00AE1008">
        <w:rPr>
          <w:rFonts w:ascii="Times New Roman" w:eastAsia="Calibri" w:hAnsi="Times New Roman" w:cs="Times New Roman"/>
          <w:sz w:val="20"/>
          <w:szCs w:val="20"/>
        </w:rPr>
        <w:t xml:space="preserve"> food composition tables of the NNI (National Nutrition Institute). All analyses were conducted using </w:t>
      </w:r>
      <w:smartTag w:uri="urn:schemas-microsoft-com:office:smarttags" w:element="stockticker">
        <w:r w:rsidRPr="00AE1008">
          <w:rPr>
            <w:rFonts w:ascii="Times New Roman" w:eastAsia="Calibri" w:hAnsi="Times New Roman" w:cs="Times New Roman"/>
            <w:sz w:val="20"/>
            <w:szCs w:val="20"/>
          </w:rPr>
          <w:t>SPSS</w:t>
        </w:r>
      </w:smartTag>
      <w:r w:rsidRPr="00AE1008">
        <w:rPr>
          <w:rFonts w:ascii="Times New Roman" w:eastAsia="Calibri" w:hAnsi="Times New Roman" w:cs="Times New Roman"/>
          <w:sz w:val="20"/>
          <w:szCs w:val="20"/>
        </w:rPr>
        <w:t xml:space="preserve">. The results </w:t>
      </w:r>
      <w:r w:rsidR="004F7A68" w:rsidRPr="00AE1008">
        <w:rPr>
          <w:rFonts w:ascii="Times New Roman" w:eastAsia="Calibri" w:hAnsi="Times New Roman" w:cs="Times New Roman"/>
          <w:sz w:val="20"/>
          <w:szCs w:val="20"/>
        </w:rPr>
        <w:t>demonstrated</w:t>
      </w:r>
      <w:r w:rsidRPr="00AE1008">
        <w:rPr>
          <w:rFonts w:ascii="Times New Roman" w:eastAsia="Calibri" w:hAnsi="Times New Roman" w:cs="Times New Roman"/>
          <w:sz w:val="20"/>
          <w:szCs w:val="20"/>
        </w:rPr>
        <w:t xml:space="preserve"> that the rate of underweight was higher </w:t>
      </w:r>
      <w:r w:rsidR="004F7A68" w:rsidRPr="00AE1008">
        <w:rPr>
          <w:rFonts w:ascii="Times New Roman" w:eastAsia="Calibri" w:hAnsi="Times New Roman" w:cs="Times New Roman"/>
          <w:sz w:val="20"/>
          <w:szCs w:val="20"/>
        </w:rPr>
        <w:t>between</w:t>
      </w:r>
      <w:r w:rsidRPr="00AE1008">
        <w:rPr>
          <w:rFonts w:ascii="Times New Roman" w:eastAsia="Calibri" w:hAnsi="Times New Roman" w:cs="Times New Roman"/>
          <w:sz w:val="20"/>
          <w:szCs w:val="20"/>
        </w:rPr>
        <w:t xml:space="preserve"> girls (underweight = 35.1%) </w:t>
      </w:r>
      <w:r w:rsidR="004F7A68" w:rsidRPr="00AE1008">
        <w:rPr>
          <w:rFonts w:ascii="Times New Roman" w:eastAsia="Calibri" w:hAnsi="Times New Roman" w:cs="Times New Roman"/>
          <w:sz w:val="20"/>
          <w:szCs w:val="20"/>
        </w:rPr>
        <w:t xml:space="preserve">in comparison </w:t>
      </w:r>
      <w:r w:rsidRPr="00AE1008">
        <w:rPr>
          <w:rFonts w:ascii="Times New Roman" w:eastAsia="Calibri" w:hAnsi="Times New Roman" w:cs="Times New Roman"/>
          <w:sz w:val="20"/>
          <w:szCs w:val="20"/>
        </w:rPr>
        <w:t xml:space="preserve">with boys (underweight = 26.5 %,) and the overall rate of underweight was 31%. Also, there were no significant difference in energy intake between boys and girls in all governorates. Data obtained from the study illustrated that the mean protein intake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was also the least. However, it was nearly the same in the other three governorates. The results showed that the highest intake of vitamin A among girls was 177 µg/RE in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while the least intake was 136 µg/RE among boys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w:t>
      </w:r>
      <w:r w:rsidR="00BF4D79" w:rsidRPr="00AE1008">
        <w:rPr>
          <w:rFonts w:ascii="Times New Roman" w:eastAsia="Times New Roman" w:hAnsi="Times New Roman" w:cs="Times New Roman"/>
          <w:b/>
          <w:bCs/>
          <w:sz w:val="20"/>
          <w:szCs w:val="20"/>
          <w:lang w:bidi="ar-EG"/>
        </w:rPr>
        <w:t xml:space="preserve"> </w:t>
      </w:r>
      <w:r w:rsidRPr="00AE1008">
        <w:rPr>
          <w:rFonts w:ascii="Times New Roman" w:eastAsia="Times New Roman" w:hAnsi="Times New Roman" w:cs="Times New Roman"/>
          <w:b/>
          <w:bCs/>
          <w:sz w:val="20"/>
          <w:szCs w:val="20"/>
          <w:lang w:bidi="ar-EG"/>
        </w:rPr>
        <w:t>Conclusion:</w:t>
      </w:r>
      <w:r w:rsidR="00BF4D79" w:rsidRPr="00AE1008">
        <w:rPr>
          <w:rFonts w:ascii="Times New Roman" w:eastAsia="Times New Roman" w:hAnsi="Times New Roman" w:cs="Times New Roman"/>
          <w:b/>
          <w:bCs/>
          <w:sz w:val="20"/>
          <w:szCs w:val="20"/>
          <w:lang w:bidi="ar-EG"/>
        </w:rPr>
        <w:t xml:space="preserve"> </w:t>
      </w:r>
      <w:r w:rsidRPr="00AE1008">
        <w:rPr>
          <w:rFonts w:ascii="Times New Roman" w:eastAsia="Calibri" w:hAnsi="Times New Roman" w:cs="Times New Roman"/>
          <w:sz w:val="20"/>
          <w:szCs w:val="20"/>
        </w:rPr>
        <w:t xml:space="preserve">There is an </w:t>
      </w:r>
      <w:r w:rsidR="004F7A68" w:rsidRPr="00AE1008">
        <w:rPr>
          <w:rFonts w:ascii="Times New Roman" w:eastAsia="Calibri" w:hAnsi="Times New Roman" w:cs="Times New Roman"/>
          <w:sz w:val="20"/>
          <w:szCs w:val="20"/>
        </w:rPr>
        <w:t>disproportion</w:t>
      </w:r>
      <w:r w:rsidRPr="00AE1008">
        <w:rPr>
          <w:rFonts w:ascii="Times New Roman" w:eastAsia="Calibri" w:hAnsi="Times New Roman" w:cs="Times New Roman"/>
          <w:sz w:val="20"/>
          <w:szCs w:val="20"/>
        </w:rPr>
        <w:t xml:space="preserve"> in </w:t>
      </w:r>
      <w:r w:rsidR="004F7A68" w:rsidRPr="00AE1008">
        <w:rPr>
          <w:rFonts w:ascii="Times New Roman" w:eastAsia="Calibri" w:hAnsi="Times New Roman" w:cs="Times New Roman"/>
          <w:sz w:val="20"/>
          <w:szCs w:val="20"/>
        </w:rPr>
        <w:t>healthy eating</w:t>
      </w:r>
      <w:r w:rsidR="00B84F41" w:rsidRPr="00AE1008">
        <w:rPr>
          <w:rFonts w:ascii="Times New Roman" w:eastAsia="Calibri" w:hAnsi="Times New Roman" w:cs="Times New Roman"/>
          <w:sz w:val="20"/>
          <w:szCs w:val="20"/>
        </w:rPr>
        <w:t>, d</w:t>
      </w:r>
      <w:r w:rsidRPr="00AE1008">
        <w:rPr>
          <w:rFonts w:ascii="Times New Roman" w:eastAsia="Calibri" w:hAnsi="Times New Roman" w:cs="Times New Roman"/>
          <w:sz w:val="20"/>
          <w:szCs w:val="20"/>
        </w:rPr>
        <w:t xml:space="preserve">ietary </w:t>
      </w:r>
      <w:r w:rsidR="004F7A68" w:rsidRPr="00AE1008">
        <w:rPr>
          <w:rFonts w:ascii="Times New Roman" w:eastAsia="Calibri" w:hAnsi="Times New Roman" w:cs="Times New Roman"/>
          <w:sz w:val="20"/>
          <w:szCs w:val="20"/>
        </w:rPr>
        <w:t>ingestion</w:t>
      </w:r>
      <w:r w:rsidRPr="00AE1008">
        <w:rPr>
          <w:rFonts w:ascii="Times New Roman" w:eastAsia="Calibri" w:hAnsi="Times New Roman" w:cs="Times New Roman"/>
          <w:sz w:val="20"/>
          <w:szCs w:val="20"/>
        </w:rPr>
        <w:t xml:space="preserve"> and nutrition education programs </w:t>
      </w:r>
      <w:r w:rsidR="004F7A68" w:rsidRPr="00AE1008">
        <w:rPr>
          <w:rFonts w:ascii="Times New Roman" w:eastAsia="Calibri" w:hAnsi="Times New Roman" w:cs="Times New Roman"/>
          <w:sz w:val="20"/>
          <w:szCs w:val="20"/>
        </w:rPr>
        <w:t>necessity</w:t>
      </w:r>
      <w:r w:rsidRPr="00AE1008">
        <w:rPr>
          <w:rFonts w:ascii="Times New Roman" w:eastAsia="Calibri" w:hAnsi="Times New Roman" w:cs="Times New Roman"/>
          <w:sz w:val="20"/>
          <w:szCs w:val="20"/>
        </w:rPr>
        <w:t xml:space="preserve"> to be developed as a part of an intervention program for young children in Upper Egypt governorates.</w:t>
      </w:r>
    </w:p>
    <w:p w:rsidR="00FF65F3" w:rsidRPr="00AE1008" w:rsidRDefault="00FF65F3" w:rsidP="00B84F41">
      <w:pPr>
        <w:tabs>
          <w:tab w:val="left" w:pos="1350"/>
        </w:tabs>
        <w:snapToGrid w:val="0"/>
        <w:spacing w:after="0" w:line="240" w:lineRule="auto"/>
        <w:jc w:val="both"/>
        <w:rPr>
          <w:rFonts w:ascii="Times New Roman" w:hAnsi="Times New Roman" w:cs="Times New Roman"/>
          <w:sz w:val="20"/>
          <w:szCs w:val="20"/>
        </w:rPr>
      </w:pPr>
      <w:r w:rsidRPr="00AE1008">
        <w:rPr>
          <w:rFonts w:ascii="Times New Roman" w:hAnsi="Times New Roman" w:cs="Times New Roman" w:hint="eastAsia"/>
          <w:sz w:val="20"/>
          <w:szCs w:val="20"/>
        </w:rPr>
        <w:t>[</w:t>
      </w:r>
      <w:proofErr w:type="spellStart"/>
      <w:r w:rsidRPr="00AE1008">
        <w:rPr>
          <w:rFonts w:ascii="Times New Roman" w:eastAsia="Times New Roman" w:hAnsi="Times New Roman" w:cs="Times New Roman"/>
          <w:sz w:val="20"/>
          <w:szCs w:val="20"/>
        </w:rPr>
        <w:t>Hany</w:t>
      </w:r>
      <w:proofErr w:type="spellEnd"/>
      <w:r w:rsidRPr="00AE1008">
        <w:rPr>
          <w:rFonts w:ascii="Times New Roman" w:hAnsi="Times New Roman" w:cs="Times New Roman"/>
          <w:sz w:val="20"/>
          <w:szCs w:val="20"/>
        </w:rPr>
        <w:t xml:space="preserve"> H. El-</w:t>
      </w:r>
      <w:proofErr w:type="spellStart"/>
      <w:r w:rsidRPr="00AE1008">
        <w:rPr>
          <w:rFonts w:ascii="Times New Roman" w:hAnsi="Times New Roman" w:cs="Times New Roman"/>
          <w:sz w:val="20"/>
          <w:szCs w:val="20"/>
        </w:rPr>
        <w:t>Gazzar</w:t>
      </w:r>
      <w:proofErr w:type="spellEnd"/>
      <w:r w:rsidRPr="00AE1008">
        <w:rPr>
          <w:rFonts w:ascii="Times New Roman" w:hAnsi="Times New Roman" w:cs="Times New Roman"/>
          <w:sz w:val="20"/>
          <w:szCs w:val="20"/>
        </w:rPr>
        <w:t xml:space="preserve">; </w:t>
      </w:r>
      <w:proofErr w:type="spellStart"/>
      <w:r w:rsidRPr="00AE1008">
        <w:rPr>
          <w:rFonts w:ascii="Times New Roman" w:hAnsi="Times New Roman" w:cs="Times New Roman"/>
          <w:sz w:val="20"/>
          <w:szCs w:val="20"/>
        </w:rPr>
        <w:t>Salwa</w:t>
      </w:r>
      <w:proofErr w:type="spellEnd"/>
      <w:r w:rsidRPr="00AE1008">
        <w:rPr>
          <w:rFonts w:ascii="Times New Roman" w:hAnsi="Times New Roman" w:cs="Times New Roman"/>
          <w:sz w:val="20"/>
          <w:szCs w:val="20"/>
        </w:rPr>
        <w:t xml:space="preserve"> M. </w:t>
      </w:r>
      <w:proofErr w:type="spellStart"/>
      <w:r w:rsidRPr="00AE1008">
        <w:rPr>
          <w:rFonts w:ascii="Times New Roman" w:hAnsi="Times New Roman" w:cs="Times New Roman"/>
          <w:sz w:val="20"/>
          <w:szCs w:val="20"/>
        </w:rPr>
        <w:t>Saleh</w:t>
      </w:r>
      <w:proofErr w:type="spellEnd"/>
      <w:r w:rsidRPr="00AE1008">
        <w:rPr>
          <w:rFonts w:ascii="Times New Roman" w:hAnsi="Times New Roman" w:cs="Times New Roman"/>
          <w:sz w:val="20"/>
          <w:szCs w:val="20"/>
        </w:rPr>
        <w:t xml:space="preserve"> and Ahmed S. Marie.</w:t>
      </w:r>
      <w:r w:rsidRPr="00AE1008">
        <w:rPr>
          <w:rFonts w:ascii="Times New Roman" w:hAnsi="Times New Roman" w:cs="Times New Roman" w:hint="eastAsia"/>
          <w:b/>
          <w:bCs/>
          <w:sz w:val="20"/>
          <w:szCs w:val="20"/>
          <w:lang w:bidi="fa-IR"/>
        </w:rPr>
        <w:t xml:space="preserve"> </w:t>
      </w:r>
      <w:r w:rsidRPr="00AE1008">
        <w:rPr>
          <w:rFonts w:ascii="Times New Roman" w:eastAsia="Times New Roman" w:hAnsi="Times New Roman" w:cs="Times New Roman"/>
          <w:b/>
          <w:bCs/>
          <w:sz w:val="20"/>
          <w:szCs w:val="20"/>
        </w:rPr>
        <w:t>Energy and Nutrients Intake among Children Aged 2-5 Years in Upper Egypt Governorates</w:t>
      </w:r>
      <w:r w:rsidRPr="00AE1008">
        <w:rPr>
          <w:rFonts w:ascii="Times New Roman" w:eastAsia="Times New Roman" w:hAnsi="Times New Roman" w:cs="Times New Roman"/>
          <w:b/>
          <w:bCs/>
          <w:sz w:val="20"/>
          <w:szCs w:val="20"/>
          <w:lang w:bidi="fa-IR"/>
        </w:rPr>
        <w:t>.</w:t>
      </w:r>
      <w:r w:rsidRPr="00AE1008">
        <w:rPr>
          <w:rFonts w:ascii="Times New Roman" w:hAnsi="Times New Roman" w:cs="Times New Roman"/>
          <w:bCs/>
          <w:i/>
          <w:sz w:val="20"/>
          <w:szCs w:val="20"/>
        </w:rPr>
        <w:t xml:space="preserve"> Researcher</w:t>
      </w:r>
      <w:r w:rsidRPr="00AE1008">
        <w:rPr>
          <w:rFonts w:ascii="Times New Roman" w:hAnsi="Times New Roman" w:cs="Times New Roman"/>
          <w:bCs/>
          <w:sz w:val="20"/>
          <w:szCs w:val="20"/>
        </w:rPr>
        <w:t xml:space="preserve"> 201</w:t>
      </w:r>
      <w:r w:rsidRPr="00AE1008">
        <w:rPr>
          <w:rFonts w:ascii="Times New Roman" w:hAnsi="Times New Roman" w:cs="Times New Roman" w:hint="eastAsia"/>
          <w:bCs/>
          <w:sz w:val="20"/>
          <w:szCs w:val="20"/>
        </w:rPr>
        <w:t>8</w:t>
      </w:r>
      <w:r w:rsidRPr="00AE1008">
        <w:rPr>
          <w:rFonts w:ascii="Times New Roman" w:hAnsi="Times New Roman" w:cs="Times New Roman"/>
          <w:bCs/>
          <w:sz w:val="20"/>
          <w:szCs w:val="20"/>
        </w:rPr>
        <w:t>;</w:t>
      </w:r>
      <w:r w:rsidRPr="00AE1008">
        <w:rPr>
          <w:rFonts w:ascii="Times New Roman" w:hAnsi="Times New Roman" w:cs="Times New Roman" w:hint="eastAsia"/>
          <w:bCs/>
          <w:sz w:val="20"/>
          <w:szCs w:val="20"/>
        </w:rPr>
        <w:t>10</w:t>
      </w:r>
      <w:r w:rsidRPr="00AE1008">
        <w:rPr>
          <w:rFonts w:ascii="Times New Roman" w:hAnsi="Times New Roman" w:cs="Times New Roman"/>
          <w:bCs/>
          <w:sz w:val="20"/>
          <w:szCs w:val="20"/>
        </w:rPr>
        <w:t>(</w:t>
      </w:r>
      <w:r w:rsidRPr="00AE1008">
        <w:rPr>
          <w:rFonts w:ascii="Times New Roman" w:hAnsi="Times New Roman" w:cs="Times New Roman" w:hint="eastAsia"/>
          <w:bCs/>
          <w:sz w:val="20"/>
          <w:szCs w:val="20"/>
        </w:rPr>
        <w:t>11</w:t>
      </w:r>
      <w:r w:rsidRPr="00AE1008">
        <w:rPr>
          <w:rFonts w:ascii="Times New Roman" w:hAnsi="Times New Roman" w:cs="Times New Roman"/>
          <w:bCs/>
          <w:sz w:val="20"/>
          <w:szCs w:val="20"/>
        </w:rPr>
        <w:t>):</w:t>
      </w:r>
      <w:r w:rsidR="00A92AED">
        <w:rPr>
          <w:rFonts w:ascii="Times New Roman" w:hAnsi="Times New Roman" w:cs="Times New Roman" w:hint="eastAsia"/>
          <w:bCs/>
          <w:sz w:val="20"/>
          <w:szCs w:val="20"/>
          <w:lang w:eastAsia="zh-CN"/>
        </w:rPr>
        <w:t>8</w:t>
      </w:r>
      <w:r w:rsidR="007974BE" w:rsidRPr="00AE1008">
        <w:rPr>
          <w:rFonts w:ascii="Times New Roman" w:hAnsi="Times New Roman" w:cs="Times New Roman"/>
          <w:noProof/>
          <w:color w:val="000000"/>
          <w:sz w:val="20"/>
          <w:szCs w:val="20"/>
        </w:rPr>
        <w:t>-1</w:t>
      </w:r>
      <w:r w:rsidR="00A92AED">
        <w:rPr>
          <w:rFonts w:ascii="Times New Roman" w:hAnsi="Times New Roman" w:cs="Times New Roman" w:hint="eastAsia"/>
          <w:noProof/>
          <w:color w:val="000000"/>
          <w:sz w:val="20"/>
          <w:szCs w:val="20"/>
          <w:lang w:eastAsia="zh-CN"/>
        </w:rPr>
        <w:t>5</w:t>
      </w:r>
      <w:r w:rsidRPr="00AE1008">
        <w:rPr>
          <w:rFonts w:ascii="Times New Roman" w:hAnsi="Times New Roman" w:cs="Times New Roman"/>
          <w:bCs/>
          <w:sz w:val="20"/>
          <w:szCs w:val="20"/>
        </w:rPr>
        <w:t xml:space="preserve">]. </w:t>
      </w:r>
      <w:r w:rsidRPr="00AE1008">
        <w:rPr>
          <w:rFonts w:ascii="Times New Roman" w:hAnsi="Times New Roman" w:cs="Times New Roman"/>
          <w:sz w:val="20"/>
          <w:szCs w:val="20"/>
        </w:rPr>
        <w:t>ISSN 1553-9865 (print); ISSN 2163-8950 (online)</w:t>
      </w:r>
      <w:r w:rsidRPr="00AE1008">
        <w:rPr>
          <w:rFonts w:ascii="Times New Roman" w:hAnsi="Times New Roman" w:cs="Times New Roman"/>
          <w:bCs/>
          <w:sz w:val="20"/>
          <w:szCs w:val="20"/>
        </w:rPr>
        <w:t xml:space="preserve">. </w:t>
      </w:r>
      <w:hyperlink r:id="rId9" w:history="1">
        <w:r w:rsidRPr="00AE1008">
          <w:rPr>
            <w:rStyle w:val="Hyperlink"/>
            <w:rFonts w:ascii="Times New Roman" w:hAnsi="Times New Roman" w:cs="Times New Roman"/>
            <w:sz w:val="20"/>
            <w:szCs w:val="20"/>
          </w:rPr>
          <w:t>http://www.sciencepub.net/researcher</w:t>
        </w:r>
      </w:hyperlink>
      <w:r w:rsidRPr="00AE1008">
        <w:rPr>
          <w:rFonts w:ascii="Times New Roman" w:hAnsi="Times New Roman" w:cs="Times New Roman"/>
          <w:bCs/>
          <w:sz w:val="20"/>
          <w:szCs w:val="20"/>
        </w:rPr>
        <w:t>.</w:t>
      </w:r>
      <w:r w:rsidRPr="00AE1008">
        <w:rPr>
          <w:rFonts w:ascii="Times New Roman" w:hAnsi="Times New Roman" w:cs="Times New Roman" w:hint="eastAsia"/>
          <w:bCs/>
          <w:sz w:val="20"/>
          <w:szCs w:val="20"/>
        </w:rPr>
        <w:t xml:space="preserve"> </w:t>
      </w:r>
      <w:r w:rsidR="00B84F41" w:rsidRPr="00AE1008">
        <w:rPr>
          <w:rFonts w:ascii="Times New Roman" w:hAnsi="Times New Roman" w:cs="Times New Roman" w:hint="eastAsia"/>
          <w:bCs/>
          <w:sz w:val="20"/>
          <w:szCs w:val="20"/>
          <w:lang w:eastAsia="zh-CN"/>
        </w:rPr>
        <w:t>2</w:t>
      </w:r>
      <w:r w:rsidRPr="00AE1008">
        <w:rPr>
          <w:rFonts w:ascii="Times New Roman" w:hAnsi="Times New Roman" w:cs="Times New Roman" w:hint="eastAsia"/>
          <w:bCs/>
          <w:sz w:val="20"/>
          <w:szCs w:val="20"/>
        </w:rPr>
        <w:t xml:space="preserve">. </w:t>
      </w:r>
      <w:r w:rsidRPr="00AE1008">
        <w:rPr>
          <w:rFonts w:ascii="Times New Roman" w:hAnsi="Times New Roman" w:cs="Times New Roman"/>
          <w:color w:val="000000"/>
          <w:sz w:val="20"/>
          <w:szCs w:val="20"/>
          <w:shd w:val="clear" w:color="auto" w:fill="FFFFFF"/>
        </w:rPr>
        <w:t>doi:</w:t>
      </w:r>
      <w:hyperlink r:id="rId10" w:history="1">
        <w:r w:rsidRPr="00AE1008">
          <w:rPr>
            <w:rStyle w:val="Hyperlink"/>
            <w:rFonts w:ascii="Times New Roman" w:hAnsi="Times New Roman" w:cs="Times New Roman"/>
            <w:sz w:val="20"/>
            <w:szCs w:val="20"/>
            <w:shd w:val="clear" w:color="auto" w:fill="FFFFFF"/>
          </w:rPr>
          <w:t>10.7537/mars</w:t>
        </w:r>
        <w:r w:rsidRPr="00AE1008">
          <w:rPr>
            <w:rStyle w:val="Hyperlink"/>
            <w:rFonts w:ascii="Times New Roman" w:hAnsi="Times New Roman" w:cs="Times New Roman" w:hint="eastAsia"/>
            <w:sz w:val="20"/>
            <w:szCs w:val="20"/>
            <w:shd w:val="clear" w:color="auto" w:fill="FFFFFF"/>
          </w:rPr>
          <w:t>r</w:t>
        </w:r>
        <w:r w:rsidRPr="00AE1008">
          <w:rPr>
            <w:rStyle w:val="Hyperlink"/>
            <w:rFonts w:ascii="Times New Roman" w:hAnsi="Times New Roman" w:cs="Times New Roman"/>
            <w:sz w:val="20"/>
            <w:szCs w:val="20"/>
            <w:shd w:val="clear" w:color="auto" w:fill="FFFFFF"/>
          </w:rPr>
          <w:t>sj</w:t>
        </w:r>
        <w:r w:rsidRPr="00AE1008">
          <w:rPr>
            <w:rStyle w:val="Hyperlink"/>
            <w:rFonts w:ascii="Times New Roman" w:hAnsi="Times New Roman" w:cs="Times New Roman" w:hint="eastAsia"/>
            <w:sz w:val="20"/>
            <w:szCs w:val="20"/>
            <w:shd w:val="clear" w:color="auto" w:fill="FFFFFF"/>
          </w:rPr>
          <w:t>101118.</w:t>
        </w:r>
        <w:r w:rsidRPr="00AE1008">
          <w:rPr>
            <w:rStyle w:val="Hyperlink"/>
            <w:rFonts w:ascii="Times New Roman" w:hAnsi="Times New Roman" w:cs="Times New Roman"/>
            <w:sz w:val="20"/>
            <w:szCs w:val="20"/>
            <w:shd w:val="clear" w:color="auto" w:fill="FFFFFF"/>
          </w:rPr>
          <w:t>0</w:t>
        </w:r>
        <w:r w:rsidR="00B84F41" w:rsidRPr="00AE1008">
          <w:rPr>
            <w:rStyle w:val="Hyperlink"/>
            <w:rFonts w:ascii="Times New Roman" w:hAnsi="Times New Roman" w:cs="Times New Roman" w:hint="eastAsia"/>
            <w:sz w:val="20"/>
            <w:szCs w:val="20"/>
            <w:shd w:val="clear" w:color="auto" w:fill="FFFFFF"/>
            <w:lang w:eastAsia="zh-CN"/>
          </w:rPr>
          <w:t>2</w:t>
        </w:r>
      </w:hyperlink>
      <w:r w:rsidRPr="00AE1008">
        <w:rPr>
          <w:rFonts w:ascii="Times New Roman" w:hAnsi="Times New Roman" w:cs="Times New Roman"/>
          <w:color w:val="000000"/>
          <w:sz w:val="20"/>
          <w:szCs w:val="20"/>
          <w:shd w:val="clear" w:color="auto" w:fill="FFFFFF"/>
        </w:rPr>
        <w:t>.</w:t>
      </w:r>
    </w:p>
    <w:p w:rsidR="006B5CBC" w:rsidRPr="00AE1008" w:rsidRDefault="006B5CBC" w:rsidP="00FF65F3">
      <w:pPr>
        <w:snapToGrid w:val="0"/>
        <w:spacing w:after="0" w:line="240" w:lineRule="auto"/>
        <w:contextualSpacing/>
        <w:jc w:val="both"/>
        <w:rPr>
          <w:rFonts w:ascii="Times New Roman" w:hAnsi="Times New Roman" w:cs="Times New Roman"/>
          <w:sz w:val="20"/>
          <w:szCs w:val="20"/>
          <w:lang w:eastAsia="zh-CN"/>
        </w:rPr>
      </w:pPr>
    </w:p>
    <w:p w:rsidR="006B5CBC" w:rsidRPr="00AE1008" w:rsidRDefault="006B5CBC" w:rsidP="00FF65F3">
      <w:pPr>
        <w:snapToGrid w:val="0"/>
        <w:spacing w:after="0" w:line="240" w:lineRule="auto"/>
        <w:contextualSpacing/>
        <w:jc w:val="both"/>
        <w:rPr>
          <w:rFonts w:ascii="Times New Roman" w:hAnsi="Times New Roman" w:cs="Times New Roman"/>
          <w:b/>
          <w:bCs/>
          <w:sz w:val="20"/>
          <w:szCs w:val="20"/>
          <w:lang w:eastAsia="zh-CN"/>
        </w:rPr>
      </w:pPr>
      <w:r w:rsidRPr="00AE1008">
        <w:rPr>
          <w:rFonts w:ascii="Times New Roman" w:hAnsi="Times New Roman" w:cs="Times New Roman" w:hint="eastAsia"/>
          <w:b/>
          <w:sz w:val="20"/>
          <w:szCs w:val="20"/>
          <w:lang w:eastAsia="zh-CN"/>
        </w:rPr>
        <w:t xml:space="preserve">Keywords: </w:t>
      </w:r>
      <w:r w:rsidRPr="00AE1008">
        <w:rPr>
          <w:rFonts w:ascii="Times New Roman" w:eastAsia="Times New Roman" w:hAnsi="Times New Roman" w:cs="Times New Roman"/>
          <w:bCs/>
          <w:sz w:val="20"/>
          <w:szCs w:val="20"/>
        </w:rPr>
        <w:t>Energy</w:t>
      </w:r>
      <w:r w:rsidRPr="00AE1008">
        <w:rPr>
          <w:rFonts w:ascii="Times New Roman" w:hAnsi="Times New Roman" w:cs="Times New Roman" w:hint="eastAsia"/>
          <w:bCs/>
          <w:sz w:val="20"/>
          <w:szCs w:val="20"/>
          <w:lang w:eastAsia="zh-CN"/>
        </w:rPr>
        <w:t>;</w:t>
      </w:r>
      <w:r w:rsidRPr="00AE1008">
        <w:rPr>
          <w:rFonts w:ascii="Times New Roman" w:eastAsia="Times New Roman" w:hAnsi="Times New Roman" w:cs="Times New Roman"/>
          <w:bCs/>
          <w:sz w:val="20"/>
          <w:szCs w:val="20"/>
        </w:rPr>
        <w:t xml:space="preserve"> Nutrient</w:t>
      </w:r>
      <w:r w:rsidRPr="00AE1008">
        <w:rPr>
          <w:rFonts w:ascii="Times New Roman" w:hAnsi="Times New Roman" w:cs="Times New Roman" w:hint="eastAsia"/>
          <w:bCs/>
          <w:sz w:val="20"/>
          <w:szCs w:val="20"/>
          <w:lang w:eastAsia="zh-CN"/>
        </w:rPr>
        <w:t>;</w:t>
      </w:r>
      <w:r w:rsidRPr="00AE1008">
        <w:rPr>
          <w:rFonts w:ascii="Times New Roman" w:eastAsia="Times New Roman" w:hAnsi="Times New Roman" w:cs="Times New Roman"/>
          <w:bCs/>
          <w:sz w:val="20"/>
          <w:szCs w:val="20"/>
        </w:rPr>
        <w:t xml:space="preserve"> Intake</w:t>
      </w:r>
      <w:r w:rsidRPr="00AE1008">
        <w:rPr>
          <w:rFonts w:ascii="Times New Roman" w:hAnsi="Times New Roman" w:cs="Times New Roman" w:hint="eastAsia"/>
          <w:bCs/>
          <w:sz w:val="20"/>
          <w:szCs w:val="20"/>
          <w:lang w:eastAsia="zh-CN"/>
        </w:rPr>
        <w:t>;</w:t>
      </w:r>
      <w:r w:rsidRPr="00AE1008">
        <w:rPr>
          <w:rFonts w:ascii="Times New Roman" w:eastAsia="Times New Roman" w:hAnsi="Times New Roman" w:cs="Times New Roman"/>
          <w:bCs/>
          <w:sz w:val="20"/>
          <w:szCs w:val="20"/>
        </w:rPr>
        <w:t xml:space="preserve"> Children</w:t>
      </w:r>
      <w:r w:rsidRPr="00AE1008">
        <w:rPr>
          <w:rFonts w:ascii="Times New Roman" w:hAnsi="Times New Roman" w:cs="Times New Roman" w:hint="eastAsia"/>
          <w:bCs/>
          <w:sz w:val="20"/>
          <w:szCs w:val="20"/>
          <w:lang w:eastAsia="zh-CN"/>
        </w:rPr>
        <w:t>;</w:t>
      </w:r>
      <w:r w:rsidRPr="00AE1008">
        <w:rPr>
          <w:rFonts w:ascii="Times New Roman" w:eastAsia="Times New Roman" w:hAnsi="Times New Roman" w:cs="Times New Roman"/>
          <w:bCs/>
          <w:sz w:val="20"/>
          <w:szCs w:val="20"/>
        </w:rPr>
        <w:t xml:space="preserve"> Upper Egypt Governorate</w:t>
      </w:r>
    </w:p>
    <w:p w:rsidR="00B84F41" w:rsidRPr="00AE1008" w:rsidRDefault="00F25EDD" w:rsidP="00FF65F3">
      <w:pPr>
        <w:snapToGrid w:val="0"/>
        <w:spacing w:after="0" w:line="240" w:lineRule="auto"/>
        <w:jc w:val="both"/>
        <w:rPr>
          <w:rFonts w:ascii="Times New Roman" w:eastAsia="Times New Roman" w:hAnsi="Times New Roman" w:cs="Times New Roman"/>
          <w:b/>
          <w:bCs/>
          <w:sz w:val="20"/>
          <w:szCs w:val="20"/>
        </w:rPr>
        <w:sectPr w:rsidR="00B84F41" w:rsidRPr="00AE1008" w:rsidSect="00A92AED">
          <w:headerReference w:type="default" r:id="rId11"/>
          <w:footerReference w:type="default" r:id="rId12"/>
          <w:type w:val="continuous"/>
          <w:pgSz w:w="12240" w:h="15840" w:code="1"/>
          <w:pgMar w:top="1440" w:right="1440" w:bottom="1440" w:left="1440" w:header="720" w:footer="720" w:gutter="0"/>
          <w:pgNumType w:start="8"/>
          <w:cols w:space="720"/>
          <w:docGrid w:linePitch="360"/>
        </w:sectPr>
      </w:pPr>
      <w:r w:rsidRPr="00AE1008">
        <w:rPr>
          <w:rFonts w:ascii="Times New Roman" w:eastAsia="Times New Roman" w:hAnsi="Times New Roman" w:cs="Times New Roman"/>
          <w:b/>
          <w:bCs/>
          <w:sz w:val="20"/>
          <w:szCs w:val="20"/>
        </w:rPr>
        <w:cr/>
      </w:r>
    </w:p>
    <w:p w:rsidR="00FB56D5" w:rsidRPr="00AE1008" w:rsidRDefault="008F562F"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lastRenderedPageBreak/>
        <w:t xml:space="preserve">1. </w:t>
      </w:r>
      <w:r w:rsidR="00FB56D5" w:rsidRPr="00AE1008">
        <w:rPr>
          <w:rFonts w:ascii="Times New Roman" w:eastAsia="Times New Roman" w:hAnsi="Times New Roman" w:cs="Times New Roman"/>
          <w:b/>
          <w:bCs/>
          <w:sz w:val="20"/>
          <w:szCs w:val="20"/>
        </w:rPr>
        <w:t>Introduction</w:t>
      </w:r>
    </w:p>
    <w:p w:rsidR="008F562F" w:rsidRPr="00AE1008" w:rsidRDefault="00FB56D5" w:rsidP="00FF65F3">
      <w:pPr>
        <w:tabs>
          <w:tab w:val="left" w:pos="435"/>
        </w:tabs>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Malnutrition in Egypt is in a state of “Silent Emergency” and there it demand greater priority than ever befor</w:t>
      </w:r>
      <w:r w:rsidR="00F25EDD" w:rsidRPr="00AE1008">
        <w:rPr>
          <w:rFonts w:ascii="Times New Roman" w:eastAsia="Calibri" w:hAnsi="Times New Roman" w:cs="Times New Roman"/>
          <w:sz w:val="20"/>
          <w:szCs w:val="20"/>
        </w:rPr>
        <w:t>e (</w:t>
      </w:r>
      <w:r w:rsidRPr="00AE1008">
        <w:rPr>
          <w:rFonts w:ascii="Times New Roman" w:eastAsia="Calibri" w:hAnsi="Times New Roman" w:cs="Times New Roman"/>
          <w:sz w:val="20"/>
          <w:szCs w:val="20"/>
        </w:rPr>
        <w:t>EDHS, 2014 )</w:t>
      </w:r>
      <w:r w:rsidR="00B84F41" w:rsidRPr="00AE1008">
        <w:rPr>
          <w:rFonts w:ascii="Times New Roman" w:eastAsia="Calibri" w:hAnsi="Times New Roman" w:cs="Times New Roman"/>
          <w:sz w:val="20"/>
          <w:szCs w:val="20"/>
        </w:rPr>
        <w:t>. E</w:t>
      </w:r>
      <w:r w:rsidR="004F7A68" w:rsidRPr="00AE1008">
        <w:rPr>
          <w:rFonts w:ascii="Times New Roman" w:eastAsia="Calibri" w:hAnsi="Times New Roman" w:cs="Times New Roman"/>
          <w:sz w:val="20"/>
          <w:szCs w:val="20"/>
        </w:rPr>
        <w:t xml:space="preserve">gyptian National Nutrition Institute and other research </w:t>
      </w:r>
      <w:proofErr w:type="spellStart"/>
      <w:r w:rsidR="004F7A68" w:rsidRPr="00AE1008">
        <w:rPr>
          <w:rFonts w:ascii="Times New Roman" w:eastAsia="Calibri" w:hAnsi="Times New Roman" w:cs="Times New Roman"/>
          <w:sz w:val="20"/>
          <w:szCs w:val="20"/>
        </w:rPr>
        <w:t>centres</w:t>
      </w:r>
      <w:proofErr w:type="spellEnd"/>
      <w:r w:rsidR="004F7A68" w:rsidRPr="00AE1008">
        <w:rPr>
          <w:rFonts w:ascii="Times New Roman" w:eastAsia="Calibri" w:hAnsi="Times New Roman" w:cs="Times New Roman"/>
          <w:sz w:val="20"/>
          <w:szCs w:val="20"/>
        </w:rPr>
        <w:t xml:space="preserve"> recently reported </w:t>
      </w:r>
      <w:r w:rsidRPr="00AE1008">
        <w:rPr>
          <w:rFonts w:ascii="Times New Roman" w:eastAsia="Calibri" w:hAnsi="Times New Roman" w:cs="Times New Roman"/>
          <w:sz w:val="20"/>
          <w:szCs w:val="20"/>
        </w:rPr>
        <w:t xml:space="preserve">that malnutrition was </w:t>
      </w:r>
      <w:r w:rsidR="000D638E" w:rsidRPr="00AE1008">
        <w:rPr>
          <w:rFonts w:ascii="Times New Roman" w:eastAsia="Calibri" w:hAnsi="Times New Roman" w:cs="Times New Roman"/>
          <w:sz w:val="20"/>
          <w:szCs w:val="20"/>
        </w:rPr>
        <w:t>remain</w:t>
      </w:r>
      <w:r w:rsidRPr="00AE1008">
        <w:rPr>
          <w:rFonts w:ascii="Times New Roman" w:eastAsia="Calibri" w:hAnsi="Times New Roman" w:cs="Times New Roman"/>
          <w:sz w:val="20"/>
          <w:szCs w:val="20"/>
        </w:rPr>
        <w:t xml:space="preserve"> a </w:t>
      </w:r>
      <w:r w:rsidR="000D638E" w:rsidRPr="00AE1008">
        <w:rPr>
          <w:rFonts w:ascii="Times New Roman" w:eastAsia="Calibri" w:hAnsi="Times New Roman" w:cs="Times New Roman"/>
          <w:sz w:val="20"/>
          <w:szCs w:val="20"/>
        </w:rPr>
        <w:t>main</w:t>
      </w:r>
      <w:r w:rsidRPr="00AE1008">
        <w:rPr>
          <w:rFonts w:ascii="Times New Roman" w:eastAsia="Calibri" w:hAnsi="Times New Roman" w:cs="Times New Roman"/>
          <w:sz w:val="20"/>
          <w:szCs w:val="20"/>
        </w:rPr>
        <w:t xml:space="preserve"> health problem in Egyptian community </w:t>
      </w:r>
      <w:r w:rsidR="000D638E" w:rsidRPr="00AE1008">
        <w:rPr>
          <w:rFonts w:ascii="Times New Roman" w:eastAsia="Calibri" w:hAnsi="Times New Roman" w:cs="Times New Roman"/>
          <w:sz w:val="20"/>
          <w:szCs w:val="20"/>
        </w:rPr>
        <w:t>between</w:t>
      </w:r>
      <w:r w:rsidRPr="00AE1008">
        <w:rPr>
          <w:rFonts w:ascii="Times New Roman" w:eastAsia="Calibri" w:hAnsi="Times New Roman" w:cs="Times New Roman"/>
          <w:sz w:val="20"/>
          <w:szCs w:val="20"/>
        </w:rPr>
        <w:t xml:space="preserve"> different age </w:t>
      </w:r>
      <w:r w:rsidR="000D638E" w:rsidRPr="00AE1008">
        <w:rPr>
          <w:rFonts w:ascii="Times New Roman" w:eastAsia="Calibri" w:hAnsi="Times New Roman" w:cs="Times New Roman"/>
          <w:sz w:val="20"/>
          <w:szCs w:val="20"/>
        </w:rPr>
        <w:t>sets</w:t>
      </w:r>
      <w:r w:rsidRPr="00AE1008">
        <w:rPr>
          <w:rFonts w:ascii="Times New Roman" w:eastAsia="Calibri" w:hAnsi="Times New Roman" w:cs="Times New Roman"/>
          <w:sz w:val="20"/>
          <w:szCs w:val="20"/>
        </w:rPr>
        <w:t xml:space="preserve"> and </w:t>
      </w:r>
      <w:r w:rsidR="000D638E" w:rsidRPr="00AE1008">
        <w:rPr>
          <w:rFonts w:ascii="Times New Roman" w:eastAsia="Calibri" w:hAnsi="Times New Roman" w:cs="Times New Roman"/>
          <w:sz w:val="20"/>
          <w:szCs w:val="20"/>
        </w:rPr>
        <w:t xml:space="preserve">within different </w:t>
      </w:r>
      <w:r w:rsidRPr="00AE1008">
        <w:rPr>
          <w:rFonts w:ascii="Times New Roman" w:eastAsia="Calibri" w:hAnsi="Times New Roman" w:cs="Times New Roman"/>
          <w:sz w:val="20"/>
          <w:szCs w:val="20"/>
        </w:rPr>
        <w:t>socio-economic classes (</w:t>
      </w:r>
      <w:proofErr w:type="spellStart"/>
      <w:r w:rsidRPr="00AE1008">
        <w:rPr>
          <w:rFonts w:ascii="Times New Roman" w:eastAsia="Calibri" w:hAnsi="Times New Roman" w:cs="Times New Roman"/>
          <w:sz w:val="20"/>
          <w:szCs w:val="20"/>
        </w:rPr>
        <w:t>Emam</w:t>
      </w:r>
      <w:proofErr w:type="spellEnd"/>
      <w:r w:rsidRPr="00AE1008">
        <w:rPr>
          <w:rFonts w:ascii="Times New Roman" w:eastAsia="Calibri" w:hAnsi="Times New Roman" w:cs="Times New Roman"/>
          <w:sz w:val="20"/>
          <w:szCs w:val="20"/>
        </w:rPr>
        <w:t>, et al</w:t>
      </w:r>
      <w:r w:rsidR="000D638E"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,2005). </w:t>
      </w:r>
      <w:r w:rsidR="00BF4D79" w:rsidRPr="00AE1008">
        <w:rPr>
          <w:rFonts w:ascii="Times New Roman" w:eastAsia="Calibri" w:hAnsi="Times New Roman" w:cs="Times New Roman"/>
          <w:sz w:val="20"/>
          <w:szCs w:val="20"/>
        </w:rPr>
        <w:t>Initial infantile</w:t>
      </w:r>
      <w:r w:rsidRPr="00AE1008">
        <w:rPr>
          <w:rFonts w:ascii="Times New Roman" w:eastAsia="Calibri" w:hAnsi="Times New Roman" w:cs="Times New Roman"/>
          <w:sz w:val="20"/>
          <w:szCs w:val="20"/>
        </w:rPr>
        <w:t xml:space="preserve"> is a period of </w:t>
      </w:r>
      <w:r w:rsidR="00BF4D79" w:rsidRPr="00AE1008">
        <w:rPr>
          <w:rFonts w:ascii="Times New Roman" w:eastAsia="Calibri" w:hAnsi="Times New Roman" w:cs="Times New Roman"/>
          <w:sz w:val="20"/>
          <w:szCs w:val="20"/>
        </w:rPr>
        <w:t>fast development</w:t>
      </w:r>
      <w:r w:rsidRPr="00AE1008">
        <w:rPr>
          <w:rFonts w:ascii="Times New Roman" w:eastAsia="Calibri" w:hAnsi="Times New Roman" w:cs="Times New Roman"/>
          <w:sz w:val="20"/>
          <w:szCs w:val="20"/>
        </w:rPr>
        <w:t xml:space="preserve">, </w:t>
      </w:r>
      <w:r w:rsidR="000D638E" w:rsidRPr="00AE1008">
        <w:rPr>
          <w:rFonts w:ascii="Times New Roman" w:eastAsia="Calibri" w:hAnsi="Times New Roman" w:cs="Times New Roman"/>
          <w:sz w:val="20"/>
          <w:szCs w:val="20"/>
        </w:rPr>
        <w:t>concomitant</w:t>
      </w:r>
      <w:r w:rsidRPr="00AE1008">
        <w:rPr>
          <w:rFonts w:ascii="Times New Roman" w:eastAsia="Calibri" w:hAnsi="Times New Roman" w:cs="Times New Roman"/>
          <w:sz w:val="20"/>
          <w:szCs w:val="20"/>
        </w:rPr>
        <w:t xml:space="preserve"> with changing </w:t>
      </w:r>
      <w:r w:rsidR="000D638E" w:rsidRPr="00AE1008">
        <w:rPr>
          <w:rFonts w:ascii="Times New Roman" w:eastAsia="Calibri" w:hAnsi="Times New Roman" w:cs="Times New Roman"/>
          <w:sz w:val="20"/>
          <w:szCs w:val="20"/>
        </w:rPr>
        <w:t xml:space="preserve">in the </w:t>
      </w:r>
      <w:r w:rsidRPr="00AE1008">
        <w:rPr>
          <w:rFonts w:ascii="Times New Roman" w:eastAsia="Calibri" w:hAnsi="Times New Roman" w:cs="Times New Roman"/>
          <w:sz w:val="20"/>
          <w:szCs w:val="20"/>
        </w:rPr>
        <w:t xml:space="preserve">physiologic </w:t>
      </w:r>
      <w:r w:rsidR="000D638E" w:rsidRPr="00AE1008">
        <w:rPr>
          <w:rFonts w:ascii="Times New Roman" w:eastAsia="Calibri" w:hAnsi="Times New Roman" w:cs="Times New Roman"/>
          <w:sz w:val="20"/>
          <w:szCs w:val="20"/>
        </w:rPr>
        <w:t>and</w:t>
      </w:r>
      <w:r w:rsidR="00BF4D79" w:rsidRPr="00AE1008">
        <w:rPr>
          <w:rFonts w:ascii="Times New Roman" w:eastAsia="Calibri" w:hAnsi="Times New Roman" w:cs="Times New Roman"/>
          <w:sz w:val="20"/>
          <w:szCs w:val="20"/>
        </w:rPr>
        <w:t xml:space="preserve"> nutritional </w:t>
      </w:r>
      <w:r w:rsidR="002108CB" w:rsidRPr="00AE1008">
        <w:rPr>
          <w:rFonts w:ascii="Times New Roman" w:eastAsia="Calibri" w:hAnsi="Times New Roman" w:cs="Times New Roman"/>
          <w:sz w:val="20"/>
          <w:szCs w:val="20"/>
        </w:rPr>
        <w:t xml:space="preserve">requirements. </w:t>
      </w:r>
      <w:r w:rsidR="000D638E" w:rsidRPr="00AE1008">
        <w:rPr>
          <w:rFonts w:ascii="Times New Roman" w:eastAsia="Calibri" w:hAnsi="Times New Roman" w:cs="Times New Roman"/>
          <w:sz w:val="20"/>
          <w:szCs w:val="20"/>
        </w:rPr>
        <w:t>Nowadays, t</w:t>
      </w:r>
      <w:r w:rsidRPr="00AE1008">
        <w:rPr>
          <w:rFonts w:ascii="Times New Roman" w:eastAsia="Calibri" w:hAnsi="Times New Roman" w:cs="Times New Roman"/>
          <w:sz w:val="20"/>
          <w:szCs w:val="20"/>
        </w:rPr>
        <w:t xml:space="preserve">here is </w:t>
      </w:r>
      <w:r w:rsidR="000D638E" w:rsidRPr="00AE1008">
        <w:rPr>
          <w:rFonts w:ascii="Times New Roman" w:eastAsia="Calibri" w:hAnsi="Times New Roman" w:cs="Times New Roman"/>
          <w:sz w:val="20"/>
          <w:szCs w:val="20"/>
        </w:rPr>
        <w:t>increasing</w:t>
      </w:r>
      <w:r w:rsidR="00BF4D79" w:rsidRPr="00AE1008">
        <w:rPr>
          <w:rFonts w:ascii="Times New Roman" w:eastAsia="Calibri" w:hAnsi="Times New Roman" w:cs="Times New Roman"/>
          <w:sz w:val="20"/>
          <w:szCs w:val="20"/>
        </w:rPr>
        <w:t xml:space="preserve"> indications proposing</w:t>
      </w:r>
      <w:r w:rsidRPr="00AE1008">
        <w:rPr>
          <w:rFonts w:ascii="Times New Roman" w:eastAsia="Calibri" w:hAnsi="Times New Roman" w:cs="Times New Roman"/>
          <w:sz w:val="20"/>
          <w:szCs w:val="20"/>
        </w:rPr>
        <w:t xml:space="preserve"> that early childhood is a </w:t>
      </w:r>
      <w:r w:rsidR="00BF4D79" w:rsidRPr="00AE1008">
        <w:rPr>
          <w:rFonts w:ascii="Times New Roman" w:eastAsia="Calibri" w:hAnsi="Times New Roman" w:cs="Times New Roman"/>
          <w:sz w:val="20"/>
          <w:szCs w:val="20"/>
        </w:rPr>
        <w:t>serious phase</w:t>
      </w:r>
      <w:r w:rsidRPr="00AE1008">
        <w:rPr>
          <w:rFonts w:ascii="Times New Roman" w:eastAsia="Calibri" w:hAnsi="Times New Roman" w:cs="Times New Roman"/>
          <w:sz w:val="20"/>
          <w:szCs w:val="20"/>
        </w:rPr>
        <w:t xml:space="preserve"> during which </w:t>
      </w:r>
      <w:r w:rsidR="000D638E" w:rsidRPr="00AE1008">
        <w:rPr>
          <w:rFonts w:ascii="Times New Roman" w:eastAsia="Calibri" w:hAnsi="Times New Roman" w:cs="Times New Roman"/>
          <w:sz w:val="20"/>
          <w:szCs w:val="20"/>
        </w:rPr>
        <w:t>vulnerability</w:t>
      </w:r>
      <w:r w:rsidRPr="00AE1008">
        <w:rPr>
          <w:rFonts w:ascii="Times New Roman" w:eastAsia="Calibri" w:hAnsi="Times New Roman" w:cs="Times New Roman"/>
          <w:sz w:val="20"/>
          <w:szCs w:val="20"/>
        </w:rPr>
        <w:t xml:space="preserve"> to </w:t>
      </w:r>
      <w:r w:rsidR="000D638E" w:rsidRPr="00AE1008">
        <w:rPr>
          <w:rFonts w:ascii="Times New Roman" w:eastAsia="Calibri" w:hAnsi="Times New Roman" w:cs="Times New Roman"/>
          <w:sz w:val="20"/>
          <w:szCs w:val="20"/>
        </w:rPr>
        <w:t xml:space="preserve">several </w:t>
      </w:r>
      <w:r w:rsidRPr="00AE1008">
        <w:rPr>
          <w:rFonts w:ascii="Times New Roman" w:eastAsia="Calibri" w:hAnsi="Times New Roman" w:cs="Times New Roman"/>
          <w:sz w:val="20"/>
          <w:szCs w:val="20"/>
        </w:rPr>
        <w:t>chronic diseases is</w:t>
      </w:r>
      <w:r w:rsidR="000D638E" w:rsidRPr="00AE1008">
        <w:rPr>
          <w:rFonts w:ascii="Times New Roman" w:eastAsia="Calibri" w:hAnsi="Times New Roman" w:cs="Times New Roman"/>
          <w:sz w:val="20"/>
          <w:szCs w:val="20"/>
        </w:rPr>
        <w:t xml:space="preserve"> recognized</w:t>
      </w:r>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Bouret</w:t>
      </w:r>
      <w:proofErr w:type="spellEnd"/>
      <w:r w:rsidRPr="00AE1008">
        <w:rPr>
          <w:rFonts w:ascii="Times New Roman" w:eastAsia="Calibri" w:hAnsi="Times New Roman" w:cs="Times New Roman"/>
          <w:sz w:val="20"/>
          <w:szCs w:val="20"/>
        </w:rPr>
        <w:t>,</w:t>
      </w:r>
      <w:r w:rsidR="007A2BA0" w:rsidRPr="00AE1008">
        <w:rPr>
          <w:rFonts w:ascii="Times New Roman" w:hAnsi="Times New Roman" w:cs="Times New Roman" w:hint="eastAsia"/>
          <w:sz w:val="20"/>
          <w:szCs w:val="20"/>
          <w:lang w:eastAsia="zh-CN"/>
        </w:rPr>
        <w:t xml:space="preserve"> </w:t>
      </w:r>
      <w:r w:rsidRPr="00AE1008">
        <w:rPr>
          <w:rFonts w:ascii="Times New Roman" w:eastAsia="Calibri" w:hAnsi="Times New Roman" w:cs="Times New Roman"/>
          <w:sz w:val="20"/>
          <w:szCs w:val="20"/>
        </w:rPr>
        <w:t>2010). Nutrition</w:t>
      </w:r>
      <w:r w:rsidR="000D638E" w:rsidRPr="00AE1008">
        <w:rPr>
          <w:rFonts w:ascii="Times New Roman" w:eastAsia="Calibri" w:hAnsi="Times New Roman" w:cs="Times New Roman"/>
          <w:sz w:val="20"/>
          <w:szCs w:val="20"/>
        </w:rPr>
        <w:t xml:space="preserve"> is very essential during the different developmental stages of </w:t>
      </w:r>
      <w:r w:rsidR="00BF4D79" w:rsidRPr="00AE1008">
        <w:rPr>
          <w:rFonts w:ascii="Times New Roman" w:eastAsia="Calibri" w:hAnsi="Times New Roman" w:cs="Times New Roman"/>
          <w:sz w:val="20"/>
          <w:szCs w:val="20"/>
        </w:rPr>
        <w:t>infants and</w:t>
      </w:r>
      <w:r w:rsidRPr="00AE1008">
        <w:rPr>
          <w:rFonts w:ascii="Times New Roman" w:eastAsia="Calibri" w:hAnsi="Times New Roman" w:cs="Times New Roman"/>
          <w:sz w:val="20"/>
          <w:szCs w:val="20"/>
        </w:rPr>
        <w:t xml:space="preserve"> the </w:t>
      </w:r>
      <w:r w:rsidR="009A487B" w:rsidRPr="00AE1008">
        <w:rPr>
          <w:rFonts w:ascii="Times New Roman" w:eastAsia="Calibri" w:hAnsi="Times New Roman" w:cs="Times New Roman"/>
          <w:sz w:val="20"/>
          <w:szCs w:val="20"/>
        </w:rPr>
        <w:t>penalties</w:t>
      </w:r>
      <w:r w:rsidRPr="00AE1008">
        <w:rPr>
          <w:rFonts w:ascii="Times New Roman" w:eastAsia="Calibri" w:hAnsi="Times New Roman" w:cs="Times New Roman"/>
          <w:sz w:val="20"/>
          <w:szCs w:val="20"/>
        </w:rPr>
        <w:t xml:space="preserve"> of under and/or over nutrition in early life have been well </w:t>
      </w:r>
      <w:r w:rsidR="009A487B" w:rsidRPr="00AE1008">
        <w:rPr>
          <w:rFonts w:ascii="Times New Roman" w:eastAsia="Calibri" w:hAnsi="Times New Roman" w:cs="Times New Roman"/>
          <w:sz w:val="20"/>
          <w:szCs w:val="20"/>
        </w:rPr>
        <w:t>established</w:t>
      </w:r>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Martorell</w:t>
      </w:r>
      <w:proofErr w:type="spellEnd"/>
      <w:r w:rsidRPr="00AE1008">
        <w:rPr>
          <w:rFonts w:ascii="Times New Roman" w:eastAsia="Calibri" w:hAnsi="Times New Roman" w:cs="Times New Roman"/>
          <w:sz w:val="20"/>
          <w:szCs w:val="20"/>
        </w:rPr>
        <w:t xml:space="preserve"> et al., 2001). The </w:t>
      </w:r>
      <w:r w:rsidR="009A487B" w:rsidRPr="00AE1008">
        <w:rPr>
          <w:rFonts w:ascii="Times New Roman" w:eastAsia="Calibri" w:hAnsi="Times New Roman" w:cs="Times New Roman"/>
          <w:sz w:val="20"/>
          <w:szCs w:val="20"/>
        </w:rPr>
        <w:t>valuation</w:t>
      </w:r>
      <w:r w:rsidRPr="00AE1008">
        <w:rPr>
          <w:rFonts w:ascii="Times New Roman" w:eastAsia="Calibri" w:hAnsi="Times New Roman" w:cs="Times New Roman"/>
          <w:sz w:val="20"/>
          <w:szCs w:val="20"/>
        </w:rPr>
        <w:t xml:space="preserve"> of dietary </w:t>
      </w:r>
      <w:r w:rsidR="009A487B" w:rsidRPr="00AE1008">
        <w:rPr>
          <w:rFonts w:ascii="Times New Roman" w:eastAsia="Calibri" w:hAnsi="Times New Roman" w:cs="Times New Roman"/>
          <w:sz w:val="20"/>
          <w:szCs w:val="20"/>
        </w:rPr>
        <w:t>eating</w:t>
      </w:r>
      <w:r w:rsidRPr="00AE1008">
        <w:rPr>
          <w:rFonts w:ascii="Times New Roman" w:eastAsia="Calibri" w:hAnsi="Times New Roman" w:cs="Times New Roman"/>
          <w:sz w:val="20"/>
          <w:szCs w:val="20"/>
        </w:rPr>
        <w:t xml:space="preserve"> is </w:t>
      </w:r>
      <w:r w:rsidR="00BF4D79" w:rsidRPr="00AE1008">
        <w:rPr>
          <w:rFonts w:ascii="Times New Roman" w:eastAsia="Calibri" w:hAnsi="Times New Roman" w:cs="Times New Roman"/>
          <w:sz w:val="20"/>
          <w:szCs w:val="20"/>
        </w:rPr>
        <w:t>hence critical</w:t>
      </w:r>
      <w:r w:rsidRPr="00AE1008">
        <w:rPr>
          <w:rFonts w:ascii="Times New Roman" w:eastAsia="Calibri" w:hAnsi="Times New Roman" w:cs="Times New Roman"/>
          <w:sz w:val="20"/>
          <w:szCs w:val="20"/>
        </w:rPr>
        <w:t xml:space="preserve"> for </w:t>
      </w:r>
      <w:r w:rsidR="009A487B" w:rsidRPr="00AE1008">
        <w:rPr>
          <w:rFonts w:ascii="Times New Roman" w:eastAsia="Calibri" w:hAnsi="Times New Roman" w:cs="Times New Roman"/>
          <w:sz w:val="20"/>
          <w:szCs w:val="20"/>
        </w:rPr>
        <w:t>observing</w:t>
      </w:r>
      <w:r w:rsidRPr="00AE1008">
        <w:rPr>
          <w:rFonts w:ascii="Times New Roman" w:eastAsia="Calibri" w:hAnsi="Times New Roman" w:cs="Times New Roman"/>
          <w:sz w:val="20"/>
          <w:szCs w:val="20"/>
        </w:rPr>
        <w:t xml:space="preserve"> the nutritional</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Status of preschool child </w:t>
      </w:r>
      <w:r w:rsidR="009A487B" w:rsidRPr="00AE1008">
        <w:rPr>
          <w:rFonts w:ascii="Times New Roman" w:eastAsia="Calibri" w:hAnsi="Times New Roman" w:cs="Times New Roman"/>
          <w:sz w:val="20"/>
          <w:szCs w:val="20"/>
        </w:rPr>
        <w:t>residents</w:t>
      </w:r>
      <w:r w:rsidRPr="00AE1008">
        <w:rPr>
          <w:rFonts w:ascii="Times New Roman" w:eastAsia="Calibri" w:hAnsi="Times New Roman" w:cs="Times New Roman"/>
          <w:sz w:val="20"/>
          <w:szCs w:val="20"/>
        </w:rPr>
        <w:t xml:space="preserve">, as well as for </w:t>
      </w:r>
      <w:r w:rsidR="009A487B" w:rsidRPr="00AE1008">
        <w:rPr>
          <w:rFonts w:ascii="Times New Roman" w:eastAsia="Calibri" w:hAnsi="Times New Roman" w:cs="Times New Roman"/>
          <w:sz w:val="20"/>
          <w:szCs w:val="20"/>
        </w:rPr>
        <w:t>directing</w:t>
      </w:r>
      <w:r w:rsidRPr="00AE1008">
        <w:rPr>
          <w:rFonts w:ascii="Times New Roman" w:eastAsia="Calibri" w:hAnsi="Times New Roman" w:cs="Times New Roman"/>
          <w:sz w:val="20"/>
          <w:szCs w:val="20"/>
        </w:rPr>
        <w:t xml:space="preserve"> epidemiologic research on the </w:t>
      </w:r>
      <w:r w:rsidR="009A487B" w:rsidRPr="00AE1008">
        <w:rPr>
          <w:rFonts w:ascii="Times New Roman" w:eastAsia="Calibri" w:hAnsi="Times New Roman" w:cs="Times New Roman"/>
          <w:sz w:val="20"/>
          <w:szCs w:val="20"/>
        </w:rPr>
        <w:t>relationship</w:t>
      </w:r>
      <w:r w:rsidRPr="00AE1008">
        <w:rPr>
          <w:rFonts w:ascii="Times New Roman" w:eastAsia="Calibri" w:hAnsi="Times New Roman" w:cs="Times New Roman"/>
          <w:sz w:val="20"/>
          <w:szCs w:val="20"/>
        </w:rPr>
        <w:t xml:space="preserve"> between diet and health in </w:t>
      </w:r>
      <w:r w:rsidR="009A487B" w:rsidRPr="00AE1008">
        <w:rPr>
          <w:rFonts w:ascii="Times New Roman" w:eastAsia="Calibri" w:hAnsi="Times New Roman" w:cs="Times New Roman"/>
          <w:sz w:val="20"/>
          <w:szCs w:val="20"/>
        </w:rPr>
        <w:lastRenderedPageBreak/>
        <w:t>different age groups</w:t>
      </w:r>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Serdula</w:t>
      </w:r>
      <w:proofErr w:type="spellEnd"/>
      <w:r w:rsidRPr="00AE1008">
        <w:rPr>
          <w:rFonts w:ascii="Times New Roman" w:eastAsia="Calibri" w:hAnsi="Times New Roman" w:cs="Times New Roman"/>
          <w:sz w:val="20"/>
          <w:szCs w:val="20"/>
        </w:rPr>
        <w:t xml:space="preserve"> et al., 2001)</w:t>
      </w:r>
      <w:r w:rsidR="00B84F41" w:rsidRPr="00AE1008">
        <w:rPr>
          <w:rFonts w:ascii="Times New Roman" w:eastAsia="Calibri" w:hAnsi="Times New Roman" w:cs="Times New Roman"/>
          <w:sz w:val="20"/>
          <w:szCs w:val="20"/>
        </w:rPr>
        <w:t>. O</w:t>
      </w:r>
      <w:r w:rsidR="009A487B" w:rsidRPr="00AE1008">
        <w:rPr>
          <w:rFonts w:ascii="Times New Roman" w:eastAsia="Calibri" w:hAnsi="Times New Roman" w:cs="Times New Roman"/>
          <w:sz w:val="20"/>
          <w:szCs w:val="20"/>
        </w:rPr>
        <w:t xml:space="preserve">ne of the main trace element must be available in the diet of children is the </w:t>
      </w:r>
      <w:r w:rsidRPr="00AE1008">
        <w:rPr>
          <w:rFonts w:ascii="Times New Roman" w:eastAsia="Calibri" w:hAnsi="Times New Roman" w:cs="Times New Roman"/>
          <w:sz w:val="20"/>
          <w:szCs w:val="20"/>
        </w:rPr>
        <w:t xml:space="preserve">zinc (Zn) </w:t>
      </w:r>
      <w:r w:rsidR="009A487B" w:rsidRPr="00AE1008">
        <w:rPr>
          <w:rFonts w:ascii="Times New Roman" w:eastAsia="Calibri" w:hAnsi="Times New Roman" w:cs="Times New Roman"/>
          <w:sz w:val="20"/>
          <w:szCs w:val="20"/>
        </w:rPr>
        <w:t xml:space="preserve">which play an important role in the </w:t>
      </w:r>
      <w:r w:rsidRPr="00AE1008">
        <w:rPr>
          <w:rFonts w:ascii="Times New Roman" w:eastAsia="Calibri" w:hAnsi="Times New Roman" w:cs="Times New Roman"/>
          <w:sz w:val="20"/>
          <w:szCs w:val="20"/>
        </w:rPr>
        <w:t xml:space="preserve">growth and development </w:t>
      </w:r>
      <w:r w:rsidR="008F562F" w:rsidRPr="00AE1008">
        <w:rPr>
          <w:rFonts w:ascii="Times New Roman" w:eastAsia="Calibri" w:hAnsi="Times New Roman" w:cs="Times New Roman"/>
          <w:sz w:val="20"/>
          <w:szCs w:val="20"/>
        </w:rPr>
        <w:t>(Brown et al., 2002).</w:t>
      </w:r>
    </w:p>
    <w:p w:rsidR="008F562F" w:rsidRPr="00AE1008" w:rsidRDefault="000844E0" w:rsidP="00FF65F3">
      <w:pPr>
        <w:tabs>
          <w:tab w:val="left" w:pos="435"/>
        </w:tabs>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 xml:space="preserve">In addition, </w:t>
      </w:r>
      <w:proofErr w:type="spellStart"/>
      <w:r w:rsidRPr="00AE1008">
        <w:rPr>
          <w:rFonts w:ascii="Times New Roman" w:eastAsia="Calibri" w:hAnsi="Times New Roman" w:cs="Times New Roman"/>
          <w:sz w:val="20"/>
          <w:szCs w:val="20"/>
        </w:rPr>
        <w:t>p</w:t>
      </w:r>
      <w:r w:rsidR="00FB56D5" w:rsidRPr="00AE1008">
        <w:rPr>
          <w:rFonts w:ascii="Times New Roman" w:eastAsia="Calibri" w:hAnsi="Times New Roman" w:cs="Times New Roman"/>
          <w:sz w:val="20"/>
          <w:szCs w:val="20"/>
        </w:rPr>
        <w:t>hytic</w:t>
      </w:r>
      <w:proofErr w:type="spellEnd"/>
      <w:r w:rsidR="00FB56D5" w:rsidRPr="00AE1008">
        <w:rPr>
          <w:rFonts w:ascii="Times New Roman" w:eastAsia="Calibri" w:hAnsi="Times New Roman" w:cs="Times New Roman"/>
          <w:sz w:val="20"/>
          <w:szCs w:val="20"/>
        </w:rPr>
        <w:t xml:space="preserve"> acid (PA), a </w:t>
      </w:r>
      <w:r w:rsidRPr="00AE1008">
        <w:rPr>
          <w:rFonts w:ascii="Times New Roman" w:eastAsia="Calibri" w:hAnsi="Times New Roman" w:cs="Times New Roman"/>
          <w:sz w:val="20"/>
          <w:szCs w:val="20"/>
        </w:rPr>
        <w:t>composite</w:t>
      </w:r>
      <w:r w:rsidR="00BF4D79" w:rsidRPr="00AE1008">
        <w:rPr>
          <w:rFonts w:ascii="Times New Roman" w:eastAsia="Calibri" w:hAnsi="Times New Roman" w:cs="Times New Roman"/>
          <w:sz w:val="20"/>
          <w:szCs w:val="20"/>
        </w:rPr>
        <w:t xml:space="preserve"> absolutely present</w:t>
      </w:r>
      <w:r w:rsidR="00FB56D5" w:rsidRPr="00AE1008">
        <w:rPr>
          <w:rFonts w:ascii="Times New Roman" w:eastAsia="Calibri" w:hAnsi="Times New Roman" w:cs="Times New Roman"/>
          <w:sz w:val="20"/>
          <w:szCs w:val="20"/>
        </w:rPr>
        <w:t xml:space="preserve"> in plants, </w:t>
      </w:r>
      <w:r w:rsidRPr="00AE1008">
        <w:rPr>
          <w:rFonts w:ascii="Times New Roman" w:eastAsia="Calibri" w:hAnsi="Times New Roman" w:cs="Times New Roman"/>
          <w:sz w:val="20"/>
          <w:szCs w:val="20"/>
        </w:rPr>
        <w:t xml:space="preserve">which documented that it </w:t>
      </w:r>
      <w:r w:rsidR="00FB56D5" w:rsidRPr="00AE1008">
        <w:rPr>
          <w:rFonts w:ascii="Times New Roman" w:eastAsia="Calibri" w:hAnsi="Times New Roman" w:cs="Times New Roman"/>
          <w:sz w:val="20"/>
          <w:szCs w:val="20"/>
        </w:rPr>
        <w:t xml:space="preserve">plays a </w:t>
      </w:r>
      <w:r w:rsidRPr="00AE1008">
        <w:rPr>
          <w:rFonts w:ascii="Times New Roman" w:eastAsia="Calibri" w:hAnsi="Times New Roman" w:cs="Times New Roman"/>
          <w:sz w:val="20"/>
          <w:szCs w:val="20"/>
        </w:rPr>
        <w:t>chief</w:t>
      </w:r>
      <w:r w:rsidR="00FB56D5" w:rsidRPr="00AE1008">
        <w:rPr>
          <w:rFonts w:ascii="Times New Roman" w:eastAsia="Calibri" w:hAnsi="Times New Roman" w:cs="Times New Roman"/>
          <w:sz w:val="20"/>
          <w:szCs w:val="20"/>
        </w:rPr>
        <w:t xml:space="preserve"> role </w:t>
      </w:r>
      <w:r w:rsidRPr="00AE1008">
        <w:rPr>
          <w:rFonts w:ascii="Times New Roman" w:eastAsia="Calibri" w:hAnsi="Times New Roman" w:cs="Times New Roman"/>
          <w:sz w:val="20"/>
          <w:szCs w:val="20"/>
        </w:rPr>
        <w:t xml:space="preserve">particularly during </w:t>
      </w:r>
      <w:r w:rsidR="00EA6AC2" w:rsidRPr="00AE1008">
        <w:rPr>
          <w:rFonts w:ascii="Times New Roman" w:eastAsia="Calibri" w:hAnsi="Times New Roman" w:cs="Times New Roman"/>
          <w:sz w:val="20"/>
          <w:szCs w:val="20"/>
        </w:rPr>
        <w:t>restriction of Z</w:t>
      </w:r>
      <w:r w:rsidR="00325C39" w:rsidRPr="00AE1008">
        <w:rPr>
          <w:rFonts w:ascii="Times New Roman" w:eastAsia="Calibri" w:hAnsi="Times New Roman" w:cs="Times New Roman"/>
          <w:sz w:val="20"/>
          <w:szCs w:val="20"/>
        </w:rPr>
        <w:t>n</w:t>
      </w:r>
      <w:r w:rsidR="00EA6AC2" w:rsidRPr="00AE1008">
        <w:rPr>
          <w:rFonts w:ascii="Times New Roman" w:eastAsia="Calibri" w:hAnsi="Times New Roman" w:cs="Times New Roman"/>
          <w:sz w:val="20"/>
          <w:szCs w:val="20"/>
        </w:rPr>
        <w:t xml:space="preserve"> and Fe bioavailability </w:t>
      </w:r>
      <w:r w:rsidR="00FB56D5" w:rsidRPr="00AE1008">
        <w:rPr>
          <w:rFonts w:ascii="Times New Roman" w:eastAsia="Calibri" w:hAnsi="Times New Roman" w:cs="Times New Roman"/>
          <w:sz w:val="20"/>
          <w:szCs w:val="20"/>
        </w:rPr>
        <w:t>(Lott</w:t>
      </w:r>
      <w:r w:rsidR="007A2BA0" w:rsidRPr="00AE1008">
        <w:rPr>
          <w:rFonts w:ascii="Times New Roman" w:hAnsi="Times New Roman" w:cs="Times New Roman" w:hint="eastAsia"/>
          <w:sz w:val="20"/>
          <w:szCs w:val="20"/>
          <w:lang w:eastAsia="zh-CN"/>
        </w:rPr>
        <w:t xml:space="preserve"> </w:t>
      </w:r>
      <w:r w:rsidR="00FB56D5" w:rsidRPr="00AE1008">
        <w:rPr>
          <w:rFonts w:ascii="Times New Roman" w:eastAsia="Calibri" w:hAnsi="Times New Roman" w:cs="Times New Roman"/>
          <w:sz w:val="20"/>
          <w:szCs w:val="20"/>
        </w:rPr>
        <w:t xml:space="preserve">et al., 2000). </w:t>
      </w:r>
      <w:r w:rsidR="00325C39" w:rsidRPr="00AE1008">
        <w:rPr>
          <w:rFonts w:ascii="Times New Roman" w:eastAsia="Calibri" w:hAnsi="Times New Roman" w:cs="Times New Roman"/>
          <w:sz w:val="20"/>
          <w:szCs w:val="20"/>
        </w:rPr>
        <w:t xml:space="preserve">From the past decades the importance of Fe and Zn is well documented and their deficiency can coexist </w:t>
      </w:r>
      <w:r w:rsidR="00FB56D5" w:rsidRPr="00AE1008">
        <w:rPr>
          <w:rFonts w:ascii="Times New Roman" w:eastAsia="Calibri" w:hAnsi="Times New Roman" w:cs="Times New Roman"/>
          <w:sz w:val="20"/>
          <w:szCs w:val="20"/>
        </w:rPr>
        <w:t xml:space="preserve">(Lind et al., 2003). </w:t>
      </w:r>
      <w:r w:rsidR="00325C39" w:rsidRPr="00AE1008">
        <w:rPr>
          <w:rFonts w:ascii="Times New Roman" w:eastAsia="Calibri" w:hAnsi="Times New Roman" w:cs="Times New Roman"/>
          <w:sz w:val="20"/>
          <w:szCs w:val="20"/>
        </w:rPr>
        <w:t xml:space="preserve">In China, a </w:t>
      </w:r>
      <w:r w:rsidR="00B94900" w:rsidRPr="00AE1008">
        <w:rPr>
          <w:rFonts w:ascii="Times New Roman" w:eastAsia="Calibri" w:hAnsi="Times New Roman" w:cs="Times New Roman"/>
          <w:sz w:val="20"/>
          <w:szCs w:val="20"/>
        </w:rPr>
        <w:t xml:space="preserve">survey was carried out in </w:t>
      </w:r>
      <w:r w:rsidR="00FB56D5" w:rsidRPr="00AE1008">
        <w:rPr>
          <w:rFonts w:ascii="Times New Roman" w:eastAsia="Calibri" w:hAnsi="Times New Roman" w:cs="Times New Roman"/>
          <w:sz w:val="20"/>
          <w:szCs w:val="20"/>
        </w:rPr>
        <w:t xml:space="preserve">a socioeconomically </w:t>
      </w:r>
      <w:r w:rsidR="00B94900" w:rsidRPr="00AE1008">
        <w:rPr>
          <w:rFonts w:ascii="Times New Roman" w:eastAsia="Calibri" w:hAnsi="Times New Roman" w:cs="Times New Roman"/>
          <w:sz w:val="20"/>
          <w:szCs w:val="20"/>
        </w:rPr>
        <w:t>poor</w:t>
      </w:r>
      <w:r w:rsidR="00FB56D5" w:rsidRPr="00AE1008">
        <w:rPr>
          <w:rFonts w:ascii="Times New Roman" w:eastAsia="Calibri" w:hAnsi="Times New Roman" w:cs="Times New Roman"/>
          <w:sz w:val="20"/>
          <w:szCs w:val="20"/>
        </w:rPr>
        <w:t xml:space="preserve"> area </w:t>
      </w:r>
      <w:r w:rsidR="00B94900" w:rsidRPr="00AE1008">
        <w:rPr>
          <w:rFonts w:ascii="Times New Roman" w:eastAsia="Calibri" w:hAnsi="Times New Roman" w:cs="Times New Roman"/>
          <w:sz w:val="20"/>
          <w:szCs w:val="20"/>
        </w:rPr>
        <w:t xml:space="preserve">in which </w:t>
      </w:r>
      <w:r w:rsidR="00BF4D79" w:rsidRPr="00AE1008">
        <w:rPr>
          <w:rFonts w:ascii="Times New Roman" w:eastAsia="Calibri" w:hAnsi="Times New Roman" w:cs="Times New Roman"/>
          <w:sz w:val="20"/>
          <w:szCs w:val="20"/>
        </w:rPr>
        <w:t>they compared</w:t>
      </w:r>
      <w:r w:rsidR="00FB56D5" w:rsidRPr="00AE1008">
        <w:rPr>
          <w:rFonts w:ascii="Times New Roman" w:eastAsia="Calibri" w:hAnsi="Times New Roman" w:cs="Times New Roman"/>
          <w:sz w:val="20"/>
          <w:szCs w:val="20"/>
        </w:rPr>
        <w:t xml:space="preserve"> the growth of children </w:t>
      </w:r>
      <w:r w:rsidR="00B94900" w:rsidRPr="00AE1008">
        <w:rPr>
          <w:rFonts w:ascii="Times New Roman" w:eastAsia="Calibri" w:hAnsi="Times New Roman" w:cs="Times New Roman"/>
          <w:sz w:val="20"/>
          <w:szCs w:val="20"/>
        </w:rPr>
        <w:t>less</w:t>
      </w:r>
      <w:r w:rsidR="00FB56D5" w:rsidRPr="00AE1008">
        <w:rPr>
          <w:rFonts w:ascii="Times New Roman" w:eastAsia="Calibri" w:hAnsi="Times New Roman" w:cs="Times New Roman"/>
          <w:sz w:val="20"/>
          <w:szCs w:val="20"/>
        </w:rPr>
        <w:t xml:space="preserve"> than 5 years </w:t>
      </w:r>
      <w:r w:rsidR="00B94900" w:rsidRPr="00AE1008">
        <w:rPr>
          <w:rFonts w:ascii="Times New Roman" w:eastAsia="Calibri" w:hAnsi="Times New Roman" w:cs="Times New Roman"/>
          <w:sz w:val="20"/>
          <w:szCs w:val="20"/>
        </w:rPr>
        <w:t xml:space="preserve">of age </w:t>
      </w:r>
      <w:r w:rsidR="00FB56D5" w:rsidRPr="00AE1008">
        <w:rPr>
          <w:rFonts w:ascii="Times New Roman" w:eastAsia="Calibri" w:hAnsi="Times New Roman" w:cs="Times New Roman"/>
          <w:sz w:val="20"/>
          <w:szCs w:val="20"/>
        </w:rPr>
        <w:t>to World Health Organization Child Growth Standards (WHO CGS)</w:t>
      </w:r>
      <w:r w:rsidR="00B94900" w:rsidRPr="00AE1008">
        <w:rPr>
          <w:rFonts w:ascii="Times New Roman" w:eastAsia="Calibri" w:hAnsi="Times New Roman" w:cs="Times New Roman"/>
          <w:sz w:val="20"/>
          <w:szCs w:val="20"/>
        </w:rPr>
        <w:t xml:space="preserve">, they found </w:t>
      </w:r>
      <w:r w:rsidR="00FB56D5" w:rsidRPr="00AE1008">
        <w:rPr>
          <w:rFonts w:ascii="Times New Roman" w:eastAsia="Calibri" w:hAnsi="Times New Roman" w:cs="Times New Roman"/>
          <w:sz w:val="20"/>
          <w:szCs w:val="20"/>
        </w:rPr>
        <w:t xml:space="preserve">that the </w:t>
      </w:r>
      <w:r w:rsidR="00B94900" w:rsidRPr="00AE1008">
        <w:rPr>
          <w:rFonts w:ascii="Times New Roman" w:eastAsia="Calibri" w:hAnsi="Times New Roman" w:cs="Times New Roman"/>
          <w:sz w:val="20"/>
          <w:szCs w:val="20"/>
        </w:rPr>
        <w:t>frequency</w:t>
      </w:r>
      <w:r w:rsidR="00FB56D5" w:rsidRPr="00AE1008">
        <w:rPr>
          <w:rFonts w:ascii="Times New Roman" w:eastAsia="Calibri" w:hAnsi="Times New Roman" w:cs="Times New Roman"/>
          <w:sz w:val="20"/>
          <w:szCs w:val="20"/>
        </w:rPr>
        <w:t xml:space="preserve"> of stunting, underweight, and wasting was 30.2%, 10.2%, and 2.9%, respectively, </w:t>
      </w:r>
      <w:r w:rsidR="00B94900" w:rsidRPr="00AE1008">
        <w:rPr>
          <w:rFonts w:ascii="Times New Roman" w:eastAsia="Calibri" w:hAnsi="Times New Roman" w:cs="Times New Roman"/>
          <w:sz w:val="20"/>
          <w:szCs w:val="20"/>
        </w:rPr>
        <w:t>while</w:t>
      </w:r>
      <w:r w:rsidR="00FB56D5" w:rsidRPr="00AE1008">
        <w:rPr>
          <w:rFonts w:ascii="Times New Roman" w:eastAsia="Calibri" w:hAnsi="Times New Roman" w:cs="Times New Roman"/>
          <w:sz w:val="20"/>
          <w:szCs w:val="20"/>
        </w:rPr>
        <w:t xml:space="preserve"> 4.1% of children were </w:t>
      </w:r>
      <w:r w:rsidR="00B94900" w:rsidRPr="00AE1008">
        <w:rPr>
          <w:rFonts w:ascii="Times New Roman" w:eastAsia="Calibri" w:hAnsi="Times New Roman" w:cs="Times New Roman"/>
          <w:sz w:val="20"/>
          <w:szCs w:val="20"/>
        </w:rPr>
        <w:t>obese</w:t>
      </w:r>
      <w:r w:rsidR="00FB56D5" w:rsidRPr="00AE1008">
        <w:rPr>
          <w:rFonts w:ascii="Times New Roman" w:eastAsia="Calibri" w:hAnsi="Times New Roman" w:cs="Times New Roman"/>
          <w:sz w:val="20"/>
          <w:szCs w:val="20"/>
        </w:rPr>
        <w:t xml:space="preserve">, and 16.8% were at risk for overweight (Wang et al., 2009). In developing </w:t>
      </w:r>
      <w:r w:rsidR="00B94900" w:rsidRPr="00AE1008">
        <w:rPr>
          <w:rFonts w:ascii="Times New Roman" w:eastAsia="Calibri" w:hAnsi="Times New Roman" w:cs="Times New Roman"/>
          <w:sz w:val="20"/>
          <w:szCs w:val="20"/>
        </w:rPr>
        <w:t>nations</w:t>
      </w:r>
      <w:r w:rsidR="00FB56D5" w:rsidRPr="00AE1008">
        <w:rPr>
          <w:rFonts w:ascii="Times New Roman" w:eastAsia="Calibri" w:hAnsi="Times New Roman" w:cs="Times New Roman"/>
          <w:sz w:val="20"/>
          <w:szCs w:val="20"/>
        </w:rPr>
        <w:t xml:space="preserve">, children </w:t>
      </w:r>
      <w:r w:rsidR="00B94900" w:rsidRPr="00AE1008">
        <w:rPr>
          <w:rFonts w:ascii="Times New Roman" w:eastAsia="Calibri" w:hAnsi="Times New Roman" w:cs="Times New Roman"/>
          <w:sz w:val="20"/>
          <w:szCs w:val="20"/>
        </w:rPr>
        <w:t>denote</w:t>
      </w:r>
      <w:r w:rsidR="00FB56D5" w:rsidRPr="00AE1008">
        <w:rPr>
          <w:rFonts w:ascii="Times New Roman" w:eastAsia="Calibri" w:hAnsi="Times New Roman" w:cs="Times New Roman"/>
          <w:sz w:val="20"/>
          <w:szCs w:val="20"/>
        </w:rPr>
        <w:t xml:space="preserve"> a vulnerable </w:t>
      </w:r>
      <w:r w:rsidR="00B94900" w:rsidRPr="00AE1008">
        <w:rPr>
          <w:rFonts w:ascii="Times New Roman" w:eastAsia="Calibri" w:hAnsi="Times New Roman" w:cs="Times New Roman"/>
          <w:sz w:val="20"/>
          <w:szCs w:val="20"/>
        </w:rPr>
        <w:t>people</w:t>
      </w:r>
      <w:r w:rsidR="00FB56D5" w:rsidRPr="00AE1008">
        <w:rPr>
          <w:rFonts w:ascii="Times New Roman" w:eastAsia="Calibri" w:hAnsi="Times New Roman" w:cs="Times New Roman"/>
          <w:sz w:val="20"/>
          <w:szCs w:val="20"/>
        </w:rPr>
        <w:t xml:space="preserve"> who may have </w:t>
      </w:r>
      <w:r w:rsidR="00B94900" w:rsidRPr="00AE1008">
        <w:rPr>
          <w:rFonts w:ascii="Times New Roman" w:eastAsia="Calibri" w:hAnsi="Times New Roman" w:cs="Times New Roman"/>
          <w:sz w:val="20"/>
          <w:szCs w:val="20"/>
        </w:rPr>
        <w:t>numerous</w:t>
      </w:r>
      <w:r w:rsidR="00FB56D5" w:rsidRPr="00AE1008">
        <w:rPr>
          <w:rFonts w:ascii="Times New Roman" w:eastAsia="Calibri" w:hAnsi="Times New Roman" w:cs="Times New Roman"/>
          <w:sz w:val="20"/>
          <w:szCs w:val="20"/>
        </w:rPr>
        <w:t xml:space="preserve"> </w:t>
      </w:r>
      <w:r w:rsidR="00BF4D79" w:rsidRPr="00AE1008">
        <w:rPr>
          <w:rFonts w:ascii="Times New Roman" w:eastAsia="Calibri" w:hAnsi="Times New Roman" w:cs="Times New Roman"/>
          <w:sz w:val="20"/>
          <w:szCs w:val="20"/>
        </w:rPr>
        <w:t>microelements deficits</w:t>
      </w:r>
      <w:r w:rsidR="00FB56D5" w:rsidRPr="00AE1008">
        <w:rPr>
          <w:rFonts w:ascii="Times New Roman" w:eastAsia="Calibri" w:hAnsi="Times New Roman" w:cs="Times New Roman"/>
          <w:sz w:val="20"/>
          <w:szCs w:val="20"/>
        </w:rPr>
        <w:t xml:space="preserve">, </w:t>
      </w:r>
      <w:r w:rsidR="00B94900" w:rsidRPr="00AE1008">
        <w:rPr>
          <w:rFonts w:ascii="Times New Roman" w:eastAsia="Calibri" w:hAnsi="Times New Roman" w:cs="Times New Roman"/>
          <w:sz w:val="20"/>
          <w:szCs w:val="20"/>
        </w:rPr>
        <w:t>particularly</w:t>
      </w:r>
      <w:r w:rsidR="00FB56D5" w:rsidRPr="00AE1008">
        <w:rPr>
          <w:rFonts w:ascii="Times New Roman" w:eastAsia="Calibri" w:hAnsi="Times New Roman" w:cs="Times New Roman"/>
          <w:sz w:val="20"/>
          <w:szCs w:val="20"/>
        </w:rPr>
        <w:t xml:space="preserve"> preschool children, </w:t>
      </w:r>
      <w:r w:rsidR="00B94900" w:rsidRPr="00AE1008">
        <w:rPr>
          <w:rFonts w:ascii="Times New Roman" w:eastAsia="Calibri" w:hAnsi="Times New Roman" w:cs="Times New Roman"/>
          <w:sz w:val="20"/>
          <w:szCs w:val="20"/>
        </w:rPr>
        <w:t>due to</w:t>
      </w:r>
      <w:r w:rsidR="00FB56D5" w:rsidRPr="00AE1008">
        <w:rPr>
          <w:rFonts w:ascii="Times New Roman" w:eastAsia="Calibri" w:hAnsi="Times New Roman" w:cs="Times New Roman"/>
          <w:sz w:val="20"/>
          <w:szCs w:val="20"/>
        </w:rPr>
        <w:t xml:space="preserve"> the same </w:t>
      </w:r>
      <w:r w:rsidR="00B94900" w:rsidRPr="00AE1008">
        <w:rPr>
          <w:rFonts w:ascii="Times New Roman" w:eastAsia="Calibri" w:hAnsi="Times New Roman" w:cs="Times New Roman"/>
          <w:sz w:val="20"/>
          <w:szCs w:val="20"/>
        </w:rPr>
        <w:t>relevant</w:t>
      </w:r>
      <w:r w:rsidR="00FB56D5" w:rsidRPr="00AE1008">
        <w:rPr>
          <w:rFonts w:ascii="Times New Roman" w:eastAsia="Calibri" w:hAnsi="Times New Roman" w:cs="Times New Roman"/>
          <w:sz w:val="20"/>
          <w:szCs w:val="20"/>
        </w:rPr>
        <w:t xml:space="preserve"> factors that are </w:t>
      </w:r>
      <w:r w:rsidR="00B94900" w:rsidRPr="00AE1008">
        <w:rPr>
          <w:rFonts w:ascii="Times New Roman" w:eastAsia="Calibri" w:hAnsi="Times New Roman" w:cs="Times New Roman"/>
          <w:sz w:val="20"/>
          <w:szCs w:val="20"/>
        </w:rPr>
        <w:lastRenderedPageBreak/>
        <w:t>accountable</w:t>
      </w:r>
      <w:r w:rsidR="00FB56D5" w:rsidRPr="00AE1008">
        <w:rPr>
          <w:rFonts w:ascii="Times New Roman" w:eastAsia="Calibri" w:hAnsi="Times New Roman" w:cs="Times New Roman"/>
          <w:sz w:val="20"/>
          <w:szCs w:val="20"/>
        </w:rPr>
        <w:t xml:space="preserve"> for the </w:t>
      </w:r>
      <w:r w:rsidR="00B94900" w:rsidRPr="00AE1008">
        <w:rPr>
          <w:rFonts w:ascii="Times New Roman" w:eastAsia="Calibri" w:hAnsi="Times New Roman" w:cs="Times New Roman"/>
          <w:sz w:val="20"/>
          <w:szCs w:val="20"/>
        </w:rPr>
        <w:t>inadequacy</w:t>
      </w:r>
      <w:r w:rsidR="00FB56D5" w:rsidRPr="00AE1008">
        <w:rPr>
          <w:rFonts w:ascii="Times New Roman" w:eastAsia="Calibri" w:hAnsi="Times New Roman" w:cs="Times New Roman"/>
          <w:sz w:val="20"/>
          <w:szCs w:val="20"/>
        </w:rPr>
        <w:t xml:space="preserve"> of more than one </w:t>
      </w:r>
      <w:r w:rsidR="00B94900" w:rsidRPr="00AE1008">
        <w:rPr>
          <w:rFonts w:ascii="Times New Roman" w:eastAsia="Calibri" w:hAnsi="Times New Roman" w:cs="Times New Roman"/>
          <w:sz w:val="20"/>
          <w:szCs w:val="20"/>
        </w:rPr>
        <w:t>important</w:t>
      </w:r>
      <w:r w:rsidR="00FB56D5" w:rsidRPr="00AE1008">
        <w:rPr>
          <w:rFonts w:ascii="Times New Roman" w:eastAsia="Calibri" w:hAnsi="Times New Roman" w:cs="Times New Roman"/>
          <w:sz w:val="20"/>
          <w:szCs w:val="20"/>
        </w:rPr>
        <w:t xml:space="preserve"> micro</w:t>
      </w:r>
      <w:r w:rsidR="00B94900" w:rsidRPr="00AE1008">
        <w:rPr>
          <w:rFonts w:ascii="Times New Roman" w:eastAsia="Calibri" w:hAnsi="Times New Roman" w:cs="Times New Roman"/>
          <w:sz w:val="20"/>
          <w:szCs w:val="20"/>
        </w:rPr>
        <w:t>elements</w:t>
      </w:r>
      <w:r w:rsidR="00FB56D5" w:rsidRPr="00AE1008">
        <w:rPr>
          <w:rFonts w:ascii="Times New Roman" w:eastAsia="Calibri" w:hAnsi="Times New Roman" w:cs="Times New Roman"/>
          <w:sz w:val="20"/>
          <w:szCs w:val="20"/>
        </w:rPr>
        <w:t xml:space="preserve">. </w:t>
      </w:r>
      <w:r w:rsidR="00B94900" w:rsidRPr="00AE1008">
        <w:rPr>
          <w:rFonts w:ascii="Times New Roman" w:eastAsia="Calibri" w:hAnsi="Times New Roman" w:cs="Times New Roman"/>
          <w:sz w:val="20"/>
          <w:szCs w:val="20"/>
        </w:rPr>
        <w:t>Deficiency in m</w:t>
      </w:r>
      <w:r w:rsidR="00FB56D5" w:rsidRPr="00AE1008">
        <w:rPr>
          <w:rFonts w:ascii="Times New Roman" w:eastAsia="Calibri" w:hAnsi="Times New Roman" w:cs="Times New Roman"/>
          <w:sz w:val="20"/>
          <w:szCs w:val="20"/>
        </w:rPr>
        <w:t xml:space="preserve">icronutrient can </w:t>
      </w:r>
      <w:r w:rsidR="00FA3BA2" w:rsidRPr="00AE1008">
        <w:rPr>
          <w:rFonts w:ascii="Times New Roman" w:eastAsia="Calibri" w:hAnsi="Times New Roman" w:cs="Times New Roman"/>
          <w:sz w:val="20"/>
          <w:szCs w:val="20"/>
        </w:rPr>
        <w:t>lead to undesirable health problems</w:t>
      </w:r>
      <w:r w:rsidR="00BF4D79" w:rsidRPr="00AE1008">
        <w:rPr>
          <w:rFonts w:ascii="Times New Roman" w:eastAsia="Calibri" w:hAnsi="Times New Roman" w:cs="Times New Roman"/>
          <w:sz w:val="20"/>
          <w:szCs w:val="20"/>
        </w:rPr>
        <w:t>,</w:t>
      </w:r>
      <w:r w:rsidR="00FB56D5" w:rsidRPr="00AE1008">
        <w:rPr>
          <w:rFonts w:ascii="Times New Roman" w:eastAsia="Calibri" w:hAnsi="Times New Roman" w:cs="Times New Roman"/>
          <w:sz w:val="20"/>
          <w:szCs w:val="20"/>
        </w:rPr>
        <w:t xml:space="preserve"> </w:t>
      </w:r>
      <w:r w:rsidR="00BF4D79" w:rsidRPr="00AE1008">
        <w:rPr>
          <w:rFonts w:ascii="Times New Roman" w:eastAsia="Calibri" w:hAnsi="Times New Roman" w:cs="Times New Roman"/>
          <w:sz w:val="20"/>
          <w:szCs w:val="20"/>
        </w:rPr>
        <w:t>like, an</w:t>
      </w:r>
      <w:r w:rsidR="00FA3BA2" w:rsidRPr="00AE1008">
        <w:rPr>
          <w:rFonts w:ascii="Times New Roman" w:eastAsia="Calibri" w:hAnsi="Times New Roman" w:cs="Times New Roman"/>
          <w:sz w:val="20"/>
          <w:szCs w:val="20"/>
        </w:rPr>
        <w:t xml:space="preserve"> retard</w:t>
      </w:r>
      <w:r w:rsidR="00FB56D5" w:rsidRPr="00AE1008">
        <w:rPr>
          <w:rFonts w:ascii="Times New Roman" w:eastAsia="Calibri" w:hAnsi="Times New Roman" w:cs="Times New Roman"/>
          <w:sz w:val="20"/>
          <w:szCs w:val="20"/>
        </w:rPr>
        <w:t xml:space="preserve"> in growth, </w:t>
      </w:r>
      <w:r w:rsidR="00FA3BA2" w:rsidRPr="00AE1008">
        <w:rPr>
          <w:rFonts w:ascii="Times New Roman" w:eastAsia="Calibri" w:hAnsi="Times New Roman" w:cs="Times New Roman"/>
          <w:sz w:val="20"/>
          <w:szCs w:val="20"/>
        </w:rPr>
        <w:t>reduction in the immune system, and</w:t>
      </w:r>
      <w:r w:rsidR="00BF4D79" w:rsidRPr="00AE1008">
        <w:rPr>
          <w:rFonts w:ascii="Times New Roman" w:eastAsia="Calibri" w:hAnsi="Times New Roman" w:cs="Times New Roman"/>
          <w:sz w:val="20"/>
          <w:szCs w:val="20"/>
        </w:rPr>
        <w:t xml:space="preserve"> </w:t>
      </w:r>
      <w:r w:rsidR="00FB56D5" w:rsidRPr="00AE1008">
        <w:rPr>
          <w:rFonts w:ascii="Times New Roman" w:eastAsia="Calibri" w:hAnsi="Times New Roman" w:cs="Times New Roman"/>
          <w:sz w:val="20"/>
          <w:szCs w:val="20"/>
        </w:rPr>
        <w:t xml:space="preserve">neurobehavioral </w:t>
      </w:r>
      <w:r w:rsidR="00FA3BA2" w:rsidRPr="00AE1008">
        <w:rPr>
          <w:rFonts w:ascii="Times New Roman" w:eastAsia="Calibri" w:hAnsi="Times New Roman" w:cs="Times New Roman"/>
          <w:sz w:val="20"/>
          <w:szCs w:val="20"/>
        </w:rPr>
        <w:t>mal</w:t>
      </w:r>
      <w:r w:rsidR="00FB56D5" w:rsidRPr="00AE1008">
        <w:rPr>
          <w:rFonts w:ascii="Times New Roman" w:eastAsia="Calibri" w:hAnsi="Times New Roman" w:cs="Times New Roman"/>
          <w:sz w:val="20"/>
          <w:szCs w:val="20"/>
        </w:rPr>
        <w:t>functions (</w:t>
      </w:r>
      <w:proofErr w:type="spellStart"/>
      <w:r w:rsidR="00FB56D5" w:rsidRPr="00AE1008">
        <w:rPr>
          <w:rFonts w:ascii="Times New Roman" w:eastAsia="Calibri" w:hAnsi="Times New Roman" w:cs="Times New Roman"/>
          <w:sz w:val="20"/>
          <w:szCs w:val="20"/>
        </w:rPr>
        <w:t>Viteri</w:t>
      </w:r>
      <w:proofErr w:type="spellEnd"/>
      <w:r w:rsidR="00FB56D5" w:rsidRPr="00AE1008">
        <w:rPr>
          <w:rFonts w:ascii="Times New Roman" w:eastAsia="Calibri" w:hAnsi="Times New Roman" w:cs="Times New Roman"/>
          <w:sz w:val="20"/>
          <w:szCs w:val="20"/>
        </w:rPr>
        <w:t xml:space="preserve"> et al.,</w:t>
      </w:r>
      <w:r w:rsidR="00BF4D79" w:rsidRPr="00AE1008">
        <w:rPr>
          <w:rFonts w:ascii="Times New Roman" w:eastAsia="Calibri" w:hAnsi="Times New Roman" w:cs="Times New Roman"/>
          <w:sz w:val="20"/>
          <w:szCs w:val="20"/>
        </w:rPr>
        <w:t xml:space="preserve"> </w:t>
      </w:r>
      <w:r w:rsidR="00FB56D5" w:rsidRPr="00AE1008">
        <w:rPr>
          <w:rFonts w:ascii="Times New Roman" w:eastAsia="Calibri" w:hAnsi="Times New Roman" w:cs="Times New Roman"/>
          <w:sz w:val="20"/>
          <w:szCs w:val="20"/>
        </w:rPr>
        <w:t xml:space="preserve">2002), </w:t>
      </w:r>
      <w:r w:rsidR="00D53683" w:rsidRPr="00AE1008">
        <w:rPr>
          <w:rFonts w:ascii="Times New Roman" w:eastAsia="Calibri" w:hAnsi="Times New Roman" w:cs="Times New Roman"/>
          <w:sz w:val="20"/>
          <w:szCs w:val="20"/>
        </w:rPr>
        <w:t xml:space="preserve">in addition to the mentioned before, the micronutrients </w:t>
      </w:r>
      <w:r w:rsidR="00FB56D5" w:rsidRPr="00AE1008">
        <w:rPr>
          <w:rFonts w:ascii="Times New Roman" w:eastAsia="Calibri" w:hAnsi="Times New Roman" w:cs="Times New Roman"/>
          <w:sz w:val="20"/>
          <w:szCs w:val="20"/>
        </w:rPr>
        <w:t xml:space="preserve">are </w:t>
      </w:r>
      <w:r w:rsidR="00D53683" w:rsidRPr="00AE1008">
        <w:rPr>
          <w:rFonts w:ascii="Times New Roman" w:eastAsia="Calibri" w:hAnsi="Times New Roman" w:cs="Times New Roman"/>
          <w:sz w:val="20"/>
          <w:szCs w:val="20"/>
        </w:rPr>
        <w:t xml:space="preserve">paying an </w:t>
      </w:r>
      <w:r w:rsidR="00FB56D5" w:rsidRPr="00AE1008">
        <w:rPr>
          <w:rFonts w:ascii="Times New Roman" w:eastAsia="Calibri" w:hAnsi="Times New Roman" w:cs="Times New Roman"/>
          <w:sz w:val="20"/>
          <w:szCs w:val="20"/>
        </w:rPr>
        <w:t xml:space="preserve">important </w:t>
      </w:r>
      <w:r w:rsidR="00D53683" w:rsidRPr="00AE1008">
        <w:rPr>
          <w:rFonts w:ascii="Times New Roman" w:eastAsia="Calibri" w:hAnsi="Times New Roman" w:cs="Times New Roman"/>
          <w:sz w:val="20"/>
          <w:szCs w:val="20"/>
        </w:rPr>
        <w:t xml:space="preserve">role </w:t>
      </w:r>
      <w:r w:rsidR="00FB56D5" w:rsidRPr="00AE1008">
        <w:rPr>
          <w:rFonts w:ascii="Times New Roman" w:eastAsia="Calibri" w:hAnsi="Times New Roman" w:cs="Times New Roman"/>
          <w:sz w:val="20"/>
          <w:szCs w:val="20"/>
        </w:rPr>
        <w:t xml:space="preserve">in the transmission and </w:t>
      </w:r>
      <w:r w:rsidR="00D53683" w:rsidRPr="00AE1008">
        <w:rPr>
          <w:rFonts w:ascii="Times New Roman" w:eastAsia="Calibri" w:hAnsi="Times New Roman" w:cs="Times New Roman"/>
          <w:sz w:val="20"/>
          <w:szCs w:val="20"/>
        </w:rPr>
        <w:t xml:space="preserve">dissemination </w:t>
      </w:r>
      <w:r w:rsidR="00FB56D5" w:rsidRPr="00AE1008">
        <w:rPr>
          <w:rFonts w:ascii="Times New Roman" w:eastAsia="Calibri" w:hAnsi="Times New Roman" w:cs="Times New Roman"/>
          <w:sz w:val="20"/>
          <w:szCs w:val="20"/>
        </w:rPr>
        <w:t xml:space="preserve">of infectious diseases, </w:t>
      </w:r>
      <w:r w:rsidR="00D53683" w:rsidRPr="00AE1008">
        <w:rPr>
          <w:rFonts w:ascii="Times New Roman" w:eastAsia="Calibri" w:hAnsi="Times New Roman" w:cs="Times New Roman"/>
          <w:sz w:val="20"/>
          <w:szCs w:val="20"/>
        </w:rPr>
        <w:t xml:space="preserve">which leads to increasing the rates of </w:t>
      </w:r>
      <w:r w:rsidR="00FB56D5" w:rsidRPr="00AE1008">
        <w:rPr>
          <w:rFonts w:ascii="Times New Roman" w:eastAsia="Calibri" w:hAnsi="Times New Roman" w:cs="Times New Roman"/>
          <w:sz w:val="20"/>
          <w:szCs w:val="20"/>
        </w:rPr>
        <w:t xml:space="preserve">morbidity and mortality, and </w:t>
      </w:r>
      <w:r w:rsidR="00D53683" w:rsidRPr="00AE1008">
        <w:rPr>
          <w:rFonts w:ascii="Times New Roman" w:eastAsia="Calibri" w:hAnsi="Times New Roman" w:cs="Times New Roman"/>
          <w:sz w:val="20"/>
          <w:szCs w:val="20"/>
        </w:rPr>
        <w:t>reductions</w:t>
      </w:r>
      <w:r w:rsidR="00FB56D5" w:rsidRPr="00AE1008">
        <w:rPr>
          <w:rFonts w:ascii="Times New Roman" w:eastAsia="Calibri" w:hAnsi="Times New Roman" w:cs="Times New Roman"/>
          <w:sz w:val="20"/>
          <w:szCs w:val="20"/>
        </w:rPr>
        <w:t xml:space="preserve"> in </w:t>
      </w:r>
      <w:r w:rsidR="00BF4D79" w:rsidRPr="00AE1008">
        <w:rPr>
          <w:rFonts w:ascii="Times New Roman" w:eastAsia="Calibri" w:hAnsi="Times New Roman" w:cs="Times New Roman"/>
          <w:sz w:val="20"/>
          <w:szCs w:val="20"/>
        </w:rPr>
        <w:t>intelligent prospective</w:t>
      </w:r>
      <w:r w:rsidR="00D53683" w:rsidRPr="00AE1008">
        <w:rPr>
          <w:rFonts w:ascii="Times New Roman" w:eastAsia="Calibri" w:hAnsi="Times New Roman" w:cs="Times New Roman"/>
          <w:sz w:val="20"/>
          <w:szCs w:val="20"/>
        </w:rPr>
        <w:t xml:space="preserve"> </w:t>
      </w:r>
      <w:r w:rsidR="00FB56D5" w:rsidRPr="00AE1008">
        <w:rPr>
          <w:rFonts w:ascii="Times New Roman" w:eastAsia="Calibri" w:hAnsi="Times New Roman" w:cs="Times New Roman"/>
          <w:sz w:val="20"/>
          <w:szCs w:val="20"/>
        </w:rPr>
        <w:t>(</w:t>
      </w:r>
      <w:proofErr w:type="spellStart"/>
      <w:r w:rsidR="00FB56D5" w:rsidRPr="00AE1008">
        <w:rPr>
          <w:rFonts w:ascii="Times New Roman" w:eastAsia="Calibri" w:hAnsi="Times New Roman" w:cs="Times New Roman"/>
          <w:sz w:val="20"/>
          <w:szCs w:val="20"/>
        </w:rPr>
        <w:t>Luabeya</w:t>
      </w:r>
      <w:proofErr w:type="spellEnd"/>
      <w:r w:rsidR="00FB56D5" w:rsidRPr="00AE1008">
        <w:rPr>
          <w:rFonts w:ascii="Times New Roman" w:eastAsia="Calibri" w:hAnsi="Times New Roman" w:cs="Times New Roman"/>
          <w:sz w:val="20"/>
          <w:szCs w:val="20"/>
        </w:rPr>
        <w:t xml:space="preserve"> et al.,</w:t>
      </w:r>
      <w:r w:rsidR="00BF4D79" w:rsidRPr="00AE1008">
        <w:rPr>
          <w:rFonts w:ascii="Times New Roman" w:eastAsia="Calibri" w:hAnsi="Times New Roman" w:cs="Times New Roman"/>
          <w:sz w:val="20"/>
          <w:szCs w:val="20"/>
        </w:rPr>
        <w:t xml:space="preserve"> </w:t>
      </w:r>
      <w:r w:rsidR="00FB56D5" w:rsidRPr="00AE1008">
        <w:rPr>
          <w:rFonts w:ascii="Times New Roman" w:eastAsia="Calibri" w:hAnsi="Times New Roman" w:cs="Times New Roman"/>
          <w:sz w:val="20"/>
          <w:szCs w:val="20"/>
        </w:rPr>
        <w:t>2007).</w:t>
      </w:r>
    </w:p>
    <w:p w:rsidR="00FB56D5" w:rsidRPr="00AE1008" w:rsidRDefault="00FB56D5" w:rsidP="00FF65F3">
      <w:pPr>
        <w:tabs>
          <w:tab w:val="left" w:pos="435"/>
        </w:tabs>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Recent</w:t>
      </w:r>
      <w:r w:rsidR="00D53683" w:rsidRPr="00AE1008">
        <w:rPr>
          <w:rFonts w:ascii="Times New Roman" w:eastAsia="Calibri" w:hAnsi="Times New Roman" w:cs="Times New Roman"/>
          <w:sz w:val="20"/>
          <w:szCs w:val="20"/>
        </w:rPr>
        <w:t>ly the impact of zinc deficiency not restricted to the younger ages but can affect all ages such as babies</w:t>
      </w:r>
      <w:r w:rsidRPr="00AE1008">
        <w:rPr>
          <w:rFonts w:ascii="Times New Roman" w:eastAsia="Calibri" w:hAnsi="Times New Roman" w:cs="Times New Roman"/>
          <w:sz w:val="20"/>
          <w:szCs w:val="20"/>
        </w:rPr>
        <w:t xml:space="preserve">, </w:t>
      </w:r>
      <w:r w:rsidR="00D53683" w:rsidRPr="00AE1008">
        <w:rPr>
          <w:rFonts w:ascii="Times New Roman" w:eastAsia="Calibri" w:hAnsi="Times New Roman" w:cs="Times New Roman"/>
          <w:sz w:val="20"/>
          <w:szCs w:val="20"/>
        </w:rPr>
        <w:t>adolescents;</w:t>
      </w:r>
      <w:r w:rsidRPr="00AE1008">
        <w:rPr>
          <w:rFonts w:ascii="Times New Roman" w:eastAsia="Calibri" w:hAnsi="Times New Roman" w:cs="Times New Roman"/>
          <w:sz w:val="20"/>
          <w:szCs w:val="20"/>
        </w:rPr>
        <w:t xml:space="preserve"> older people are </w:t>
      </w:r>
      <w:r w:rsidR="00D53683" w:rsidRPr="00AE1008">
        <w:rPr>
          <w:rFonts w:ascii="Times New Roman" w:eastAsia="Calibri" w:hAnsi="Times New Roman" w:cs="Times New Roman"/>
          <w:sz w:val="20"/>
          <w:szCs w:val="20"/>
        </w:rPr>
        <w:t>perhaps</w:t>
      </w:r>
      <w:r w:rsidRPr="00AE1008">
        <w:rPr>
          <w:rFonts w:ascii="Times New Roman" w:eastAsia="Calibri" w:hAnsi="Times New Roman" w:cs="Times New Roman"/>
          <w:sz w:val="20"/>
          <w:szCs w:val="20"/>
        </w:rPr>
        <w:t xml:space="preserve"> at a higher risk of zinc deficiency (</w:t>
      </w:r>
      <w:hyperlink r:id="rId13" w:anchor="B65" w:history="1">
        <w:r w:rsidRPr="00AE1008">
          <w:rPr>
            <w:rFonts w:ascii="Times New Roman" w:eastAsia="Calibri" w:hAnsi="Times New Roman" w:cs="Times New Roman"/>
            <w:sz w:val="20"/>
            <w:szCs w:val="20"/>
          </w:rPr>
          <w:t>Gibson and Heath, 2011</w:t>
        </w:r>
      </w:hyperlink>
      <w:r w:rsidRPr="00AE1008">
        <w:rPr>
          <w:rFonts w:ascii="Times New Roman" w:eastAsia="Calibri" w:hAnsi="Times New Roman" w:cs="Times New Roman"/>
          <w:sz w:val="20"/>
          <w:szCs w:val="20"/>
        </w:rPr>
        <w:t xml:space="preserve">). </w:t>
      </w:r>
      <w:r w:rsidR="002F68FE" w:rsidRPr="00AE1008">
        <w:rPr>
          <w:rFonts w:ascii="Times New Roman" w:eastAsia="Calibri" w:hAnsi="Times New Roman" w:cs="Times New Roman"/>
          <w:sz w:val="20"/>
          <w:szCs w:val="20"/>
        </w:rPr>
        <w:t xml:space="preserve">There are many vital functions and roles for Zn in the body such as </w:t>
      </w:r>
      <w:r w:rsidRPr="00AE1008">
        <w:rPr>
          <w:rFonts w:ascii="Times New Roman" w:eastAsia="Calibri" w:hAnsi="Times New Roman" w:cs="Times New Roman"/>
          <w:sz w:val="20"/>
          <w:szCs w:val="20"/>
        </w:rPr>
        <w:t xml:space="preserve">a vital nutrient for the </w:t>
      </w:r>
      <w:r w:rsidR="002F68FE" w:rsidRPr="00AE1008">
        <w:rPr>
          <w:rFonts w:ascii="Times New Roman" w:eastAsia="Calibri" w:hAnsi="Times New Roman" w:cs="Times New Roman"/>
          <w:sz w:val="20"/>
          <w:szCs w:val="20"/>
        </w:rPr>
        <w:t xml:space="preserve">structure and function of the </w:t>
      </w:r>
      <w:r w:rsidRPr="00AE1008">
        <w:rPr>
          <w:rFonts w:ascii="Times New Roman" w:eastAsia="Calibri" w:hAnsi="Times New Roman" w:cs="Times New Roman"/>
          <w:sz w:val="20"/>
          <w:szCs w:val="20"/>
        </w:rPr>
        <w:t>brain</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t>
      </w:r>
      <w:proofErr w:type="spellStart"/>
      <w:r w:rsidR="001808DB" w:rsidRPr="00AE1008">
        <w:rPr>
          <w:sz w:val="20"/>
          <w:szCs w:val="20"/>
        </w:rPr>
        <w:fldChar w:fldCharType="begin"/>
      </w:r>
      <w:r w:rsidR="000B13A2" w:rsidRPr="00AE1008">
        <w:rPr>
          <w:sz w:val="20"/>
          <w:szCs w:val="20"/>
        </w:rPr>
        <w:instrText>HYPERLINK "https://www.frontiersin.org/articles/10.3389/fnhum.2013.00097/full" \l "B63"</w:instrText>
      </w:r>
      <w:r w:rsidR="001808DB" w:rsidRPr="00AE1008">
        <w:rPr>
          <w:sz w:val="20"/>
          <w:szCs w:val="20"/>
        </w:rPr>
        <w:fldChar w:fldCharType="separate"/>
      </w:r>
      <w:r w:rsidRPr="00AE1008">
        <w:rPr>
          <w:rFonts w:ascii="Times New Roman" w:eastAsia="Calibri" w:hAnsi="Times New Roman" w:cs="Times New Roman"/>
          <w:sz w:val="20"/>
          <w:szCs w:val="20"/>
        </w:rPr>
        <w:t>Georgieff</w:t>
      </w:r>
      <w:proofErr w:type="spellEnd"/>
      <w:r w:rsidRPr="00AE1008">
        <w:rPr>
          <w:rFonts w:ascii="Times New Roman" w:eastAsia="Calibri" w:hAnsi="Times New Roman" w:cs="Times New Roman"/>
          <w:sz w:val="20"/>
          <w:szCs w:val="20"/>
        </w:rPr>
        <w:t>, 2007</w:t>
      </w:r>
      <w:r w:rsidR="001808DB" w:rsidRPr="00AE1008">
        <w:rPr>
          <w:sz w:val="20"/>
          <w:szCs w:val="20"/>
        </w:rPr>
        <w:fldChar w:fldCharType="end"/>
      </w:r>
      <w:r w:rsidR="002F68FE"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plays a role in </w:t>
      </w:r>
      <w:r w:rsidR="002F68FE" w:rsidRPr="00AE1008">
        <w:rPr>
          <w:rFonts w:ascii="Times New Roman" w:eastAsia="Calibri" w:hAnsi="Times New Roman" w:cs="Times New Roman"/>
          <w:sz w:val="20"/>
          <w:szCs w:val="20"/>
        </w:rPr>
        <w:t>maturation,</w:t>
      </w:r>
      <w:r w:rsidR="00BF4D79"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neurogenesis</w:t>
      </w:r>
      <w:proofErr w:type="spellEnd"/>
      <w:r w:rsidRPr="00AE1008">
        <w:rPr>
          <w:rFonts w:ascii="Times New Roman" w:eastAsia="Calibri" w:hAnsi="Times New Roman" w:cs="Times New Roman"/>
          <w:sz w:val="20"/>
          <w:szCs w:val="20"/>
        </w:rPr>
        <w:t>, and migration of neurons and in synapse formation (</w:t>
      </w:r>
      <w:hyperlink r:id="rId14" w:anchor="B27" w:history="1">
        <w:r w:rsidRPr="00AE1008">
          <w:rPr>
            <w:rFonts w:ascii="Times New Roman" w:eastAsia="Calibri" w:hAnsi="Times New Roman" w:cs="Times New Roman"/>
            <w:sz w:val="20"/>
            <w:szCs w:val="20"/>
          </w:rPr>
          <w:t>Bryan et al., 2004</w:t>
        </w:r>
      </w:hyperlink>
      <w:r w:rsidR="002F68FE" w:rsidRPr="00AE1008">
        <w:rPr>
          <w:rFonts w:ascii="Times New Roman" w:eastAsia="Calibri" w:hAnsi="Times New Roman" w:cs="Times New Roman"/>
          <w:sz w:val="20"/>
          <w:szCs w:val="20"/>
        </w:rPr>
        <w:t xml:space="preserve">). In addition, </w:t>
      </w:r>
      <w:r w:rsidRPr="00AE1008">
        <w:rPr>
          <w:rFonts w:ascii="Times New Roman" w:eastAsia="Calibri" w:hAnsi="Times New Roman" w:cs="Times New Roman"/>
          <w:sz w:val="20"/>
          <w:szCs w:val="20"/>
        </w:rPr>
        <w:t xml:space="preserve">Zn is </w:t>
      </w:r>
      <w:r w:rsidR="002F68FE" w:rsidRPr="00AE1008">
        <w:rPr>
          <w:rFonts w:ascii="Times New Roman" w:eastAsia="Calibri" w:hAnsi="Times New Roman" w:cs="Times New Roman"/>
          <w:sz w:val="20"/>
          <w:szCs w:val="20"/>
        </w:rPr>
        <w:t>found</w:t>
      </w:r>
      <w:r w:rsidRPr="00AE1008">
        <w:rPr>
          <w:rFonts w:ascii="Times New Roman" w:eastAsia="Calibri" w:hAnsi="Times New Roman" w:cs="Times New Roman"/>
          <w:sz w:val="20"/>
          <w:szCs w:val="20"/>
        </w:rPr>
        <w:t xml:space="preserve"> in high</w:t>
      </w:r>
      <w:r w:rsidR="002F68FE" w:rsidRPr="00AE1008">
        <w:rPr>
          <w:rFonts w:ascii="Times New Roman" w:eastAsia="Calibri" w:hAnsi="Times New Roman" w:cs="Times New Roman"/>
          <w:sz w:val="20"/>
          <w:szCs w:val="20"/>
        </w:rPr>
        <w:t>er</w:t>
      </w:r>
      <w:r w:rsidRPr="00AE1008">
        <w:rPr>
          <w:rFonts w:ascii="Times New Roman" w:eastAsia="Calibri" w:hAnsi="Times New Roman" w:cs="Times New Roman"/>
          <w:sz w:val="20"/>
          <w:szCs w:val="20"/>
        </w:rPr>
        <w:t xml:space="preserve"> concentrations in synaptic vesicles of </w:t>
      </w:r>
      <w:proofErr w:type="spellStart"/>
      <w:r w:rsidRPr="00AE1008">
        <w:rPr>
          <w:rFonts w:ascii="Times New Roman" w:eastAsia="Calibri" w:hAnsi="Times New Roman" w:cs="Times New Roman"/>
          <w:sz w:val="20"/>
          <w:szCs w:val="20"/>
        </w:rPr>
        <w:t>hippocampal</w:t>
      </w:r>
      <w:proofErr w:type="spellEnd"/>
      <w:r w:rsidRPr="00AE1008">
        <w:rPr>
          <w:rFonts w:ascii="Times New Roman" w:eastAsia="Calibri" w:hAnsi="Times New Roman" w:cs="Times New Roman"/>
          <w:sz w:val="20"/>
          <w:szCs w:val="20"/>
        </w:rPr>
        <w:t xml:space="preserve"> neurons (</w:t>
      </w:r>
      <w:r w:rsidR="002F68FE" w:rsidRPr="00AE1008">
        <w:rPr>
          <w:rFonts w:ascii="Times New Roman" w:eastAsia="Calibri" w:hAnsi="Times New Roman" w:cs="Times New Roman"/>
          <w:sz w:val="20"/>
          <w:szCs w:val="20"/>
        </w:rPr>
        <w:t xml:space="preserve">essential for </w:t>
      </w:r>
      <w:r w:rsidRPr="00AE1008">
        <w:rPr>
          <w:rFonts w:ascii="Times New Roman" w:eastAsia="Calibri" w:hAnsi="Times New Roman" w:cs="Times New Roman"/>
          <w:sz w:val="20"/>
          <w:szCs w:val="20"/>
        </w:rPr>
        <w:t>learning and memory) (</w:t>
      </w:r>
      <w:proofErr w:type="spellStart"/>
      <w:r w:rsidR="001808DB" w:rsidRPr="00AE1008">
        <w:rPr>
          <w:sz w:val="20"/>
          <w:szCs w:val="20"/>
        </w:rPr>
        <w:fldChar w:fldCharType="begin"/>
      </w:r>
      <w:r w:rsidR="000B13A2" w:rsidRPr="00AE1008">
        <w:rPr>
          <w:sz w:val="20"/>
          <w:szCs w:val="20"/>
        </w:rPr>
        <w:instrText>HYPERLINK "https://www.frontiersin.org/articles/10.3389/fnhum.2013.00097/full" \l "B112"</w:instrText>
      </w:r>
      <w:r w:rsidR="001808DB" w:rsidRPr="00AE1008">
        <w:rPr>
          <w:sz w:val="20"/>
          <w:szCs w:val="20"/>
        </w:rPr>
        <w:fldChar w:fldCharType="separate"/>
      </w:r>
      <w:r w:rsidRPr="00AE1008">
        <w:rPr>
          <w:rFonts w:ascii="Times New Roman" w:eastAsia="Calibri" w:hAnsi="Times New Roman" w:cs="Times New Roman"/>
          <w:sz w:val="20"/>
          <w:szCs w:val="20"/>
        </w:rPr>
        <w:t>Levenson</w:t>
      </w:r>
      <w:proofErr w:type="spellEnd"/>
      <w:r w:rsidRPr="00AE1008">
        <w:rPr>
          <w:rFonts w:ascii="Times New Roman" w:eastAsia="Calibri" w:hAnsi="Times New Roman" w:cs="Times New Roman"/>
          <w:sz w:val="20"/>
          <w:szCs w:val="20"/>
        </w:rPr>
        <w:t>, 2006</w:t>
      </w:r>
      <w:r w:rsidR="001808DB" w:rsidRPr="00AE1008">
        <w:rPr>
          <w:sz w:val="20"/>
          <w:szCs w:val="20"/>
        </w:rPr>
        <w:fldChar w:fldCharType="end"/>
      </w:r>
      <w:r w:rsidRPr="00AE1008">
        <w:rPr>
          <w:rFonts w:ascii="Times New Roman" w:eastAsia="Calibri" w:hAnsi="Times New Roman" w:cs="Times New Roman"/>
          <w:sz w:val="20"/>
          <w:szCs w:val="20"/>
        </w:rPr>
        <w:t>).</w:t>
      </w:r>
      <w:r w:rsidR="002F68FE" w:rsidRPr="00AE1008">
        <w:rPr>
          <w:rFonts w:ascii="Times New Roman" w:eastAsia="Calibri" w:hAnsi="Times New Roman" w:cs="Times New Roman"/>
          <w:sz w:val="20"/>
          <w:szCs w:val="20"/>
        </w:rPr>
        <w:t xml:space="preserve"> With respect to iron deficiency either</w:t>
      </w:r>
      <w:r w:rsidRPr="00AE1008">
        <w:rPr>
          <w:rFonts w:ascii="Times New Roman" w:eastAsia="Calibri" w:hAnsi="Times New Roman" w:cs="Times New Roman"/>
          <w:sz w:val="20"/>
          <w:szCs w:val="20"/>
        </w:rPr>
        <w:t xml:space="preserve"> in developing </w:t>
      </w:r>
      <w:r w:rsidR="00652DB0" w:rsidRPr="00AE1008">
        <w:rPr>
          <w:rFonts w:ascii="Times New Roman" w:eastAsia="Calibri" w:hAnsi="Times New Roman" w:cs="Times New Roman"/>
          <w:sz w:val="20"/>
          <w:szCs w:val="20"/>
        </w:rPr>
        <w:t>or</w:t>
      </w:r>
      <w:r w:rsidRPr="00AE1008">
        <w:rPr>
          <w:rFonts w:ascii="Times New Roman" w:eastAsia="Calibri" w:hAnsi="Times New Roman" w:cs="Times New Roman"/>
          <w:sz w:val="20"/>
          <w:szCs w:val="20"/>
        </w:rPr>
        <w:t xml:space="preserve"> developed countries</w:t>
      </w:r>
      <w:r w:rsidR="00652DB0" w:rsidRPr="00AE1008">
        <w:rPr>
          <w:rFonts w:ascii="Times New Roman" w:eastAsia="Calibri" w:hAnsi="Times New Roman" w:cs="Times New Roman"/>
          <w:sz w:val="20"/>
          <w:szCs w:val="20"/>
        </w:rPr>
        <w:t>, a</w:t>
      </w:r>
      <w:r w:rsidRPr="00AE1008">
        <w:rPr>
          <w:rFonts w:ascii="Times New Roman" w:eastAsia="Calibri" w:hAnsi="Times New Roman" w:cs="Times New Roman"/>
          <w:sz w:val="20"/>
          <w:szCs w:val="20"/>
        </w:rPr>
        <w:t xml:space="preserve"> considerable </w:t>
      </w:r>
      <w:r w:rsidR="00652DB0" w:rsidRPr="00AE1008">
        <w:rPr>
          <w:rFonts w:ascii="Times New Roman" w:eastAsia="Calibri" w:hAnsi="Times New Roman" w:cs="Times New Roman"/>
          <w:sz w:val="20"/>
          <w:szCs w:val="20"/>
        </w:rPr>
        <w:t xml:space="preserve">articles </w:t>
      </w:r>
      <w:r w:rsidRPr="00AE1008">
        <w:rPr>
          <w:rFonts w:ascii="Times New Roman" w:eastAsia="Calibri" w:hAnsi="Times New Roman" w:cs="Times New Roman"/>
          <w:sz w:val="20"/>
          <w:szCs w:val="20"/>
        </w:rPr>
        <w:t xml:space="preserve">has been published on the </w:t>
      </w:r>
      <w:proofErr w:type="spellStart"/>
      <w:r w:rsidR="00652DB0" w:rsidRPr="00AE1008">
        <w:rPr>
          <w:rFonts w:ascii="Times New Roman" w:eastAsia="Calibri" w:hAnsi="Times New Roman" w:cs="Times New Roman"/>
          <w:sz w:val="20"/>
          <w:szCs w:val="20"/>
        </w:rPr>
        <w:t>likage</w:t>
      </w:r>
      <w:proofErr w:type="spellEnd"/>
      <w:r w:rsidRPr="00AE1008">
        <w:rPr>
          <w:rFonts w:ascii="Times New Roman" w:eastAsia="Calibri" w:hAnsi="Times New Roman" w:cs="Times New Roman"/>
          <w:sz w:val="20"/>
          <w:szCs w:val="20"/>
        </w:rPr>
        <w:t xml:space="preserve"> between iron status</w:t>
      </w:r>
      <w:r w:rsidR="00652DB0" w:rsidRPr="00AE1008">
        <w:rPr>
          <w:rFonts w:ascii="Times New Roman" w:eastAsia="Calibri" w:hAnsi="Times New Roman" w:cs="Times New Roman"/>
          <w:sz w:val="20"/>
          <w:szCs w:val="20"/>
        </w:rPr>
        <w:t xml:space="preserve"> and cognitive development in children or with induction of </w:t>
      </w:r>
      <w:proofErr w:type="spellStart"/>
      <w:r w:rsidR="00652DB0" w:rsidRPr="00AE1008">
        <w:rPr>
          <w:rFonts w:ascii="Times New Roman" w:eastAsia="Calibri" w:hAnsi="Times New Roman" w:cs="Times New Roman"/>
          <w:sz w:val="20"/>
          <w:szCs w:val="20"/>
        </w:rPr>
        <w:t>anaemia</w:t>
      </w:r>
      <w:proofErr w:type="spellEnd"/>
      <w:r w:rsidRPr="00AE1008">
        <w:rPr>
          <w:rFonts w:ascii="Times New Roman" w:eastAsia="Calibri" w:hAnsi="Times New Roman" w:cs="Times New Roman"/>
          <w:sz w:val="20"/>
          <w:szCs w:val="20"/>
        </w:rPr>
        <w:t xml:space="preserve"> (</w:t>
      </w:r>
      <w:hyperlink r:id="rId15" w:anchor="B72" w:history="1">
        <w:r w:rsidRPr="00AE1008">
          <w:rPr>
            <w:rFonts w:ascii="Times New Roman" w:eastAsia="Calibri" w:hAnsi="Times New Roman" w:cs="Times New Roman"/>
            <w:sz w:val="20"/>
            <w:szCs w:val="20"/>
          </w:rPr>
          <w:t xml:space="preserve">Grantham-McGregor and </w:t>
        </w:r>
        <w:proofErr w:type="spellStart"/>
        <w:r w:rsidRPr="00AE1008">
          <w:rPr>
            <w:rFonts w:ascii="Times New Roman" w:eastAsia="Calibri" w:hAnsi="Times New Roman" w:cs="Times New Roman"/>
            <w:sz w:val="20"/>
            <w:szCs w:val="20"/>
          </w:rPr>
          <w:t>Ani</w:t>
        </w:r>
        <w:proofErr w:type="spellEnd"/>
        <w:r w:rsidRPr="00AE1008">
          <w:rPr>
            <w:rFonts w:ascii="Times New Roman" w:eastAsia="Calibri" w:hAnsi="Times New Roman" w:cs="Times New Roman"/>
            <w:sz w:val="20"/>
            <w:szCs w:val="20"/>
          </w:rPr>
          <w:t>, 2001</w:t>
        </w:r>
      </w:hyperlink>
      <w:r w:rsidRPr="00AE1008">
        <w:rPr>
          <w:rFonts w:ascii="Times New Roman" w:eastAsia="Calibri" w:hAnsi="Times New Roman" w:cs="Times New Roman"/>
          <w:sz w:val="20"/>
          <w:szCs w:val="20"/>
        </w:rPr>
        <w:t>).</w:t>
      </w:r>
      <w:r w:rsidR="00835F58" w:rsidRPr="00AE1008">
        <w:rPr>
          <w:rFonts w:ascii="Times New Roman" w:eastAsia="Calibri" w:hAnsi="Times New Roman" w:cs="Times New Roman"/>
          <w:sz w:val="20"/>
          <w:szCs w:val="20"/>
        </w:rPr>
        <w:t xml:space="preserve"> Generally, intake of f</w:t>
      </w:r>
      <w:r w:rsidRPr="00AE1008">
        <w:rPr>
          <w:rFonts w:ascii="Times New Roman" w:eastAsia="Calibri" w:hAnsi="Times New Roman" w:cs="Times New Roman"/>
          <w:sz w:val="20"/>
          <w:szCs w:val="20"/>
        </w:rPr>
        <w:t>ruit</w:t>
      </w:r>
      <w:r w:rsidR="00835F58" w:rsidRPr="00AE1008">
        <w:rPr>
          <w:rFonts w:ascii="Times New Roman" w:eastAsia="Calibri" w:hAnsi="Times New Roman" w:cs="Times New Roman"/>
          <w:sz w:val="20"/>
          <w:szCs w:val="20"/>
        </w:rPr>
        <w:t>s</w:t>
      </w:r>
      <w:r w:rsidRPr="00AE1008">
        <w:rPr>
          <w:rFonts w:ascii="Times New Roman" w:eastAsia="Calibri" w:hAnsi="Times New Roman" w:cs="Times New Roman"/>
          <w:sz w:val="20"/>
          <w:szCs w:val="20"/>
        </w:rPr>
        <w:t xml:space="preserve"> and vegetable</w:t>
      </w:r>
      <w:r w:rsidR="00835F58" w:rsidRPr="00AE1008">
        <w:rPr>
          <w:rFonts w:ascii="Times New Roman" w:eastAsia="Calibri" w:hAnsi="Times New Roman" w:cs="Times New Roman"/>
          <w:sz w:val="20"/>
          <w:szCs w:val="20"/>
        </w:rPr>
        <w:t>s</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(FV) has been </w:t>
      </w:r>
      <w:r w:rsidR="00835F58" w:rsidRPr="00AE1008">
        <w:rPr>
          <w:rFonts w:ascii="Times New Roman" w:eastAsia="Calibri" w:hAnsi="Times New Roman" w:cs="Times New Roman"/>
          <w:sz w:val="20"/>
          <w:szCs w:val="20"/>
        </w:rPr>
        <w:t>established that it diminished the incidence of chronic diseases</w:t>
      </w:r>
      <w:r w:rsidRPr="00AE1008">
        <w:rPr>
          <w:rFonts w:ascii="Times New Roman" w:eastAsia="Calibri" w:hAnsi="Times New Roman" w:cs="Times New Roman"/>
          <w:sz w:val="20"/>
          <w:szCs w:val="20"/>
        </w:rPr>
        <w:t xml:space="preserve">, </w:t>
      </w:r>
      <w:r w:rsidR="00835F58" w:rsidRPr="00AE1008">
        <w:rPr>
          <w:rFonts w:ascii="Times New Roman" w:eastAsia="Calibri" w:hAnsi="Times New Roman" w:cs="Times New Roman"/>
          <w:sz w:val="20"/>
          <w:szCs w:val="20"/>
        </w:rPr>
        <w:t>such as</w:t>
      </w:r>
      <w:r w:rsidRPr="00AE1008">
        <w:rPr>
          <w:rFonts w:ascii="Times New Roman" w:eastAsia="Calibri" w:hAnsi="Times New Roman" w:cs="Times New Roman"/>
          <w:sz w:val="20"/>
          <w:szCs w:val="20"/>
        </w:rPr>
        <w:t xml:space="preserve"> cardiovascular </w:t>
      </w:r>
      <w:r w:rsidR="00835F58" w:rsidRPr="00AE1008">
        <w:rPr>
          <w:rFonts w:ascii="Times New Roman" w:eastAsia="Calibri" w:hAnsi="Times New Roman" w:cs="Times New Roman"/>
          <w:sz w:val="20"/>
          <w:szCs w:val="20"/>
        </w:rPr>
        <w:t>disorder</w:t>
      </w:r>
      <w:r w:rsidRPr="00AE1008">
        <w:rPr>
          <w:rFonts w:ascii="Times New Roman" w:eastAsia="Calibri" w:hAnsi="Times New Roman" w:cs="Times New Roman"/>
          <w:sz w:val="20"/>
          <w:szCs w:val="20"/>
        </w:rPr>
        <w:t xml:space="preserve">, </w:t>
      </w:r>
      <w:r w:rsidR="00835F58" w:rsidRPr="00AE1008">
        <w:rPr>
          <w:rFonts w:ascii="Times New Roman" w:eastAsia="Calibri" w:hAnsi="Times New Roman" w:cs="Times New Roman"/>
          <w:sz w:val="20"/>
          <w:szCs w:val="20"/>
        </w:rPr>
        <w:t>cancer</w:t>
      </w:r>
      <w:r w:rsidR="00BF4D79" w:rsidRPr="00AE1008">
        <w:rPr>
          <w:rFonts w:ascii="Times New Roman" w:eastAsia="Calibri" w:hAnsi="Times New Roman" w:cs="Times New Roman"/>
          <w:sz w:val="20"/>
          <w:szCs w:val="20"/>
        </w:rPr>
        <w:t xml:space="preserve"> </w:t>
      </w:r>
      <w:r w:rsidR="00835F58" w:rsidRPr="00AE1008">
        <w:rPr>
          <w:rFonts w:ascii="Times New Roman" w:eastAsia="Calibri" w:hAnsi="Times New Roman" w:cs="Times New Roman"/>
          <w:sz w:val="20"/>
          <w:szCs w:val="20"/>
        </w:rPr>
        <w:t>and</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diabet</w:t>
      </w:r>
      <w:r w:rsidR="00835F58" w:rsidRPr="00AE1008">
        <w:rPr>
          <w:rFonts w:ascii="Times New Roman" w:eastAsia="Calibri" w:hAnsi="Times New Roman" w:cs="Times New Roman"/>
          <w:sz w:val="20"/>
          <w:szCs w:val="20"/>
        </w:rPr>
        <w:t>ic conditions</w:t>
      </w:r>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Feldeisen</w:t>
      </w:r>
      <w:proofErr w:type="spellEnd"/>
      <w:r w:rsidRPr="00AE1008">
        <w:rPr>
          <w:rFonts w:ascii="Times New Roman" w:eastAsia="Calibri" w:hAnsi="Times New Roman" w:cs="Times New Roman"/>
          <w:sz w:val="20"/>
          <w:szCs w:val="20"/>
        </w:rPr>
        <w:t xml:space="preserve"> et al.,2007)</w:t>
      </w:r>
      <w:r w:rsidR="00835F58" w:rsidRPr="00AE1008">
        <w:rPr>
          <w:rFonts w:ascii="Times New Roman" w:eastAsia="Calibri" w:hAnsi="Times New Roman" w:cs="Times New Roman"/>
          <w:sz w:val="20"/>
          <w:szCs w:val="20"/>
        </w:rPr>
        <w:t xml:space="preserve">. In addition to the previous benefits from intake of fruits and vegetables during the </w:t>
      </w:r>
      <w:r w:rsidR="00BF4D79" w:rsidRPr="00AE1008">
        <w:rPr>
          <w:rFonts w:ascii="Times New Roman" w:eastAsia="Calibri" w:hAnsi="Times New Roman" w:cs="Times New Roman"/>
          <w:sz w:val="20"/>
          <w:szCs w:val="20"/>
        </w:rPr>
        <w:t>meals,</w:t>
      </w:r>
      <w:r w:rsidR="00835F58" w:rsidRPr="00AE1008">
        <w:rPr>
          <w:rFonts w:ascii="Times New Roman" w:eastAsia="Calibri" w:hAnsi="Times New Roman" w:cs="Times New Roman"/>
          <w:sz w:val="20"/>
          <w:szCs w:val="20"/>
        </w:rPr>
        <w:t xml:space="preserve"> it helps individuals </w:t>
      </w:r>
      <w:r w:rsidR="00504B02" w:rsidRPr="00AE1008">
        <w:rPr>
          <w:rFonts w:ascii="Times New Roman" w:eastAsia="Calibri" w:hAnsi="Times New Roman" w:cs="Times New Roman"/>
          <w:sz w:val="20"/>
          <w:szCs w:val="20"/>
        </w:rPr>
        <w:t xml:space="preserve">to </w:t>
      </w:r>
      <w:r w:rsidR="00835F58" w:rsidRPr="00AE1008">
        <w:rPr>
          <w:rFonts w:ascii="Times New Roman" w:eastAsia="Calibri" w:hAnsi="Times New Roman" w:cs="Times New Roman"/>
          <w:sz w:val="20"/>
          <w:szCs w:val="20"/>
        </w:rPr>
        <w:t xml:space="preserve">maintain a </w:t>
      </w:r>
      <w:r w:rsidR="00504B02" w:rsidRPr="00AE1008">
        <w:rPr>
          <w:rFonts w:ascii="Times New Roman" w:eastAsia="Calibri" w:hAnsi="Times New Roman" w:cs="Times New Roman"/>
          <w:sz w:val="20"/>
          <w:szCs w:val="20"/>
        </w:rPr>
        <w:t>healthy</w:t>
      </w:r>
      <w:r w:rsidR="00835F58" w:rsidRPr="00AE1008">
        <w:rPr>
          <w:rFonts w:ascii="Times New Roman" w:eastAsia="Calibri" w:hAnsi="Times New Roman" w:cs="Times New Roman"/>
          <w:sz w:val="20"/>
          <w:szCs w:val="20"/>
        </w:rPr>
        <w:t xml:space="preserve"> weight and/or prevent </w:t>
      </w:r>
      <w:r w:rsidR="00504B02" w:rsidRPr="00AE1008">
        <w:rPr>
          <w:rFonts w:ascii="Times New Roman" w:eastAsia="Calibri" w:hAnsi="Times New Roman" w:cs="Times New Roman"/>
          <w:sz w:val="20"/>
          <w:szCs w:val="20"/>
        </w:rPr>
        <w:t>over weight (obesity</w:t>
      </w:r>
      <w:r w:rsidR="00BF4D79" w:rsidRPr="00AE1008">
        <w:rPr>
          <w:rFonts w:ascii="Times New Roman" w:eastAsia="Calibri" w:hAnsi="Times New Roman" w:cs="Times New Roman"/>
          <w:sz w:val="20"/>
          <w:szCs w:val="20"/>
        </w:rPr>
        <w:t>) due</w:t>
      </w:r>
      <w:r w:rsidR="00835F58" w:rsidRPr="00AE1008">
        <w:rPr>
          <w:rFonts w:ascii="Times New Roman" w:eastAsia="Calibri" w:hAnsi="Times New Roman" w:cs="Times New Roman"/>
          <w:sz w:val="20"/>
          <w:szCs w:val="20"/>
        </w:rPr>
        <w:t xml:space="preserve"> to </w:t>
      </w:r>
      <w:r w:rsidR="00BF4D79" w:rsidRPr="00AE1008">
        <w:rPr>
          <w:rFonts w:ascii="Times New Roman" w:eastAsia="Calibri" w:hAnsi="Times New Roman" w:cs="Times New Roman"/>
          <w:sz w:val="20"/>
          <w:szCs w:val="20"/>
        </w:rPr>
        <w:t>its low</w:t>
      </w:r>
      <w:r w:rsidRPr="00AE1008">
        <w:rPr>
          <w:rFonts w:ascii="Times New Roman" w:eastAsia="Calibri" w:hAnsi="Times New Roman" w:cs="Times New Roman"/>
          <w:sz w:val="20"/>
          <w:szCs w:val="20"/>
        </w:rPr>
        <w:t xml:space="preserve"> energy content and high nutrient density of most FV, FV</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t>
      </w:r>
      <w:proofErr w:type="spellStart"/>
      <w:r w:rsidRPr="00AE1008">
        <w:rPr>
          <w:rFonts w:ascii="Times New Roman" w:eastAsia="Calibri" w:hAnsi="Times New Roman" w:cs="Times New Roman"/>
          <w:sz w:val="20"/>
          <w:szCs w:val="20"/>
        </w:rPr>
        <w:t>Bazzano</w:t>
      </w:r>
      <w:proofErr w:type="spellEnd"/>
      <w:r w:rsidRPr="00AE1008">
        <w:rPr>
          <w:rFonts w:ascii="Times New Roman" w:eastAsia="Calibri" w:hAnsi="Times New Roman" w:cs="Times New Roman"/>
          <w:sz w:val="20"/>
          <w:szCs w:val="20"/>
        </w:rPr>
        <w:t xml:space="preserve">, </w:t>
      </w:r>
      <w:r w:rsidR="00BF4D79" w:rsidRPr="00AE1008">
        <w:rPr>
          <w:rFonts w:ascii="Times New Roman" w:eastAsia="Calibri" w:hAnsi="Times New Roman" w:cs="Times New Roman"/>
          <w:sz w:val="20"/>
          <w:szCs w:val="20"/>
        </w:rPr>
        <w:t>2006)</w:t>
      </w:r>
      <w:r w:rsidR="00504B02" w:rsidRPr="00AE1008">
        <w:rPr>
          <w:rFonts w:ascii="Times New Roman" w:eastAsia="Calibri" w:hAnsi="Times New Roman" w:cs="Times New Roman"/>
          <w:sz w:val="20"/>
          <w:szCs w:val="20"/>
        </w:rPr>
        <w:t xml:space="preserve">. </w:t>
      </w:r>
      <w:r w:rsidR="00BF4D79" w:rsidRPr="00AE1008">
        <w:rPr>
          <w:rFonts w:ascii="Times New Roman" w:eastAsia="Calibri" w:hAnsi="Times New Roman" w:cs="Times New Roman"/>
          <w:sz w:val="20"/>
          <w:szCs w:val="20"/>
        </w:rPr>
        <w:t>Therefore</w:t>
      </w:r>
      <w:r w:rsidR="00504B02" w:rsidRPr="00AE1008">
        <w:rPr>
          <w:rFonts w:ascii="Times New Roman" w:eastAsia="Calibri" w:hAnsi="Times New Roman" w:cs="Times New Roman"/>
          <w:sz w:val="20"/>
          <w:szCs w:val="20"/>
        </w:rPr>
        <w:t>,</w:t>
      </w:r>
      <w:r w:rsidR="00BF4D79" w:rsidRPr="00AE1008">
        <w:rPr>
          <w:rFonts w:ascii="Times New Roman" w:eastAsia="Calibri" w:hAnsi="Times New Roman" w:cs="Times New Roman"/>
          <w:sz w:val="20"/>
          <w:szCs w:val="20"/>
        </w:rPr>
        <w:t xml:space="preserve"> </w:t>
      </w:r>
      <w:r w:rsidR="00504B02" w:rsidRPr="00AE1008">
        <w:rPr>
          <w:rFonts w:ascii="Times New Roman" w:eastAsia="Calibri" w:hAnsi="Times New Roman" w:cs="Times New Roman"/>
          <w:sz w:val="20"/>
          <w:szCs w:val="20"/>
        </w:rPr>
        <w:t xml:space="preserve">depending on the previous data </w:t>
      </w:r>
      <w:r w:rsidRPr="00AE1008">
        <w:rPr>
          <w:rFonts w:ascii="Times New Roman" w:eastAsia="Calibri" w:hAnsi="Times New Roman" w:cs="Times New Roman"/>
          <w:sz w:val="20"/>
          <w:szCs w:val="20"/>
        </w:rPr>
        <w:t xml:space="preserve">there is strong </w:t>
      </w:r>
      <w:r w:rsidR="00504B02" w:rsidRPr="00AE1008">
        <w:rPr>
          <w:rFonts w:ascii="Times New Roman" w:eastAsia="Calibri" w:hAnsi="Times New Roman" w:cs="Times New Roman"/>
          <w:sz w:val="20"/>
          <w:szCs w:val="20"/>
        </w:rPr>
        <w:t>confirmation</w:t>
      </w:r>
      <w:r w:rsidRPr="00AE1008">
        <w:rPr>
          <w:rFonts w:ascii="Times New Roman" w:eastAsia="Calibri" w:hAnsi="Times New Roman" w:cs="Times New Roman"/>
          <w:sz w:val="20"/>
          <w:szCs w:val="20"/>
        </w:rPr>
        <w:t xml:space="preserve"> that FV </w:t>
      </w:r>
      <w:r w:rsidR="00504B02" w:rsidRPr="00AE1008">
        <w:rPr>
          <w:rFonts w:ascii="Times New Roman" w:eastAsia="Calibri" w:hAnsi="Times New Roman" w:cs="Times New Roman"/>
          <w:sz w:val="20"/>
          <w:szCs w:val="20"/>
        </w:rPr>
        <w:t>intake</w:t>
      </w:r>
      <w:r w:rsidRPr="00AE1008">
        <w:rPr>
          <w:rFonts w:ascii="Times New Roman" w:eastAsia="Calibri" w:hAnsi="Times New Roman" w:cs="Times New Roman"/>
          <w:sz w:val="20"/>
          <w:szCs w:val="20"/>
        </w:rPr>
        <w:t xml:space="preserve"> can </w:t>
      </w:r>
      <w:r w:rsidR="00504B02" w:rsidRPr="00AE1008">
        <w:rPr>
          <w:rFonts w:ascii="Times New Roman" w:eastAsia="Calibri" w:hAnsi="Times New Roman" w:cs="Times New Roman"/>
          <w:sz w:val="20"/>
          <w:szCs w:val="20"/>
        </w:rPr>
        <w:t>assist</w:t>
      </w:r>
      <w:r w:rsidRPr="00AE1008">
        <w:rPr>
          <w:rFonts w:ascii="Times New Roman" w:eastAsia="Calibri" w:hAnsi="Times New Roman" w:cs="Times New Roman"/>
          <w:sz w:val="20"/>
          <w:szCs w:val="20"/>
        </w:rPr>
        <w:t xml:space="preserve"> as an effective strategy for improving dietary intakes as well as preventing.</w:t>
      </w:r>
    </w:p>
    <w:p w:rsidR="00FB56D5" w:rsidRPr="00AE1008" w:rsidRDefault="00FB56D5"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
    <w:p w:rsidR="00FB56D5" w:rsidRPr="00AE1008" w:rsidRDefault="008F562F"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 xml:space="preserve">2. </w:t>
      </w:r>
      <w:r w:rsidR="00FB56D5" w:rsidRPr="00AE1008">
        <w:rPr>
          <w:rFonts w:ascii="Times New Roman" w:eastAsia="Times New Roman" w:hAnsi="Times New Roman" w:cs="Times New Roman"/>
          <w:b/>
          <w:bCs/>
          <w:sz w:val="20"/>
          <w:szCs w:val="20"/>
        </w:rPr>
        <w:t xml:space="preserve">Subjects </w:t>
      </w:r>
      <w:r w:rsidRPr="00AE1008">
        <w:rPr>
          <w:rFonts w:ascii="Times New Roman" w:eastAsia="Times New Roman" w:hAnsi="Times New Roman" w:cs="Times New Roman"/>
          <w:b/>
          <w:bCs/>
          <w:sz w:val="20"/>
          <w:szCs w:val="20"/>
        </w:rPr>
        <w:t xml:space="preserve">and Methods </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 xml:space="preserve">The study was a cross-sectional observational study, the participants were recruited from 4 Egyptian governorate grand total (1131) mainly in Upper Egypt. The children were selected randomly from each governorate according to these numbers were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(161 boys and 161 girls), </w:t>
      </w:r>
      <w:proofErr w:type="spellStart"/>
      <w:r w:rsidRPr="00AE1008">
        <w:rPr>
          <w:rFonts w:ascii="Times New Roman" w:eastAsia="Calibri" w:hAnsi="Times New Roman" w:cs="Times New Roman"/>
          <w:sz w:val="20"/>
          <w:szCs w:val="20"/>
        </w:rPr>
        <w:t>Assiu</w:t>
      </w:r>
      <w:r w:rsidR="00F25EDD" w:rsidRPr="00AE1008">
        <w:rPr>
          <w:rFonts w:ascii="Times New Roman" w:eastAsia="Calibri" w:hAnsi="Times New Roman" w:cs="Times New Roman"/>
          <w:sz w:val="20"/>
          <w:szCs w:val="20"/>
        </w:rPr>
        <w:t>t</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169 boys and 138 girls),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(182 boys and 137girls ) and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(100 boys and 83) girls.</w:t>
      </w:r>
    </w:p>
    <w:p w:rsidR="00AE1008" w:rsidRDefault="00AE1008" w:rsidP="00FF65F3">
      <w:pPr>
        <w:snapToGrid w:val="0"/>
        <w:spacing w:after="0" w:line="240" w:lineRule="auto"/>
        <w:jc w:val="both"/>
        <w:rPr>
          <w:rFonts w:ascii="Times New Roman" w:hAnsi="Times New Roman" w:cs="Times New Roman"/>
          <w:b/>
          <w:bCs/>
          <w:sz w:val="20"/>
          <w:szCs w:val="20"/>
          <w:lang w:eastAsia="zh-CN"/>
        </w:rPr>
      </w:pP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Methods:</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 xml:space="preserve">All the children were subjected to anthropometric assessment and dietary assessments. </w:t>
      </w:r>
    </w:p>
    <w:p w:rsidR="00AE1008" w:rsidRDefault="00AE1008" w:rsidP="00FF65F3">
      <w:pPr>
        <w:snapToGrid w:val="0"/>
        <w:spacing w:after="0" w:line="240" w:lineRule="auto"/>
        <w:jc w:val="both"/>
        <w:rPr>
          <w:rFonts w:ascii="Times New Roman" w:hAnsi="Times New Roman" w:cs="Times New Roman"/>
          <w:b/>
          <w:bCs/>
          <w:sz w:val="20"/>
          <w:szCs w:val="20"/>
          <w:lang w:eastAsia="zh-CN"/>
        </w:rPr>
      </w:pP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lastRenderedPageBreak/>
        <w:t>Anthropometric Measurements:</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Weight and height was recorded according to the standardized methods (WHO. 2006) Height for age was used as indicator of stunting It</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is categorized as: Normal (-2 to +2SD), Short stature &lt;-2SD, and Tall if &gt;+2SD.</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Assessment of Body Mass Index for age:</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For age from 2-5 years old, the Z score body mass index was used for boys and girls. The following categories of weight status were determined according to WHO Z</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score body mass index growth chart reference for children (2-5-years old ) released by (WHO.,2006). BMI was categorized as: Normal (&gt;-2 to &lt;+1), Over weight (&gt;+1 SD), Obese (&gt;+2SD) and Thinness (&lt;-2 SD).</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Dietary assessment:</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Data on nutritional status had been collected using specially designed questionnaires to cover required information on: Food intake (24 hours recall), and Dietary pattern “Food frequency” for selected items. The energy and nutrient content of the 24 hour was computed through the compiled food composition tables of the NNI (2006).</w:t>
      </w:r>
    </w:p>
    <w:p w:rsidR="008F562F" w:rsidRPr="00AE1008" w:rsidRDefault="00FB56D5" w:rsidP="00FF65F3">
      <w:pPr>
        <w:snapToGrid w:val="0"/>
        <w:spacing w:after="0" w:line="240" w:lineRule="auto"/>
        <w:ind w:firstLine="425"/>
        <w:jc w:val="both"/>
        <w:rPr>
          <w:rFonts w:ascii="Times New Roman" w:eastAsia="Times New Roman" w:hAnsi="Times New Roman" w:cs="Times New Roman"/>
          <w:b/>
          <w:bCs/>
          <w:sz w:val="20"/>
          <w:szCs w:val="20"/>
        </w:rPr>
      </w:pPr>
      <w:r w:rsidRPr="00AE1008">
        <w:rPr>
          <w:rFonts w:ascii="Times New Roman" w:eastAsia="Calibri" w:hAnsi="Times New Roman" w:cs="Times New Roman"/>
          <w:sz w:val="20"/>
          <w:szCs w:val="20"/>
        </w:rPr>
        <w:t>The nutritional value of foods items consumed was compared to the</w:t>
      </w:r>
      <w:r w:rsidR="008F562F" w:rsidRPr="00AE1008">
        <w:rPr>
          <w:rFonts w:ascii="Times New Roman" w:eastAsia="Calibri" w:hAnsi="Times New Roman" w:cs="Times New Roman"/>
          <w:sz w:val="20"/>
          <w:szCs w:val="20"/>
        </w:rPr>
        <w:t>:</w:t>
      </w:r>
    </w:p>
    <w:p w:rsidR="00FB56D5" w:rsidRPr="00AE1008" w:rsidRDefault="008F562F"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Dietary adequacy</w:t>
      </w:r>
    </w:p>
    <w:p w:rsidR="00FB56D5" w:rsidRPr="00AE1008" w:rsidRDefault="008F562F"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Recommended</w:t>
      </w:r>
      <w:r w:rsidR="00FB56D5" w:rsidRPr="00AE1008">
        <w:rPr>
          <w:rFonts w:ascii="Times New Roman" w:eastAsia="Calibri" w:hAnsi="Times New Roman" w:cs="Times New Roman"/>
          <w:sz w:val="20"/>
          <w:szCs w:val="20"/>
        </w:rPr>
        <w:t xml:space="preserve"> dietary allowances “RDAs” of (FAO/WHO/UNU., 2004). Iron estimation was based on its bioavailability according to the daily diet content of </w:t>
      </w:r>
      <w:proofErr w:type="spellStart"/>
      <w:r w:rsidR="00FB56D5" w:rsidRPr="00AE1008">
        <w:rPr>
          <w:rFonts w:ascii="Times New Roman" w:eastAsia="Calibri" w:hAnsi="Times New Roman" w:cs="Times New Roman"/>
          <w:sz w:val="20"/>
          <w:szCs w:val="20"/>
        </w:rPr>
        <w:t>heam</w:t>
      </w:r>
      <w:proofErr w:type="spellEnd"/>
      <w:r w:rsidR="00FB56D5" w:rsidRPr="00AE1008">
        <w:rPr>
          <w:rFonts w:ascii="Times New Roman" w:eastAsia="Calibri" w:hAnsi="Times New Roman" w:cs="Times New Roman"/>
          <w:sz w:val="20"/>
          <w:szCs w:val="20"/>
        </w:rPr>
        <w:t xml:space="preserve"> iron source in grams (meat, poultry and fish) or ascorbic acid (mg) as follows: Low bioavailability:&lt;30gm of </w:t>
      </w:r>
      <w:proofErr w:type="spellStart"/>
      <w:r w:rsidR="00FB56D5" w:rsidRPr="00AE1008">
        <w:rPr>
          <w:rFonts w:ascii="Times New Roman" w:eastAsia="Calibri" w:hAnsi="Times New Roman" w:cs="Times New Roman"/>
          <w:sz w:val="20"/>
          <w:szCs w:val="20"/>
        </w:rPr>
        <w:t>heam</w:t>
      </w:r>
      <w:proofErr w:type="spellEnd"/>
      <w:r w:rsidR="00FB56D5" w:rsidRPr="00AE1008">
        <w:rPr>
          <w:rFonts w:ascii="Times New Roman" w:eastAsia="Calibri" w:hAnsi="Times New Roman" w:cs="Times New Roman"/>
          <w:sz w:val="20"/>
          <w:szCs w:val="20"/>
        </w:rPr>
        <w:t xml:space="preserve"> iron source or&lt;25 mg of ascorbic, Intermediate bioavailability: 30-90 gm of </w:t>
      </w:r>
      <w:proofErr w:type="spellStart"/>
      <w:r w:rsidR="00FB56D5" w:rsidRPr="00AE1008">
        <w:rPr>
          <w:rFonts w:ascii="Times New Roman" w:eastAsia="Calibri" w:hAnsi="Times New Roman" w:cs="Times New Roman"/>
          <w:sz w:val="20"/>
          <w:szCs w:val="20"/>
        </w:rPr>
        <w:t>heam</w:t>
      </w:r>
      <w:proofErr w:type="spellEnd"/>
      <w:r w:rsidR="00FB56D5" w:rsidRPr="00AE1008">
        <w:rPr>
          <w:rFonts w:ascii="Times New Roman" w:eastAsia="Calibri" w:hAnsi="Times New Roman" w:cs="Times New Roman"/>
          <w:sz w:val="20"/>
          <w:szCs w:val="20"/>
        </w:rPr>
        <w:t xml:space="preserve"> iron source or 25-75mgof ascorbic acid and High bioavailability:&gt;90gm of </w:t>
      </w:r>
      <w:proofErr w:type="spellStart"/>
      <w:r w:rsidR="00FB56D5" w:rsidRPr="00AE1008">
        <w:rPr>
          <w:rFonts w:ascii="Times New Roman" w:eastAsia="Calibri" w:hAnsi="Times New Roman" w:cs="Times New Roman"/>
          <w:sz w:val="20"/>
          <w:szCs w:val="20"/>
        </w:rPr>
        <w:t>heam</w:t>
      </w:r>
      <w:proofErr w:type="spellEnd"/>
      <w:r w:rsidR="00FB56D5" w:rsidRPr="00AE1008">
        <w:rPr>
          <w:rFonts w:ascii="Times New Roman" w:eastAsia="Calibri" w:hAnsi="Times New Roman" w:cs="Times New Roman"/>
          <w:sz w:val="20"/>
          <w:szCs w:val="20"/>
        </w:rPr>
        <w:t xml:space="preserve"> iron source or&gt;75mg ascorbic acid (Sight and life /Newsletter/ 2002).</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Statistical Analysis</w:t>
      </w:r>
    </w:p>
    <w:p w:rsidR="00FB56D5" w:rsidRPr="00AE1008" w:rsidRDefault="00FB56D5"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Estimated energy requirement (EER) was calculated for each individual using their age, sex, height, and weight according to the Institute of Medicine Dietary Reference Intake equations. Given anecdotal evidence that suggests that the majority of subjects with stunting participate in limited physical activity outside the home, EER was estimated based on a sedentary lifestyle activity coefficient of 1.0. Percentage of EER was calculated as %EER (kcal/EER)</w:t>
      </w:r>
      <w:r w:rsidR="00B84F41" w:rsidRPr="00AE1008">
        <w:rPr>
          <w:rFonts w:ascii="Times New Roman" w:eastAsia="Calibri" w:hAnsi="Times New Roman" w:cs="Times New Roman"/>
          <w:sz w:val="20"/>
          <w:szCs w:val="20"/>
        </w:rPr>
        <w:t>. A</w:t>
      </w:r>
      <w:r w:rsidRPr="00AE1008">
        <w:rPr>
          <w:rFonts w:ascii="Times New Roman" w:eastAsia="Calibri" w:hAnsi="Times New Roman" w:cs="Times New Roman"/>
          <w:sz w:val="20"/>
          <w:szCs w:val="20"/>
        </w:rPr>
        <w:t>nalyses of continuous variables were summarized as means with standard deviations and categorical variables were summarized as numbers and percentages.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All inferences are based on two tailed tests with a threshold of &lt;0.05 for declaring significance. Intake was categorized to &lt; 50%, 50-74%, 75-99% and ≥ 100%</w:t>
      </w:r>
      <w:r w:rsidR="00B84F41" w:rsidRPr="00AE1008">
        <w:rPr>
          <w:rFonts w:ascii="Times New Roman" w:eastAsia="Calibri" w:hAnsi="Times New Roman" w:cs="Times New Roman"/>
          <w:sz w:val="20"/>
          <w:szCs w:val="20"/>
        </w:rPr>
        <w:t>. C</w:t>
      </w:r>
      <w:r w:rsidRPr="00AE1008">
        <w:rPr>
          <w:rFonts w:ascii="Times New Roman" w:eastAsia="Calibri" w:hAnsi="Times New Roman" w:cs="Times New Roman"/>
          <w:sz w:val="20"/>
          <w:szCs w:val="20"/>
        </w:rPr>
        <w:t xml:space="preserve">hi square, Fisher’s exact, one sample t test, Student’s T test and one way ANOVA test were used to compare intake between </w:t>
      </w:r>
      <w:r w:rsidRPr="00AE1008">
        <w:rPr>
          <w:rFonts w:ascii="Times New Roman" w:eastAsia="Calibri" w:hAnsi="Times New Roman" w:cs="Times New Roman"/>
          <w:sz w:val="20"/>
          <w:szCs w:val="20"/>
        </w:rPr>
        <w:lastRenderedPageBreak/>
        <w:t xml:space="preserve">sex, Ht Z score and Wt Z score categories. All analyses were conducted using SPSS version (SPSS, 2008). </w:t>
      </w:r>
    </w:p>
    <w:p w:rsidR="008F562F" w:rsidRPr="00AE1008" w:rsidRDefault="008F562F" w:rsidP="00FF65F3">
      <w:pPr>
        <w:snapToGrid w:val="0"/>
        <w:spacing w:after="0" w:line="240" w:lineRule="auto"/>
        <w:jc w:val="both"/>
        <w:rPr>
          <w:rFonts w:ascii="Times New Roman" w:eastAsia="Times New Roman" w:hAnsi="Times New Roman" w:cs="Times New Roman"/>
          <w:b/>
          <w:bCs/>
          <w:sz w:val="20"/>
          <w:szCs w:val="20"/>
        </w:rPr>
      </w:pPr>
    </w:p>
    <w:p w:rsidR="00FB56D5" w:rsidRPr="00AE1008" w:rsidRDefault="008F562F"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 xml:space="preserve">3. </w:t>
      </w:r>
      <w:r w:rsidR="00FB56D5" w:rsidRPr="00AE1008">
        <w:rPr>
          <w:rFonts w:ascii="Times New Roman" w:eastAsia="Times New Roman" w:hAnsi="Times New Roman" w:cs="Times New Roman"/>
          <w:b/>
          <w:bCs/>
          <w:sz w:val="20"/>
          <w:szCs w:val="20"/>
        </w:rPr>
        <w:t>Results and Discussion</w:t>
      </w:r>
    </w:p>
    <w:p w:rsidR="00F25EDD" w:rsidRPr="00AE1008" w:rsidRDefault="00FB56D5" w:rsidP="00B84F41">
      <w:pPr>
        <w:snapToGrid w:val="0"/>
        <w:spacing w:after="0" w:line="240" w:lineRule="auto"/>
        <w:ind w:firstLine="425"/>
        <w:jc w:val="both"/>
        <w:rPr>
          <w:rFonts w:ascii="Times New Roman" w:eastAsia="Times New Roman" w:hAnsi="Times New Roman" w:cs="Times New Roman"/>
          <w:b/>
          <w:bCs/>
          <w:sz w:val="20"/>
          <w:szCs w:val="20"/>
        </w:rPr>
      </w:pPr>
      <w:r w:rsidRPr="00AE1008">
        <w:rPr>
          <w:rFonts w:ascii="Times New Roman" w:eastAsia="Calibri" w:hAnsi="Times New Roman" w:cs="Times New Roman"/>
          <w:sz w:val="20"/>
          <w:szCs w:val="20"/>
        </w:rPr>
        <w:t xml:space="preserve">Table (1) stated that underweight was high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governorate and mostly affected in comparing to others governorates. Also, the same table showed that boys were more suffering from underweight than girls and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had the lowest percent in normal weight. our result in different with </w:t>
      </w:r>
      <w:r w:rsidR="00DA6BF7" w:rsidRPr="00AE1008">
        <w:rPr>
          <w:rFonts w:ascii="Times New Roman" w:eastAsia="Calibri" w:hAnsi="Times New Roman" w:cs="Times New Roman"/>
          <w:sz w:val="20"/>
          <w:szCs w:val="20"/>
        </w:rPr>
        <w:t xml:space="preserve">the finding obtained </w:t>
      </w:r>
      <w:r w:rsidRPr="00AE1008">
        <w:rPr>
          <w:rFonts w:ascii="Times New Roman" w:eastAsia="Calibri" w:hAnsi="Times New Roman" w:cs="Times New Roman"/>
          <w:sz w:val="20"/>
          <w:szCs w:val="20"/>
        </w:rPr>
        <w:t xml:space="preserve">by (Bose et al., 2007) </w:t>
      </w:r>
      <w:r w:rsidR="00DA6BF7" w:rsidRPr="00AE1008">
        <w:rPr>
          <w:rFonts w:ascii="Times New Roman" w:eastAsia="Calibri" w:hAnsi="Times New Roman" w:cs="Times New Roman"/>
          <w:sz w:val="20"/>
          <w:szCs w:val="20"/>
        </w:rPr>
        <w:t xml:space="preserve">who indicated </w:t>
      </w:r>
      <w:r w:rsidRPr="00AE1008">
        <w:rPr>
          <w:rFonts w:ascii="Times New Roman" w:eastAsia="Calibri" w:hAnsi="Times New Roman" w:cs="Times New Roman"/>
          <w:sz w:val="20"/>
          <w:szCs w:val="20"/>
        </w:rPr>
        <w:t xml:space="preserve">that the rate of underweight </w:t>
      </w:r>
      <w:r w:rsidRPr="00AE1008">
        <w:rPr>
          <w:rFonts w:ascii="Times New Roman" w:eastAsia="Calibri" w:hAnsi="Times New Roman" w:cs="Times New Roman"/>
          <w:sz w:val="20"/>
          <w:szCs w:val="20"/>
        </w:rPr>
        <w:lastRenderedPageBreak/>
        <w:t xml:space="preserve">was higher </w:t>
      </w:r>
      <w:r w:rsidR="00DA6BF7" w:rsidRPr="00AE1008">
        <w:rPr>
          <w:rFonts w:ascii="Times New Roman" w:eastAsia="Calibri" w:hAnsi="Times New Roman" w:cs="Times New Roman"/>
          <w:sz w:val="20"/>
          <w:szCs w:val="20"/>
        </w:rPr>
        <w:t>(35.1%)in</w:t>
      </w:r>
      <w:r w:rsidRPr="00AE1008">
        <w:rPr>
          <w:rFonts w:ascii="Times New Roman" w:eastAsia="Calibri" w:hAnsi="Times New Roman" w:cs="Times New Roman"/>
          <w:sz w:val="20"/>
          <w:szCs w:val="20"/>
        </w:rPr>
        <w:t xml:space="preserve"> girls </w:t>
      </w:r>
      <w:r w:rsidR="00DA6BF7" w:rsidRPr="00AE1008">
        <w:rPr>
          <w:rFonts w:ascii="Times New Roman" w:eastAsia="Calibri" w:hAnsi="Times New Roman" w:cs="Times New Roman"/>
          <w:sz w:val="20"/>
          <w:szCs w:val="20"/>
        </w:rPr>
        <w:t xml:space="preserve">in comparison with that in </w:t>
      </w:r>
      <w:r w:rsidRPr="00AE1008">
        <w:rPr>
          <w:rFonts w:ascii="Times New Roman" w:eastAsia="Calibri" w:hAnsi="Times New Roman" w:cs="Times New Roman"/>
          <w:sz w:val="20"/>
          <w:szCs w:val="20"/>
        </w:rPr>
        <w:t xml:space="preserve">boys (26.5%) and the overall rate of underweight was </w:t>
      </w:r>
      <w:r w:rsidR="00DA6BF7" w:rsidRPr="00AE1008">
        <w:rPr>
          <w:rFonts w:ascii="Times New Roman" w:eastAsia="Calibri" w:hAnsi="Times New Roman" w:cs="Times New Roman"/>
          <w:sz w:val="20"/>
          <w:szCs w:val="20"/>
        </w:rPr>
        <w:t xml:space="preserve">reached </w:t>
      </w:r>
      <w:r w:rsidRPr="00AE1008">
        <w:rPr>
          <w:rFonts w:ascii="Times New Roman" w:eastAsia="Calibri" w:hAnsi="Times New Roman" w:cs="Times New Roman"/>
          <w:sz w:val="20"/>
          <w:szCs w:val="20"/>
        </w:rPr>
        <w:t xml:space="preserve">31%.The total percentages of </w:t>
      </w:r>
      <w:r w:rsidR="00361E63" w:rsidRPr="00AE1008">
        <w:rPr>
          <w:rFonts w:ascii="Times New Roman" w:eastAsia="Calibri" w:hAnsi="Times New Roman" w:cs="Times New Roman"/>
          <w:sz w:val="20"/>
          <w:szCs w:val="20"/>
        </w:rPr>
        <w:t xml:space="preserve">moderate and severe malnutrition were averaged 44.89% in </w:t>
      </w:r>
      <w:r w:rsidRPr="00AE1008">
        <w:rPr>
          <w:rFonts w:ascii="Times New Roman" w:eastAsia="Calibri" w:hAnsi="Times New Roman" w:cs="Times New Roman"/>
          <w:sz w:val="20"/>
          <w:szCs w:val="20"/>
        </w:rPr>
        <w:t xml:space="preserve">boys </w:t>
      </w:r>
      <w:r w:rsidR="00361E63" w:rsidRPr="00AE1008">
        <w:rPr>
          <w:rFonts w:ascii="Times New Roman" w:eastAsia="Calibri" w:hAnsi="Times New Roman" w:cs="Times New Roman"/>
          <w:sz w:val="20"/>
          <w:szCs w:val="20"/>
        </w:rPr>
        <w:t>and 38.33%</w:t>
      </w:r>
      <w:r w:rsidR="00D26A43" w:rsidRPr="00AE1008">
        <w:rPr>
          <w:rFonts w:ascii="Times New Roman" w:eastAsia="Calibri" w:hAnsi="Times New Roman" w:cs="Times New Roman"/>
          <w:sz w:val="20"/>
          <w:szCs w:val="20"/>
        </w:rPr>
        <w:t xml:space="preserve"> in girls. Other investigators (</w:t>
      </w:r>
      <w:r w:rsidRPr="00AE1008">
        <w:rPr>
          <w:rFonts w:ascii="Times New Roman" w:eastAsia="Calibri" w:hAnsi="Times New Roman" w:cs="Times New Roman"/>
          <w:sz w:val="20"/>
          <w:szCs w:val="20"/>
        </w:rPr>
        <w:t xml:space="preserve">Jai </w:t>
      </w:r>
      <w:proofErr w:type="spellStart"/>
      <w:r w:rsidRPr="00AE1008">
        <w:rPr>
          <w:rFonts w:ascii="Times New Roman" w:eastAsia="Calibri" w:hAnsi="Times New Roman" w:cs="Times New Roman"/>
          <w:sz w:val="20"/>
          <w:szCs w:val="20"/>
        </w:rPr>
        <w:t>Prabhakar</w:t>
      </w:r>
      <w:proofErr w:type="spellEnd"/>
      <w:r w:rsidRPr="00AE1008">
        <w:rPr>
          <w:rFonts w:ascii="Times New Roman" w:eastAsia="Calibri" w:hAnsi="Times New Roman" w:cs="Times New Roman"/>
          <w:sz w:val="20"/>
          <w:szCs w:val="20"/>
        </w:rPr>
        <w:t xml:space="preserve"> and Gangadhar</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2009) </w:t>
      </w:r>
      <w:r w:rsidR="00D26A43" w:rsidRPr="00AE1008">
        <w:rPr>
          <w:rFonts w:ascii="Times New Roman" w:eastAsia="Calibri" w:hAnsi="Times New Roman" w:cs="Times New Roman"/>
          <w:sz w:val="20"/>
          <w:szCs w:val="20"/>
        </w:rPr>
        <w:t>found</w:t>
      </w:r>
      <w:r w:rsidRPr="00AE1008">
        <w:rPr>
          <w:rFonts w:ascii="Times New Roman" w:eastAsia="Calibri" w:hAnsi="Times New Roman" w:cs="Times New Roman"/>
          <w:sz w:val="20"/>
          <w:szCs w:val="20"/>
        </w:rPr>
        <w:t xml:space="preserve"> that 45.2% </w:t>
      </w:r>
      <w:r w:rsidR="00D26A43" w:rsidRPr="00AE1008">
        <w:rPr>
          <w:rFonts w:ascii="Times New Roman" w:eastAsia="Calibri" w:hAnsi="Times New Roman" w:cs="Times New Roman"/>
          <w:sz w:val="20"/>
          <w:szCs w:val="20"/>
        </w:rPr>
        <w:t xml:space="preserve">of </w:t>
      </w:r>
      <w:r w:rsidRPr="00AE1008">
        <w:rPr>
          <w:rFonts w:ascii="Times New Roman" w:eastAsia="Calibri" w:hAnsi="Times New Roman" w:cs="Times New Roman"/>
          <w:sz w:val="20"/>
          <w:szCs w:val="20"/>
        </w:rPr>
        <w:t xml:space="preserve">children were moderately malnourished </w:t>
      </w:r>
      <w:r w:rsidR="00C2448D" w:rsidRPr="00AE1008">
        <w:rPr>
          <w:rFonts w:ascii="Times New Roman" w:eastAsia="Calibri" w:hAnsi="Times New Roman" w:cs="Times New Roman"/>
          <w:sz w:val="20"/>
          <w:szCs w:val="20"/>
        </w:rPr>
        <w:t xml:space="preserve">concerning </w:t>
      </w:r>
      <w:r w:rsidRPr="00AE1008">
        <w:rPr>
          <w:rFonts w:ascii="Times New Roman" w:eastAsia="Calibri" w:hAnsi="Times New Roman" w:cs="Times New Roman"/>
          <w:sz w:val="20"/>
          <w:szCs w:val="20"/>
        </w:rPr>
        <w:t xml:space="preserve">weight for age, </w:t>
      </w:r>
      <w:r w:rsidR="00C2448D" w:rsidRPr="00AE1008">
        <w:rPr>
          <w:rFonts w:ascii="Times New Roman" w:eastAsia="Calibri" w:hAnsi="Times New Roman" w:cs="Times New Roman"/>
          <w:sz w:val="20"/>
          <w:szCs w:val="20"/>
        </w:rPr>
        <w:t>while</w:t>
      </w:r>
      <w:r w:rsidRPr="00AE1008">
        <w:rPr>
          <w:rFonts w:ascii="Times New Roman" w:eastAsia="Calibri" w:hAnsi="Times New Roman" w:cs="Times New Roman"/>
          <w:sz w:val="20"/>
          <w:szCs w:val="20"/>
        </w:rPr>
        <w:t xml:space="preserve"> 4.4% were normal and </w:t>
      </w:r>
      <w:r w:rsidR="008A76EA" w:rsidRPr="00AE1008">
        <w:rPr>
          <w:rFonts w:ascii="Times New Roman" w:eastAsia="Calibri" w:hAnsi="Times New Roman" w:cs="Times New Roman"/>
          <w:sz w:val="20"/>
          <w:szCs w:val="20"/>
        </w:rPr>
        <w:t>outstanding</w:t>
      </w:r>
      <w:r w:rsidRPr="00AE1008">
        <w:rPr>
          <w:rFonts w:ascii="Times New Roman" w:eastAsia="Calibri" w:hAnsi="Times New Roman" w:cs="Times New Roman"/>
          <w:sz w:val="20"/>
          <w:szCs w:val="20"/>
        </w:rPr>
        <w:t xml:space="preserve"> children had mild and severe form of </w:t>
      </w:r>
      <w:r w:rsidR="008A76EA" w:rsidRPr="00AE1008">
        <w:rPr>
          <w:rFonts w:ascii="Times New Roman" w:eastAsia="Calibri" w:hAnsi="Times New Roman" w:cs="Times New Roman"/>
          <w:sz w:val="20"/>
          <w:szCs w:val="20"/>
        </w:rPr>
        <w:t>undernourishment</w:t>
      </w:r>
      <w:r w:rsidRPr="00AE1008">
        <w:rPr>
          <w:rFonts w:ascii="Times New Roman" w:eastAsia="Calibri" w:hAnsi="Times New Roman" w:cs="Times New Roman"/>
          <w:sz w:val="20"/>
          <w:szCs w:val="20"/>
        </w:rPr>
        <w:t xml:space="preserve">. So, </w:t>
      </w:r>
      <w:r w:rsidR="008A76EA" w:rsidRPr="00AE1008">
        <w:rPr>
          <w:rFonts w:ascii="Times New Roman" w:eastAsia="Calibri" w:hAnsi="Times New Roman" w:cs="Times New Roman"/>
          <w:sz w:val="20"/>
          <w:szCs w:val="20"/>
        </w:rPr>
        <w:t xml:space="preserve">the current work pointed to a </w:t>
      </w:r>
      <w:r w:rsidRPr="00AE1008">
        <w:rPr>
          <w:rFonts w:ascii="Times New Roman" w:eastAsia="Calibri" w:hAnsi="Times New Roman" w:cs="Times New Roman"/>
          <w:sz w:val="20"/>
          <w:szCs w:val="20"/>
        </w:rPr>
        <w:t>much higher percentage of normal children.</w:t>
      </w:r>
    </w:p>
    <w:p w:rsidR="00B84F41" w:rsidRPr="00AE1008" w:rsidRDefault="00B84F41" w:rsidP="00FF65F3">
      <w:pPr>
        <w:snapToGrid w:val="0"/>
        <w:spacing w:after="0" w:line="240" w:lineRule="auto"/>
        <w:jc w:val="center"/>
        <w:rPr>
          <w:rFonts w:ascii="Times New Roman" w:eastAsia="Times New Roman" w:hAnsi="Times New Roman" w:cs="Times New Roman"/>
          <w:b/>
          <w:bCs/>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FB56D5" w:rsidRPr="00AE1008" w:rsidRDefault="00F25EDD"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lastRenderedPageBreak/>
        <w:cr/>
      </w:r>
      <w:r w:rsidR="00FB56D5" w:rsidRPr="00AE1008">
        <w:rPr>
          <w:rFonts w:ascii="Times New Roman" w:eastAsia="Times New Roman" w:hAnsi="Times New Roman" w:cs="Times New Roman"/>
          <w:b/>
          <w:bCs/>
          <w:sz w:val="20"/>
          <w:szCs w:val="20"/>
        </w:rPr>
        <w:t>Table (1) Percent distribution of children aged 2-5 years by age</w:t>
      </w:r>
      <w:r w:rsidRPr="00AE1008">
        <w:rPr>
          <w:rFonts w:ascii="Times New Roman" w:eastAsia="Times New Roman" w:hAnsi="Times New Roman" w:cs="Times New Roman"/>
          <w:b/>
          <w:bCs/>
          <w:sz w:val="20"/>
          <w:szCs w:val="20"/>
        </w:rPr>
        <w:t xml:space="preserve"> &amp; </w:t>
      </w:r>
      <w:r w:rsidR="00FB56D5" w:rsidRPr="00AE1008">
        <w:rPr>
          <w:rFonts w:ascii="Times New Roman" w:eastAsia="Times New Roman" w:hAnsi="Times New Roman" w:cs="Times New Roman"/>
          <w:b/>
          <w:bCs/>
          <w:sz w:val="20"/>
          <w:szCs w:val="20"/>
        </w:rPr>
        <w:t xml:space="preserve">gender in the </w:t>
      </w:r>
      <w:proofErr w:type="spellStart"/>
      <w:r w:rsidR="00FB56D5" w:rsidRPr="00AE1008">
        <w:rPr>
          <w:rFonts w:ascii="Times New Roman" w:eastAsia="Times New Roman" w:hAnsi="Times New Roman" w:cs="Times New Roman"/>
          <w:b/>
          <w:bCs/>
          <w:sz w:val="20"/>
          <w:szCs w:val="20"/>
        </w:rPr>
        <w:t>studiedgovernorates</w:t>
      </w:r>
      <w:proofErr w:type="spellEnd"/>
      <w:r w:rsidR="00FB56D5" w:rsidRPr="00AE1008">
        <w:rPr>
          <w:rFonts w:ascii="Times New Roman" w:eastAsia="Times New Roman" w:hAnsi="Times New Roman" w:cs="Times New Roman"/>
          <w:b/>
          <w:bCs/>
          <w:sz w:val="20"/>
          <w:szCs w:val="20"/>
        </w:rPr>
        <w:t xml:space="preserve"> in Upper Egypt according to Weight/Age Z-Score.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1716"/>
        <w:gridCol w:w="1016"/>
        <w:gridCol w:w="767"/>
        <w:gridCol w:w="874"/>
        <w:gridCol w:w="553"/>
        <w:gridCol w:w="621"/>
        <w:gridCol w:w="699"/>
        <w:gridCol w:w="792"/>
        <w:gridCol w:w="553"/>
        <w:gridCol w:w="756"/>
        <w:gridCol w:w="1127"/>
      </w:tblGrid>
      <w:tr w:rsidR="00F25EDD" w:rsidRPr="00AE1008" w:rsidTr="00F25EDD">
        <w:trPr>
          <w:jc w:val="center"/>
        </w:trPr>
        <w:tc>
          <w:tcPr>
            <w:tcW w:w="905" w:type="pct"/>
            <w:vMerge w:val="restart"/>
            <w:tcBorders>
              <w:top w:val="doub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Governorates</w:t>
            </w:r>
          </w:p>
        </w:tc>
        <w:tc>
          <w:tcPr>
            <w:tcW w:w="536" w:type="pct"/>
            <w:vMerge w:val="restart"/>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Gender</w:t>
            </w:r>
          </w:p>
        </w:tc>
        <w:tc>
          <w:tcPr>
            <w:tcW w:w="866"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Underweight</w:t>
            </w:r>
          </w:p>
        </w:tc>
        <w:tc>
          <w:tcPr>
            <w:tcW w:w="620"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Normal</w:t>
            </w:r>
          </w:p>
        </w:tc>
        <w:tc>
          <w:tcPr>
            <w:tcW w:w="787"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Overweight</w:t>
            </w:r>
          </w:p>
        </w:tc>
        <w:tc>
          <w:tcPr>
            <w:tcW w:w="691"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Total</w:t>
            </w:r>
          </w:p>
        </w:tc>
        <w:tc>
          <w:tcPr>
            <w:tcW w:w="595" w:type="pct"/>
            <w:vMerge w:val="restart"/>
            <w:tcBorders>
              <w:top w:val="double" w:sz="4" w:space="0" w:color="auto"/>
              <w:righ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 xml:space="preserve">P –value </w:t>
            </w:r>
          </w:p>
        </w:tc>
      </w:tr>
      <w:tr w:rsidR="00F25EDD" w:rsidRPr="00AE1008" w:rsidTr="00F25EDD">
        <w:trPr>
          <w:jc w:val="center"/>
        </w:trPr>
        <w:tc>
          <w:tcPr>
            <w:tcW w:w="905" w:type="pct"/>
            <w:vMerge/>
            <w:tcBorders>
              <w:left w:val="double" w:sz="4" w:space="0" w:color="auto"/>
              <w:bottom w:val="sing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c>
          <w:tcPr>
            <w:tcW w:w="536" w:type="pct"/>
            <w:vMerge/>
            <w:tcBorders>
              <w:bottom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c>
          <w:tcPr>
            <w:tcW w:w="405"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461"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292"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328"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369"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418"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292"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398"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595" w:type="pct"/>
            <w:vMerge/>
            <w:tcBorders>
              <w:bottom w:val="double" w:sz="4" w:space="0" w:color="auto"/>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r>
      <w:tr w:rsidR="00F25EDD" w:rsidRPr="00AE1008" w:rsidTr="00F25EDD">
        <w:trPr>
          <w:jc w:val="center"/>
        </w:trPr>
        <w:tc>
          <w:tcPr>
            <w:tcW w:w="905" w:type="pct"/>
            <w:tcBorders>
              <w:top w:val="sing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Menia</w:t>
            </w:r>
            <w:proofErr w:type="spellEnd"/>
          </w:p>
        </w:tc>
        <w:tc>
          <w:tcPr>
            <w:tcW w:w="536" w:type="pct"/>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40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w:t>
            </w:r>
          </w:p>
        </w:tc>
        <w:tc>
          <w:tcPr>
            <w:tcW w:w="461"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8.1</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149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147</w:t>
            </w:r>
          </w:p>
        </w:tc>
        <w:tc>
          <w:tcPr>
            <w:tcW w:w="3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92.5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91.3</w:t>
            </w:r>
          </w:p>
        </w:tc>
        <w:tc>
          <w:tcPr>
            <w:tcW w:w="369"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w:t>
            </w:r>
          </w:p>
        </w:tc>
        <w:tc>
          <w:tcPr>
            <w:tcW w:w="41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161</w:t>
            </w:r>
          </w:p>
        </w:tc>
        <w:tc>
          <w:tcPr>
            <w:tcW w:w="39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50.0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50.0</w:t>
            </w:r>
          </w:p>
        </w:tc>
        <w:tc>
          <w:tcPr>
            <w:tcW w:w="595"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0.69</w:t>
            </w:r>
          </w:p>
        </w:tc>
      </w:tr>
      <w:tr w:rsidR="00F25EDD" w:rsidRPr="00AE1008" w:rsidTr="00F25EDD">
        <w:trPr>
          <w:jc w:val="center"/>
        </w:trPr>
        <w:tc>
          <w:tcPr>
            <w:tcW w:w="905" w:type="pct"/>
            <w:tcBorders>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Assiut</w:t>
            </w:r>
            <w:proofErr w:type="spellEnd"/>
          </w:p>
        </w:tc>
        <w:tc>
          <w:tcPr>
            <w:tcW w:w="536" w:type="pct"/>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40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w:t>
            </w:r>
          </w:p>
        </w:tc>
        <w:tc>
          <w:tcPr>
            <w:tcW w:w="461"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7.1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6.5</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157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129</w:t>
            </w:r>
          </w:p>
        </w:tc>
        <w:tc>
          <w:tcPr>
            <w:tcW w:w="3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92.9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93.5</w:t>
            </w:r>
          </w:p>
        </w:tc>
        <w:tc>
          <w:tcPr>
            <w:tcW w:w="369"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41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138</w:t>
            </w:r>
          </w:p>
        </w:tc>
        <w:tc>
          <w:tcPr>
            <w:tcW w:w="39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55.05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44.95</w:t>
            </w:r>
          </w:p>
        </w:tc>
        <w:tc>
          <w:tcPr>
            <w:tcW w:w="595"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0.80</w:t>
            </w:r>
          </w:p>
        </w:tc>
      </w:tr>
      <w:tr w:rsidR="00F25EDD" w:rsidRPr="00AE1008" w:rsidTr="00F25EDD">
        <w:trPr>
          <w:jc w:val="center"/>
        </w:trPr>
        <w:tc>
          <w:tcPr>
            <w:tcW w:w="905" w:type="pct"/>
            <w:tcBorders>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Sohag</w:t>
            </w:r>
            <w:proofErr w:type="spellEnd"/>
          </w:p>
        </w:tc>
        <w:tc>
          <w:tcPr>
            <w:tcW w:w="536" w:type="pct"/>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40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w:t>
            </w:r>
          </w:p>
        </w:tc>
        <w:tc>
          <w:tcPr>
            <w:tcW w:w="461"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4.4</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164</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131</w:t>
            </w:r>
          </w:p>
        </w:tc>
        <w:tc>
          <w:tcPr>
            <w:tcW w:w="3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90.1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95.6</w:t>
            </w:r>
          </w:p>
        </w:tc>
        <w:tc>
          <w:tcPr>
            <w:tcW w:w="369"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w:t>
            </w:r>
          </w:p>
        </w:tc>
        <w:tc>
          <w:tcPr>
            <w:tcW w:w="41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182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137</w:t>
            </w:r>
          </w:p>
        </w:tc>
        <w:tc>
          <w:tcPr>
            <w:tcW w:w="39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57.1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42.9</w:t>
            </w:r>
          </w:p>
        </w:tc>
        <w:tc>
          <w:tcPr>
            <w:tcW w:w="595"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0.1</w:t>
            </w:r>
          </w:p>
        </w:tc>
      </w:tr>
      <w:tr w:rsidR="00F25EDD" w:rsidRPr="00AE1008" w:rsidTr="00F25EDD">
        <w:trPr>
          <w:jc w:val="center"/>
        </w:trPr>
        <w:tc>
          <w:tcPr>
            <w:tcW w:w="905" w:type="pct"/>
            <w:tcBorders>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Qena</w:t>
            </w:r>
            <w:proofErr w:type="spellEnd"/>
          </w:p>
        </w:tc>
        <w:tc>
          <w:tcPr>
            <w:tcW w:w="536" w:type="pct"/>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40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22</w:t>
            </w:r>
          </w:p>
        </w:tc>
        <w:tc>
          <w:tcPr>
            <w:tcW w:w="461"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26.5</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60</w:t>
            </w:r>
          </w:p>
        </w:tc>
        <w:tc>
          <w:tcPr>
            <w:tcW w:w="3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72.3</w:t>
            </w:r>
          </w:p>
        </w:tc>
        <w:tc>
          <w:tcPr>
            <w:tcW w:w="369"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w:t>
            </w:r>
          </w:p>
        </w:tc>
        <w:tc>
          <w:tcPr>
            <w:tcW w:w="41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1.20</w:t>
            </w:r>
          </w:p>
        </w:tc>
        <w:tc>
          <w:tcPr>
            <w:tcW w:w="29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83</w:t>
            </w:r>
          </w:p>
        </w:tc>
        <w:tc>
          <w:tcPr>
            <w:tcW w:w="39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54.64</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45.36</w:t>
            </w:r>
          </w:p>
        </w:tc>
        <w:tc>
          <w:tcPr>
            <w:tcW w:w="595"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0.10</w:t>
            </w:r>
          </w:p>
        </w:tc>
      </w:tr>
    </w:tbl>
    <w:p w:rsidR="00F25EDD" w:rsidRPr="00AE1008" w:rsidRDefault="00F25EDD"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
    <w:p w:rsidR="00B84F41" w:rsidRPr="00AE1008" w:rsidRDefault="00B84F41"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sectPr w:rsidR="00B84F41" w:rsidRPr="00AE1008" w:rsidSect="00F25EDD">
          <w:type w:val="continuous"/>
          <w:pgSz w:w="12240" w:h="15840" w:code="1"/>
          <w:pgMar w:top="1440" w:right="1440" w:bottom="1440" w:left="1440" w:header="720" w:footer="720" w:gutter="0"/>
          <w:cols w:space="720"/>
          <w:docGrid w:linePitch="360"/>
        </w:sectPr>
      </w:pPr>
    </w:p>
    <w:p w:rsidR="00FB56D5" w:rsidRPr="00AE1008" w:rsidRDefault="00FB56D5"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 xml:space="preserve">Data obtained from table (2) showed that, the most suffering children from stunted were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in both sexes (boys and girls) nearly one third of the children, followed by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governorate, respectively. The </w:t>
      </w:r>
      <w:r w:rsidR="008A76EA" w:rsidRPr="00AE1008">
        <w:rPr>
          <w:rFonts w:ascii="Times New Roman" w:eastAsia="Calibri" w:hAnsi="Times New Roman" w:cs="Times New Roman"/>
          <w:sz w:val="20"/>
          <w:szCs w:val="20"/>
        </w:rPr>
        <w:t xml:space="preserve">investigation carried </w:t>
      </w:r>
      <w:r w:rsidR="00BF4D79" w:rsidRPr="00AE1008">
        <w:rPr>
          <w:rFonts w:ascii="Times New Roman" w:eastAsia="Calibri" w:hAnsi="Times New Roman" w:cs="Times New Roman"/>
          <w:sz w:val="20"/>
          <w:szCs w:val="20"/>
        </w:rPr>
        <w:t>by (</w:t>
      </w:r>
      <w:r w:rsidRPr="00AE1008">
        <w:rPr>
          <w:rFonts w:ascii="Times New Roman" w:eastAsia="Calibri" w:hAnsi="Times New Roman" w:cs="Times New Roman"/>
          <w:sz w:val="20"/>
          <w:szCs w:val="20"/>
        </w:rPr>
        <w:t xml:space="preserve">Jai </w:t>
      </w:r>
      <w:proofErr w:type="spellStart"/>
      <w:r w:rsidRPr="00AE1008">
        <w:rPr>
          <w:rFonts w:ascii="Times New Roman" w:eastAsia="Calibri" w:hAnsi="Times New Roman" w:cs="Times New Roman"/>
          <w:sz w:val="20"/>
          <w:szCs w:val="20"/>
        </w:rPr>
        <w:t>Prabhakar</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Gangadhar</w:t>
      </w:r>
      <w:proofErr w:type="spellEnd"/>
      <w:r w:rsidRPr="00AE1008">
        <w:rPr>
          <w:rFonts w:ascii="Times New Roman" w:eastAsia="Calibri" w:hAnsi="Times New Roman" w:cs="Times New Roman"/>
          <w:sz w:val="20"/>
          <w:szCs w:val="20"/>
        </w:rPr>
        <w:t xml:space="preserve">, 2009) </w:t>
      </w:r>
      <w:r w:rsidR="008A76EA" w:rsidRPr="00AE1008">
        <w:rPr>
          <w:rFonts w:ascii="Times New Roman" w:eastAsia="Calibri" w:hAnsi="Times New Roman" w:cs="Times New Roman"/>
          <w:sz w:val="20"/>
          <w:szCs w:val="20"/>
        </w:rPr>
        <w:t xml:space="preserve">demonstrated that </w:t>
      </w:r>
      <w:r w:rsidRPr="00AE1008">
        <w:rPr>
          <w:rFonts w:ascii="Times New Roman" w:eastAsia="Calibri" w:hAnsi="Times New Roman" w:cs="Times New Roman"/>
          <w:sz w:val="20"/>
          <w:szCs w:val="20"/>
        </w:rPr>
        <w:t xml:space="preserve">about 41.5% of mild (-2 to -1 SD) </w:t>
      </w:r>
      <w:r w:rsidR="008A76EA" w:rsidRPr="00AE1008">
        <w:rPr>
          <w:rFonts w:ascii="Times New Roman" w:eastAsia="Calibri" w:hAnsi="Times New Roman" w:cs="Times New Roman"/>
          <w:sz w:val="20"/>
          <w:szCs w:val="20"/>
        </w:rPr>
        <w:t xml:space="preserve">malnutrition </w:t>
      </w:r>
      <w:r w:rsidRPr="00AE1008">
        <w:rPr>
          <w:rFonts w:ascii="Times New Roman" w:eastAsia="Calibri" w:hAnsi="Times New Roman" w:cs="Times New Roman"/>
          <w:sz w:val="20"/>
          <w:szCs w:val="20"/>
        </w:rPr>
        <w:t xml:space="preserve">was </w:t>
      </w:r>
      <w:r w:rsidR="008A76EA" w:rsidRPr="00AE1008">
        <w:rPr>
          <w:rFonts w:ascii="Times New Roman" w:eastAsia="Calibri" w:hAnsi="Times New Roman" w:cs="Times New Roman"/>
          <w:sz w:val="20"/>
          <w:szCs w:val="20"/>
        </w:rPr>
        <w:t>found</w:t>
      </w:r>
      <w:r w:rsidRPr="00AE1008">
        <w:rPr>
          <w:rFonts w:ascii="Times New Roman" w:eastAsia="Calibri" w:hAnsi="Times New Roman" w:cs="Times New Roman"/>
          <w:sz w:val="20"/>
          <w:szCs w:val="20"/>
        </w:rPr>
        <w:t xml:space="preserve"> in all age </w:t>
      </w:r>
      <w:r w:rsidR="008A76EA" w:rsidRPr="00AE1008">
        <w:rPr>
          <w:rFonts w:ascii="Times New Roman" w:eastAsia="Calibri" w:hAnsi="Times New Roman" w:cs="Times New Roman"/>
          <w:sz w:val="20"/>
          <w:szCs w:val="20"/>
        </w:rPr>
        <w:t>and</w:t>
      </w:r>
      <w:r w:rsidR="00BF4D79" w:rsidRPr="00AE1008">
        <w:rPr>
          <w:rFonts w:ascii="Times New Roman" w:eastAsia="Calibri" w:hAnsi="Times New Roman" w:cs="Times New Roman"/>
          <w:sz w:val="20"/>
          <w:szCs w:val="20"/>
        </w:rPr>
        <w:t xml:space="preserve"> </w:t>
      </w:r>
      <w:r w:rsidR="008A76EA" w:rsidRPr="00AE1008">
        <w:rPr>
          <w:rFonts w:ascii="Times New Roman" w:eastAsia="Calibri" w:hAnsi="Times New Roman" w:cs="Times New Roman"/>
          <w:sz w:val="20"/>
          <w:szCs w:val="20"/>
        </w:rPr>
        <w:t>gender</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groups, </w:t>
      </w:r>
      <w:r w:rsidR="008A76EA" w:rsidRPr="00AE1008">
        <w:rPr>
          <w:rFonts w:ascii="Times New Roman" w:eastAsia="Calibri" w:hAnsi="Times New Roman" w:cs="Times New Roman"/>
          <w:sz w:val="20"/>
          <w:szCs w:val="20"/>
        </w:rPr>
        <w:t xml:space="preserve">while, the percentage </w:t>
      </w:r>
      <w:r w:rsidR="00BF4D79" w:rsidRPr="00AE1008">
        <w:rPr>
          <w:rFonts w:ascii="Times New Roman" w:eastAsia="Calibri" w:hAnsi="Times New Roman" w:cs="Times New Roman"/>
          <w:sz w:val="20"/>
          <w:szCs w:val="20"/>
        </w:rPr>
        <w:t>of moderate</w:t>
      </w:r>
      <w:r w:rsidRPr="00AE1008">
        <w:rPr>
          <w:rFonts w:ascii="Times New Roman" w:eastAsia="Calibri" w:hAnsi="Times New Roman" w:cs="Times New Roman"/>
          <w:sz w:val="20"/>
          <w:szCs w:val="20"/>
        </w:rPr>
        <w:t xml:space="preserve"> </w:t>
      </w:r>
      <w:r w:rsidR="008A76EA" w:rsidRPr="00AE1008">
        <w:rPr>
          <w:rFonts w:ascii="Times New Roman" w:eastAsia="Calibri" w:hAnsi="Times New Roman" w:cs="Times New Roman"/>
          <w:sz w:val="20"/>
          <w:szCs w:val="20"/>
        </w:rPr>
        <w:t xml:space="preserve">malnutrition was </w:t>
      </w:r>
      <w:r w:rsidRPr="00AE1008">
        <w:rPr>
          <w:rFonts w:ascii="Times New Roman" w:eastAsia="Calibri" w:hAnsi="Times New Roman" w:cs="Times New Roman"/>
          <w:sz w:val="20"/>
          <w:szCs w:val="20"/>
        </w:rPr>
        <w:t>(39.3%)</w:t>
      </w:r>
      <w:r w:rsidR="008A76EA" w:rsidRPr="00AE1008">
        <w:rPr>
          <w:rFonts w:ascii="Times New Roman" w:eastAsia="Calibri" w:hAnsi="Times New Roman" w:cs="Times New Roman"/>
          <w:sz w:val="20"/>
          <w:szCs w:val="20"/>
        </w:rPr>
        <w:t>, also</w:t>
      </w:r>
      <w:r w:rsidR="00F25EDD" w:rsidRPr="00AE1008">
        <w:rPr>
          <w:rFonts w:ascii="Times New Roman" w:eastAsia="Calibri" w:hAnsi="Times New Roman" w:cs="Times New Roman"/>
          <w:sz w:val="20"/>
          <w:szCs w:val="20"/>
        </w:rPr>
        <w:t>, (</w:t>
      </w:r>
      <w:r w:rsidR="00F659C7" w:rsidRPr="00AE1008">
        <w:rPr>
          <w:rFonts w:ascii="Times New Roman" w:eastAsia="Calibri" w:hAnsi="Times New Roman" w:cs="Times New Roman"/>
          <w:sz w:val="20"/>
          <w:szCs w:val="20"/>
        </w:rPr>
        <w:t>6.7%) of children was suffering from</w:t>
      </w:r>
      <w:r w:rsidR="00F25EDD" w:rsidRPr="00AE1008">
        <w:rPr>
          <w:rFonts w:ascii="Times New Roman" w:eastAsia="Calibri" w:hAnsi="Times New Roman" w:cs="Times New Roman"/>
          <w:sz w:val="20"/>
          <w:szCs w:val="20"/>
        </w:rPr>
        <w:t xml:space="preserve"> </w:t>
      </w:r>
      <w:r w:rsidR="008A76EA" w:rsidRPr="00AE1008">
        <w:rPr>
          <w:rFonts w:ascii="Times New Roman" w:eastAsia="Calibri" w:hAnsi="Times New Roman" w:cs="Times New Roman"/>
          <w:sz w:val="20"/>
          <w:szCs w:val="20"/>
        </w:rPr>
        <w:t>severe malnutrition</w:t>
      </w:r>
      <w:r w:rsidRPr="00AE1008">
        <w:rPr>
          <w:rFonts w:ascii="Times New Roman" w:eastAsia="Calibri" w:hAnsi="Times New Roman" w:cs="Times New Roman"/>
          <w:sz w:val="20"/>
          <w:szCs w:val="20"/>
        </w:rPr>
        <w:t xml:space="preserve">. </w:t>
      </w:r>
      <w:r w:rsidR="00F659C7" w:rsidRPr="00AE1008">
        <w:rPr>
          <w:rFonts w:ascii="Times New Roman" w:eastAsia="Calibri" w:hAnsi="Times New Roman" w:cs="Times New Roman"/>
          <w:sz w:val="20"/>
          <w:szCs w:val="20"/>
        </w:rPr>
        <w:t xml:space="preserve">Another study which done by </w:t>
      </w:r>
      <w:r w:rsidRPr="00AE1008">
        <w:rPr>
          <w:rFonts w:ascii="Times New Roman" w:eastAsia="Calibri" w:hAnsi="Times New Roman" w:cs="Times New Roman"/>
          <w:sz w:val="20"/>
          <w:szCs w:val="20"/>
        </w:rPr>
        <w:lastRenderedPageBreak/>
        <w:t>(</w:t>
      </w:r>
      <w:proofErr w:type="spellStart"/>
      <w:r w:rsidRPr="00AE1008">
        <w:rPr>
          <w:rFonts w:ascii="Times New Roman" w:eastAsia="Calibri" w:hAnsi="Times New Roman" w:cs="Times New Roman"/>
          <w:sz w:val="20"/>
          <w:szCs w:val="20"/>
        </w:rPr>
        <w:t>Nyaruhucha</w:t>
      </w:r>
      <w:proofErr w:type="spellEnd"/>
      <w:r w:rsidRPr="00AE1008">
        <w:rPr>
          <w:rFonts w:ascii="Times New Roman" w:eastAsia="Calibri" w:hAnsi="Times New Roman" w:cs="Times New Roman"/>
          <w:sz w:val="20"/>
          <w:szCs w:val="20"/>
        </w:rPr>
        <w:t xml:space="preserve"> et al., 2006) </w:t>
      </w:r>
      <w:r w:rsidR="00F659C7" w:rsidRPr="00AE1008">
        <w:rPr>
          <w:rFonts w:ascii="Times New Roman" w:eastAsia="Calibri" w:hAnsi="Times New Roman" w:cs="Times New Roman"/>
          <w:sz w:val="20"/>
          <w:szCs w:val="20"/>
        </w:rPr>
        <w:t>concerning with association between age and weight or height,</w:t>
      </w:r>
      <w:r w:rsidR="00F25EDD" w:rsidRPr="00AE1008">
        <w:rPr>
          <w:rFonts w:ascii="Times New Roman" w:eastAsia="Calibri" w:hAnsi="Times New Roman" w:cs="Times New Roman"/>
          <w:sz w:val="20"/>
          <w:szCs w:val="20"/>
        </w:rPr>
        <w:t xml:space="preserve"> </w:t>
      </w:r>
      <w:r w:rsidR="00F659C7" w:rsidRPr="00AE1008">
        <w:rPr>
          <w:rFonts w:ascii="Times New Roman" w:eastAsia="Calibri" w:hAnsi="Times New Roman" w:cs="Times New Roman"/>
          <w:sz w:val="20"/>
          <w:szCs w:val="20"/>
        </w:rPr>
        <w:t xml:space="preserve">they reported that </w:t>
      </w:r>
      <w:r w:rsidRPr="00AE1008">
        <w:rPr>
          <w:rFonts w:ascii="Times New Roman" w:eastAsia="Calibri" w:hAnsi="Times New Roman" w:cs="Times New Roman"/>
          <w:sz w:val="20"/>
          <w:szCs w:val="20"/>
        </w:rPr>
        <w:t>31.2%</w:t>
      </w:r>
      <w:r w:rsidR="00F659C7" w:rsidRPr="00AE1008">
        <w:rPr>
          <w:rFonts w:ascii="Times New Roman" w:eastAsia="Calibri" w:hAnsi="Times New Roman" w:cs="Times New Roman"/>
          <w:sz w:val="20"/>
          <w:szCs w:val="20"/>
        </w:rPr>
        <w:t>;6.0%</w:t>
      </w:r>
      <w:r w:rsidR="00F25EDD" w:rsidRPr="00AE1008">
        <w:rPr>
          <w:rFonts w:ascii="Times New Roman" w:eastAsia="Calibri" w:hAnsi="Times New Roman" w:cs="Times New Roman"/>
          <w:sz w:val="20"/>
          <w:szCs w:val="20"/>
        </w:rPr>
        <w:t>;</w:t>
      </w:r>
      <w:r w:rsidR="00F659C7" w:rsidRPr="00AE1008">
        <w:rPr>
          <w:rFonts w:ascii="Times New Roman" w:eastAsia="Calibri" w:hAnsi="Times New Roman" w:cs="Times New Roman"/>
          <w:sz w:val="20"/>
          <w:szCs w:val="20"/>
        </w:rPr>
        <w:t xml:space="preserve"> 3.2% and 14%</w:t>
      </w:r>
      <w:r w:rsidRPr="00AE1008">
        <w:rPr>
          <w:rFonts w:ascii="Times New Roman" w:eastAsia="Calibri" w:hAnsi="Times New Roman" w:cs="Times New Roman"/>
          <w:sz w:val="20"/>
          <w:szCs w:val="20"/>
        </w:rPr>
        <w:t xml:space="preserve"> of the children were underweight</w:t>
      </w:r>
      <w:r w:rsidR="00F659C7"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severely underweight</w:t>
      </w:r>
      <w:r w:rsidR="00F659C7" w:rsidRPr="00AE1008">
        <w:rPr>
          <w:rFonts w:ascii="Times New Roman" w:eastAsia="Calibri" w:hAnsi="Times New Roman" w:cs="Times New Roman"/>
          <w:sz w:val="20"/>
          <w:szCs w:val="20"/>
        </w:rPr>
        <w:t>;</w:t>
      </w:r>
      <w:r w:rsidR="00BF4D79" w:rsidRPr="00AE1008">
        <w:rPr>
          <w:rFonts w:ascii="Times New Roman" w:eastAsia="Calibri" w:hAnsi="Times New Roman" w:cs="Times New Roman"/>
          <w:sz w:val="20"/>
          <w:szCs w:val="20"/>
        </w:rPr>
        <w:t xml:space="preserve"> </w:t>
      </w:r>
      <w:r w:rsidR="00F659C7" w:rsidRPr="00AE1008">
        <w:rPr>
          <w:rFonts w:ascii="Times New Roman" w:eastAsia="Calibri" w:hAnsi="Times New Roman" w:cs="Times New Roman"/>
          <w:sz w:val="20"/>
          <w:szCs w:val="20"/>
        </w:rPr>
        <w:t>s</w:t>
      </w:r>
      <w:r w:rsidRPr="00AE1008">
        <w:rPr>
          <w:rFonts w:ascii="Times New Roman" w:eastAsia="Calibri" w:hAnsi="Times New Roman" w:cs="Times New Roman"/>
          <w:sz w:val="20"/>
          <w:szCs w:val="20"/>
        </w:rPr>
        <w:t>everely stunted</w:t>
      </w:r>
      <w:r w:rsidR="00F659C7" w:rsidRPr="00AE1008">
        <w:rPr>
          <w:rFonts w:ascii="Times New Roman" w:eastAsia="Calibri" w:hAnsi="Times New Roman" w:cs="Times New Roman"/>
          <w:sz w:val="20"/>
          <w:szCs w:val="20"/>
        </w:rPr>
        <w:t xml:space="preserve"> and </w:t>
      </w:r>
      <w:r w:rsidRPr="00AE1008">
        <w:rPr>
          <w:rFonts w:ascii="Times New Roman" w:eastAsia="Calibri" w:hAnsi="Times New Roman" w:cs="Times New Roman"/>
          <w:sz w:val="20"/>
          <w:szCs w:val="20"/>
        </w:rPr>
        <w:t>moderately stunted</w:t>
      </w:r>
      <w:r w:rsidR="00F659C7" w:rsidRPr="00AE1008">
        <w:rPr>
          <w:rFonts w:ascii="Times New Roman" w:eastAsia="Calibri" w:hAnsi="Times New Roman" w:cs="Times New Roman"/>
          <w:sz w:val="20"/>
          <w:szCs w:val="20"/>
        </w:rPr>
        <w:t>, respectively</w:t>
      </w:r>
      <w:r w:rsidRPr="00AE1008">
        <w:rPr>
          <w:rFonts w:ascii="Times New Roman" w:eastAsia="Calibri" w:hAnsi="Times New Roman" w:cs="Times New Roman"/>
          <w:sz w:val="20"/>
          <w:szCs w:val="20"/>
        </w:rPr>
        <w:t>.</w:t>
      </w:r>
      <w:r w:rsidR="00BB25B1" w:rsidRPr="00AE1008">
        <w:rPr>
          <w:rFonts w:ascii="Times New Roman" w:eastAsia="Calibri" w:hAnsi="Times New Roman" w:cs="Times New Roman"/>
          <w:sz w:val="20"/>
          <w:szCs w:val="20"/>
        </w:rPr>
        <w:t xml:space="preserve"> Moreover, </w:t>
      </w:r>
      <w:proofErr w:type="spellStart"/>
      <w:r w:rsidRPr="00AE1008">
        <w:rPr>
          <w:rFonts w:ascii="Times New Roman" w:eastAsia="Calibri" w:hAnsi="Times New Roman" w:cs="Times New Roman"/>
          <w:sz w:val="20"/>
          <w:szCs w:val="20"/>
        </w:rPr>
        <w:t>Chowdhury</w:t>
      </w:r>
      <w:proofErr w:type="spellEnd"/>
      <w:r w:rsidRPr="00AE1008">
        <w:rPr>
          <w:rFonts w:ascii="Times New Roman" w:eastAsia="Calibri" w:hAnsi="Times New Roman" w:cs="Times New Roman"/>
          <w:sz w:val="20"/>
          <w:szCs w:val="20"/>
        </w:rPr>
        <w:t xml:space="preserve"> et al.</w:t>
      </w:r>
      <w:r w:rsidR="00BF4D79" w:rsidRPr="00AE1008">
        <w:rPr>
          <w:rFonts w:ascii="Times New Roman" w:eastAsia="Calibri" w:hAnsi="Times New Roman" w:cs="Times New Roman"/>
          <w:sz w:val="20"/>
          <w:szCs w:val="20"/>
        </w:rPr>
        <w:t xml:space="preserve"> </w:t>
      </w:r>
      <w:r w:rsidR="00BB25B1"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2008) </w:t>
      </w:r>
      <w:r w:rsidR="00BB25B1" w:rsidRPr="00AE1008">
        <w:rPr>
          <w:rFonts w:ascii="Times New Roman" w:eastAsia="Calibri" w:hAnsi="Times New Roman" w:cs="Times New Roman"/>
          <w:sz w:val="20"/>
          <w:szCs w:val="20"/>
        </w:rPr>
        <w:t>reported</w:t>
      </w:r>
      <w:r w:rsidRPr="00AE1008">
        <w:rPr>
          <w:rFonts w:ascii="Times New Roman" w:eastAsia="Calibri" w:hAnsi="Times New Roman" w:cs="Times New Roman"/>
          <w:sz w:val="20"/>
          <w:szCs w:val="20"/>
        </w:rPr>
        <w:t xml:space="preserve"> that the prevalence of under</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BF4D79" w:rsidRPr="00AE1008">
        <w:rPr>
          <w:rFonts w:ascii="Times New Roman" w:eastAsia="Calibri" w:hAnsi="Times New Roman" w:cs="Times New Roman"/>
          <w:sz w:val="20"/>
          <w:szCs w:val="20"/>
        </w:rPr>
        <w:t xml:space="preserve"> </w:t>
      </w:r>
      <w:r w:rsidR="00BB25B1" w:rsidRPr="00AE1008">
        <w:rPr>
          <w:rFonts w:ascii="Times New Roman" w:eastAsia="Calibri" w:hAnsi="Times New Roman" w:cs="Times New Roman"/>
          <w:sz w:val="20"/>
          <w:szCs w:val="20"/>
        </w:rPr>
        <w:t xml:space="preserve">between </w:t>
      </w:r>
      <w:proofErr w:type="spellStart"/>
      <w:r w:rsidRPr="00AE1008">
        <w:rPr>
          <w:rFonts w:ascii="Times New Roman" w:eastAsia="Calibri" w:hAnsi="Times New Roman" w:cs="Times New Roman"/>
          <w:sz w:val="20"/>
          <w:szCs w:val="20"/>
        </w:rPr>
        <w:t>Santal</w:t>
      </w:r>
      <w:proofErr w:type="spellEnd"/>
      <w:r w:rsidRPr="00AE1008">
        <w:rPr>
          <w:rFonts w:ascii="Times New Roman" w:eastAsia="Calibri" w:hAnsi="Times New Roman" w:cs="Times New Roman"/>
          <w:sz w:val="20"/>
          <w:szCs w:val="20"/>
        </w:rPr>
        <w:t xml:space="preserve"> children was </w:t>
      </w:r>
      <w:r w:rsidR="00BB25B1" w:rsidRPr="00AE1008">
        <w:rPr>
          <w:rFonts w:ascii="Times New Roman" w:eastAsia="Calibri" w:hAnsi="Times New Roman" w:cs="Times New Roman"/>
          <w:sz w:val="20"/>
          <w:szCs w:val="20"/>
        </w:rPr>
        <w:t xml:space="preserve">(17.9%) </w:t>
      </w:r>
      <w:r w:rsidRPr="00AE1008">
        <w:rPr>
          <w:rFonts w:ascii="Times New Roman" w:eastAsia="Calibri" w:hAnsi="Times New Roman" w:cs="Times New Roman"/>
          <w:sz w:val="20"/>
          <w:szCs w:val="20"/>
        </w:rPr>
        <w:t>stunting</w:t>
      </w:r>
      <w:r w:rsidR="00BB25B1" w:rsidRPr="00AE1008">
        <w:rPr>
          <w:rFonts w:ascii="Times New Roman" w:eastAsia="Calibri" w:hAnsi="Times New Roman" w:cs="Times New Roman"/>
          <w:sz w:val="20"/>
          <w:szCs w:val="20"/>
        </w:rPr>
        <w:t xml:space="preserve"> growth</w:t>
      </w:r>
      <w:r w:rsidRPr="00AE1008">
        <w:rPr>
          <w:rFonts w:ascii="Times New Roman" w:eastAsia="Calibri" w:hAnsi="Times New Roman" w:cs="Times New Roman"/>
          <w:sz w:val="20"/>
          <w:szCs w:val="20"/>
        </w:rPr>
        <w:t xml:space="preserve"> and </w:t>
      </w:r>
      <w:r w:rsidR="00BB25B1" w:rsidRPr="00AE1008">
        <w:rPr>
          <w:rFonts w:ascii="Times New Roman" w:eastAsia="Calibri" w:hAnsi="Times New Roman" w:cs="Times New Roman"/>
          <w:sz w:val="20"/>
          <w:szCs w:val="20"/>
        </w:rPr>
        <w:t>(33.7%)</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underweight</w:t>
      </w:r>
      <w:r w:rsidR="00BB25B1" w:rsidRPr="00AE1008">
        <w:rPr>
          <w:rFonts w:ascii="Times New Roman" w:eastAsia="Calibri" w:hAnsi="Times New Roman" w:cs="Times New Roman"/>
          <w:sz w:val="20"/>
          <w:szCs w:val="20"/>
        </w:rPr>
        <w:t>, whereas, 4.98% and 7.92% of children were affected by</w:t>
      </w:r>
      <w:r w:rsidR="00BF4D79" w:rsidRPr="00AE1008">
        <w:rPr>
          <w:rFonts w:ascii="Times New Roman" w:eastAsia="Calibri" w:hAnsi="Times New Roman" w:cs="Times New Roman"/>
          <w:sz w:val="20"/>
          <w:szCs w:val="20"/>
        </w:rPr>
        <w:t xml:space="preserve"> </w:t>
      </w:r>
      <w:r w:rsidR="00BB25B1" w:rsidRPr="00AE1008">
        <w:rPr>
          <w:rFonts w:ascii="Times New Roman" w:eastAsia="Calibri" w:hAnsi="Times New Roman" w:cs="Times New Roman"/>
          <w:sz w:val="20"/>
          <w:szCs w:val="20"/>
        </w:rPr>
        <w:t>s</w:t>
      </w:r>
      <w:r w:rsidRPr="00AE1008">
        <w:rPr>
          <w:rFonts w:ascii="Times New Roman" w:eastAsia="Calibri" w:hAnsi="Times New Roman" w:cs="Times New Roman"/>
          <w:sz w:val="20"/>
          <w:szCs w:val="20"/>
        </w:rPr>
        <w:t>evere stunting and underweight</w:t>
      </w:r>
      <w:r w:rsidR="00BB25B1"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respectively.</w:t>
      </w:r>
    </w:p>
    <w:p w:rsidR="00B84F41" w:rsidRPr="00AE1008" w:rsidRDefault="00B84F41" w:rsidP="00FF65F3">
      <w:pPr>
        <w:snapToGrid w:val="0"/>
        <w:spacing w:after="0" w:line="240" w:lineRule="auto"/>
        <w:jc w:val="both"/>
        <w:rPr>
          <w:rFonts w:ascii="Times New Roman" w:eastAsia="Times New Roman" w:hAnsi="Times New Roman" w:cs="Times New Roman"/>
          <w:b/>
          <w:bCs/>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F25EDD" w:rsidRPr="00AE1008" w:rsidRDefault="00F25EDD" w:rsidP="00FF65F3">
      <w:pPr>
        <w:snapToGrid w:val="0"/>
        <w:spacing w:after="0" w:line="240" w:lineRule="auto"/>
        <w:jc w:val="both"/>
        <w:rPr>
          <w:rFonts w:ascii="Times New Roman" w:eastAsia="Times New Roman" w:hAnsi="Times New Roman" w:cs="Times New Roman"/>
          <w:b/>
          <w:bCs/>
          <w:sz w:val="20"/>
          <w:szCs w:val="20"/>
        </w:rPr>
      </w:pPr>
    </w:p>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Table (2) Percent distribution of children aged 2 – 5 years by age</w:t>
      </w:r>
      <w:r w:rsidR="00F25EDD" w:rsidRPr="00AE1008">
        <w:rPr>
          <w:rFonts w:ascii="Times New Roman" w:eastAsia="Times New Roman" w:hAnsi="Times New Roman" w:cs="Times New Roman"/>
          <w:b/>
          <w:bCs/>
          <w:sz w:val="20"/>
          <w:szCs w:val="20"/>
        </w:rPr>
        <w:t xml:space="preserve"> &amp; </w:t>
      </w:r>
      <w:r w:rsidRPr="00AE1008">
        <w:rPr>
          <w:rFonts w:ascii="Times New Roman" w:eastAsia="Times New Roman" w:hAnsi="Times New Roman" w:cs="Times New Roman"/>
          <w:b/>
          <w:bCs/>
          <w:sz w:val="20"/>
          <w:szCs w:val="20"/>
        </w:rPr>
        <w:t>gender in the studied governorates in Upper Egypt according to Height/Age Z-Score.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1901"/>
        <w:gridCol w:w="1126"/>
        <w:gridCol w:w="606"/>
        <w:gridCol w:w="690"/>
        <w:gridCol w:w="614"/>
        <w:gridCol w:w="690"/>
        <w:gridCol w:w="606"/>
        <w:gridCol w:w="540"/>
        <w:gridCol w:w="614"/>
        <w:gridCol w:w="838"/>
        <w:gridCol w:w="1249"/>
      </w:tblGrid>
      <w:tr w:rsidR="00F25EDD" w:rsidRPr="00AE1008" w:rsidTr="00B84F41">
        <w:trPr>
          <w:jc w:val="center"/>
        </w:trPr>
        <w:tc>
          <w:tcPr>
            <w:tcW w:w="1003" w:type="pct"/>
            <w:vMerge w:val="restart"/>
            <w:tcBorders>
              <w:top w:val="doub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Governorates</w:t>
            </w:r>
          </w:p>
        </w:tc>
        <w:tc>
          <w:tcPr>
            <w:tcW w:w="594" w:type="pct"/>
            <w:vMerge w:val="restart"/>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Gender</w:t>
            </w:r>
          </w:p>
        </w:tc>
        <w:tc>
          <w:tcPr>
            <w:tcW w:w="684"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Stunted</w:t>
            </w:r>
          </w:p>
        </w:tc>
        <w:tc>
          <w:tcPr>
            <w:tcW w:w="688"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Normal</w:t>
            </w:r>
          </w:p>
        </w:tc>
        <w:tc>
          <w:tcPr>
            <w:tcW w:w="605"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Tall</w:t>
            </w:r>
          </w:p>
        </w:tc>
        <w:tc>
          <w:tcPr>
            <w:tcW w:w="766" w:type="pct"/>
            <w:gridSpan w:val="2"/>
            <w:tcBorders>
              <w:top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Total</w:t>
            </w:r>
          </w:p>
        </w:tc>
        <w:tc>
          <w:tcPr>
            <w:tcW w:w="659" w:type="pct"/>
            <w:vMerge w:val="restart"/>
            <w:tcBorders>
              <w:top w:val="double" w:sz="4" w:space="0" w:color="auto"/>
              <w:righ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shd w:val="clear" w:color="auto" w:fill="D9D9D9"/>
              </w:rPr>
              <w:t xml:space="preserve">P –value </w:t>
            </w:r>
          </w:p>
        </w:tc>
      </w:tr>
      <w:tr w:rsidR="00F25EDD" w:rsidRPr="00AE1008" w:rsidTr="00B84F41">
        <w:trPr>
          <w:jc w:val="center"/>
        </w:trPr>
        <w:tc>
          <w:tcPr>
            <w:tcW w:w="1003" w:type="pct"/>
            <w:vMerge/>
            <w:tcBorders>
              <w:left w:val="double" w:sz="4" w:space="0" w:color="auto"/>
              <w:bottom w:val="sing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c>
          <w:tcPr>
            <w:tcW w:w="594" w:type="pct"/>
            <w:vMerge/>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c>
          <w:tcPr>
            <w:tcW w:w="320"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364"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324"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364"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320"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285"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324"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No.</w:t>
            </w:r>
          </w:p>
        </w:tc>
        <w:tc>
          <w:tcPr>
            <w:tcW w:w="442" w:type="pct"/>
            <w:tcBorders>
              <w:bottom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w:t>
            </w:r>
          </w:p>
        </w:tc>
        <w:tc>
          <w:tcPr>
            <w:tcW w:w="659" w:type="pct"/>
            <w:vMerge/>
            <w:tcBorders>
              <w:bottom w:val="double" w:sz="4" w:space="0" w:color="auto"/>
              <w:right w:val="double" w:sz="4" w:space="0" w:color="auto"/>
            </w:tcBorders>
            <w:shd w:val="clear" w:color="auto" w:fill="D9D9D9"/>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
        </w:tc>
      </w:tr>
      <w:tr w:rsidR="00F25EDD" w:rsidRPr="00AE1008" w:rsidTr="00B84F41">
        <w:trPr>
          <w:jc w:val="center"/>
        </w:trPr>
        <w:tc>
          <w:tcPr>
            <w:tcW w:w="1003" w:type="pct"/>
            <w:tcBorders>
              <w:top w:val="sing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Menia</w:t>
            </w:r>
            <w:proofErr w:type="spellEnd"/>
          </w:p>
        </w:tc>
        <w:tc>
          <w:tcPr>
            <w:tcW w:w="594"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58</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34.2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36.0</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106</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103</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65.8</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64</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28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161</w:t>
            </w:r>
          </w:p>
        </w:tc>
        <w:tc>
          <w:tcPr>
            <w:tcW w:w="44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50</w:t>
            </w:r>
          </w:p>
        </w:tc>
        <w:tc>
          <w:tcPr>
            <w:tcW w:w="659"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0.32</w:t>
            </w:r>
          </w:p>
        </w:tc>
      </w:tr>
      <w:tr w:rsidR="00F25EDD" w:rsidRPr="00AE1008" w:rsidTr="00B84F41">
        <w:trPr>
          <w:jc w:val="center"/>
        </w:trPr>
        <w:tc>
          <w:tcPr>
            <w:tcW w:w="1003" w:type="pct"/>
            <w:tcBorders>
              <w:top w:val="sing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Assiut</w:t>
            </w:r>
            <w:proofErr w:type="spellEnd"/>
          </w:p>
        </w:tc>
        <w:tc>
          <w:tcPr>
            <w:tcW w:w="594"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45</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20.7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32.6</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93</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78.7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67.4</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28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138</w:t>
            </w:r>
          </w:p>
        </w:tc>
        <w:tc>
          <w:tcPr>
            <w:tcW w:w="44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55.05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44.95</w:t>
            </w:r>
          </w:p>
        </w:tc>
        <w:tc>
          <w:tcPr>
            <w:tcW w:w="659"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r>
      <w:tr w:rsidR="00F25EDD" w:rsidRPr="00AE1008" w:rsidTr="00B84F41">
        <w:trPr>
          <w:jc w:val="center"/>
        </w:trPr>
        <w:tc>
          <w:tcPr>
            <w:tcW w:w="1003" w:type="pct"/>
            <w:tcBorders>
              <w:top w:val="sing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Sohag</w:t>
            </w:r>
            <w:proofErr w:type="spellEnd"/>
          </w:p>
        </w:tc>
        <w:tc>
          <w:tcPr>
            <w:tcW w:w="594"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26</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23.6</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19.0</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111</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76.4</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81.0</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28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182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137</w:t>
            </w:r>
          </w:p>
        </w:tc>
        <w:tc>
          <w:tcPr>
            <w:tcW w:w="44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57.1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42.9</w:t>
            </w:r>
          </w:p>
        </w:tc>
        <w:tc>
          <w:tcPr>
            <w:tcW w:w="659"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r>
      <w:tr w:rsidR="00F25EDD" w:rsidRPr="00AE1008" w:rsidTr="00B84F41">
        <w:trPr>
          <w:jc w:val="center"/>
        </w:trPr>
        <w:tc>
          <w:tcPr>
            <w:tcW w:w="1003" w:type="pct"/>
            <w:tcBorders>
              <w:top w:val="single" w:sz="4" w:space="0" w:color="auto"/>
              <w:left w:val="double" w:sz="4" w:space="0" w:color="auto"/>
            </w:tcBorders>
            <w:shd w:val="clear" w:color="auto" w:fill="E6E6E6"/>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Qena</w:t>
            </w:r>
            <w:proofErr w:type="spellEnd"/>
          </w:p>
        </w:tc>
        <w:tc>
          <w:tcPr>
            <w:tcW w:w="594"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20</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32.0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24.1</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62</w:t>
            </w:r>
          </w:p>
        </w:tc>
        <w:tc>
          <w:tcPr>
            <w:tcW w:w="36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67.0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74.7</w:t>
            </w:r>
          </w:p>
        </w:tc>
        <w:tc>
          <w:tcPr>
            <w:tcW w:w="320"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w:t>
            </w:r>
          </w:p>
        </w:tc>
        <w:tc>
          <w:tcPr>
            <w:tcW w:w="285"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w:t>
            </w:r>
          </w:p>
        </w:tc>
        <w:tc>
          <w:tcPr>
            <w:tcW w:w="324"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100</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83</w:t>
            </w:r>
          </w:p>
        </w:tc>
        <w:tc>
          <w:tcPr>
            <w:tcW w:w="442"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54.64</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45.36</w:t>
            </w:r>
          </w:p>
        </w:tc>
        <w:tc>
          <w:tcPr>
            <w:tcW w:w="659" w:type="pct"/>
            <w:tcBorders>
              <w:right w:val="double" w:sz="4" w:space="0" w:color="auto"/>
            </w:tcBorders>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w:t>
            </w:r>
          </w:p>
        </w:tc>
      </w:tr>
    </w:tbl>
    <w:p w:rsidR="00FB56D5" w:rsidRPr="00AE1008" w:rsidRDefault="00FB56D5" w:rsidP="00FF65F3">
      <w:pPr>
        <w:tabs>
          <w:tab w:val="left" w:pos="-630"/>
        </w:tabs>
        <w:snapToGrid w:val="0"/>
        <w:spacing w:after="0" w:line="240" w:lineRule="auto"/>
        <w:jc w:val="center"/>
        <w:rPr>
          <w:rFonts w:ascii="Times New Roman" w:hAnsi="Times New Roman" w:cs="Times New Roman"/>
          <w:b/>
          <w:bCs/>
          <w:sz w:val="20"/>
          <w:szCs w:val="20"/>
          <w:lang w:eastAsia="zh-CN"/>
        </w:rPr>
      </w:pPr>
    </w:p>
    <w:p w:rsidR="00B84F41" w:rsidRPr="00AE1008" w:rsidRDefault="00B84F41" w:rsidP="00FF65F3">
      <w:pPr>
        <w:tabs>
          <w:tab w:val="left" w:pos="-630"/>
        </w:tabs>
        <w:snapToGrid w:val="0"/>
        <w:spacing w:after="0" w:line="240" w:lineRule="auto"/>
        <w:jc w:val="center"/>
        <w:rPr>
          <w:rFonts w:ascii="Times New Roman" w:eastAsia="Calibri" w:hAnsi="Times New Roman" w:cs="Times New Roman"/>
          <w:sz w:val="20"/>
          <w:szCs w:val="20"/>
        </w:rPr>
        <w:sectPr w:rsidR="00B84F41" w:rsidRPr="00AE1008" w:rsidSect="00F25EDD">
          <w:type w:val="continuous"/>
          <w:pgSz w:w="12240" w:h="15840" w:code="1"/>
          <w:pgMar w:top="1440" w:right="1440" w:bottom="1440" w:left="1440" w:header="720" w:footer="720" w:gutter="0"/>
          <w:cols w:space="720"/>
          <w:docGrid w:linePitch="360"/>
        </w:sectPr>
      </w:pPr>
    </w:p>
    <w:p w:rsidR="00B84F41" w:rsidRPr="00AE1008" w:rsidRDefault="00B84F41" w:rsidP="00B84F41">
      <w:pPr>
        <w:tabs>
          <w:tab w:val="left" w:pos="-630"/>
        </w:tabs>
        <w:snapToGrid w:val="0"/>
        <w:spacing w:after="0" w:line="240" w:lineRule="auto"/>
        <w:ind w:firstLine="425"/>
        <w:jc w:val="both"/>
        <w:rPr>
          <w:rFonts w:ascii="Times New Roman" w:hAnsi="Times New Roman" w:cs="Times New Roman"/>
          <w:b/>
          <w:bCs/>
          <w:sz w:val="20"/>
          <w:szCs w:val="20"/>
          <w:lang w:eastAsia="zh-CN"/>
        </w:rPr>
      </w:pPr>
      <w:r w:rsidRPr="00AE1008">
        <w:rPr>
          <w:rFonts w:ascii="Times New Roman" w:eastAsia="Calibri" w:hAnsi="Times New Roman" w:cs="Times New Roman"/>
          <w:sz w:val="20"/>
          <w:szCs w:val="20"/>
        </w:rPr>
        <w:lastRenderedPageBreak/>
        <w:t>Nutrition in early infantile stage plays a vital role in growth and development (Walker</w:t>
      </w:r>
      <w:r w:rsidRPr="00AE1008">
        <w:rPr>
          <w:rFonts w:ascii="Times New Roman" w:hAnsi="Times New Roman" w:cs="Times New Roman" w:hint="eastAsia"/>
          <w:sz w:val="20"/>
          <w:szCs w:val="20"/>
          <w:lang w:eastAsia="zh-CN"/>
        </w:rPr>
        <w:t xml:space="preserve"> </w:t>
      </w:r>
      <w:r w:rsidRPr="00AE1008">
        <w:rPr>
          <w:rFonts w:ascii="Times New Roman" w:eastAsia="Calibri" w:hAnsi="Times New Roman" w:cs="Times New Roman"/>
          <w:sz w:val="20"/>
          <w:szCs w:val="20"/>
        </w:rPr>
        <w:t xml:space="preserve">et al., 2011). Table (3) indicated that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had the highest energy intake in both sexes (boys and girls) followed by </w:t>
      </w:r>
      <w:proofErr w:type="spellStart"/>
      <w:r w:rsidRPr="00AE1008">
        <w:rPr>
          <w:rFonts w:ascii="Times New Roman" w:eastAsia="Calibri" w:hAnsi="Times New Roman" w:cs="Times New Roman"/>
          <w:sz w:val="20"/>
          <w:szCs w:val="20"/>
        </w:rPr>
        <w:lastRenderedPageBreak/>
        <w:t>Sohag</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and the least energy consumption was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Also, there were no significant difference in energy intake between boys and girls in all governorates. Data obtained from the same table </w:t>
      </w:r>
      <w:r w:rsidRPr="00AE1008">
        <w:rPr>
          <w:rFonts w:ascii="Times New Roman" w:eastAsia="Calibri" w:hAnsi="Times New Roman" w:cs="Times New Roman"/>
          <w:sz w:val="20"/>
          <w:szCs w:val="20"/>
        </w:rPr>
        <w:lastRenderedPageBreak/>
        <w:t xml:space="preserve">illustrated that the mean protein intake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was also the least. However, it was nearly the same in the other three governorates. Presence of proteins in the consumed diet is essential for the reason that it supply the body with essential amino acids needed for synthesis of protein, which are urgent for development and normal growth. When the protein or amino acids not given with adequate amounts may </w:t>
      </w:r>
      <w:r w:rsidRPr="00AE1008">
        <w:rPr>
          <w:rFonts w:ascii="Times New Roman" w:eastAsia="Calibri" w:hAnsi="Times New Roman" w:cs="Times New Roman"/>
          <w:sz w:val="20"/>
          <w:szCs w:val="20"/>
        </w:rPr>
        <w:lastRenderedPageBreak/>
        <w:t>retard the growth during the childhood period (</w:t>
      </w:r>
      <w:proofErr w:type="spellStart"/>
      <w:r w:rsidRPr="00AE1008">
        <w:rPr>
          <w:rFonts w:ascii="Times New Roman" w:eastAsia="Calibri" w:hAnsi="Times New Roman" w:cs="Times New Roman"/>
          <w:sz w:val="20"/>
          <w:szCs w:val="20"/>
        </w:rPr>
        <w:t>Michaelsen</w:t>
      </w:r>
      <w:proofErr w:type="spellEnd"/>
      <w:r w:rsidRPr="00AE1008">
        <w:rPr>
          <w:rFonts w:ascii="Times New Roman" w:eastAsia="Calibri" w:hAnsi="Times New Roman" w:cs="Times New Roman"/>
          <w:sz w:val="20"/>
          <w:szCs w:val="20"/>
        </w:rPr>
        <w:t xml:space="preserve"> KF., 2014). According to data from the table Children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had the least carbohydrate intake as compared to the other governorates. The table also showed that the mean fat intake was ranged from 20 up to 26 gram per day. The two sexes were almost equal and the least fat intake was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w:t>
      </w:r>
    </w:p>
    <w:p w:rsidR="00B84F41" w:rsidRPr="00AE1008" w:rsidRDefault="00B84F41" w:rsidP="00FF65F3">
      <w:pPr>
        <w:tabs>
          <w:tab w:val="left" w:pos="-630"/>
        </w:tabs>
        <w:snapToGrid w:val="0"/>
        <w:spacing w:after="0" w:line="240" w:lineRule="auto"/>
        <w:jc w:val="center"/>
        <w:rPr>
          <w:rFonts w:ascii="Times New Roman" w:hAnsi="Times New Roman" w:cs="Times New Roman"/>
          <w:b/>
          <w:bCs/>
          <w:sz w:val="20"/>
          <w:szCs w:val="20"/>
          <w:lang w:eastAsia="zh-CN"/>
        </w:rPr>
        <w:sectPr w:rsidR="00B84F41" w:rsidRPr="00AE1008" w:rsidSect="00B84F41">
          <w:type w:val="continuous"/>
          <w:pgSz w:w="12240" w:h="15840" w:code="1"/>
          <w:pgMar w:top="1440" w:right="1440" w:bottom="1440" w:left="1440" w:header="720" w:footer="720" w:gutter="0"/>
          <w:cols w:num="2" w:space="550"/>
          <w:docGrid w:linePitch="360"/>
        </w:sectPr>
      </w:pPr>
    </w:p>
    <w:p w:rsidR="00B84F41" w:rsidRPr="00AE1008" w:rsidRDefault="00B84F41" w:rsidP="00FF65F3">
      <w:pPr>
        <w:tabs>
          <w:tab w:val="left" w:pos="-630"/>
        </w:tabs>
        <w:snapToGrid w:val="0"/>
        <w:spacing w:after="0" w:line="240" w:lineRule="auto"/>
        <w:jc w:val="center"/>
        <w:rPr>
          <w:rFonts w:ascii="Times New Roman" w:hAnsi="Times New Roman" w:cs="Times New Roman"/>
          <w:b/>
          <w:bCs/>
          <w:sz w:val="20"/>
          <w:szCs w:val="20"/>
          <w:lang w:eastAsia="zh-CN"/>
        </w:rPr>
      </w:pPr>
    </w:p>
    <w:p w:rsidR="00AE1008" w:rsidRDefault="00AE1008" w:rsidP="00B84F41">
      <w:pPr>
        <w:snapToGrid w:val="0"/>
        <w:spacing w:after="0" w:line="240" w:lineRule="auto"/>
        <w:jc w:val="center"/>
        <w:rPr>
          <w:rFonts w:ascii="Times New Roman" w:hAnsi="Times New Roman" w:cs="Times New Roman"/>
          <w:b/>
          <w:bCs/>
          <w:sz w:val="20"/>
          <w:szCs w:val="20"/>
          <w:lang w:eastAsia="zh-CN"/>
        </w:rPr>
      </w:pPr>
    </w:p>
    <w:p w:rsidR="00FB56D5" w:rsidRPr="00AE1008" w:rsidRDefault="00FB56D5" w:rsidP="00B84F41">
      <w:pPr>
        <w:snapToGrid w:val="0"/>
        <w:spacing w:after="0" w:line="240" w:lineRule="auto"/>
        <w:jc w:val="center"/>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Table (3) Macronutrients daily intake of children aged 2-5 years in the studied governorates in Upper Egypt.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1281"/>
        <w:gridCol w:w="759"/>
        <w:gridCol w:w="1120"/>
        <w:gridCol w:w="665"/>
        <w:gridCol w:w="1052"/>
        <w:gridCol w:w="665"/>
        <w:gridCol w:w="1463"/>
        <w:gridCol w:w="707"/>
        <w:gridCol w:w="1027"/>
        <w:gridCol w:w="735"/>
      </w:tblGrid>
      <w:tr w:rsidR="00F25EDD" w:rsidRPr="00AE1008" w:rsidTr="00AE1008">
        <w:trPr>
          <w:jc w:val="center"/>
        </w:trPr>
        <w:tc>
          <w:tcPr>
            <w:tcW w:w="676" w:type="pct"/>
            <w:tcBorders>
              <w:top w:val="double" w:sz="4" w:space="0" w:color="auto"/>
              <w:left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Governorates</w:t>
            </w:r>
          </w:p>
        </w:tc>
        <w:tc>
          <w:tcPr>
            <w:tcW w:w="401"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Gender</w:t>
            </w:r>
          </w:p>
        </w:tc>
        <w:tc>
          <w:tcPr>
            <w:tcW w:w="591"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Energy</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(kcal)</w:t>
            </w:r>
          </w:p>
        </w:tc>
        <w:tc>
          <w:tcPr>
            <w:tcW w:w="351"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c>
          <w:tcPr>
            <w:tcW w:w="555"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Protein</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(gm)</w:t>
            </w:r>
          </w:p>
        </w:tc>
        <w:tc>
          <w:tcPr>
            <w:tcW w:w="351"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c>
          <w:tcPr>
            <w:tcW w:w="772"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Carbohydrates</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(gm)</w:t>
            </w:r>
          </w:p>
        </w:tc>
        <w:tc>
          <w:tcPr>
            <w:tcW w:w="373"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r w:rsidR="00B84F41" w:rsidRPr="00AE1008">
              <w:rPr>
                <w:rFonts w:ascii="Times New Roman" w:eastAsia="Times New Roman" w:hAnsi="Times New Roman" w:cs="Times New Roman"/>
                <w:b/>
                <w:bCs/>
                <w:sz w:val="20"/>
                <w:szCs w:val="20"/>
              </w:rPr>
              <w:t xml:space="preserve"> </w:t>
            </w:r>
          </w:p>
        </w:tc>
        <w:tc>
          <w:tcPr>
            <w:tcW w:w="542" w:type="pct"/>
            <w:tcBorders>
              <w:top w:val="double" w:sz="4" w:space="0" w:color="auto"/>
              <w:bottom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Fat</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(gm)</w:t>
            </w:r>
          </w:p>
        </w:tc>
        <w:tc>
          <w:tcPr>
            <w:tcW w:w="388" w:type="pct"/>
            <w:tcBorders>
              <w:top w:val="double" w:sz="4" w:space="0" w:color="auto"/>
              <w:bottom w:val="double" w:sz="4" w:space="0" w:color="auto"/>
              <w:right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 –value</w:t>
            </w:r>
          </w:p>
        </w:tc>
      </w:tr>
      <w:tr w:rsidR="00F25EDD" w:rsidRPr="00AE1008" w:rsidTr="00AE1008">
        <w:trPr>
          <w:jc w:val="center"/>
        </w:trPr>
        <w:tc>
          <w:tcPr>
            <w:tcW w:w="676" w:type="pct"/>
            <w:tcBorders>
              <w:left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hAnsi="Times New Roman" w:cs="Times New Roman"/>
                <w:b/>
                <w:bCs/>
                <w:sz w:val="20"/>
                <w:szCs w:val="20"/>
                <w:lang w:eastAsia="zh-CN"/>
              </w:rPr>
            </w:pPr>
            <w:proofErr w:type="spellStart"/>
            <w:r w:rsidRPr="00AE1008">
              <w:rPr>
                <w:rFonts w:ascii="Times New Roman" w:eastAsia="Times New Roman" w:hAnsi="Times New Roman" w:cs="Times New Roman"/>
                <w:b/>
                <w:bCs/>
                <w:sz w:val="20"/>
                <w:szCs w:val="20"/>
              </w:rPr>
              <w:t>Menia</w:t>
            </w:r>
            <w:proofErr w:type="spellEnd"/>
          </w:p>
        </w:tc>
        <w:tc>
          <w:tcPr>
            <w:tcW w:w="401" w:type="pct"/>
            <w:shd w:val="clear" w:color="auto" w:fill="FFFFFF"/>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59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848±318</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849±407</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555"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47.9±34.4</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46.1±35.1</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77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116.8±38.2</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121.2±39.1</w:t>
            </w:r>
          </w:p>
        </w:tc>
        <w:tc>
          <w:tcPr>
            <w:tcW w:w="373"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54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20.8±11.3</w:t>
            </w:r>
          </w:p>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20.2±11.5</w:t>
            </w:r>
          </w:p>
        </w:tc>
        <w:tc>
          <w:tcPr>
            <w:tcW w:w="388" w:type="pct"/>
            <w:tcBorders>
              <w:right w:val="double" w:sz="4" w:space="0" w:color="auto"/>
            </w:tcBorders>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r>
      <w:tr w:rsidR="00F25EDD" w:rsidRPr="00AE1008" w:rsidTr="00AE1008">
        <w:trPr>
          <w:jc w:val="center"/>
        </w:trPr>
        <w:tc>
          <w:tcPr>
            <w:tcW w:w="676" w:type="pct"/>
            <w:tcBorders>
              <w:left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Assiut</w:t>
            </w:r>
            <w:proofErr w:type="spellEnd"/>
          </w:p>
        </w:tc>
        <w:tc>
          <w:tcPr>
            <w:tcW w:w="401" w:type="pct"/>
            <w:shd w:val="clear" w:color="auto" w:fill="FFFFFF"/>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59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1113 ± 378</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1070 ± 350</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0.3</w:t>
            </w:r>
          </w:p>
        </w:tc>
        <w:tc>
          <w:tcPr>
            <w:tcW w:w="555"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55 ± 35</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51 ± 34</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0.3</w:t>
            </w:r>
          </w:p>
        </w:tc>
        <w:tc>
          <w:tcPr>
            <w:tcW w:w="77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163.8 ± 60</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159 ± 57</w:t>
            </w:r>
          </w:p>
        </w:tc>
        <w:tc>
          <w:tcPr>
            <w:tcW w:w="373"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54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26.4 ± 11.7</w:t>
            </w:r>
          </w:p>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25.5 ± 11.3</w:t>
            </w:r>
          </w:p>
        </w:tc>
        <w:tc>
          <w:tcPr>
            <w:tcW w:w="388" w:type="pct"/>
            <w:tcBorders>
              <w:right w:val="double" w:sz="4" w:space="0" w:color="auto"/>
            </w:tcBorders>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r>
      <w:tr w:rsidR="00F25EDD" w:rsidRPr="00AE1008" w:rsidTr="00AE1008">
        <w:trPr>
          <w:jc w:val="center"/>
        </w:trPr>
        <w:tc>
          <w:tcPr>
            <w:tcW w:w="676" w:type="pct"/>
            <w:tcBorders>
              <w:left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Sohag</w:t>
            </w:r>
            <w:proofErr w:type="spellEnd"/>
          </w:p>
        </w:tc>
        <w:tc>
          <w:tcPr>
            <w:tcW w:w="401" w:type="pct"/>
            <w:shd w:val="clear" w:color="auto" w:fill="FFFFFF"/>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59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1043 ± 329</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1008 ± 311</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0.08</w:t>
            </w:r>
          </w:p>
        </w:tc>
        <w:tc>
          <w:tcPr>
            <w:tcW w:w="555"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61 ± 39</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65 ± 41</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77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146.6 ± 44</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129.8 ± 39</w:t>
            </w:r>
          </w:p>
        </w:tc>
        <w:tc>
          <w:tcPr>
            <w:tcW w:w="373"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w:t>
            </w:r>
          </w:p>
        </w:tc>
        <w:tc>
          <w:tcPr>
            <w:tcW w:w="54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23.6 ± 10</w:t>
            </w:r>
          </w:p>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25.4 ± 11.7</w:t>
            </w:r>
          </w:p>
        </w:tc>
        <w:tc>
          <w:tcPr>
            <w:tcW w:w="388" w:type="pct"/>
            <w:tcBorders>
              <w:right w:val="double" w:sz="4" w:space="0" w:color="auto"/>
            </w:tcBorders>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0.1</w:t>
            </w:r>
          </w:p>
        </w:tc>
      </w:tr>
      <w:tr w:rsidR="00F25EDD" w:rsidRPr="00AE1008" w:rsidTr="00AE1008">
        <w:trPr>
          <w:jc w:val="center"/>
        </w:trPr>
        <w:tc>
          <w:tcPr>
            <w:tcW w:w="676" w:type="pct"/>
            <w:tcBorders>
              <w:left w:val="double" w:sz="4" w:space="0" w:color="auto"/>
            </w:tcBorders>
            <w:shd w:val="clear" w:color="auto" w:fill="E0E0E0"/>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Qena</w:t>
            </w:r>
            <w:proofErr w:type="spellEnd"/>
          </w:p>
        </w:tc>
        <w:tc>
          <w:tcPr>
            <w:tcW w:w="401" w:type="pct"/>
            <w:shd w:val="clear" w:color="auto" w:fill="FFFFFF"/>
            <w:vAlign w:val="center"/>
          </w:tcPr>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Boys</w:t>
            </w:r>
          </w:p>
          <w:p w:rsidR="00FB56D5" w:rsidRPr="00AE1008" w:rsidRDefault="00FB56D5" w:rsidP="00AE1008">
            <w:pPr>
              <w:snapToGrid w:val="0"/>
              <w:spacing w:after="0" w:line="240" w:lineRule="auto"/>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Girls</w:t>
            </w:r>
          </w:p>
        </w:tc>
        <w:tc>
          <w:tcPr>
            <w:tcW w:w="59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886 ± 260</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934 ± 308</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0.3</w:t>
            </w:r>
          </w:p>
        </w:tc>
        <w:tc>
          <w:tcPr>
            <w:tcW w:w="555"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50 ± 34</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52 ± 35</w:t>
            </w:r>
          </w:p>
        </w:tc>
        <w:tc>
          <w:tcPr>
            <w:tcW w:w="351"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0.8</w:t>
            </w:r>
          </w:p>
        </w:tc>
        <w:tc>
          <w:tcPr>
            <w:tcW w:w="77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121 ± 38</w:t>
            </w:r>
          </w:p>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133.5± 41</w:t>
            </w:r>
          </w:p>
        </w:tc>
        <w:tc>
          <w:tcPr>
            <w:tcW w:w="373"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1.2</w:t>
            </w:r>
          </w:p>
        </w:tc>
        <w:tc>
          <w:tcPr>
            <w:tcW w:w="542" w:type="pct"/>
            <w:vAlign w:val="center"/>
          </w:tcPr>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22.3 ± 11</w:t>
            </w:r>
          </w:p>
          <w:p w:rsidR="00FB56D5" w:rsidRPr="00AE1008" w:rsidRDefault="00FB56D5" w:rsidP="00AE1008">
            <w:pPr>
              <w:snapToGrid w:val="0"/>
              <w:spacing w:after="0" w:line="240" w:lineRule="auto"/>
              <w:rPr>
                <w:rFonts w:ascii="Times New Roman" w:eastAsia="Times New Roman" w:hAnsi="Times New Roman" w:cs="Times New Roman"/>
                <w:bCs/>
                <w:sz w:val="18"/>
                <w:szCs w:val="18"/>
              </w:rPr>
            </w:pPr>
            <w:r w:rsidRPr="00AE1008">
              <w:rPr>
                <w:rFonts w:ascii="Times New Roman" w:eastAsia="Times New Roman" w:hAnsi="Times New Roman" w:cs="Times New Roman"/>
                <w:bCs/>
                <w:sz w:val="18"/>
                <w:szCs w:val="18"/>
              </w:rPr>
              <w:t>21.3 ± 10.5</w:t>
            </w:r>
          </w:p>
        </w:tc>
        <w:tc>
          <w:tcPr>
            <w:tcW w:w="388" w:type="pct"/>
            <w:tcBorders>
              <w:right w:val="double" w:sz="4" w:space="0" w:color="auto"/>
            </w:tcBorders>
            <w:vAlign w:val="center"/>
          </w:tcPr>
          <w:p w:rsidR="00FB56D5" w:rsidRPr="00AE1008" w:rsidRDefault="00FB56D5" w:rsidP="00AE1008">
            <w:pPr>
              <w:snapToGrid w:val="0"/>
              <w:spacing w:after="0" w:line="240" w:lineRule="auto"/>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r>
    </w:tbl>
    <w:p w:rsidR="00F25EDD" w:rsidRPr="00AE1008" w:rsidRDefault="00F25EDD" w:rsidP="00FF65F3">
      <w:pPr>
        <w:snapToGrid w:val="0"/>
        <w:spacing w:after="0" w:line="240" w:lineRule="auto"/>
        <w:ind w:firstLine="425"/>
        <w:jc w:val="both"/>
        <w:rPr>
          <w:rFonts w:ascii="Times New Roman" w:eastAsia="Calibri" w:hAnsi="Times New Roman" w:cs="Times New Roman"/>
          <w:sz w:val="20"/>
          <w:szCs w:val="20"/>
        </w:rPr>
      </w:pPr>
    </w:p>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Table (4) Micronutrients (calcium, iron, zinc) daily intake of children aged 2-5 years in the studied governorates in Upper Egypt.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1617"/>
        <w:gridCol w:w="959"/>
        <w:gridCol w:w="1626"/>
        <w:gridCol w:w="959"/>
        <w:gridCol w:w="1190"/>
        <w:gridCol w:w="959"/>
        <w:gridCol w:w="1205"/>
        <w:gridCol w:w="959"/>
      </w:tblGrid>
      <w:tr w:rsidR="00F25EDD" w:rsidRPr="00AE1008" w:rsidTr="00F25EDD">
        <w:trPr>
          <w:jc w:val="center"/>
        </w:trPr>
        <w:tc>
          <w:tcPr>
            <w:tcW w:w="854" w:type="pct"/>
            <w:tcBorders>
              <w:top w:val="double" w:sz="4" w:space="0" w:color="auto"/>
              <w:left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Governorates</w:t>
            </w:r>
          </w:p>
        </w:tc>
        <w:tc>
          <w:tcPr>
            <w:tcW w:w="506"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Gender</w:t>
            </w:r>
          </w:p>
        </w:tc>
        <w:tc>
          <w:tcPr>
            <w:tcW w:w="858"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Calciu</w:t>
            </w:r>
            <w:r w:rsidR="00F25EDD" w:rsidRPr="00AE1008">
              <w:rPr>
                <w:rFonts w:ascii="Times New Roman" w:eastAsia="Times New Roman" w:hAnsi="Times New Roman" w:cs="Times New Roman"/>
                <w:b/>
                <w:bCs/>
                <w:sz w:val="20"/>
                <w:szCs w:val="20"/>
              </w:rPr>
              <w:t>m (</w:t>
            </w:r>
            <w:r w:rsidRPr="00AE1008">
              <w:rPr>
                <w:rFonts w:ascii="Times New Roman" w:eastAsia="Times New Roman" w:hAnsi="Times New Roman" w:cs="Times New Roman"/>
                <w:b/>
                <w:bCs/>
                <w:sz w:val="20"/>
                <w:szCs w:val="20"/>
              </w:rPr>
              <w:t>gm)</w:t>
            </w:r>
          </w:p>
        </w:tc>
        <w:tc>
          <w:tcPr>
            <w:tcW w:w="506"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c>
          <w:tcPr>
            <w:tcW w:w="628"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Iro</w:t>
            </w:r>
            <w:r w:rsidR="00F25EDD" w:rsidRPr="00AE1008">
              <w:rPr>
                <w:rFonts w:ascii="Times New Roman" w:eastAsia="Times New Roman" w:hAnsi="Times New Roman" w:cs="Times New Roman"/>
                <w:b/>
                <w:bCs/>
                <w:sz w:val="20"/>
                <w:szCs w:val="20"/>
              </w:rPr>
              <w:t>n (</w:t>
            </w:r>
            <w:r w:rsidRPr="00AE1008">
              <w:rPr>
                <w:rFonts w:ascii="Times New Roman" w:eastAsia="Times New Roman" w:hAnsi="Times New Roman" w:cs="Times New Roman"/>
                <w:b/>
                <w:bCs/>
                <w:sz w:val="20"/>
                <w:szCs w:val="20"/>
              </w:rPr>
              <w:t>mg)</w:t>
            </w:r>
          </w:p>
        </w:tc>
        <w:tc>
          <w:tcPr>
            <w:tcW w:w="506"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c>
          <w:tcPr>
            <w:tcW w:w="636" w:type="pct"/>
            <w:tcBorders>
              <w:top w:val="double" w:sz="4" w:space="0" w:color="auto"/>
              <w:bottom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Zin</w:t>
            </w:r>
            <w:r w:rsidR="00F25EDD" w:rsidRPr="00AE1008">
              <w:rPr>
                <w:rFonts w:ascii="Times New Roman" w:eastAsia="Times New Roman" w:hAnsi="Times New Roman" w:cs="Times New Roman"/>
                <w:b/>
                <w:bCs/>
                <w:sz w:val="20"/>
                <w:szCs w:val="20"/>
              </w:rPr>
              <w:t>c (</w:t>
            </w:r>
            <w:r w:rsidRPr="00AE1008">
              <w:rPr>
                <w:rFonts w:ascii="Times New Roman" w:eastAsia="Times New Roman" w:hAnsi="Times New Roman" w:cs="Times New Roman"/>
                <w:b/>
                <w:bCs/>
                <w:sz w:val="20"/>
                <w:szCs w:val="20"/>
              </w:rPr>
              <w:t>mg)</w:t>
            </w:r>
          </w:p>
        </w:tc>
        <w:tc>
          <w:tcPr>
            <w:tcW w:w="506" w:type="pct"/>
            <w:tcBorders>
              <w:top w:val="double" w:sz="4" w:space="0" w:color="auto"/>
              <w:bottom w:val="double" w:sz="4" w:space="0" w:color="auto"/>
              <w:right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r>
      <w:tr w:rsidR="00F25EDD" w:rsidRPr="00AE1008" w:rsidTr="00F25EDD">
        <w:trPr>
          <w:jc w:val="center"/>
        </w:trPr>
        <w:tc>
          <w:tcPr>
            <w:tcW w:w="854" w:type="pct"/>
            <w:tcBorders>
              <w:left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Times New Roman" w:hAnsi="Times New Roman" w:cs="Times New Roman"/>
                <w:b/>
                <w:bCs/>
                <w:sz w:val="20"/>
                <w:szCs w:val="20"/>
              </w:rPr>
              <w:t>Menia</w:t>
            </w:r>
            <w:proofErr w:type="spellEnd"/>
          </w:p>
        </w:tc>
        <w:tc>
          <w:tcPr>
            <w:tcW w:w="506"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5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305±193</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290±210</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0.2</w:t>
            </w:r>
          </w:p>
        </w:tc>
        <w:tc>
          <w:tcPr>
            <w:tcW w:w="6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6.1±2.5</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6.3±2.7</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63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4.1±1.7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4.0±1.7</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r>
      <w:tr w:rsidR="00F25EDD" w:rsidRPr="00AE1008" w:rsidTr="00F25EDD">
        <w:trPr>
          <w:jc w:val="center"/>
        </w:trPr>
        <w:tc>
          <w:tcPr>
            <w:tcW w:w="854" w:type="pct"/>
            <w:tcBorders>
              <w:left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Assiut</w:t>
            </w:r>
            <w:proofErr w:type="spellEnd"/>
          </w:p>
        </w:tc>
        <w:tc>
          <w:tcPr>
            <w:tcW w:w="506"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5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394 ± 88</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402 ± 89</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6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6.8 ± 2.8</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6.7 ± 2.9</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tc>
        <w:tc>
          <w:tcPr>
            <w:tcW w:w="63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4.1 ±2</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3.6 ±1.7</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0.03</w:t>
            </w:r>
          </w:p>
        </w:tc>
      </w:tr>
      <w:tr w:rsidR="00F25EDD" w:rsidRPr="00AE1008" w:rsidTr="00F25EDD">
        <w:trPr>
          <w:jc w:val="center"/>
        </w:trPr>
        <w:tc>
          <w:tcPr>
            <w:tcW w:w="854" w:type="pct"/>
            <w:tcBorders>
              <w:left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Sohag</w:t>
            </w:r>
            <w:proofErr w:type="spellEnd"/>
          </w:p>
        </w:tc>
        <w:tc>
          <w:tcPr>
            <w:tcW w:w="506"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5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422 ± 89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423 ± 100</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0.9</w:t>
            </w:r>
          </w:p>
        </w:tc>
        <w:tc>
          <w:tcPr>
            <w:tcW w:w="6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5.9 ± 2.1</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6.1 ± 2.4</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63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6.9±2.9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5.3±3.3</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0.9</w:t>
            </w:r>
          </w:p>
        </w:tc>
      </w:tr>
      <w:tr w:rsidR="00F25EDD" w:rsidRPr="00AE1008" w:rsidTr="00F25EDD">
        <w:trPr>
          <w:jc w:val="center"/>
        </w:trPr>
        <w:tc>
          <w:tcPr>
            <w:tcW w:w="854" w:type="pct"/>
            <w:tcBorders>
              <w:left w:val="double" w:sz="4" w:space="0" w:color="auto"/>
            </w:tcBorders>
            <w:shd w:val="clear" w:color="auto" w:fill="E0E0E0"/>
            <w:vAlign w:val="center"/>
          </w:tcPr>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Qena</w:t>
            </w:r>
            <w:proofErr w:type="spellEnd"/>
          </w:p>
        </w:tc>
        <w:tc>
          <w:tcPr>
            <w:tcW w:w="506" w:type="pct"/>
            <w:shd w:val="clear" w:color="auto" w:fill="FFFFFF"/>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5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416 ± 87</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409 ± 90</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tc>
        <w:tc>
          <w:tcPr>
            <w:tcW w:w="628"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5.3 ± 1.9</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5.5 ± 2.1</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63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 ±1.4</w:t>
            </w:r>
          </w:p>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4.1 ±1.5</w:t>
            </w:r>
          </w:p>
        </w:tc>
        <w:tc>
          <w:tcPr>
            <w:tcW w:w="506" w:type="pct"/>
            <w:vAlign w:val="center"/>
          </w:tcPr>
          <w:p w:rsidR="00FB56D5" w:rsidRPr="00AE1008" w:rsidRDefault="00FB56D5" w:rsidP="00FF65F3">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0.8</w:t>
            </w:r>
          </w:p>
        </w:tc>
      </w:tr>
    </w:tbl>
    <w:p w:rsidR="00F25EDD" w:rsidRDefault="00F25EDD" w:rsidP="00FF65F3">
      <w:pPr>
        <w:shd w:val="clear" w:color="auto" w:fill="FFFFFF"/>
        <w:snapToGrid w:val="0"/>
        <w:spacing w:after="0" w:line="240" w:lineRule="auto"/>
        <w:ind w:firstLine="425"/>
        <w:jc w:val="both"/>
        <w:textAlignment w:val="baseline"/>
        <w:rPr>
          <w:rFonts w:ascii="Times New Roman" w:hAnsi="Times New Roman" w:cs="Times New Roman"/>
          <w:sz w:val="20"/>
          <w:szCs w:val="20"/>
          <w:lang w:eastAsia="zh-CN"/>
        </w:rPr>
      </w:pPr>
    </w:p>
    <w:p w:rsidR="00AE1008" w:rsidRPr="00AE1008" w:rsidRDefault="00AE1008" w:rsidP="00FF65F3">
      <w:pPr>
        <w:shd w:val="clear" w:color="auto" w:fill="FFFFFF"/>
        <w:snapToGrid w:val="0"/>
        <w:spacing w:after="0" w:line="240" w:lineRule="auto"/>
        <w:ind w:firstLine="425"/>
        <w:jc w:val="both"/>
        <w:textAlignment w:val="baseline"/>
        <w:rPr>
          <w:rFonts w:ascii="Times New Roman" w:hAnsi="Times New Roman" w:cs="Times New Roman"/>
          <w:sz w:val="20"/>
          <w:szCs w:val="20"/>
          <w:lang w:eastAsia="zh-CN"/>
        </w:rPr>
      </w:pPr>
    </w:p>
    <w:p w:rsidR="00B84F41" w:rsidRPr="00AE1008" w:rsidRDefault="00B84F41" w:rsidP="00FF65F3">
      <w:pPr>
        <w:shd w:val="clear" w:color="auto" w:fill="FFFFFF"/>
        <w:snapToGrid w:val="0"/>
        <w:spacing w:after="0" w:line="240" w:lineRule="auto"/>
        <w:ind w:firstLine="425"/>
        <w:jc w:val="both"/>
        <w:textAlignment w:val="baseline"/>
        <w:rPr>
          <w:rFonts w:ascii="Times New Roman" w:eastAsia="Calibri" w:hAnsi="Times New Roman" w:cs="Times New Roman"/>
          <w:sz w:val="20"/>
          <w:szCs w:val="20"/>
        </w:rPr>
        <w:sectPr w:rsidR="00B84F41" w:rsidRPr="00AE1008" w:rsidSect="00F25EDD">
          <w:type w:val="continuous"/>
          <w:pgSz w:w="12240" w:h="15840" w:code="1"/>
          <w:pgMar w:top="1440" w:right="1440" w:bottom="1440" w:left="1440" w:header="720" w:footer="720" w:gutter="0"/>
          <w:cols w:space="720"/>
          <w:docGrid w:linePitch="360"/>
        </w:sectPr>
      </w:pPr>
    </w:p>
    <w:p w:rsidR="00FB56D5" w:rsidRPr="00AE1008" w:rsidRDefault="00FB56D5" w:rsidP="00FF65F3">
      <w:pPr>
        <w:shd w:val="clear" w:color="auto" w:fill="FFFFFF"/>
        <w:snapToGrid w:val="0"/>
        <w:spacing w:after="0" w:line="240" w:lineRule="auto"/>
        <w:ind w:firstLine="425"/>
        <w:jc w:val="both"/>
        <w:textAlignment w:val="baseline"/>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 xml:space="preserve">Table (4) indicated that mean intake of calcium among studied children was ranged from 290 up to 423 mg/ day with no significant difference among boys and girls in all governorates. The least intake was among children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The most intake was among children in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governorate. On the other hand the same table showed that the mean intake of iron was 5.3 up to 6.8mg/day and nearly the same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while the least intake was among children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w:t>
      </w:r>
      <w:r w:rsidR="000B3A65" w:rsidRPr="00AE1008">
        <w:rPr>
          <w:rFonts w:ascii="Times New Roman" w:eastAsia="Calibri" w:hAnsi="Times New Roman" w:cs="Times New Roman"/>
          <w:sz w:val="20"/>
          <w:szCs w:val="20"/>
        </w:rPr>
        <w:t>The deficiency of iron in the diet will reflect on the health of chil</w:t>
      </w:r>
      <w:r w:rsidR="00BF4D79" w:rsidRPr="00AE1008">
        <w:rPr>
          <w:rFonts w:ascii="Times New Roman" w:eastAsia="Calibri" w:hAnsi="Times New Roman" w:cs="Times New Roman"/>
          <w:sz w:val="20"/>
          <w:szCs w:val="20"/>
        </w:rPr>
        <w:t>dren and the even for the youth</w:t>
      </w:r>
      <w:r w:rsidR="000B3A65" w:rsidRPr="00AE1008">
        <w:rPr>
          <w:rFonts w:ascii="Times New Roman" w:eastAsia="Calibri" w:hAnsi="Times New Roman" w:cs="Times New Roman"/>
          <w:sz w:val="20"/>
          <w:szCs w:val="20"/>
        </w:rPr>
        <w:t>, where the behavioral,</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0B3A65" w:rsidRPr="00AE1008">
        <w:rPr>
          <w:rFonts w:ascii="Times New Roman" w:eastAsia="Calibri" w:hAnsi="Times New Roman" w:cs="Times New Roman"/>
          <w:sz w:val="20"/>
          <w:szCs w:val="20"/>
        </w:rPr>
        <w:t xml:space="preserve"> status</w:t>
      </w:r>
      <w:r w:rsidRPr="00AE1008">
        <w:rPr>
          <w:rFonts w:ascii="Times New Roman" w:eastAsia="Calibri" w:hAnsi="Times New Roman" w:cs="Times New Roman"/>
          <w:sz w:val="20"/>
          <w:szCs w:val="20"/>
        </w:rPr>
        <w:t xml:space="preserve">, and economic liabilities </w:t>
      </w:r>
      <w:r w:rsidR="000B3A65" w:rsidRPr="00AE1008">
        <w:rPr>
          <w:rFonts w:ascii="Times New Roman" w:eastAsia="Calibri" w:hAnsi="Times New Roman" w:cs="Times New Roman"/>
          <w:sz w:val="20"/>
          <w:szCs w:val="20"/>
        </w:rPr>
        <w:t>are affected due to iron deficiency</w:t>
      </w:r>
      <w:r w:rsidR="00F25EDD" w:rsidRPr="00AE1008">
        <w:rPr>
          <w:rFonts w:ascii="Times New Roman" w:eastAsia="Calibri" w:hAnsi="Times New Roman" w:cs="Times New Roman"/>
          <w:sz w:val="20"/>
          <w:szCs w:val="20"/>
        </w:rPr>
        <w:t>.</w:t>
      </w:r>
      <w:r w:rsidR="000B3A65" w:rsidRPr="00AE1008">
        <w:rPr>
          <w:rFonts w:ascii="Times New Roman" w:eastAsia="Calibri" w:hAnsi="Times New Roman" w:cs="Times New Roman"/>
          <w:sz w:val="20"/>
          <w:szCs w:val="20"/>
        </w:rPr>
        <w:t xml:space="preserve"> Iron deficiency either due to low contents in the diet or due to decrease in the absorption from gastrointestinal tract (GIT</w:t>
      </w:r>
      <w:r w:rsidR="00B84F41" w:rsidRPr="00AE1008">
        <w:rPr>
          <w:rFonts w:ascii="Times New Roman" w:eastAsia="Calibri" w:hAnsi="Times New Roman" w:cs="Times New Roman"/>
          <w:sz w:val="20"/>
          <w:szCs w:val="20"/>
        </w:rPr>
        <w:t>) c</w:t>
      </w:r>
      <w:r w:rsidR="000B3A65" w:rsidRPr="00AE1008">
        <w:rPr>
          <w:rFonts w:ascii="Times New Roman" w:eastAsia="Calibri" w:hAnsi="Times New Roman" w:cs="Times New Roman"/>
          <w:sz w:val="20"/>
          <w:szCs w:val="20"/>
        </w:rPr>
        <w:t xml:space="preserve">an leads </w:t>
      </w:r>
      <w:r w:rsidR="000B3A65" w:rsidRPr="00AE1008">
        <w:rPr>
          <w:rFonts w:ascii="Times New Roman" w:eastAsia="Calibri" w:hAnsi="Times New Roman" w:cs="Times New Roman"/>
          <w:sz w:val="20"/>
          <w:szCs w:val="20"/>
        </w:rPr>
        <w:lastRenderedPageBreak/>
        <w:t xml:space="preserve">to </w:t>
      </w:r>
      <w:r w:rsidRPr="00AE1008">
        <w:rPr>
          <w:rFonts w:ascii="Times New Roman" w:eastAsia="Calibri" w:hAnsi="Times New Roman" w:cs="Times New Roman"/>
          <w:sz w:val="20"/>
          <w:szCs w:val="20"/>
        </w:rPr>
        <w:t xml:space="preserve">delayed </w:t>
      </w:r>
      <w:r w:rsidR="00BF4D79" w:rsidRPr="00AE1008">
        <w:rPr>
          <w:rFonts w:ascii="Times New Roman" w:eastAsia="Calibri" w:hAnsi="Times New Roman" w:cs="Times New Roman"/>
          <w:sz w:val="20"/>
          <w:szCs w:val="20"/>
        </w:rPr>
        <w:t>cognitive functioning</w:t>
      </w:r>
      <w:r w:rsidRPr="00AE1008">
        <w:rPr>
          <w:rFonts w:ascii="Times New Roman" w:eastAsia="Calibri" w:hAnsi="Times New Roman" w:cs="Times New Roman"/>
          <w:sz w:val="20"/>
          <w:szCs w:val="20"/>
        </w:rPr>
        <w:t xml:space="preserve">, </w:t>
      </w:r>
      <w:r w:rsidR="000B3A65" w:rsidRPr="00AE1008">
        <w:rPr>
          <w:rFonts w:ascii="Times New Roman" w:eastAsia="Calibri" w:hAnsi="Times New Roman" w:cs="Times New Roman"/>
          <w:sz w:val="20"/>
          <w:szCs w:val="20"/>
        </w:rPr>
        <w:t>inhibition in the immune system</w:t>
      </w:r>
      <w:r w:rsidRPr="00AE1008">
        <w:rPr>
          <w:rFonts w:ascii="Times New Roman" w:eastAsia="Calibri" w:hAnsi="Times New Roman" w:cs="Times New Roman"/>
          <w:sz w:val="20"/>
          <w:szCs w:val="20"/>
        </w:rPr>
        <w:t xml:space="preserve">, and </w:t>
      </w:r>
      <w:r w:rsidR="000B3A65" w:rsidRPr="00AE1008">
        <w:rPr>
          <w:rFonts w:ascii="Times New Roman" w:eastAsia="Calibri" w:hAnsi="Times New Roman" w:cs="Times New Roman"/>
          <w:sz w:val="20"/>
          <w:szCs w:val="20"/>
        </w:rPr>
        <w:t>reduced</w:t>
      </w:r>
      <w:r w:rsidRPr="00AE1008">
        <w:rPr>
          <w:rFonts w:ascii="Times New Roman" w:eastAsia="Calibri" w:hAnsi="Times New Roman" w:cs="Times New Roman"/>
          <w:sz w:val="20"/>
          <w:szCs w:val="20"/>
        </w:rPr>
        <w:t xml:space="preserve"> physical</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performance and productivity (Zimmermann and </w:t>
      </w:r>
      <w:proofErr w:type="spellStart"/>
      <w:r w:rsidRPr="00AE1008">
        <w:rPr>
          <w:rFonts w:ascii="Times New Roman" w:eastAsia="Calibri" w:hAnsi="Times New Roman" w:cs="Times New Roman"/>
          <w:sz w:val="20"/>
          <w:szCs w:val="20"/>
        </w:rPr>
        <w:t>Hurrell</w:t>
      </w:r>
      <w:proofErr w:type="spellEnd"/>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2007). Also, data in the table indicated that the mean intake of zinc was nearly 4mg/ day, the least intake was in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w:t>
      </w:r>
      <w:r w:rsidR="000B3A65" w:rsidRPr="00AE1008">
        <w:rPr>
          <w:rFonts w:ascii="Times New Roman" w:eastAsia="Calibri" w:hAnsi="Times New Roman" w:cs="Times New Roman"/>
          <w:sz w:val="20"/>
          <w:szCs w:val="20"/>
        </w:rPr>
        <w:t>With respect to t</w:t>
      </w:r>
      <w:r w:rsidRPr="00AE1008">
        <w:rPr>
          <w:rFonts w:ascii="Times New Roman" w:eastAsia="Calibri" w:hAnsi="Times New Roman" w:cs="Times New Roman"/>
          <w:sz w:val="20"/>
          <w:szCs w:val="20"/>
        </w:rPr>
        <w:t xml:space="preserve">he trace elements Zn and copper (Cu) </w:t>
      </w:r>
      <w:r w:rsidR="000B3A65" w:rsidRPr="00AE1008">
        <w:rPr>
          <w:rFonts w:ascii="Times New Roman" w:eastAsia="Calibri" w:hAnsi="Times New Roman" w:cs="Times New Roman"/>
          <w:sz w:val="20"/>
          <w:szCs w:val="20"/>
        </w:rPr>
        <w:t xml:space="preserve">which are essential </w:t>
      </w:r>
      <w:r w:rsidRPr="00AE1008">
        <w:rPr>
          <w:rFonts w:ascii="Times New Roman" w:eastAsia="Calibri" w:hAnsi="Times New Roman" w:cs="Times New Roman"/>
          <w:sz w:val="20"/>
          <w:szCs w:val="20"/>
        </w:rPr>
        <w:t xml:space="preserve">for </w:t>
      </w:r>
      <w:r w:rsidR="000B3A65" w:rsidRPr="00AE1008">
        <w:rPr>
          <w:rFonts w:ascii="Times New Roman" w:eastAsia="Calibri" w:hAnsi="Times New Roman" w:cs="Times New Roman"/>
          <w:sz w:val="20"/>
          <w:szCs w:val="20"/>
        </w:rPr>
        <w:t xml:space="preserve">healthy neurological functioning, </w:t>
      </w:r>
      <w:r w:rsidRPr="00AE1008">
        <w:rPr>
          <w:rFonts w:ascii="Times New Roman" w:eastAsia="Calibri" w:hAnsi="Times New Roman" w:cs="Times New Roman"/>
          <w:sz w:val="20"/>
          <w:szCs w:val="20"/>
        </w:rPr>
        <w:t xml:space="preserve">cognitive </w:t>
      </w:r>
      <w:r w:rsidR="0093208A" w:rsidRPr="00AE1008">
        <w:rPr>
          <w:rFonts w:ascii="Times New Roman" w:eastAsia="Calibri" w:hAnsi="Times New Roman" w:cs="Times New Roman"/>
          <w:sz w:val="20"/>
          <w:szCs w:val="20"/>
        </w:rPr>
        <w:t>improvement</w:t>
      </w:r>
      <w:r w:rsidRPr="00AE1008">
        <w:rPr>
          <w:rFonts w:ascii="Times New Roman" w:eastAsia="Calibri" w:hAnsi="Times New Roman" w:cs="Times New Roman"/>
          <w:sz w:val="20"/>
          <w:szCs w:val="20"/>
        </w:rPr>
        <w:t xml:space="preserve">, and </w:t>
      </w:r>
      <w:r w:rsidR="0093208A" w:rsidRPr="00AE1008">
        <w:rPr>
          <w:rFonts w:ascii="Times New Roman" w:eastAsia="Calibri" w:hAnsi="Times New Roman" w:cs="Times New Roman"/>
          <w:sz w:val="20"/>
          <w:szCs w:val="20"/>
        </w:rPr>
        <w:t xml:space="preserve">detoxification of </w:t>
      </w:r>
      <w:r w:rsidRPr="00AE1008">
        <w:rPr>
          <w:rFonts w:ascii="Times New Roman" w:eastAsia="Calibri" w:hAnsi="Times New Roman" w:cs="Times New Roman"/>
          <w:sz w:val="20"/>
          <w:szCs w:val="20"/>
        </w:rPr>
        <w:t>heavy metal</w:t>
      </w:r>
      <w:r w:rsidR="0093208A" w:rsidRPr="00AE1008">
        <w:rPr>
          <w:rFonts w:ascii="Times New Roman" w:eastAsia="Calibri" w:hAnsi="Times New Roman" w:cs="Times New Roman"/>
          <w:sz w:val="20"/>
          <w:szCs w:val="20"/>
        </w:rPr>
        <w:t>s</w:t>
      </w:r>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Bjørklund</w:t>
      </w:r>
      <w:proofErr w:type="spellEnd"/>
      <w:r w:rsidRPr="00AE1008">
        <w:rPr>
          <w:rFonts w:ascii="Times New Roman" w:eastAsia="Calibri" w:hAnsi="Times New Roman" w:cs="Times New Roman"/>
          <w:sz w:val="20"/>
          <w:szCs w:val="20"/>
        </w:rPr>
        <w:t xml:space="preserve"> 2013; </w:t>
      </w:r>
      <w:proofErr w:type="spellStart"/>
      <w:r w:rsidRPr="00AE1008">
        <w:rPr>
          <w:rFonts w:ascii="Times New Roman" w:eastAsia="Calibri" w:hAnsi="Times New Roman" w:cs="Times New Roman"/>
          <w:sz w:val="20"/>
          <w:szCs w:val="20"/>
        </w:rPr>
        <w:t>Böckerman</w:t>
      </w:r>
      <w:proofErr w:type="spellEnd"/>
      <w:r w:rsidRPr="00AE1008">
        <w:rPr>
          <w:rFonts w:ascii="Times New Roman" w:eastAsia="Calibri" w:hAnsi="Times New Roman" w:cs="Times New Roman"/>
          <w:sz w:val="20"/>
          <w:szCs w:val="20"/>
        </w:rPr>
        <w:t xml:space="preserve"> et al. 2015)</w:t>
      </w:r>
      <w:r w:rsidR="00B84F41" w:rsidRPr="00AE1008">
        <w:rPr>
          <w:rFonts w:ascii="Times New Roman" w:eastAsia="Calibri" w:hAnsi="Times New Roman" w:cs="Times New Roman"/>
          <w:sz w:val="20"/>
          <w:szCs w:val="20"/>
        </w:rPr>
        <w:t>. I</w:t>
      </w:r>
      <w:r w:rsidRPr="00AE1008">
        <w:rPr>
          <w:rFonts w:ascii="Times New Roman" w:eastAsia="Calibri" w:hAnsi="Times New Roman" w:cs="Times New Roman"/>
          <w:sz w:val="20"/>
          <w:szCs w:val="20"/>
        </w:rPr>
        <w:t>ndeed, iron-</w:t>
      </w:r>
      <w:r w:rsidR="00BF4D79" w:rsidRPr="00AE1008">
        <w:rPr>
          <w:rFonts w:ascii="Times New Roman" w:eastAsia="Calibri" w:hAnsi="Times New Roman" w:cs="Times New Roman"/>
          <w:sz w:val="20"/>
          <w:szCs w:val="20"/>
        </w:rPr>
        <w:t>deficiency anemia</w:t>
      </w:r>
      <w:r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remain</w:t>
      </w:r>
      <w:r w:rsidRPr="00AE1008">
        <w:rPr>
          <w:rFonts w:ascii="Times New Roman" w:eastAsia="Calibri" w:hAnsi="Times New Roman" w:cs="Times New Roman"/>
          <w:sz w:val="20"/>
          <w:szCs w:val="20"/>
        </w:rPr>
        <w:t xml:space="preserve"> affects </w:t>
      </w:r>
      <w:r w:rsidR="0093208A" w:rsidRPr="00AE1008">
        <w:rPr>
          <w:rFonts w:ascii="Times New Roman" w:eastAsia="Calibri" w:hAnsi="Times New Roman" w:cs="Times New Roman"/>
          <w:sz w:val="20"/>
          <w:szCs w:val="20"/>
        </w:rPr>
        <w:t xml:space="preserve">about </w:t>
      </w:r>
      <w:r w:rsidRPr="00AE1008">
        <w:rPr>
          <w:rFonts w:ascii="Times New Roman" w:eastAsia="Calibri" w:hAnsi="Times New Roman" w:cs="Times New Roman"/>
          <w:sz w:val="20"/>
          <w:szCs w:val="20"/>
        </w:rPr>
        <w:t>40% to 60% of children in most developing</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countries,</w:t>
      </w:r>
      <w:r w:rsidR="00BF4D79"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as stated by (UNICEF, 2007)</w:t>
      </w:r>
      <w:r w:rsidRPr="00AE1008">
        <w:rPr>
          <w:rFonts w:ascii="Times New Roman" w:eastAsia="Calibri" w:hAnsi="Times New Roman" w:cs="Times New Roman"/>
          <w:sz w:val="20"/>
          <w:szCs w:val="20"/>
        </w:rPr>
        <w:t xml:space="preserve"> and the </w:t>
      </w:r>
      <w:r w:rsidR="0093208A" w:rsidRPr="00AE1008">
        <w:rPr>
          <w:rFonts w:ascii="Times New Roman" w:eastAsia="Calibri" w:hAnsi="Times New Roman" w:cs="Times New Roman"/>
          <w:sz w:val="20"/>
          <w:szCs w:val="20"/>
        </w:rPr>
        <w:t>global objective</w:t>
      </w:r>
      <w:r w:rsidRPr="00AE1008">
        <w:rPr>
          <w:rFonts w:ascii="Times New Roman" w:eastAsia="Calibri" w:hAnsi="Times New Roman" w:cs="Times New Roman"/>
          <w:sz w:val="20"/>
          <w:szCs w:val="20"/>
        </w:rPr>
        <w:t xml:space="preserve"> of reducing ‘‘by one-third the</w:t>
      </w:r>
      <w:r w:rsidR="0093208A" w:rsidRPr="00AE1008">
        <w:rPr>
          <w:rFonts w:ascii="Times New Roman" w:eastAsia="Calibri" w:hAnsi="Times New Roman" w:cs="Times New Roman"/>
          <w:sz w:val="20"/>
          <w:szCs w:val="20"/>
        </w:rPr>
        <w:t xml:space="preserve"> incidence</w:t>
      </w:r>
      <w:r w:rsidRPr="00AE1008">
        <w:rPr>
          <w:rFonts w:ascii="Times New Roman" w:eastAsia="Calibri" w:hAnsi="Times New Roman" w:cs="Times New Roman"/>
          <w:sz w:val="20"/>
          <w:szCs w:val="20"/>
        </w:rPr>
        <w:t xml:space="preserve"> of iron-deficiency anemia </w:t>
      </w:r>
      <w:r w:rsidR="0093208A" w:rsidRPr="00AE1008">
        <w:rPr>
          <w:rFonts w:ascii="Times New Roman" w:eastAsia="Calibri" w:hAnsi="Times New Roman" w:cs="Times New Roman"/>
          <w:sz w:val="20"/>
          <w:szCs w:val="20"/>
        </w:rPr>
        <w:t>between</w:t>
      </w:r>
      <w:r w:rsidR="00BF4D79"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children</w:t>
      </w:r>
      <w:r w:rsidR="00BF4D79"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and</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women by 2010’’ is </w:t>
      </w:r>
      <w:r w:rsidR="0093208A" w:rsidRPr="00AE1008">
        <w:rPr>
          <w:rFonts w:ascii="Times New Roman" w:eastAsia="Calibri" w:hAnsi="Times New Roman" w:cs="Times New Roman"/>
          <w:sz w:val="20"/>
          <w:szCs w:val="20"/>
        </w:rPr>
        <w:t>doubtful</w:t>
      </w:r>
      <w:r w:rsidRPr="00AE1008">
        <w:rPr>
          <w:rFonts w:ascii="Times New Roman" w:eastAsia="Calibri" w:hAnsi="Times New Roman" w:cs="Times New Roman"/>
          <w:sz w:val="20"/>
          <w:szCs w:val="20"/>
        </w:rPr>
        <w:t xml:space="preserve"> to be </w:t>
      </w:r>
      <w:r w:rsidR="0093208A" w:rsidRPr="00AE1008">
        <w:rPr>
          <w:rFonts w:ascii="Times New Roman" w:eastAsia="Calibri" w:hAnsi="Times New Roman" w:cs="Times New Roman"/>
          <w:sz w:val="20"/>
          <w:szCs w:val="20"/>
        </w:rPr>
        <w:t>happened</w:t>
      </w:r>
      <w:r w:rsidRPr="00AE1008">
        <w:rPr>
          <w:rFonts w:ascii="Times New Roman" w:eastAsia="Calibri" w:hAnsi="Times New Roman" w:cs="Times New Roman"/>
          <w:sz w:val="20"/>
          <w:szCs w:val="20"/>
        </w:rPr>
        <w:t xml:space="preserve">. </w:t>
      </w:r>
    </w:p>
    <w:p w:rsidR="00B84F41" w:rsidRPr="00AE1008" w:rsidRDefault="00B84F41" w:rsidP="00FF65F3">
      <w:pPr>
        <w:snapToGrid w:val="0"/>
        <w:spacing w:after="0" w:line="240" w:lineRule="auto"/>
        <w:jc w:val="center"/>
        <w:rPr>
          <w:rFonts w:ascii="Times New Roman" w:eastAsia="Calibri" w:hAnsi="Times New Roman" w:cs="Times New Roman"/>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AE1008" w:rsidRDefault="00F25EDD" w:rsidP="00B84F41">
      <w:pPr>
        <w:snapToGrid w:val="0"/>
        <w:spacing w:after="0" w:line="240" w:lineRule="auto"/>
        <w:jc w:val="both"/>
        <w:rPr>
          <w:rFonts w:ascii="Times New Roman" w:hAnsi="Times New Roman" w:cs="Times New Roman"/>
          <w:sz w:val="20"/>
          <w:szCs w:val="20"/>
          <w:lang w:eastAsia="zh-CN"/>
        </w:rPr>
      </w:pPr>
      <w:r w:rsidRPr="00AE1008">
        <w:rPr>
          <w:rFonts w:ascii="Times New Roman" w:eastAsia="Calibri" w:hAnsi="Times New Roman" w:cs="Times New Roman"/>
          <w:sz w:val="20"/>
          <w:szCs w:val="20"/>
        </w:rPr>
        <w:lastRenderedPageBreak/>
        <w:cr/>
      </w:r>
    </w:p>
    <w:p w:rsidR="00AE1008" w:rsidRDefault="00AE1008" w:rsidP="00B84F41">
      <w:pPr>
        <w:snapToGrid w:val="0"/>
        <w:spacing w:after="0" w:line="240" w:lineRule="auto"/>
        <w:jc w:val="both"/>
        <w:rPr>
          <w:rFonts w:ascii="Times New Roman" w:hAnsi="Times New Roman" w:cs="Times New Roman"/>
          <w:b/>
          <w:bCs/>
          <w:sz w:val="20"/>
          <w:szCs w:val="20"/>
          <w:lang w:eastAsia="zh-CN"/>
        </w:rPr>
      </w:pPr>
    </w:p>
    <w:p w:rsidR="00AE1008" w:rsidRDefault="00AE1008" w:rsidP="00B84F41">
      <w:pPr>
        <w:snapToGrid w:val="0"/>
        <w:spacing w:after="0" w:line="240" w:lineRule="auto"/>
        <w:jc w:val="both"/>
        <w:rPr>
          <w:rFonts w:ascii="Times New Roman" w:hAnsi="Times New Roman" w:cs="Times New Roman"/>
          <w:b/>
          <w:bCs/>
          <w:sz w:val="20"/>
          <w:szCs w:val="20"/>
          <w:lang w:eastAsia="zh-CN"/>
        </w:rPr>
      </w:pPr>
    </w:p>
    <w:p w:rsidR="00AE1008" w:rsidRDefault="00AE1008" w:rsidP="00B84F41">
      <w:pPr>
        <w:snapToGrid w:val="0"/>
        <w:spacing w:after="0" w:line="240" w:lineRule="auto"/>
        <w:jc w:val="both"/>
        <w:rPr>
          <w:rFonts w:ascii="Times New Roman" w:hAnsi="Times New Roman" w:cs="Times New Roman"/>
          <w:b/>
          <w:bCs/>
          <w:sz w:val="20"/>
          <w:szCs w:val="20"/>
          <w:lang w:eastAsia="zh-CN"/>
        </w:rPr>
      </w:pPr>
    </w:p>
    <w:p w:rsidR="00FB56D5" w:rsidRPr="00AE1008" w:rsidRDefault="00FB56D5" w:rsidP="00B84F41">
      <w:pPr>
        <w:snapToGrid w:val="0"/>
        <w:spacing w:after="0" w:line="240" w:lineRule="auto"/>
        <w:jc w:val="both"/>
        <w:rPr>
          <w:rFonts w:ascii="Times New Roman" w:eastAsia="Times New Roman" w:hAnsi="Times New Roman" w:cs="Times New Roman"/>
          <w:sz w:val="20"/>
          <w:szCs w:val="20"/>
        </w:rPr>
      </w:pPr>
      <w:r w:rsidRPr="00AE1008">
        <w:rPr>
          <w:rFonts w:ascii="Times New Roman" w:eastAsia="Times New Roman" w:hAnsi="Times New Roman" w:cs="Times New Roman"/>
          <w:b/>
          <w:bCs/>
          <w:sz w:val="20"/>
          <w:szCs w:val="20"/>
        </w:rPr>
        <w:t>Table (5) Vitamins (C, A, D) daily intake of children aged 2-5 years in the studied governorates in Upper Egypt</w:t>
      </w:r>
      <w:r w:rsidR="00F25EDD" w:rsidRPr="00AE1008">
        <w:rPr>
          <w:rFonts w:ascii="Times New Roman" w:eastAsia="Times New Roman" w:hAnsi="Times New Roman" w:cs="Times New Roman"/>
          <w:b/>
          <w:bCs/>
          <w:sz w:val="20"/>
          <w:szCs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1361"/>
        <w:gridCol w:w="807"/>
        <w:gridCol w:w="1550"/>
        <w:gridCol w:w="807"/>
        <w:gridCol w:w="1844"/>
        <w:gridCol w:w="807"/>
        <w:gridCol w:w="1495"/>
        <w:gridCol w:w="803"/>
      </w:tblGrid>
      <w:tr w:rsidR="00F25EDD" w:rsidRPr="00AE1008" w:rsidTr="00B84F41">
        <w:trPr>
          <w:jc w:val="center"/>
        </w:trPr>
        <w:tc>
          <w:tcPr>
            <w:tcW w:w="718" w:type="pct"/>
            <w:tcBorders>
              <w:top w:val="double" w:sz="4" w:space="0" w:color="auto"/>
              <w:left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Governorates</w:t>
            </w:r>
          </w:p>
        </w:tc>
        <w:tc>
          <w:tcPr>
            <w:tcW w:w="426"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Gender</w:t>
            </w:r>
          </w:p>
        </w:tc>
        <w:tc>
          <w:tcPr>
            <w:tcW w:w="818"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Vitamin C</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(mg)</w:t>
            </w:r>
          </w:p>
        </w:tc>
        <w:tc>
          <w:tcPr>
            <w:tcW w:w="426"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r w:rsidR="00B84F41" w:rsidRPr="00AE1008">
              <w:rPr>
                <w:rFonts w:ascii="Times New Roman" w:eastAsia="Times New Roman" w:hAnsi="Times New Roman" w:cs="Times New Roman"/>
                <w:b/>
                <w:bCs/>
                <w:sz w:val="20"/>
                <w:szCs w:val="20"/>
              </w:rPr>
              <w:t xml:space="preserve"> </w:t>
            </w:r>
          </w:p>
        </w:tc>
        <w:tc>
          <w:tcPr>
            <w:tcW w:w="973"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Vitamin A</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(µg) RE</w:t>
            </w:r>
          </w:p>
        </w:tc>
        <w:tc>
          <w:tcPr>
            <w:tcW w:w="426"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c>
          <w:tcPr>
            <w:tcW w:w="789" w:type="pct"/>
            <w:tcBorders>
              <w:top w:val="double" w:sz="4" w:space="0" w:color="auto"/>
              <w:bottom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Vitamin D</w:t>
            </w:r>
            <w:r w:rsidR="00B84F41" w:rsidRPr="00AE1008">
              <w:rPr>
                <w:rFonts w:ascii="Times New Roman" w:eastAsia="Times New Roman" w:hAnsi="Times New Roman" w:cs="Times New Roman"/>
                <w:b/>
                <w:bCs/>
                <w:sz w:val="20"/>
                <w:szCs w:val="20"/>
              </w:rPr>
              <w:t xml:space="preserve"> </w:t>
            </w:r>
            <w:r w:rsidRPr="00AE1008">
              <w:rPr>
                <w:rFonts w:ascii="Times New Roman" w:eastAsia="Times New Roman" w:hAnsi="Times New Roman" w:cs="Times New Roman"/>
                <w:b/>
                <w:bCs/>
                <w:sz w:val="20"/>
                <w:szCs w:val="20"/>
              </w:rPr>
              <w:t>(µg)</w:t>
            </w:r>
          </w:p>
        </w:tc>
        <w:tc>
          <w:tcPr>
            <w:tcW w:w="426" w:type="pct"/>
            <w:tcBorders>
              <w:top w:val="double" w:sz="4" w:space="0" w:color="auto"/>
              <w:bottom w:val="double" w:sz="4" w:space="0" w:color="auto"/>
              <w:right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P-value</w:t>
            </w:r>
          </w:p>
        </w:tc>
      </w:tr>
      <w:tr w:rsidR="00F25EDD" w:rsidRPr="00AE1008" w:rsidTr="00B84F41">
        <w:trPr>
          <w:jc w:val="center"/>
        </w:trPr>
        <w:tc>
          <w:tcPr>
            <w:tcW w:w="718" w:type="pct"/>
            <w:tcBorders>
              <w:left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Times New Roman" w:hAnsi="Times New Roman" w:cs="Times New Roman"/>
                <w:b/>
                <w:bCs/>
                <w:sz w:val="20"/>
                <w:szCs w:val="20"/>
              </w:rPr>
              <w:t>Menia</w:t>
            </w:r>
            <w:proofErr w:type="spellEnd"/>
          </w:p>
        </w:tc>
        <w:tc>
          <w:tcPr>
            <w:tcW w:w="426" w:type="pct"/>
            <w:shd w:val="clear" w:color="auto" w:fill="FFFFFF"/>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18"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24.9±13.8</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23.8±13.7</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0.2</w:t>
            </w:r>
          </w:p>
        </w:tc>
        <w:tc>
          <w:tcPr>
            <w:tcW w:w="973"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155±188</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162±259</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tc>
        <w:tc>
          <w:tcPr>
            <w:tcW w:w="789"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2.7±3.5</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3.0±3.5</w:t>
            </w:r>
          </w:p>
        </w:tc>
        <w:tc>
          <w:tcPr>
            <w:tcW w:w="426" w:type="pct"/>
            <w:tcBorders>
              <w:right w:val="double" w:sz="4" w:space="0" w:color="auto"/>
            </w:tcBorders>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0.3</w:t>
            </w:r>
          </w:p>
        </w:tc>
      </w:tr>
      <w:tr w:rsidR="00F25EDD" w:rsidRPr="00AE1008" w:rsidTr="00B84F41">
        <w:trPr>
          <w:jc w:val="center"/>
        </w:trPr>
        <w:tc>
          <w:tcPr>
            <w:tcW w:w="718" w:type="pct"/>
            <w:tcBorders>
              <w:left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Assiut</w:t>
            </w:r>
            <w:proofErr w:type="spellEnd"/>
          </w:p>
        </w:tc>
        <w:tc>
          <w:tcPr>
            <w:tcW w:w="426" w:type="pct"/>
            <w:shd w:val="clear" w:color="auto" w:fill="FFFFFF"/>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18"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30.2 ± 10.6</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31.1 ± 10.3</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973"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146 ± 262</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142 ± 341</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0.9</w:t>
            </w:r>
          </w:p>
        </w:tc>
        <w:tc>
          <w:tcPr>
            <w:tcW w:w="789"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2.5 ± 3.4</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3.0 ± 3.7</w:t>
            </w:r>
          </w:p>
        </w:tc>
        <w:tc>
          <w:tcPr>
            <w:tcW w:w="426" w:type="pct"/>
            <w:tcBorders>
              <w:right w:val="double" w:sz="4" w:space="0" w:color="auto"/>
            </w:tcBorders>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0.2</w:t>
            </w:r>
          </w:p>
        </w:tc>
      </w:tr>
      <w:tr w:rsidR="00F25EDD" w:rsidRPr="00AE1008" w:rsidTr="00B84F41">
        <w:trPr>
          <w:jc w:val="center"/>
        </w:trPr>
        <w:tc>
          <w:tcPr>
            <w:tcW w:w="718" w:type="pct"/>
            <w:tcBorders>
              <w:left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Sohag</w:t>
            </w:r>
            <w:proofErr w:type="spellEnd"/>
          </w:p>
        </w:tc>
        <w:tc>
          <w:tcPr>
            <w:tcW w:w="426" w:type="pct"/>
            <w:shd w:val="clear" w:color="auto" w:fill="FFFFFF"/>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18"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30.5 ± 10.8</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29.6 ± 10.4</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0.4</w:t>
            </w:r>
          </w:p>
        </w:tc>
        <w:tc>
          <w:tcPr>
            <w:tcW w:w="973"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166 ± 196</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177 ± 284</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0.1</w:t>
            </w:r>
          </w:p>
        </w:tc>
        <w:tc>
          <w:tcPr>
            <w:tcW w:w="789"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2.8 ± 3.3</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2.8 ± 3.5</w:t>
            </w:r>
          </w:p>
        </w:tc>
        <w:tc>
          <w:tcPr>
            <w:tcW w:w="426" w:type="pct"/>
            <w:tcBorders>
              <w:right w:val="double" w:sz="4" w:space="0" w:color="auto"/>
            </w:tcBorders>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0.9</w:t>
            </w:r>
          </w:p>
        </w:tc>
      </w:tr>
      <w:tr w:rsidR="00F25EDD" w:rsidRPr="00AE1008" w:rsidTr="00B84F41">
        <w:trPr>
          <w:jc w:val="center"/>
        </w:trPr>
        <w:tc>
          <w:tcPr>
            <w:tcW w:w="718" w:type="pct"/>
            <w:tcBorders>
              <w:left w:val="double" w:sz="4" w:space="0" w:color="auto"/>
            </w:tcBorders>
            <w:shd w:val="clear" w:color="auto" w:fill="E0E0E0"/>
            <w:vAlign w:val="center"/>
          </w:tcPr>
          <w:p w:rsidR="00FB56D5" w:rsidRPr="00AE1008" w:rsidRDefault="00FB56D5" w:rsidP="00B84F41">
            <w:pPr>
              <w:snapToGrid w:val="0"/>
              <w:spacing w:after="0" w:line="240" w:lineRule="auto"/>
              <w:jc w:val="both"/>
              <w:rPr>
                <w:rFonts w:ascii="Times New Roman" w:eastAsia="Times New Roman" w:hAnsi="Times New Roman" w:cs="Times New Roman"/>
                <w:b/>
                <w:bCs/>
                <w:sz w:val="20"/>
                <w:szCs w:val="20"/>
              </w:rPr>
            </w:pPr>
            <w:proofErr w:type="spellStart"/>
            <w:r w:rsidRPr="00AE1008">
              <w:rPr>
                <w:rFonts w:ascii="Times New Roman" w:eastAsia="Times New Roman" w:hAnsi="Times New Roman" w:cs="Times New Roman"/>
                <w:b/>
                <w:bCs/>
                <w:sz w:val="20"/>
                <w:szCs w:val="20"/>
              </w:rPr>
              <w:t>Qena</w:t>
            </w:r>
            <w:proofErr w:type="spellEnd"/>
          </w:p>
        </w:tc>
        <w:tc>
          <w:tcPr>
            <w:tcW w:w="426" w:type="pct"/>
            <w:shd w:val="clear" w:color="auto" w:fill="FFFFFF"/>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Boys</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Girls</w:t>
            </w:r>
          </w:p>
        </w:tc>
        <w:tc>
          <w:tcPr>
            <w:tcW w:w="818"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33.6 ± 9.7</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32.7 ± 9.4</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0.5</w:t>
            </w:r>
          </w:p>
        </w:tc>
        <w:tc>
          <w:tcPr>
            <w:tcW w:w="973"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136 ± 122</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178 ± 297</w:t>
            </w:r>
          </w:p>
        </w:tc>
        <w:tc>
          <w:tcPr>
            <w:tcW w:w="426"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0.2</w:t>
            </w:r>
          </w:p>
        </w:tc>
        <w:tc>
          <w:tcPr>
            <w:tcW w:w="789" w:type="pct"/>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2.7 ± 3.5</w:t>
            </w:r>
          </w:p>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3.3 ± 0.4</w:t>
            </w:r>
          </w:p>
        </w:tc>
        <w:tc>
          <w:tcPr>
            <w:tcW w:w="426" w:type="pct"/>
            <w:tcBorders>
              <w:right w:val="double" w:sz="4" w:space="0" w:color="auto"/>
            </w:tcBorders>
            <w:vAlign w:val="center"/>
          </w:tcPr>
          <w:p w:rsidR="00FB56D5" w:rsidRPr="00AE1008" w:rsidRDefault="00FB56D5" w:rsidP="00B84F41">
            <w:pPr>
              <w:snapToGrid w:val="0"/>
              <w:spacing w:after="0" w:line="240" w:lineRule="auto"/>
              <w:jc w:val="both"/>
              <w:rPr>
                <w:rFonts w:ascii="Times New Roman" w:eastAsia="Times New Roman" w:hAnsi="Times New Roman" w:cs="Times New Roman"/>
                <w:bCs/>
                <w:sz w:val="20"/>
                <w:szCs w:val="20"/>
              </w:rPr>
            </w:pPr>
            <w:r w:rsidRPr="00AE1008">
              <w:rPr>
                <w:rFonts w:ascii="Times New Roman" w:eastAsia="Times New Roman" w:hAnsi="Times New Roman" w:cs="Times New Roman"/>
                <w:bCs/>
                <w:sz w:val="20"/>
                <w:szCs w:val="20"/>
              </w:rPr>
              <w:t>0.6</w:t>
            </w:r>
          </w:p>
        </w:tc>
      </w:tr>
    </w:tbl>
    <w:p w:rsidR="00F25EDD" w:rsidRPr="00AE1008" w:rsidRDefault="00F25EDD" w:rsidP="00FF65F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84F41" w:rsidRPr="00AE1008" w:rsidRDefault="00B84F41"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sectPr w:rsidR="00B84F41" w:rsidRPr="00AE1008" w:rsidSect="00F25EDD">
          <w:type w:val="continuous"/>
          <w:pgSz w:w="12240" w:h="15840" w:code="1"/>
          <w:pgMar w:top="1440" w:right="1440" w:bottom="1440" w:left="1440" w:header="720" w:footer="720" w:gutter="0"/>
          <w:cols w:space="720"/>
          <w:docGrid w:linePitch="360"/>
        </w:sectPr>
      </w:pPr>
    </w:p>
    <w:p w:rsidR="00FB56D5" w:rsidRPr="00AE1008" w:rsidRDefault="00FB56D5" w:rsidP="00FF65F3">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 xml:space="preserve">Table (5) indicated that the mean intake of vitamin C among the studied children was 29 mg/day.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showed the least intake and the highest intake was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I</w:t>
      </w:r>
      <w:r w:rsidRPr="00AE1008">
        <w:rPr>
          <w:rFonts w:ascii="Times New Roman" w:eastAsia="Calibri" w:hAnsi="Times New Roman" w:cs="Times New Roman"/>
          <w:sz w:val="20"/>
          <w:szCs w:val="20"/>
        </w:rPr>
        <w:t>n Europe</w:t>
      </w:r>
      <w:r w:rsidR="0093208A" w:rsidRPr="00AE1008">
        <w:rPr>
          <w:rFonts w:ascii="Times New Roman" w:eastAsia="Calibri" w:hAnsi="Times New Roman" w:cs="Times New Roman"/>
          <w:sz w:val="20"/>
          <w:szCs w:val="20"/>
        </w:rPr>
        <w:t>,</w:t>
      </w:r>
      <w:r w:rsidR="00BF4D79"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 xml:space="preserve">folic </w:t>
      </w:r>
      <w:r w:rsidR="00BF4D79" w:rsidRPr="00AE1008">
        <w:rPr>
          <w:rFonts w:ascii="Times New Roman" w:eastAsia="Calibri" w:hAnsi="Times New Roman" w:cs="Times New Roman"/>
          <w:sz w:val="20"/>
          <w:szCs w:val="20"/>
        </w:rPr>
        <w:t>acid vitamin</w:t>
      </w:r>
      <w:r w:rsidR="0093208A" w:rsidRPr="00AE1008">
        <w:rPr>
          <w:rFonts w:ascii="Times New Roman" w:eastAsia="Calibri" w:hAnsi="Times New Roman" w:cs="Times New Roman"/>
          <w:sz w:val="20"/>
          <w:szCs w:val="20"/>
        </w:rPr>
        <w:t xml:space="preserve"> D,</w:t>
      </w:r>
      <w:r w:rsidR="00F25EDD"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v</w:t>
      </w:r>
      <w:r w:rsidRPr="00AE1008">
        <w:rPr>
          <w:rFonts w:ascii="Times New Roman" w:eastAsia="Calibri" w:hAnsi="Times New Roman" w:cs="Times New Roman"/>
          <w:sz w:val="20"/>
          <w:szCs w:val="20"/>
        </w:rPr>
        <w:t xml:space="preserve">itamin C, </w:t>
      </w:r>
      <w:r w:rsidR="0093208A" w:rsidRPr="00AE1008">
        <w:rPr>
          <w:rFonts w:ascii="Times New Roman" w:eastAsia="Calibri" w:hAnsi="Times New Roman" w:cs="Times New Roman"/>
          <w:sz w:val="20"/>
          <w:szCs w:val="20"/>
        </w:rPr>
        <w:t>selenium,</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calcium, and iodine were the</w:t>
      </w:r>
      <w:r w:rsidR="0093208A" w:rsidRPr="00AE1008">
        <w:rPr>
          <w:rFonts w:ascii="Times New Roman" w:eastAsia="Calibri" w:hAnsi="Times New Roman" w:cs="Times New Roman"/>
          <w:sz w:val="20"/>
          <w:szCs w:val="20"/>
        </w:rPr>
        <w:t>se elements</w:t>
      </w:r>
      <w:r w:rsidR="00BF4D79" w:rsidRPr="00AE1008">
        <w:rPr>
          <w:rFonts w:ascii="Times New Roman" w:eastAsia="Calibri" w:hAnsi="Times New Roman" w:cs="Times New Roman"/>
          <w:sz w:val="20"/>
          <w:szCs w:val="20"/>
        </w:rPr>
        <w:t xml:space="preserve"> </w:t>
      </w:r>
      <w:r w:rsidR="0093208A" w:rsidRPr="00AE1008">
        <w:rPr>
          <w:rFonts w:ascii="Times New Roman" w:eastAsia="Calibri" w:hAnsi="Times New Roman" w:cs="Times New Roman"/>
          <w:sz w:val="20"/>
          <w:szCs w:val="20"/>
        </w:rPr>
        <w:t>display</w:t>
      </w:r>
      <w:r w:rsidRPr="00AE1008">
        <w:rPr>
          <w:rFonts w:ascii="Times New Roman" w:eastAsia="Calibri" w:hAnsi="Times New Roman" w:cs="Times New Roman"/>
          <w:sz w:val="20"/>
          <w:szCs w:val="20"/>
        </w:rPr>
        <w:t xml:space="preserve"> a higher </w:t>
      </w:r>
      <w:r w:rsidR="0093208A" w:rsidRPr="00AE1008">
        <w:rPr>
          <w:rFonts w:ascii="Times New Roman" w:eastAsia="Calibri" w:hAnsi="Times New Roman" w:cs="Times New Roman"/>
          <w:sz w:val="20"/>
          <w:szCs w:val="20"/>
        </w:rPr>
        <w:t>incidence</w:t>
      </w:r>
      <w:r w:rsidRPr="00AE1008">
        <w:rPr>
          <w:rFonts w:ascii="Times New Roman" w:eastAsia="Calibri" w:hAnsi="Times New Roman" w:cs="Times New Roman"/>
          <w:sz w:val="20"/>
          <w:szCs w:val="20"/>
        </w:rPr>
        <w:t xml:space="preserve"> of </w:t>
      </w:r>
      <w:r w:rsidR="0093208A" w:rsidRPr="00AE1008">
        <w:rPr>
          <w:rFonts w:ascii="Times New Roman" w:eastAsia="Calibri" w:hAnsi="Times New Roman" w:cs="Times New Roman"/>
          <w:sz w:val="20"/>
          <w:szCs w:val="20"/>
        </w:rPr>
        <w:t>insufficient</w:t>
      </w:r>
      <w:r w:rsidRPr="00AE1008">
        <w:rPr>
          <w:rFonts w:ascii="Times New Roman" w:eastAsia="Calibri" w:hAnsi="Times New Roman" w:cs="Times New Roman"/>
          <w:sz w:val="20"/>
          <w:szCs w:val="20"/>
        </w:rPr>
        <w:t xml:space="preserve"> intakes (Roman </w:t>
      </w:r>
      <w:proofErr w:type="spellStart"/>
      <w:r w:rsidRPr="00AE1008">
        <w:rPr>
          <w:rFonts w:ascii="Times New Roman" w:eastAsia="Calibri" w:hAnsi="Times New Roman" w:cs="Times New Roman"/>
          <w:sz w:val="20"/>
          <w:szCs w:val="20"/>
        </w:rPr>
        <w:t>Viñas</w:t>
      </w:r>
      <w:proofErr w:type="spellEnd"/>
      <w:r w:rsidR="0093208A"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2011)</w:t>
      </w:r>
      <w:r w:rsidR="00B84F41" w:rsidRPr="00AE1008">
        <w:rPr>
          <w:rFonts w:ascii="Times New Roman" w:eastAsia="Calibri" w:hAnsi="Times New Roman" w:cs="Times New Roman"/>
          <w:sz w:val="20"/>
          <w:szCs w:val="20"/>
        </w:rPr>
        <w:t>. E</w:t>
      </w:r>
      <w:r w:rsidRPr="00AE1008">
        <w:rPr>
          <w:rFonts w:ascii="Times New Roman" w:eastAsia="Calibri" w:hAnsi="Times New Roman" w:cs="Times New Roman"/>
          <w:sz w:val="20"/>
          <w:szCs w:val="20"/>
        </w:rPr>
        <w:t>astern Mediterranean Region Dietary intake data also show micronutrient inadequacies of</w:t>
      </w:r>
      <w:r w:rsidR="00BF4D79" w:rsidRPr="00AE1008">
        <w:rPr>
          <w:rFonts w:ascii="Times New Roman" w:eastAsia="Calibri" w:hAnsi="Times New Roman" w:cs="Times New Roman"/>
          <w:sz w:val="20"/>
          <w:szCs w:val="20"/>
        </w:rPr>
        <w:t xml:space="preserve"> </w:t>
      </w:r>
      <w:r w:rsidR="00975F6B" w:rsidRPr="00AE1008">
        <w:rPr>
          <w:rFonts w:ascii="Times New Roman" w:eastAsia="Calibri" w:hAnsi="Times New Roman" w:cs="Times New Roman"/>
          <w:sz w:val="20"/>
          <w:szCs w:val="20"/>
        </w:rPr>
        <w:t>calcium,</w:t>
      </w:r>
      <w:r w:rsidR="00BF4D79" w:rsidRPr="00AE1008">
        <w:rPr>
          <w:rFonts w:ascii="Times New Roman" w:eastAsia="Calibri" w:hAnsi="Times New Roman" w:cs="Times New Roman"/>
          <w:sz w:val="20"/>
          <w:szCs w:val="20"/>
        </w:rPr>
        <w:t xml:space="preserve"> </w:t>
      </w:r>
      <w:r w:rsidR="00975F6B" w:rsidRPr="00AE1008">
        <w:rPr>
          <w:rFonts w:ascii="Times New Roman" w:eastAsia="Calibri" w:hAnsi="Times New Roman" w:cs="Times New Roman"/>
          <w:sz w:val="20"/>
          <w:szCs w:val="20"/>
        </w:rPr>
        <w:t>zinc,</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iron, </w:t>
      </w:r>
      <w:hyperlink r:id="rId16" w:tooltip="Learn more about Folic acid" w:history="1">
        <w:r w:rsidRPr="00AE1008">
          <w:rPr>
            <w:rFonts w:ascii="Times New Roman" w:eastAsia="Calibri" w:hAnsi="Times New Roman" w:cs="Times New Roman"/>
            <w:sz w:val="20"/>
            <w:szCs w:val="20"/>
          </w:rPr>
          <w:t>folic acid</w:t>
        </w:r>
      </w:hyperlink>
      <w:r w:rsidRPr="00AE1008">
        <w:rPr>
          <w:rFonts w:ascii="Times New Roman" w:eastAsia="Calibri" w:hAnsi="Times New Roman" w:cs="Times New Roman"/>
          <w:sz w:val="20"/>
          <w:szCs w:val="20"/>
        </w:rPr>
        <w:t xml:space="preserve">, vitamin A, and </w:t>
      </w:r>
      <w:hyperlink r:id="rId17" w:tooltip="Learn more about Vitamin D" w:history="1">
        <w:r w:rsidRPr="00AE1008">
          <w:rPr>
            <w:rFonts w:ascii="Times New Roman" w:eastAsia="Calibri" w:hAnsi="Times New Roman" w:cs="Times New Roman"/>
            <w:sz w:val="20"/>
            <w:szCs w:val="20"/>
          </w:rPr>
          <w:t>vitamin D</w:t>
        </w:r>
      </w:hyperlink>
      <w:r w:rsidRPr="00AE1008">
        <w:rPr>
          <w:rFonts w:ascii="Times New Roman" w:eastAsia="Calibri" w:hAnsi="Times New Roman" w:cs="Times New Roman"/>
          <w:sz w:val="20"/>
          <w:szCs w:val="20"/>
        </w:rPr>
        <w:t xml:space="preserve"> in both children younger than 5 years and school-aged children (Lara </w:t>
      </w:r>
      <w:r w:rsidRPr="00AE1008">
        <w:rPr>
          <w:rFonts w:ascii="Times New Roman" w:eastAsia="Calibri" w:hAnsi="Times New Roman" w:cs="Times New Roman"/>
          <w:sz w:val="20"/>
          <w:szCs w:val="20"/>
        </w:rPr>
        <w:lastRenderedPageBreak/>
        <w:t>Nasreddine,2018)</w:t>
      </w:r>
      <w:r w:rsidR="00B84F41" w:rsidRPr="00AE1008">
        <w:rPr>
          <w:rFonts w:ascii="Times New Roman" w:eastAsia="Calibri" w:hAnsi="Times New Roman" w:cs="Times New Roman"/>
          <w:sz w:val="20"/>
          <w:szCs w:val="20"/>
        </w:rPr>
        <w:t>. T</w:t>
      </w:r>
      <w:r w:rsidRPr="00AE1008">
        <w:rPr>
          <w:rFonts w:ascii="Times New Roman" w:eastAsia="Calibri" w:hAnsi="Times New Roman" w:cs="Times New Roman"/>
          <w:sz w:val="20"/>
          <w:szCs w:val="20"/>
        </w:rPr>
        <w:t xml:space="preserve">he results in the table showed that the highest intake of vitamin A among girls was 177 µg/RE in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while the least intake was 136 µg/RE among boys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The table cleared that the mean intake of vitamin D among boys was 2.7 µg/day and 3 µg /day among girls. It is </w:t>
      </w:r>
      <w:r w:rsidR="00975F6B" w:rsidRPr="00AE1008">
        <w:rPr>
          <w:rFonts w:ascii="Times New Roman" w:eastAsia="Calibri" w:hAnsi="Times New Roman" w:cs="Times New Roman"/>
          <w:sz w:val="20"/>
          <w:szCs w:val="20"/>
        </w:rPr>
        <w:t xml:space="preserve">well </w:t>
      </w:r>
      <w:r w:rsidRPr="00AE1008">
        <w:rPr>
          <w:rFonts w:ascii="Times New Roman" w:eastAsia="Calibri" w:hAnsi="Times New Roman" w:cs="Times New Roman"/>
          <w:sz w:val="20"/>
          <w:szCs w:val="20"/>
        </w:rPr>
        <w:t xml:space="preserve">known that young children have high nutritional </w:t>
      </w:r>
      <w:r w:rsidR="00975F6B" w:rsidRPr="00AE1008">
        <w:rPr>
          <w:rFonts w:ascii="Times New Roman" w:eastAsia="Calibri" w:hAnsi="Times New Roman" w:cs="Times New Roman"/>
          <w:sz w:val="20"/>
          <w:szCs w:val="20"/>
        </w:rPr>
        <w:t>requirements</w:t>
      </w:r>
      <w:r w:rsidRPr="00AE1008">
        <w:rPr>
          <w:rFonts w:ascii="Times New Roman" w:eastAsia="Calibri" w:hAnsi="Times New Roman" w:cs="Times New Roman"/>
          <w:sz w:val="20"/>
          <w:szCs w:val="20"/>
        </w:rPr>
        <w:t xml:space="preserve"> and that a balanced diet </w:t>
      </w:r>
      <w:r w:rsidR="00975F6B" w:rsidRPr="00AE1008">
        <w:rPr>
          <w:rFonts w:ascii="Times New Roman" w:eastAsia="Calibri" w:hAnsi="Times New Roman" w:cs="Times New Roman"/>
          <w:sz w:val="20"/>
          <w:szCs w:val="20"/>
        </w:rPr>
        <w:t xml:space="preserve">is very essential during </w:t>
      </w:r>
      <w:r w:rsidRPr="00AE1008">
        <w:rPr>
          <w:rFonts w:ascii="Times New Roman" w:eastAsia="Calibri" w:hAnsi="Times New Roman" w:cs="Times New Roman"/>
          <w:sz w:val="20"/>
          <w:szCs w:val="20"/>
        </w:rPr>
        <w:t xml:space="preserve">childhood </w:t>
      </w:r>
      <w:r w:rsidR="00975F6B" w:rsidRPr="00AE1008">
        <w:rPr>
          <w:rFonts w:ascii="Times New Roman" w:eastAsia="Calibri" w:hAnsi="Times New Roman" w:cs="Times New Roman"/>
          <w:sz w:val="20"/>
          <w:szCs w:val="20"/>
        </w:rPr>
        <w:t xml:space="preserve">stage for obtaining maximum </w:t>
      </w:r>
      <w:r w:rsidRPr="00AE1008">
        <w:rPr>
          <w:rFonts w:ascii="Times New Roman" w:eastAsia="Calibri" w:hAnsi="Times New Roman" w:cs="Times New Roman"/>
          <w:sz w:val="20"/>
          <w:szCs w:val="20"/>
        </w:rPr>
        <w:t>growth and development (Glynn et al., 2005).</w:t>
      </w:r>
    </w:p>
    <w:p w:rsidR="00B84F41" w:rsidRPr="00AE1008" w:rsidRDefault="00B84F41" w:rsidP="00FF65F3">
      <w:pPr>
        <w:snapToGrid w:val="0"/>
        <w:spacing w:after="0" w:line="240" w:lineRule="auto"/>
        <w:ind w:firstLine="425"/>
        <w:jc w:val="both"/>
        <w:rPr>
          <w:rFonts w:ascii="Times New Roman" w:eastAsia="Calibri" w:hAnsi="Times New Roman" w:cs="Times New Roman"/>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F25EDD" w:rsidRPr="00AE1008" w:rsidRDefault="00F25EDD" w:rsidP="00FF65F3">
      <w:pPr>
        <w:snapToGrid w:val="0"/>
        <w:spacing w:after="0" w:line="240" w:lineRule="auto"/>
        <w:ind w:firstLine="425"/>
        <w:jc w:val="both"/>
        <w:rPr>
          <w:rFonts w:ascii="Times New Roman" w:eastAsia="Calibri" w:hAnsi="Times New Roman" w:cs="Times New Roman"/>
          <w:sz w:val="20"/>
          <w:szCs w:val="20"/>
        </w:rPr>
      </w:pPr>
    </w:p>
    <w:p w:rsidR="00FB56D5" w:rsidRPr="00AE1008" w:rsidRDefault="00FB56D5" w:rsidP="00B84F41">
      <w:pPr>
        <w:snapToGrid w:val="0"/>
        <w:spacing w:after="0" w:line="240" w:lineRule="auto"/>
        <w:jc w:val="both"/>
        <w:rPr>
          <w:rFonts w:ascii="Times New Roman" w:eastAsia="Calibri" w:hAnsi="Times New Roman" w:cs="Times New Roman"/>
          <w:b/>
          <w:bCs/>
          <w:sz w:val="20"/>
          <w:szCs w:val="20"/>
        </w:rPr>
      </w:pPr>
      <w:r w:rsidRPr="00AE1008">
        <w:rPr>
          <w:rFonts w:ascii="Times New Roman" w:eastAsia="Times New Roman" w:hAnsi="Times New Roman" w:cs="Times New Roman"/>
          <w:b/>
          <w:bCs/>
          <w:sz w:val="20"/>
          <w:szCs w:val="20"/>
        </w:rPr>
        <w:t>Table (6) percent adequacy of energy and protein consumed among children aged 2-5 years in the studied governorates in Upper Egypt.</w:t>
      </w:r>
      <w:r w:rsidR="00F25EDD" w:rsidRPr="00AE1008">
        <w:rPr>
          <w:rFonts w:ascii="Times New Roman" w:eastAsia="Times New Roman" w:hAnsi="Times New Roman" w:cs="Times New Roman"/>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20"/>
        <w:gridCol w:w="1446"/>
        <w:gridCol w:w="1406"/>
        <w:gridCol w:w="1448"/>
        <w:gridCol w:w="1406"/>
        <w:gridCol w:w="1448"/>
      </w:tblGrid>
      <w:tr w:rsidR="00FB56D5" w:rsidRPr="00AE1008" w:rsidTr="00F25EDD">
        <w:trPr>
          <w:jc w:val="center"/>
        </w:trPr>
        <w:tc>
          <w:tcPr>
            <w:tcW w:w="1225" w:type="pct"/>
            <w:vMerge w:val="restar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Governorates</w:t>
            </w:r>
          </w:p>
        </w:tc>
        <w:tc>
          <w:tcPr>
            <w:tcW w:w="763" w:type="pct"/>
            <w:vMerge w:val="restar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RDA</w:t>
            </w:r>
          </w:p>
        </w:tc>
        <w:tc>
          <w:tcPr>
            <w:tcW w:w="1506"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xml:space="preserve">Energy </w:t>
            </w:r>
          </w:p>
        </w:tc>
        <w:tc>
          <w:tcPr>
            <w:tcW w:w="1506"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xml:space="preserve">Protein </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Boys</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Girls</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Boys</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Girls</w:t>
            </w:r>
          </w:p>
        </w:tc>
      </w:tr>
      <w:tr w:rsidR="00FB56D5" w:rsidRPr="00AE1008" w:rsidTr="00F25EDD">
        <w:trPr>
          <w:jc w:val="center"/>
        </w:trPr>
        <w:tc>
          <w:tcPr>
            <w:tcW w:w="1225" w:type="pct"/>
            <w:vMerge w:val="restar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roofErr w:type="spellStart"/>
            <w:r w:rsidRPr="00AE1008">
              <w:rPr>
                <w:rFonts w:ascii="Times New Roman" w:eastAsia="Calibri" w:hAnsi="Times New Roman" w:cs="Times New Roman"/>
                <w:b/>
                <w:bCs/>
                <w:sz w:val="20"/>
                <w:szCs w:val="20"/>
              </w:rPr>
              <w:t>Menia</w:t>
            </w:r>
            <w:proofErr w:type="spellEnd"/>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22.4</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16.1</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6.2</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36.5</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39.8</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0.6</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28.6</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24.8</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0.0</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4.3</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12.5</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19.3</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93.2</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87</w:t>
            </w:r>
          </w:p>
        </w:tc>
      </w:tr>
      <w:tr w:rsidR="00FB56D5" w:rsidRPr="00AE1008" w:rsidTr="00F25EDD">
        <w:trPr>
          <w:jc w:val="center"/>
        </w:trPr>
        <w:tc>
          <w:tcPr>
            <w:tcW w:w="1225"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Assiut</w:t>
            </w:r>
            <w:proofErr w:type="spellEnd"/>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13.1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9.4</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1.8</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2.9</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26.8</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31.2</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6.0</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5.1</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38.7</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34.0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10.0</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14.5</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21.4</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25.4</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82.1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77.5</w:t>
            </w:r>
          </w:p>
        </w:tc>
      </w:tr>
      <w:tr w:rsidR="00FB56D5" w:rsidRPr="00AE1008" w:rsidTr="00F25EDD">
        <w:trPr>
          <w:jc w:val="center"/>
        </w:trPr>
        <w:tc>
          <w:tcPr>
            <w:tcW w:w="1225"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Sohag</w:t>
            </w:r>
            <w:proofErr w:type="spellEnd"/>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20.3</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12.4</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2.2</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1.5</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38.7</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7.7</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5.8</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21.4</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29.9</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0.2</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8.3</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19.0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79.1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82.5</w:t>
            </w:r>
          </w:p>
        </w:tc>
      </w:tr>
      <w:tr w:rsidR="00FB56D5" w:rsidRPr="00AE1008" w:rsidTr="00F25EDD">
        <w:trPr>
          <w:jc w:val="center"/>
        </w:trPr>
        <w:tc>
          <w:tcPr>
            <w:tcW w:w="1225"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Qena</w:t>
            </w:r>
            <w:proofErr w:type="spellEnd"/>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42.2</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8.4</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19</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26.5</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12.1</w:t>
            </w:r>
          </w:p>
        </w:tc>
      </w:tr>
      <w:tr w:rsidR="00FB56D5" w:rsidRPr="00AE1008" w:rsidTr="00F25EDD">
        <w:trPr>
          <w:jc w:val="center"/>
        </w:trPr>
        <w:tc>
          <w:tcPr>
            <w:tcW w:w="1225"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13.3</w:t>
            </w:r>
          </w:p>
        </w:tc>
        <w:tc>
          <w:tcPr>
            <w:tcW w:w="742"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76</w:t>
            </w:r>
          </w:p>
        </w:tc>
        <w:tc>
          <w:tcPr>
            <w:tcW w:w="763"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77.1</w:t>
            </w:r>
          </w:p>
        </w:tc>
      </w:tr>
    </w:tbl>
    <w:p w:rsidR="00FB56D5" w:rsidRPr="00AE1008" w:rsidRDefault="00FB56D5" w:rsidP="00B84F41">
      <w:pPr>
        <w:snapToGrid w:val="0"/>
        <w:spacing w:after="0" w:line="240" w:lineRule="auto"/>
        <w:jc w:val="both"/>
        <w:rPr>
          <w:rFonts w:ascii="Times New Roman" w:eastAsia="Times New Roman" w:hAnsi="Times New Roman" w:cs="Times New Roman"/>
          <w:sz w:val="20"/>
          <w:szCs w:val="20"/>
        </w:rPr>
      </w:pPr>
      <w:r w:rsidRPr="00AE1008">
        <w:rPr>
          <w:rFonts w:ascii="Times New Roman" w:eastAsia="Times New Roman" w:hAnsi="Times New Roman" w:cs="Times New Roman"/>
          <w:sz w:val="20"/>
          <w:szCs w:val="20"/>
        </w:rPr>
        <w:t>RDA: Recommended Dietary Allowances</w:t>
      </w:r>
    </w:p>
    <w:p w:rsidR="00F25EDD" w:rsidRDefault="00F25EDD" w:rsidP="00FF65F3">
      <w:pPr>
        <w:snapToGrid w:val="0"/>
        <w:spacing w:after="0" w:line="240" w:lineRule="auto"/>
        <w:ind w:firstLine="425"/>
        <w:jc w:val="both"/>
        <w:rPr>
          <w:rFonts w:ascii="Times New Roman" w:hAnsi="Times New Roman" w:cs="Times New Roman"/>
          <w:sz w:val="20"/>
          <w:szCs w:val="20"/>
          <w:lang w:eastAsia="zh-CN"/>
        </w:rPr>
      </w:pPr>
    </w:p>
    <w:p w:rsidR="00AE1008" w:rsidRPr="00AE1008" w:rsidRDefault="00AE1008" w:rsidP="00FF65F3">
      <w:pPr>
        <w:snapToGrid w:val="0"/>
        <w:spacing w:after="0" w:line="240" w:lineRule="auto"/>
        <w:ind w:firstLine="425"/>
        <w:jc w:val="both"/>
        <w:rPr>
          <w:rFonts w:ascii="Times New Roman" w:hAnsi="Times New Roman" w:cs="Times New Roman"/>
          <w:sz w:val="20"/>
          <w:szCs w:val="20"/>
          <w:lang w:eastAsia="zh-CN"/>
        </w:rPr>
      </w:pPr>
    </w:p>
    <w:p w:rsidR="00B84F41" w:rsidRPr="00AE1008" w:rsidRDefault="00B84F41" w:rsidP="00FF65F3">
      <w:pPr>
        <w:snapToGrid w:val="0"/>
        <w:spacing w:after="0" w:line="240" w:lineRule="auto"/>
        <w:ind w:firstLine="425"/>
        <w:jc w:val="both"/>
        <w:rPr>
          <w:rFonts w:ascii="Times New Roman" w:eastAsia="Calibri" w:hAnsi="Times New Roman" w:cs="Times New Roman"/>
          <w:sz w:val="20"/>
          <w:szCs w:val="20"/>
        </w:rPr>
        <w:sectPr w:rsidR="00B84F41" w:rsidRPr="00AE1008" w:rsidSect="00F25EDD">
          <w:type w:val="continuous"/>
          <w:pgSz w:w="12240" w:h="15840" w:code="1"/>
          <w:pgMar w:top="1440" w:right="1440" w:bottom="1440" w:left="1440" w:header="720" w:footer="720" w:gutter="0"/>
          <w:cols w:space="720"/>
          <w:docGrid w:linePitch="360"/>
        </w:sectPr>
      </w:pPr>
    </w:p>
    <w:p w:rsidR="00F25EDD"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 xml:space="preserve">Table (6) showed the percent adequacy of energy and protein intake among preschooler, the data indicated that the highest percent of low energy intake was in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governorate in both sexes (boys and girls) </w:t>
      </w:r>
      <w:r w:rsidRPr="00AE1008">
        <w:rPr>
          <w:rFonts w:ascii="Times New Roman" w:eastAsia="Calibri" w:hAnsi="Times New Roman" w:cs="Times New Roman"/>
          <w:sz w:val="20"/>
          <w:szCs w:val="20"/>
        </w:rPr>
        <w:lastRenderedPageBreak/>
        <w:t>which indicated that 27% of boys and 18% of girls intake was lower than 50% of their RDA, While the same table illustrate that percent adequacy of protein was good between boys and girls in all governorates.</w:t>
      </w:r>
      <w:r w:rsidR="00F25EDD" w:rsidRPr="00AE1008">
        <w:rPr>
          <w:rFonts w:ascii="Times New Roman" w:eastAsia="Calibri" w:hAnsi="Times New Roman" w:cs="Times New Roman"/>
          <w:sz w:val="20"/>
          <w:szCs w:val="20"/>
        </w:rPr>
        <w:t xml:space="preserve"> </w:t>
      </w:r>
    </w:p>
    <w:p w:rsidR="00B84F41" w:rsidRPr="00AE1008" w:rsidRDefault="00B84F41" w:rsidP="00FF65F3">
      <w:pPr>
        <w:snapToGrid w:val="0"/>
        <w:spacing w:after="0" w:line="240" w:lineRule="auto"/>
        <w:ind w:firstLine="425"/>
        <w:jc w:val="both"/>
        <w:rPr>
          <w:rFonts w:ascii="Times New Roman" w:eastAsia="Calibri" w:hAnsi="Times New Roman" w:cs="Times New Roman"/>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p>
    <w:p w:rsidR="00AE1008" w:rsidRDefault="00AE1008" w:rsidP="00FF65F3">
      <w:pPr>
        <w:snapToGrid w:val="0"/>
        <w:spacing w:after="0" w:line="240" w:lineRule="auto"/>
        <w:jc w:val="both"/>
        <w:rPr>
          <w:rFonts w:ascii="Times New Roman" w:hAnsi="Times New Roman" w:cs="Times New Roman"/>
          <w:b/>
          <w:bCs/>
          <w:sz w:val="20"/>
          <w:szCs w:val="20"/>
          <w:lang w:eastAsia="zh-CN"/>
        </w:rPr>
      </w:pPr>
    </w:p>
    <w:p w:rsidR="00AE1008" w:rsidRDefault="00AE1008" w:rsidP="00FF65F3">
      <w:pPr>
        <w:snapToGrid w:val="0"/>
        <w:spacing w:after="0" w:line="240" w:lineRule="auto"/>
        <w:jc w:val="both"/>
        <w:rPr>
          <w:rFonts w:ascii="Times New Roman" w:hAnsi="Times New Roman" w:cs="Times New Roman"/>
          <w:b/>
          <w:bCs/>
          <w:sz w:val="20"/>
          <w:szCs w:val="20"/>
          <w:lang w:eastAsia="zh-CN"/>
        </w:rPr>
      </w:pPr>
    </w:p>
    <w:p w:rsidR="00AE1008" w:rsidRDefault="00AE1008" w:rsidP="00FF65F3">
      <w:pPr>
        <w:snapToGrid w:val="0"/>
        <w:spacing w:after="0" w:line="240" w:lineRule="auto"/>
        <w:jc w:val="both"/>
        <w:rPr>
          <w:rFonts w:ascii="Times New Roman" w:hAnsi="Times New Roman" w:cs="Times New Roman"/>
          <w:b/>
          <w:bCs/>
          <w:sz w:val="20"/>
          <w:szCs w:val="20"/>
          <w:lang w:eastAsia="zh-CN"/>
        </w:rPr>
      </w:pP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rPr>
      </w:pPr>
      <w:r w:rsidRPr="00AE1008">
        <w:rPr>
          <w:rFonts w:ascii="Times New Roman" w:eastAsia="Times New Roman" w:hAnsi="Times New Roman" w:cs="Times New Roman"/>
          <w:b/>
          <w:bCs/>
          <w:sz w:val="20"/>
          <w:szCs w:val="20"/>
        </w:rPr>
        <w:t>Table (7</w:t>
      </w:r>
      <w:r w:rsidR="00B84F41" w:rsidRPr="00AE1008">
        <w:rPr>
          <w:rFonts w:ascii="Times New Roman" w:eastAsia="Times New Roman" w:hAnsi="Times New Roman" w:cs="Times New Roman"/>
          <w:b/>
          <w:bCs/>
          <w:sz w:val="20"/>
          <w:szCs w:val="20"/>
        </w:rPr>
        <w:t>) p</w:t>
      </w:r>
      <w:r w:rsidRPr="00AE1008">
        <w:rPr>
          <w:rFonts w:ascii="Times New Roman" w:eastAsia="Times New Roman" w:hAnsi="Times New Roman" w:cs="Times New Roman"/>
          <w:b/>
          <w:bCs/>
          <w:sz w:val="20"/>
          <w:szCs w:val="20"/>
        </w:rPr>
        <w:t xml:space="preserve">ercent adequacy of micronutrients (Ca, Fe, Zn, </w:t>
      </w:r>
      <w:proofErr w:type="spellStart"/>
      <w:r w:rsidRPr="00AE1008">
        <w:rPr>
          <w:rFonts w:ascii="Times New Roman" w:eastAsia="Times New Roman" w:hAnsi="Times New Roman" w:cs="Times New Roman"/>
          <w:b/>
          <w:bCs/>
          <w:sz w:val="20"/>
          <w:szCs w:val="20"/>
        </w:rPr>
        <w:t>vit</w:t>
      </w:r>
      <w:proofErr w:type="spellEnd"/>
      <w:r w:rsidR="00B84F41" w:rsidRPr="00AE1008">
        <w:rPr>
          <w:rFonts w:ascii="Times New Roman" w:eastAsia="Times New Roman" w:hAnsi="Times New Roman" w:cs="Times New Roman"/>
          <w:b/>
          <w:bCs/>
          <w:sz w:val="20"/>
          <w:szCs w:val="20"/>
        </w:rPr>
        <w:t>. A</w:t>
      </w:r>
      <w:r w:rsidRPr="00AE1008">
        <w:rPr>
          <w:rFonts w:ascii="Times New Roman" w:eastAsia="Times New Roman" w:hAnsi="Times New Roman" w:cs="Times New Roman"/>
          <w:b/>
          <w:bCs/>
          <w:sz w:val="20"/>
          <w:szCs w:val="20"/>
        </w:rPr>
        <w:t xml:space="preserve">, </w:t>
      </w:r>
      <w:proofErr w:type="spellStart"/>
      <w:r w:rsidRPr="00AE1008">
        <w:rPr>
          <w:rFonts w:ascii="Times New Roman" w:eastAsia="Times New Roman" w:hAnsi="Times New Roman" w:cs="Times New Roman"/>
          <w:b/>
          <w:bCs/>
          <w:sz w:val="20"/>
          <w:szCs w:val="20"/>
        </w:rPr>
        <w:t>vit</w:t>
      </w:r>
      <w:proofErr w:type="spellEnd"/>
      <w:r w:rsidR="00B84F41" w:rsidRPr="00AE1008">
        <w:rPr>
          <w:rFonts w:ascii="Times New Roman" w:eastAsia="Times New Roman" w:hAnsi="Times New Roman" w:cs="Times New Roman"/>
          <w:b/>
          <w:bCs/>
          <w:sz w:val="20"/>
          <w:szCs w:val="20"/>
        </w:rPr>
        <w:t>. C</w:t>
      </w:r>
      <w:r w:rsidRPr="00AE1008">
        <w:rPr>
          <w:rFonts w:ascii="Times New Roman" w:eastAsia="Times New Roman" w:hAnsi="Times New Roman" w:cs="Times New Roman"/>
          <w:b/>
          <w:bCs/>
          <w:sz w:val="20"/>
          <w:szCs w:val="20"/>
        </w:rPr>
        <w:t xml:space="preserve"> and </w:t>
      </w:r>
      <w:proofErr w:type="spellStart"/>
      <w:r w:rsidRPr="00AE1008">
        <w:rPr>
          <w:rFonts w:ascii="Times New Roman" w:eastAsia="Times New Roman" w:hAnsi="Times New Roman" w:cs="Times New Roman"/>
          <w:b/>
          <w:bCs/>
          <w:sz w:val="20"/>
          <w:szCs w:val="20"/>
        </w:rPr>
        <w:t>vit</w:t>
      </w:r>
      <w:proofErr w:type="spellEnd"/>
      <w:r w:rsidR="00B84F41" w:rsidRPr="00AE1008">
        <w:rPr>
          <w:rFonts w:ascii="Times New Roman" w:eastAsia="Times New Roman" w:hAnsi="Times New Roman" w:cs="Times New Roman"/>
          <w:b/>
          <w:bCs/>
          <w:sz w:val="20"/>
          <w:szCs w:val="20"/>
        </w:rPr>
        <w:t>. B</w:t>
      </w:r>
      <w:r w:rsidRPr="00AE1008">
        <w:rPr>
          <w:rFonts w:ascii="Times New Roman" w:eastAsia="Times New Roman" w:hAnsi="Times New Roman" w:cs="Times New Roman"/>
          <w:b/>
          <w:bCs/>
          <w:sz w:val="20"/>
          <w:szCs w:val="20"/>
        </w:rPr>
        <w:t>2) consumed among children aged 2-5 years in the studied governorates in Upper Egypt.</w:t>
      </w:r>
      <w:r w:rsidR="00F25EDD" w:rsidRPr="00AE1008">
        <w:rPr>
          <w:rFonts w:ascii="Times New Roman" w:eastAsia="Times New Roman" w:hAnsi="Times New Roman" w:cs="Times New Roman"/>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27"/>
        <w:gridCol w:w="999"/>
        <w:gridCol w:w="623"/>
        <w:gridCol w:w="652"/>
        <w:gridCol w:w="623"/>
        <w:gridCol w:w="652"/>
        <w:gridCol w:w="623"/>
        <w:gridCol w:w="652"/>
        <w:gridCol w:w="623"/>
        <w:gridCol w:w="652"/>
        <w:gridCol w:w="623"/>
        <w:gridCol w:w="652"/>
        <w:gridCol w:w="623"/>
        <w:gridCol w:w="650"/>
      </w:tblGrid>
      <w:tr w:rsidR="00FB56D5" w:rsidRPr="00AE1008" w:rsidTr="00F25EDD">
        <w:trPr>
          <w:jc w:val="center"/>
        </w:trPr>
        <w:tc>
          <w:tcPr>
            <w:tcW w:w="436" w:type="pct"/>
            <w:vMerge w:val="restar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Gov</w:t>
            </w:r>
          </w:p>
        </w:tc>
        <w:tc>
          <w:tcPr>
            <w:tcW w:w="527" w:type="pct"/>
            <w:vMerge w:val="restar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RDA</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Ca</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Fe</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Zn</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roofErr w:type="spellStart"/>
            <w:r w:rsidRPr="00AE1008">
              <w:rPr>
                <w:rFonts w:ascii="Times New Roman" w:eastAsia="Calibri" w:hAnsi="Times New Roman" w:cs="Times New Roman"/>
                <w:b/>
                <w:bCs/>
                <w:sz w:val="20"/>
                <w:szCs w:val="20"/>
              </w:rPr>
              <w:t>Vit</w:t>
            </w:r>
            <w:proofErr w:type="spellEnd"/>
            <w:r w:rsidRPr="00AE1008">
              <w:rPr>
                <w:rFonts w:ascii="Times New Roman" w:eastAsia="Calibri" w:hAnsi="Times New Roman" w:cs="Times New Roman"/>
                <w:b/>
                <w:bCs/>
                <w:sz w:val="20"/>
                <w:szCs w:val="20"/>
              </w:rPr>
              <w:t xml:space="preserve"> A</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roofErr w:type="spellStart"/>
            <w:r w:rsidRPr="00AE1008">
              <w:rPr>
                <w:rFonts w:ascii="Times New Roman" w:eastAsia="Calibri" w:hAnsi="Times New Roman" w:cs="Times New Roman"/>
                <w:b/>
                <w:bCs/>
                <w:sz w:val="20"/>
                <w:szCs w:val="20"/>
              </w:rPr>
              <w:t>Vit</w:t>
            </w:r>
            <w:proofErr w:type="spellEnd"/>
            <w:r w:rsidRPr="00AE1008">
              <w:rPr>
                <w:rFonts w:ascii="Times New Roman" w:eastAsia="Calibri" w:hAnsi="Times New Roman" w:cs="Times New Roman"/>
                <w:b/>
                <w:bCs/>
                <w:sz w:val="20"/>
                <w:szCs w:val="20"/>
              </w:rPr>
              <w:t xml:space="preserve"> C</w:t>
            </w:r>
          </w:p>
        </w:tc>
        <w:tc>
          <w:tcPr>
            <w:tcW w:w="673" w:type="pct"/>
            <w:gridSpan w:val="2"/>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roofErr w:type="spellStart"/>
            <w:r w:rsidRPr="00AE1008">
              <w:rPr>
                <w:rFonts w:ascii="Times New Roman" w:eastAsia="Calibri" w:hAnsi="Times New Roman" w:cs="Times New Roman"/>
                <w:b/>
                <w:bCs/>
                <w:sz w:val="20"/>
                <w:szCs w:val="20"/>
              </w:rPr>
              <w:t>Vit</w:t>
            </w:r>
            <w:proofErr w:type="spellEnd"/>
            <w:r w:rsidRPr="00AE1008">
              <w:rPr>
                <w:rFonts w:ascii="Times New Roman" w:eastAsia="Calibri" w:hAnsi="Times New Roman" w:cs="Times New Roman"/>
                <w:b/>
                <w:bCs/>
                <w:sz w:val="20"/>
                <w:szCs w:val="20"/>
              </w:rPr>
              <w:t xml:space="preserve"> B2</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B</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r w:rsidRPr="00AE1008">
              <w:rPr>
                <w:rFonts w:ascii="Times New Roman" w:eastAsia="Calibri" w:hAnsi="Times New Roman" w:cs="Times New Roman"/>
                <w:b/>
                <w:bCs/>
                <w:sz w:val="20"/>
                <w:szCs w:val="20"/>
              </w:rPr>
              <w:t>% G</w:t>
            </w:r>
          </w:p>
        </w:tc>
      </w:tr>
      <w:tr w:rsidR="00F25EDD" w:rsidRPr="00AE1008" w:rsidTr="00F25EDD">
        <w:trPr>
          <w:jc w:val="center"/>
        </w:trPr>
        <w:tc>
          <w:tcPr>
            <w:tcW w:w="436" w:type="pct"/>
            <w:vMerge w:val="restart"/>
            <w:shd w:val="clear" w:color="auto" w:fill="auto"/>
            <w:vAlign w:val="center"/>
          </w:tcPr>
          <w:p w:rsidR="00AE1008"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Menia</w:t>
            </w:r>
            <w:proofErr w:type="spellEnd"/>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99.4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8.7</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9.9</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88.2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90.1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43.5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41.6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98.2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97.6</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23.0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19.3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22.4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16.1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34.2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35.4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21.1</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23.0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11.2</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0.0</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48.4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43.5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44.8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1. 8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13.6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w:t>
            </w:r>
          </w:p>
        </w:tc>
      </w:tr>
      <w:tr w:rsidR="00F25EDD" w:rsidRPr="00AE1008" w:rsidTr="00F25EDD">
        <w:trPr>
          <w:jc w:val="center"/>
        </w:trPr>
        <w:tc>
          <w:tcPr>
            <w:tcW w:w="436"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Assiut</w:t>
            </w:r>
            <w:proofErr w:type="spellEnd"/>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10.7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11.6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15.5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18.8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82.7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84.1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2.9</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11.3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16.7</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39.3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34.7</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19.6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25.4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rPr>
              <w:t>17.3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23.2</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9.5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6.5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40.5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35.5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14.3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20.3</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46.4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48.6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14.5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19.6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19.6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23.2</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1.8</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19.0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13.8</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14.3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16.7</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45.2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43.4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47.6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34.8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6.0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53.0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55.8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55.4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rPr>
            </w:pPr>
            <w:r w:rsidRPr="00AE1008">
              <w:rPr>
                <w:rFonts w:ascii="Times New Roman" w:eastAsia="Calibri" w:hAnsi="Times New Roman" w:cs="Times New Roman"/>
                <w:bCs/>
                <w:sz w:val="20"/>
                <w:szCs w:val="20"/>
              </w:rPr>
              <w:t>49.2</w:t>
            </w:r>
          </w:p>
        </w:tc>
      </w:tr>
      <w:tr w:rsidR="00F25EDD" w:rsidRPr="00AE1008" w:rsidTr="00F25EDD">
        <w:trPr>
          <w:jc w:val="center"/>
        </w:trPr>
        <w:tc>
          <w:tcPr>
            <w:tcW w:w="436"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Sohag</w:t>
            </w:r>
            <w:proofErr w:type="spellEnd"/>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74.4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3.9</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11</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26.4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26.3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29.7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14.6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14.3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37.9</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44.5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14.3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12.4</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48.3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28.6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23.4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28.5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14.3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18.2</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25.3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30.2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37.2</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46.1</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8.8</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55.5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60.4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58.4</w:t>
            </w:r>
          </w:p>
        </w:tc>
      </w:tr>
      <w:tr w:rsidR="00F25EDD" w:rsidRPr="00AE1008" w:rsidTr="00F25EDD">
        <w:trPr>
          <w:jc w:val="center"/>
        </w:trPr>
        <w:tc>
          <w:tcPr>
            <w:tcW w:w="436" w:type="pct"/>
            <w:vMerge w:val="restart"/>
            <w:shd w:val="clear" w:color="auto" w:fill="auto"/>
            <w:vAlign w:val="center"/>
          </w:tcPr>
          <w:p w:rsidR="00FB56D5" w:rsidRPr="00AE1008" w:rsidRDefault="00FB56D5" w:rsidP="00FF65F3">
            <w:pPr>
              <w:snapToGrid w:val="0"/>
              <w:spacing w:after="0" w:line="240" w:lineRule="auto"/>
              <w:jc w:val="both"/>
              <w:rPr>
                <w:rFonts w:ascii="Times New Roman" w:hAnsi="Times New Roman" w:cs="Times New Roman"/>
                <w:b/>
                <w:bCs/>
                <w:sz w:val="20"/>
                <w:szCs w:val="20"/>
                <w:lang w:eastAsia="zh-CN"/>
              </w:rPr>
            </w:pPr>
            <w:proofErr w:type="spellStart"/>
            <w:r w:rsidRPr="00AE1008">
              <w:rPr>
                <w:rFonts w:ascii="Times New Roman" w:eastAsia="Calibri" w:hAnsi="Times New Roman" w:cs="Times New Roman"/>
                <w:b/>
                <w:bCs/>
                <w:sz w:val="20"/>
                <w:szCs w:val="20"/>
              </w:rPr>
              <w:t>Qena</w:t>
            </w:r>
            <w:proofErr w:type="spellEnd"/>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50&gt;</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72</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73.5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15.7</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25.0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31.3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30.1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21</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21.7</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12</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26.0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24.1</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14.5</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75-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51.0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49.4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27</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28.9</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31.3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3.0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9.6</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18</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15.7</w:t>
            </w:r>
          </w:p>
        </w:tc>
      </w:tr>
      <w:tr w:rsidR="00F25EDD" w:rsidRPr="00AE1008" w:rsidTr="00F25EDD">
        <w:trPr>
          <w:jc w:val="center"/>
        </w:trPr>
        <w:tc>
          <w:tcPr>
            <w:tcW w:w="436" w:type="pct"/>
            <w:vMerge/>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
                <w:bCs/>
                <w:sz w:val="20"/>
                <w:szCs w:val="20"/>
              </w:rPr>
            </w:pPr>
          </w:p>
        </w:tc>
        <w:tc>
          <w:tcPr>
            <w:tcW w:w="527"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100≤-</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24.0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19.3</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21</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22.9</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44</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43.4</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8.5</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69.0</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63.9</w:t>
            </w:r>
          </w:p>
        </w:tc>
        <w:tc>
          <w:tcPr>
            <w:tcW w:w="329"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56</w:t>
            </w:r>
          </w:p>
        </w:tc>
        <w:tc>
          <w:tcPr>
            <w:tcW w:w="344" w:type="pct"/>
            <w:shd w:val="clear" w:color="auto" w:fill="auto"/>
            <w:vAlign w:val="center"/>
          </w:tcPr>
          <w:p w:rsidR="00FB56D5" w:rsidRPr="00AE1008" w:rsidRDefault="00FB56D5" w:rsidP="00FF65F3">
            <w:pPr>
              <w:snapToGrid w:val="0"/>
              <w:spacing w:after="0" w:line="240" w:lineRule="auto"/>
              <w:jc w:val="both"/>
              <w:rPr>
                <w:rFonts w:ascii="Times New Roman" w:eastAsia="Calibri" w:hAnsi="Times New Roman" w:cs="Times New Roman"/>
                <w:bCs/>
                <w:sz w:val="20"/>
                <w:szCs w:val="20"/>
                <w:lang w:bidi="ar-EG"/>
              </w:rPr>
            </w:pPr>
            <w:r w:rsidRPr="00AE1008">
              <w:rPr>
                <w:rFonts w:ascii="Times New Roman" w:eastAsia="Calibri" w:hAnsi="Times New Roman" w:cs="Times New Roman"/>
                <w:bCs/>
                <w:sz w:val="20"/>
                <w:szCs w:val="20"/>
                <w:lang w:bidi="ar-EG"/>
              </w:rPr>
              <w:t>54.1</w:t>
            </w:r>
          </w:p>
        </w:tc>
      </w:tr>
    </w:tbl>
    <w:p w:rsidR="00C4157D" w:rsidRPr="00AE1008" w:rsidRDefault="00FB56D5" w:rsidP="00B84F41">
      <w:pPr>
        <w:snapToGrid w:val="0"/>
        <w:spacing w:after="0" w:line="240" w:lineRule="auto"/>
        <w:jc w:val="both"/>
        <w:rPr>
          <w:rFonts w:ascii="Times New Roman" w:eastAsia="Calibri" w:hAnsi="Times New Roman" w:cs="Times New Roman"/>
          <w:sz w:val="20"/>
          <w:szCs w:val="20"/>
        </w:rPr>
      </w:pPr>
      <w:r w:rsidRPr="00AE1008">
        <w:rPr>
          <w:rFonts w:ascii="Times New Roman" w:eastAsia="Times New Roman" w:hAnsi="Times New Roman" w:cs="Times New Roman"/>
          <w:sz w:val="20"/>
          <w:szCs w:val="20"/>
          <w:lang w:bidi="ar-EG"/>
        </w:rPr>
        <w:t>Gov</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governorate</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RDA</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Recommended Dietary Allowances</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B</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Boys</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G</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Girls</w:t>
      </w:r>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w:t>
      </w:r>
      <w:proofErr w:type="spellStart"/>
      <w:r w:rsidRPr="00AE1008">
        <w:rPr>
          <w:rFonts w:ascii="Times New Roman" w:eastAsia="Times New Roman" w:hAnsi="Times New Roman" w:cs="Times New Roman"/>
          <w:sz w:val="20"/>
          <w:szCs w:val="20"/>
          <w:lang w:bidi="ar-EG"/>
        </w:rPr>
        <w:t>vit</w:t>
      </w:r>
      <w:proofErr w:type="spellEnd"/>
      <w:r w:rsidR="00F25EDD" w:rsidRPr="00AE1008">
        <w:rPr>
          <w:rFonts w:ascii="Times New Roman" w:eastAsia="Times New Roman" w:hAnsi="Times New Roman" w:cs="Times New Roman"/>
          <w:sz w:val="20"/>
          <w:szCs w:val="20"/>
          <w:lang w:bidi="ar-EG"/>
        </w:rPr>
        <w:t>:</w:t>
      </w:r>
      <w:r w:rsidRPr="00AE1008">
        <w:rPr>
          <w:rFonts w:ascii="Times New Roman" w:eastAsia="Times New Roman" w:hAnsi="Times New Roman" w:cs="Times New Roman"/>
          <w:sz w:val="20"/>
          <w:szCs w:val="20"/>
          <w:lang w:bidi="ar-EG"/>
        </w:rPr>
        <w:t xml:space="preserve"> Vitamin.</w:t>
      </w:r>
      <w:r w:rsidR="00782108" w:rsidRPr="00AE1008">
        <w:rPr>
          <w:rFonts w:ascii="Times New Roman" w:eastAsia="Times New Roman" w:hAnsi="Times New Roman" w:cs="Times New Roman"/>
          <w:sz w:val="20"/>
          <w:szCs w:val="20"/>
          <w:lang w:bidi="ar-EG"/>
        </w:rPr>
        <w:t xml:space="preserve"> </w:t>
      </w:r>
    </w:p>
    <w:p w:rsidR="00B84F41" w:rsidRDefault="00B84F41" w:rsidP="00FF65F3">
      <w:pPr>
        <w:snapToGrid w:val="0"/>
        <w:spacing w:after="0" w:line="240" w:lineRule="auto"/>
        <w:ind w:firstLine="425"/>
        <w:jc w:val="both"/>
        <w:rPr>
          <w:rFonts w:ascii="Times New Roman" w:hAnsi="Times New Roman" w:cs="Times New Roman"/>
          <w:sz w:val="20"/>
          <w:szCs w:val="20"/>
          <w:lang w:eastAsia="zh-CN"/>
        </w:rPr>
      </w:pPr>
    </w:p>
    <w:p w:rsidR="00AE1008" w:rsidRPr="00AE1008" w:rsidRDefault="00AE1008" w:rsidP="00FF65F3">
      <w:pPr>
        <w:snapToGrid w:val="0"/>
        <w:spacing w:after="0" w:line="240" w:lineRule="auto"/>
        <w:ind w:firstLine="425"/>
        <w:jc w:val="both"/>
        <w:rPr>
          <w:rFonts w:ascii="Times New Roman" w:hAnsi="Times New Roman" w:cs="Times New Roman"/>
          <w:sz w:val="20"/>
          <w:szCs w:val="20"/>
          <w:lang w:eastAsia="zh-CN"/>
        </w:rPr>
      </w:pPr>
    </w:p>
    <w:p w:rsidR="007A2BA0" w:rsidRPr="00AE1008" w:rsidRDefault="007A2BA0" w:rsidP="00FF65F3">
      <w:pPr>
        <w:snapToGrid w:val="0"/>
        <w:spacing w:after="0" w:line="240" w:lineRule="auto"/>
        <w:ind w:firstLine="425"/>
        <w:jc w:val="both"/>
        <w:rPr>
          <w:rFonts w:ascii="Times New Roman" w:hAnsi="Times New Roman" w:cs="Times New Roman"/>
          <w:sz w:val="20"/>
          <w:szCs w:val="20"/>
          <w:lang w:eastAsia="zh-CN"/>
        </w:rPr>
        <w:sectPr w:rsidR="007A2BA0" w:rsidRPr="00AE1008" w:rsidSect="00F25EDD">
          <w:type w:val="continuous"/>
          <w:pgSz w:w="12240" w:h="15840" w:code="1"/>
          <w:pgMar w:top="1440" w:right="1440" w:bottom="1440" w:left="1440" w:header="720" w:footer="720" w:gutter="0"/>
          <w:cols w:space="720"/>
          <w:docGrid w:linePitch="360"/>
        </w:sectPr>
      </w:pP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 xml:space="preserve">Data obtained from table (7) revealed that the least percent adequacy of calcium was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The percent was 100% of boys and 99.4%of girls intake lower than 50% of their RDA</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the same table showed that percent adequacy of vitamin A was more than 70% of children (boys and girls) had lower than 50% of their RDA. </w:t>
      </w:r>
      <w:r w:rsidR="00975F6B" w:rsidRPr="00AE1008">
        <w:rPr>
          <w:rFonts w:ascii="Times New Roman" w:eastAsia="Calibri" w:hAnsi="Times New Roman" w:cs="Times New Roman"/>
          <w:sz w:val="20"/>
          <w:szCs w:val="20"/>
        </w:rPr>
        <w:t xml:space="preserve">Globally, in </w:t>
      </w:r>
      <w:r w:rsidRPr="00AE1008">
        <w:rPr>
          <w:rFonts w:ascii="Times New Roman" w:eastAsia="Calibri" w:hAnsi="Times New Roman" w:cs="Times New Roman"/>
          <w:sz w:val="20"/>
          <w:szCs w:val="20"/>
        </w:rPr>
        <w:t xml:space="preserve">many developing countries, young children are at a high risk of </w:t>
      </w:r>
      <w:r w:rsidR="00975F6B" w:rsidRPr="00AE1008">
        <w:rPr>
          <w:rFonts w:ascii="Times New Roman" w:eastAsia="Calibri" w:hAnsi="Times New Roman" w:cs="Times New Roman"/>
          <w:sz w:val="20"/>
          <w:szCs w:val="20"/>
        </w:rPr>
        <w:t xml:space="preserve">iron and </w:t>
      </w:r>
      <w:r w:rsidRPr="00AE1008">
        <w:rPr>
          <w:rFonts w:ascii="Times New Roman" w:eastAsia="Calibri" w:hAnsi="Times New Roman" w:cs="Times New Roman"/>
          <w:sz w:val="20"/>
          <w:szCs w:val="20"/>
        </w:rPr>
        <w:t>vitamin A deficiency</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Vitamin A deficiency </w:t>
      </w:r>
      <w:r w:rsidR="00BF4D79" w:rsidRPr="00AE1008">
        <w:rPr>
          <w:rFonts w:ascii="Times New Roman" w:eastAsia="Calibri" w:hAnsi="Times New Roman" w:cs="Times New Roman"/>
          <w:sz w:val="20"/>
          <w:szCs w:val="20"/>
        </w:rPr>
        <w:t>distresses about</w:t>
      </w:r>
      <w:r w:rsidR="00975F6B"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253 million preschool children worldwide (UNICEF</w:t>
      </w:r>
      <w:r w:rsidR="00975F6B"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1998). The </w:t>
      </w:r>
      <w:r w:rsidR="00975F6B" w:rsidRPr="00AE1008">
        <w:rPr>
          <w:rFonts w:ascii="Times New Roman" w:eastAsia="Calibri" w:hAnsi="Times New Roman" w:cs="Times New Roman"/>
          <w:sz w:val="20"/>
          <w:szCs w:val="20"/>
        </w:rPr>
        <w:t>magnitudes</w:t>
      </w:r>
      <w:r w:rsidRPr="00AE1008">
        <w:rPr>
          <w:rFonts w:ascii="Times New Roman" w:eastAsia="Calibri" w:hAnsi="Times New Roman" w:cs="Times New Roman"/>
          <w:sz w:val="20"/>
          <w:szCs w:val="20"/>
        </w:rPr>
        <w:t xml:space="preserve"> of </w:t>
      </w:r>
      <w:r w:rsidR="00975F6B" w:rsidRPr="00AE1008">
        <w:rPr>
          <w:rFonts w:ascii="Times New Roman" w:eastAsia="Calibri" w:hAnsi="Times New Roman" w:cs="Times New Roman"/>
          <w:sz w:val="20"/>
          <w:szCs w:val="20"/>
        </w:rPr>
        <w:t xml:space="preserve">deficiency in </w:t>
      </w:r>
      <w:r w:rsidRPr="00AE1008">
        <w:rPr>
          <w:rFonts w:ascii="Times New Roman" w:eastAsia="Calibri" w:hAnsi="Times New Roman" w:cs="Times New Roman"/>
          <w:sz w:val="20"/>
          <w:szCs w:val="20"/>
        </w:rPr>
        <w:t xml:space="preserve">vitamin A </w:t>
      </w:r>
      <w:r w:rsidR="00975F6B" w:rsidRPr="00AE1008">
        <w:rPr>
          <w:rFonts w:ascii="Times New Roman" w:eastAsia="Calibri" w:hAnsi="Times New Roman" w:cs="Times New Roman"/>
          <w:sz w:val="20"/>
          <w:szCs w:val="20"/>
        </w:rPr>
        <w:t xml:space="preserve">comprise retardation in </w:t>
      </w:r>
      <w:r w:rsidRPr="00AE1008">
        <w:rPr>
          <w:rFonts w:ascii="Times New Roman" w:eastAsia="Calibri" w:hAnsi="Times New Roman" w:cs="Times New Roman"/>
          <w:sz w:val="20"/>
          <w:szCs w:val="20"/>
        </w:rPr>
        <w:t>growth</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depressed </w:t>
      </w:r>
      <w:r w:rsidR="00975F6B" w:rsidRPr="00AE1008">
        <w:rPr>
          <w:rFonts w:ascii="Times New Roman" w:eastAsia="Calibri" w:hAnsi="Times New Roman" w:cs="Times New Roman"/>
          <w:sz w:val="20"/>
          <w:szCs w:val="20"/>
        </w:rPr>
        <w:t>in the immune system function</w:t>
      </w:r>
      <w:r w:rsidR="00F25EDD" w:rsidRPr="00AE1008">
        <w:rPr>
          <w:rFonts w:ascii="Times New Roman" w:eastAsia="Calibri" w:hAnsi="Times New Roman" w:cs="Times New Roman"/>
          <w:sz w:val="20"/>
          <w:szCs w:val="20"/>
        </w:rPr>
        <w:t>,</w:t>
      </w:r>
      <w:r w:rsidRPr="00AE1008">
        <w:rPr>
          <w:rFonts w:ascii="Times New Roman" w:eastAsia="Calibri" w:hAnsi="Times New Roman" w:cs="Times New Roman"/>
          <w:sz w:val="20"/>
          <w:szCs w:val="20"/>
        </w:rPr>
        <w:t xml:space="preserve"> and higher risk of </w:t>
      </w:r>
      <w:r w:rsidR="00975F6B" w:rsidRPr="00AE1008">
        <w:rPr>
          <w:rFonts w:ascii="Times New Roman" w:eastAsia="Calibri" w:hAnsi="Times New Roman" w:cs="Times New Roman"/>
          <w:sz w:val="20"/>
          <w:szCs w:val="20"/>
        </w:rPr>
        <w:t>anemia,</w:t>
      </w:r>
      <w:r w:rsidR="00BF4D79"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xerophthalmia</w:t>
      </w:r>
      <w:proofErr w:type="spellEnd"/>
      <w:r w:rsidRPr="00AE1008">
        <w:rPr>
          <w:rFonts w:ascii="Times New Roman" w:eastAsia="Calibri" w:hAnsi="Times New Roman" w:cs="Times New Roman"/>
          <w:sz w:val="20"/>
          <w:szCs w:val="20"/>
        </w:rPr>
        <w:t xml:space="preserve"> and blindness, and </w:t>
      </w:r>
      <w:r w:rsidR="00EC40D7" w:rsidRPr="00AE1008">
        <w:rPr>
          <w:rFonts w:ascii="Times New Roman" w:eastAsia="Calibri" w:hAnsi="Times New Roman" w:cs="Times New Roman"/>
          <w:sz w:val="20"/>
          <w:szCs w:val="20"/>
        </w:rPr>
        <w:t xml:space="preserve">subsequently elevate the percentage of </w:t>
      </w:r>
      <w:r w:rsidRPr="00AE1008">
        <w:rPr>
          <w:rFonts w:ascii="Times New Roman" w:eastAsia="Calibri" w:hAnsi="Times New Roman" w:cs="Times New Roman"/>
          <w:sz w:val="20"/>
          <w:szCs w:val="20"/>
        </w:rPr>
        <w:t xml:space="preserve">morbidity and mortality </w:t>
      </w:r>
      <w:r w:rsidR="00EC40D7" w:rsidRPr="00AE1008">
        <w:rPr>
          <w:rFonts w:ascii="Times New Roman" w:eastAsia="Calibri" w:hAnsi="Times New Roman" w:cs="Times New Roman"/>
          <w:sz w:val="20"/>
          <w:szCs w:val="20"/>
        </w:rPr>
        <w:t xml:space="preserve">as a result from </w:t>
      </w:r>
      <w:r w:rsidRPr="00AE1008">
        <w:rPr>
          <w:rFonts w:ascii="Times New Roman" w:eastAsia="Calibri" w:hAnsi="Times New Roman" w:cs="Times New Roman"/>
          <w:sz w:val="20"/>
          <w:szCs w:val="20"/>
        </w:rPr>
        <w:t>some infectious diseases (</w:t>
      </w:r>
      <w:proofErr w:type="spellStart"/>
      <w:r w:rsidRPr="00AE1008">
        <w:rPr>
          <w:rFonts w:ascii="Times New Roman" w:eastAsia="Calibri" w:hAnsi="Times New Roman" w:cs="Times New Roman"/>
          <w:sz w:val="20"/>
          <w:szCs w:val="20"/>
        </w:rPr>
        <w:t>Semba</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Bloem</w:t>
      </w:r>
      <w:proofErr w:type="spellEnd"/>
      <w:r w:rsidRPr="00AE1008">
        <w:rPr>
          <w:rFonts w:ascii="Times New Roman" w:eastAsia="Calibri" w:hAnsi="Times New Roman" w:cs="Times New Roman"/>
          <w:sz w:val="20"/>
          <w:szCs w:val="20"/>
        </w:rPr>
        <w:t xml:space="preserve"> 2002). Also, results in the table indicated that 40% of all studied children had percent adequacy of iron and zinc was 100≤ of their RDA except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governorate was 21% of boys and 22.9% of girls had 100≤ of their RDA from iron. 50% up to 60% of both sexes in </w:t>
      </w:r>
      <w:proofErr w:type="spellStart"/>
      <w:r w:rsidRPr="00AE1008">
        <w:rPr>
          <w:rFonts w:ascii="Times New Roman" w:eastAsia="Calibri" w:hAnsi="Times New Roman" w:cs="Times New Roman"/>
          <w:sz w:val="20"/>
          <w:szCs w:val="20"/>
        </w:rPr>
        <w:t>Assiut</w:t>
      </w:r>
      <w:proofErr w:type="spellEnd"/>
      <w:r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Sohag</w:t>
      </w:r>
      <w:proofErr w:type="spellEnd"/>
      <w:r w:rsidRPr="00AE1008">
        <w:rPr>
          <w:rFonts w:ascii="Times New Roman" w:eastAsia="Calibri" w:hAnsi="Times New Roman" w:cs="Times New Roman"/>
          <w:sz w:val="20"/>
          <w:szCs w:val="20"/>
        </w:rPr>
        <w:t xml:space="preserve"> and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governorates had 100≤ of vitamin B2 from their RDA, while 98.2% of boys and 97.6 %of girls had 50 %&lt; of their RDA of vitamin B2 in </w:t>
      </w:r>
      <w:proofErr w:type="spellStart"/>
      <w:r w:rsidRPr="00AE1008">
        <w:rPr>
          <w:rFonts w:ascii="Times New Roman" w:eastAsia="Calibri" w:hAnsi="Times New Roman" w:cs="Times New Roman"/>
          <w:sz w:val="20"/>
          <w:szCs w:val="20"/>
        </w:rPr>
        <w:t>Menia</w:t>
      </w:r>
      <w:proofErr w:type="spellEnd"/>
      <w:r w:rsidRPr="00AE1008">
        <w:rPr>
          <w:rFonts w:ascii="Times New Roman" w:eastAsia="Calibri" w:hAnsi="Times New Roman" w:cs="Times New Roman"/>
          <w:sz w:val="20"/>
          <w:szCs w:val="20"/>
        </w:rPr>
        <w:t xml:space="preserve"> governorate. On the other hand our results showed that </w:t>
      </w:r>
      <w:proofErr w:type="spellStart"/>
      <w:r w:rsidRPr="00AE1008">
        <w:rPr>
          <w:rFonts w:ascii="Times New Roman" w:eastAsia="Calibri" w:hAnsi="Times New Roman" w:cs="Times New Roman"/>
          <w:sz w:val="20"/>
          <w:szCs w:val="20"/>
        </w:rPr>
        <w:t>Qena</w:t>
      </w:r>
      <w:proofErr w:type="spellEnd"/>
      <w:r w:rsidRPr="00AE1008">
        <w:rPr>
          <w:rFonts w:ascii="Times New Roman" w:eastAsia="Calibri" w:hAnsi="Times New Roman" w:cs="Times New Roman"/>
          <w:sz w:val="20"/>
          <w:szCs w:val="20"/>
        </w:rPr>
        <w:t xml:space="preserve"> had the highest percent adequacy of vitamin C in compared to other governorates.</w:t>
      </w:r>
    </w:p>
    <w:p w:rsidR="00C4157D" w:rsidRPr="00AE1008" w:rsidRDefault="00C4157D" w:rsidP="00FF65F3">
      <w:pPr>
        <w:snapToGrid w:val="0"/>
        <w:spacing w:after="0" w:line="240" w:lineRule="auto"/>
        <w:jc w:val="both"/>
        <w:rPr>
          <w:rFonts w:ascii="Times New Roman" w:eastAsia="Times New Roman" w:hAnsi="Times New Roman" w:cs="Times New Roman"/>
          <w:b/>
          <w:bCs/>
          <w:sz w:val="20"/>
          <w:szCs w:val="20"/>
          <w:lang w:bidi="ar-EG"/>
        </w:rPr>
      </w:pP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lang w:bidi="ar-EG"/>
        </w:rPr>
      </w:pPr>
      <w:r w:rsidRPr="00AE1008">
        <w:rPr>
          <w:rFonts w:ascii="Times New Roman" w:eastAsia="Times New Roman" w:hAnsi="Times New Roman" w:cs="Times New Roman"/>
          <w:b/>
          <w:bCs/>
          <w:sz w:val="20"/>
          <w:szCs w:val="20"/>
          <w:lang w:bidi="ar-EG"/>
        </w:rPr>
        <w:t xml:space="preserve">Conclusion </w:t>
      </w:r>
    </w:p>
    <w:p w:rsidR="00FB56D5" w:rsidRPr="00AE1008" w:rsidRDefault="00FB56D5" w:rsidP="00FF65F3">
      <w:pPr>
        <w:snapToGrid w:val="0"/>
        <w:spacing w:after="0" w:line="240" w:lineRule="auto"/>
        <w:ind w:firstLine="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 xml:space="preserve">There is an imbalance in dietary </w:t>
      </w:r>
      <w:r w:rsidR="00EC40D7" w:rsidRPr="00AE1008">
        <w:rPr>
          <w:rFonts w:ascii="Times New Roman" w:eastAsia="Calibri" w:hAnsi="Times New Roman" w:cs="Times New Roman"/>
          <w:sz w:val="20"/>
          <w:szCs w:val="20"/>
        </w:rPr>
        <w:t>intake;</w:t>
      </w:r>
      <w:r w:rsidRPr="00AE1008">
        <w:rPr>
          <w:rFonts w:ascii="Times New Roman" w:eastAsia="Calibri" w:hAnsi="Times New Roman" w:cs="Times New Roman"/>
          <w:sz w:val="20"/>
          <w:szCs w:val="20"/>
        </w:rPr>
        <w:t xml:space="preserve"> healthy </w:t>
      </w:r>
      <w:r w:rsidR="00EC40D7" w:rsidRPr="00AE1008">
        <w:rPr>
          <w:rFonts w:ascii="Times New Roman" w:eastAsia="Calibri" w:hAnsi="Times New Roman" w:cs="Times New Roman"/>
          <w:sz w:val="20"/>
          <w:szCs w:val="20"/>
        </w:rPr>
        <w:t>foods</w:t>
      </w:r>
      <w:r w:rsidRPr="00AE1008">
        <w:rPr>
          <w:rFonts w:ascii="Times New Roman" w:eastAsia="Calibri" w:hAnsi="Times New Roman" w:cs="Times New Roman"/>
          <w:sz w:val="20"/>
          <w:szCs w:val="20"/>
        </w:rPr>
        <w:t xml:space="preserve"> and nutrition education programs </w:t>
      </w:r>
      <w:r w:rsidR="00EC40D7" w:rsidRPr="00AE1008">
        <w:rPr>
          <w:rFonts w:ascii="Times New Roman" w:eastAsia="Calibri" w:hAnsi="Times New Roman" w:cs="Times New Roman"/>
          <w:sz w:val="20"/>
          <w:szCs w:val="20"/>
        </w:rPr>
        <w:t xml:space="preserve">in urgent </w:t>
      </w:r>
      <w:r w:rsidRPr="00AE1008">
        <w:rPr>
          <w:rFonts w:ascii="Times New Roman" w:eastAsia="Calibri" w:hAnsi="Times New Roman" w:cs="Times New Roman"/>
          <w:sz w:val="20"/>
          <w:szCs w:val="20"/>
        </w:rPr>
        <w:t xml:space="preserve">need </w:t>
      </w:r>
      <w:r w:rsidRPr="00AE1008">
        <w:rPr>
          <w:rFonts w:ascii="Times New Roman" w:eastAsia="Calibri" w:hAnsi="Times New Roman" w:cs="Times New Roman"/>
          <w:sz w:val="20"/>
          <w:szCs w:val="20"/>
        </w:rPr>
        <w:lastRenderedPageBreak/>
        <w:t>to be developed as a part of an intervention program for young children in Upper Egypt governorates.</w:t>
      </w:r>
      <w:r w:rsidR="00BF4D79"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 xml:space="preserve">Optimizing dietary </w:t>
      </w:r>
      <w:r w:rsidR="00EC40D7" w:rsidRPr="00AE1008">
        <w:rPr>
          <w:rFonts w:ascii="Times New Roman" w:eastAsia="Calibri" w:hAnsi="Times New Roman" w:cs="Times New Roman"/>
          <w:sz w:val="20"/>
          <w:szCs w:val="20"/>
        </w:rPr>
        <w:t>consumption</w:t>
      </w:r>
      <w:r w:rsidR="00BF4D79" w:rsidRPr="00AE1008">
        <w:rPr>
          <w:rFonts w:ascii="Times New Roman" w:eastAsia="Calibri" w:hAnsi="Times New Roman" w:cs="Times New Roman"/>
          <w:sz w:val="20"/>
          <w:szCs w:val="20"/>
        </w:rPr>
        <w:t xml:space="preserve"> </w:t>
      </w:r>
      <w:r w:rsidR="00EC40D7" w:rsidRPr="00AE1008">
        <w:rPr>
          <w:rFonts w:ascii="Times New Roman" w:eastAsia="Calibri" w:hAnsi="Times New Roman" w:cs="Times New Roman"/>
          <w:sz w:val="20"/>
          <w:szCs w:val="20"/>
        </w:rPr>
        <w:t>via</w:t>
      </w:r>
      <w:r w:rsidRPr="00AE1008">
        <w:rPr>
          <w:rFonts w:ascii="Times New Roman" w:eastAsia="Calibri" w:hAnsi="Times New Roman" w:cs="Times New Roman"/>
          <w:sz w:val="20"/>
          <w:szCs w:val="20"/>
        </w:rPr>
        <w:t xml:space="preserve"> nutrient dense foods and </w:t>
      </w:r>
      <w:r w:rsidR="00EC40D7" w:rsidRPr="00AE1008">
        <w:rPr>
          <w:rFonts w:ascii="Times New Roman" w:eastAsia="Calibri" w:hAnsi="Times New Roman" w:cs="Times New Roman"/>
          <w:sz w:val="20"/>
          <w:szCs w:val="20"/>
        </w:rPr>
        <w:t>proper</w:t>
      </w:r>
      <w:r w:rsidRPr="00AE1008">
        <w:rPr>
          <w:rFonts w:ascii="Times New Roman" w:eastAsia="Calibri" w:hAnsi="Times New Roman" w:cs="Times New Roman"/>
          <w:sz w:val="20"/>
          <w:szCs w:val="20"/>
        </w:rPr>
        <w:t xml:space="preserve"> use of </w:t>
      </w:r>
      <w:r w:rsidR="00EC40D7" w:rsidRPr="00AE1008">
        <w:rPr>
          <w:rFonts w:ascii="Times New Roman" w:eastAsia="Calibri" w:hAnsi="Times New Roman" w:cs="Times New Roman"/>
          <w:sz w:val="20"/>
          <w:szCs w:val="20"/>
        </w:rPr>
        <w:t xml:space="preserve">food additives or supplements </w:t>
      </w:r>
      <w:r w:rsidRPr="00AE1008">
        <w:rPr>
          <w:rFonts w:ascii="Times New Roman" w:eastAsia="Calibri" w:hAnsi="Times New Roman" w:cs="Times New Roman"/>
          <w:sz w:val="20"/>
          <w:szCs w:val="20"/>
        </w:rPr>
        <w:t xml:space="preserve">where </w:t>
      </w:r>
      <w:r w:rsidR="00EC40D7" w:rsidRPr="00AE1008">
        <w:rPr>
          <w:rFonts w:ascii="Times New Roman" w:eastAsia="Calibri" w:hAnsi="Times New Roman" w:cs="Times New Roman"/>
          <w:sz w:val="20"/>
          <w:szCs w:val="20"/>
        </w:rPr>
        <w:t>necessity</w:t>
      </w:r>
      <w:r w:rsidRPr="00AE1008">
        <w:rPr>
          <w:rFonts w:ascii="Times New Roman" w:eastAsia="Calibri" w:hAnsi="Times New Roman" w:cs="Times New Roman"/>
          <w:sz w:val="20"/>
          <w:szCs w:val="20"/>
        </w:rPr>
        <w:t xml:space="preserve"> is indicated.</w:t>
      </w:r>
    </w:p>
    <w:p w:rsidR="00C4157D" w:rsidRPr="00AE1008" w:rsidRDefault="00C4157D" w:rsidP="00FF65F3">
      <w:pPr>
        <w:snapToGrid w:val="0"/>
        <w:spacing w:after="0" w:line="240" w:lineRule="auto"/>
        <w:jc w:val="both"/>
        <w:rPr>
          <w:rFonts w:ascii="Times New Roman" w:eastAsia="Times New Roman" w:hAnsi="Times New Roman" w:cs="Times New Roman"/>
          <w:b/>
          <w:bCs/>
          <w:sz w:val="20"/>
          <w:szCs w:val="20"/>
          <w:lang w:bidi="ar-EG"/>
        </w:rPr>
      </w:pPr>
    </w:p>
    <w:p w:rsidR="00FB56D5" w:rsidRPr="00AE1008" w:rsidRDefault="00FB56D5" w:rsidP="00FF65F3">
      <w:pPr>
        <w:snapToGrid w:val="0"/>
        <w:spacing w:after="0" w:line="240" w:lineRule="auto"/>
        <w:jc w:val="both"/>
        <w:rPr>
          <w:rFonts w:ascii="Times New Roman" w:eastAsia="Times New Roman" w:hAnsi="Times New Roman" w:cs="Times New Roman"/>
          <w:b/>
          <w:bCs/>
          <w:sz w:val="20"/>
          <w:szCs w:val="20"/>
          <w:lang w:bidi="ar-EG"/>
        </w:rPr>
      </w:pPr>
      <w:r w:rsidRPr="00AE1008">
        <w:rPr>
          <w:rFonts w:ascii="Times New Roman" w:eastAsia="Times New Roman" w:hAnsi="Times New Roman" w:cs="Times New Roman"/>
          <w:b/>
          <w:bCs/>
          <w:sz w:val="20"/>
          <w:szCs w:val="20"/>
          <w:lang w:bidi="ar-EG"/>
        </w:rPr>
        <w:t xml:space="preserve">References </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Bazzano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high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cost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not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consuming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fruits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vegetables.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Assoc.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106:1364-1368.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Bjørklund</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role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copper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autism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spectrum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disorders.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Acta</w:t>
      </w:r>
      <w:proofErr w:type="spellEnd"/>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Neurobiol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Exp</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73:225–236.</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Böckerman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Bryson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Viinikainen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Viikari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Lehtimäki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Vuori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Keltikangas-Järvinen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Raitakari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Pehkonen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serum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copper/zinc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ratio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childhood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educational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attainment: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population-based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study.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Public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t>
      </w:r>
      <w:proofErr w:type="spellStart"/>
      <w:r w:rsidRPr="00AE1008">
        <w:rPr>
          <w:rFonts w:ascii="Times New Roman" w:eastAsia="Calibri" w:hAnsi="Times New Roman" w:cs="Times New Roman"/>
          <w:sz w:val="20"/>
          <w:szCs w:val="20"/>
        </w:rPr>
        <w:t>Oxf</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doi:10.1093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/pubmed/fdv187.</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Bouret</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Role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early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hormonal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experiences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shaping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feeding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behavior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hypothalamic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2010;140:653–7.</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Brown,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w:t>
      </w:r>
      <w:r w:rsidR="00B84F41" w:rsidRPr="00AE1008">
        <w:rPr>
          <w:rFonts w:ascii="Times New Roman" w:eastAsia="Calibri" w:hAnsi="Times New Roman" w:cs="Times New Roman"/>
          <w:sz w:val="20"/>
          <w:szCs w:val="20"/>
        </w:rPr>
        <w:t>. H</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Peerson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B84F41" w:rsidRPr="00AE1008">
        <w:rPr>
          <w:rFonts w:ascii="Times New Roman" w:eastAsia="Calibri" w:hAnsi="Times New Roman" w:cs="Times New Roman"/>
          <w:sz w:val="20"/>
          <w:szCs w:val="20"/>
        </w:rPr>
        <w:t>. M</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Rivera,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Allen,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B84F41" w:rsidRPr="00AE1008">
        <w:rPr>
          <w:rFonts w:ascii="Times New Roman" w:eastAsia="Calibri" w:hAnsi="Times New Roman" w:cs="Times New Roman"/>
          <w:sz w:val="20"/>
          <w:szCs w:val="20"/>
        </w:rPr>
        <w:t>. H</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Effect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supplemental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growth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serum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concentrations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prepubertal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meta-analysis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randomized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controlled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trials.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American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Journal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Clinical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75,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1062–1071.</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Bose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Biswas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Bisai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Ganguli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Khatun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Mukhopadhyay</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Bhadra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Stunting,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lastRenderedPageBreak/>
        <w:t>underweight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wasting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among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Integrated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Services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(ICDS)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scheme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aged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years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Chapra</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Nadia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District,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West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Bengal,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India</w:t>
      </w:r>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M</w:t>
      </w:r>
      <w:r w:rsidRPr="00AE1008">
        <w:rPr>
          <w:rFonts w:ascii="Times New Roman" w:eastAsia="Calibri" w:hAnsi="Times New Roman" w:cs="Times New Roman"/>
          <w:sz w:val="20"/>
          <w:szCs w:val="20"/>
        </w:rPr>
        <w:t>atern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216-221.</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Bryan,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Osendarp</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Hughes,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Calvaresi</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Baghurst</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Van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Klinken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(2004).</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Nutrients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cognitive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school-aged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295–306.</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Chowdhury</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Chakraborty</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Ghosh</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Prevalence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undernutrition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Santal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Puruliya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District,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West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Bengal.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Indian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Pediatr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45: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43-46.</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EDHS</w:t>
      </w:r>
      <w:r w:rsidR="00B84F41" w:rsidRPr="00AE1008">
        <w:rPr>
          <w:rFonts w:ascii="Times New Roman" w:eastAsia="Calibri" w:hAnsi="Times New Roman" w:cs="Times New Roman"/>
          <w:sz w:val="20"/>
          <w:szCs w:val="20"/>
        </w:rPr>
        <w:t>. E</w:t>
      </w:r>
      <w:r w:rsidRPr="00AE1008">
        <w:rPr>
          <w:rFonts w:ascii="Times New Roman" w:eastAsia="Calibri" w:hAnsi="Times New Roman" w:cs="Times New Roman"/>
          <w:sz w:val="20"/>
          <w:szCs w:val="20"/>
        </w:rPr>
        <w:t>gypt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Demographic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Survey.2014:</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Calverton,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Maryland,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Ministry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Population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(Arab</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Republic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Egypt),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El-</w:t>
      </w:r>
      <w:proofErr w:type="spellStart"/>
      <w:r w:rsidRPr="00AE1008">
        <w:rPr>
          <w:rFonts w:ascii="Times New Roman" w:eastAsia="Calibri" w:hAnsi="Times New Roman" w:cs="Times New Roman"/>
          <w:sz w:val="20"/>
          <w:szCs w:val="20"/>
        </w:rPr>
        <w:t>Zanaty</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Associates,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Macro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International;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2014.</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Emam</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Mostafa</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Wassef</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Assessment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Some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Primary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School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&amp; </w:t>
      </w:r>
      <w:r w:rsidRPr="00AE1008">
        <w:rPr>
          <w:rFonts w:ascii="Times New Roman" w:eastAsia="Calibri" w:hAnsi="Times New Roman" w:cs="Times New Roman"/>
          <w:sz w:val="20"/>
          <w:szCs w:val="20"/>
        </w:rPr>
        <w:t>Their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Awareness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Slum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Areas.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Alexandria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Journal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Pediatrics,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19,</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113-119.</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FAO/WHO/UNU</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(2004)</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Human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energy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requirements.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Report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joint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FAO/WHO/UNU</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expert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consultation.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FAO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technical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report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series,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Agriculture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Organization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United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Nations,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Rome.</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Feldeisen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Tucker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strategies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prevention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treatment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metabolic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syndrome.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App</w:t>
      </w:r>
      <w:r w:rsidR="00B84F41" w:rsidRPr="00AE1008">
        <w:rPr>
          <w:rFonts w:ascii="Times New Roman" w:eastAsia="Calibri" w:hAnsi="Times New Roman" w:cs="Times New Roman"/>
          <w:sz w:val="20"/>
          <w:szCs w:val="20"/>
        </w:rPr>
        <w:t>l</w:t>
      </w:r>
      <w:proofErr w:type="spellEnd"/>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P</w:t>
      </w:r>
      <w:r w:rsidRPr="00AE1008">
        <w:rPr>
          <w:rFonts w:ascii="Times New Roman" w:eastAsia="Calibri" w:hAnsi="Times New Roman" w:cs="Times New Roman"/>
          <w:sz w:val="20"/>
          <w:szCs w:val="20"/>
        </w:rPr>
        <w:t>hysio</w:t>
      </w:r>
      <w:r w:rsidR="00B84F41" w:rsidRPr="00AE1008">
        <w:rPr>
          <w:rFonts w:ascii="Times New Roman" w:eastAsia="Calibri" w:hAnsi="Times New Roman" w:cs="Times New Roman"/>
          <w:sz w:val="20"/>
          <w:szCs w:val="20"/>
        </w:rPr>
        <w:t>l</w:t>
      </w:r>
      <w:proofErr w:type="spellEnd"/>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N</w:t>
      </w:r>
      <w:r w:rsidRPr="00AE1008">
        <w:rPr>
          <w:rFonts w:ascii="Times New Roman" w:eastAsia="Calibri" w:hAnsi="Times New Roman" w:cs="Times New Roman"/>
          <w:sz w:val="20"/>
          <w:szCs w:val="20"/>
        </w:rPr>
        <w:t>ut</w:t>
      </w:r>
      <w:r w:rsidR="00B84F41" w:rsidRPr="00AE1008">
        <w:rPr>
          <w:rFonts w:ascii="Times New Roman" w:eastAsia="Calibri" w:hAnsi="Times New Roman" w:cs="Times New Roman"/>
          <w:sz w:val="20"/>
          <w:szCs w:val="20"/>
        </w:rPr>
        <w:t>r</w:t>
      </w:r>
      <w:proofErr w:type="spellEnd"/>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M</w:t>
      </w:r>
      <w:r w:rsidRPr="00AE1008">
        <w:rPr>
          <w:rFonts w:ascii="Times New Roman" w:eastAsia="Calibri" w:hAnsi="Times New Roman" w:cs="Times New Roman"/>
          <w:sz w:val="20"/>
          <w:szCs w:val="20"/>
        </w:rPr>
        <w:t>etab</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2007;32:46-60.</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Georgieff</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brain: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priorities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measurement.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Clin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85,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614S–620S.</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Gibson,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Population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groups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risk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deficiency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Australia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New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Zealand.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97–108.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Grantham-McGregor,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Ani</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review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studies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effect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iron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deficiency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cognitive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131,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649S–666S.</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Glynn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Emmett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Rogers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Team</w:t>
      </w:r>
      <w:r w:rsidR="00F25EDD" w:rsidRPr="00AE1008">
        <w:rPr>
          <w:rFonts w:ascii="Times New Roman" w:eastAsia="Calibri" w:hAnsi="Times New Roman" w:cs="Times New Roman"/>
          <w:sz w:val="20"/>
          <w:szCs w:val="20"/>
        </w:rPr>
        <w:t xml:space="preserve"> </w:t>
      </w:r>
      <w:r w:rsidR="00B84F41" w:rsidRPr="00AE1008">
        <w:rPr>
          <w:rFonts w:ascii="Times New Roman" w:eastAsia="Calibri" w:hAnsi="Times New Roman" w:cs="Times New Roman"/>
          <w:sz w:val="20"/>
          <w:szCs w:val="20"/>
        </w:rPr>
        <w:t>t A</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intakes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population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sample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7-year-old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southwest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England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1999/2000</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what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difference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does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gender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make?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Hum</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18:7-19.</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Jai</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Prabhakar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Gangadhar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2009.</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Jenukuruba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tribal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Mysore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District,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Karnataka.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Anthropologist,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83-88.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bookmarkStart w:id="0" w:name="bau0005"/>
      <w:bookmarkStart w:id="1" w:name="bau0010"/>
      <w:r w:rsidRPr="00AE1008">
        <w:rPr>
          <w:rFonts w:ascii="Times New Roman" w:eastAsia="Calibri" w:hAnsi="Times New Roman" w:cs="Times New Roman"/>
          <w:sz w:val="20"/>
          <w:szCs w:val="20"/>
        </w:rPr>
        <w:t>Lara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N</w:t>
      </w:r>
      <w:r w:rsidRPr="00AE1008">
        <w:rPr>
          <w:rFonts w:ascii="Times New Roman" w:eastAsia="Calibri" w:hAnsi="Times New Roman" w:cs="Times New Roman"/>
          <w:sz w:val="20"/>
          <w:szCs w:val="20"/>
        </w:rPr>
        <w:t>asreddine</w:t>
      </w:r>
      <w:bookmarkEnd w:id="0"/>
      <w:r w:rsidR="00B84F41" w:rsidRPr="00AE1008">
        <w:rPr>
          <w:rFonts w:ascii="Times New Roman" w:eastAsia="Calibri" w:hAnsi="Times New Roman" w:cs="Times New Roman"/>
          <w:sz w:val="20"/>
          <w:szCs w:val="20"/>
        </w:rPr>
        <w:t>a</w:t>
      </w:r>
      <w:proofErr w:type="spellEnd"/>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A</w:t>
      </w:r>
      <w:r w:rsidRPr="00AE1008">
        <w:rPr>
          <w:rFonts w:ascii="Times New Roman" w:eastAsia="Calibri" w:hAnsi="Times New Roman" w:cs="Times New Roman"/>
          <w:sz w:val="20"/>
          <w:szCs w:val="20"/>
        </w:rPr>
        <w:t>mira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w:t>
      </w:r>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K</w:t>
      </w:r>
      <w:r w:rsidRPr="00AE1008">
        <w:rPr>
          <w:rFonts w:ascii="Times New Roman" w:eastAsia="Calibri" w:hAnsi="Times New Roman" w:cs="Times New Roman"/>
          <w:sz w:val="20"/>
          <w:szCs w:val="20"/>
        </w:rPr>
        <w:t>assis</w:t>
      </w:r>
      <w:r w:rsidR="00B84F41" w:rsidRPr="00AE1008">
        <w:rPr>
          <w:rFonts w:ascii="Times New Roman" w:eastAsia="Calibri" w:hAnsi="Times New Roman" w:cs="Times New Roman"/>
          <w:sz w:val="20"/>
          <w:szCs w:val="20"/>
        </w:rPr>
        <w:t>b</w:t>
      </w:r>
      <w:proofErr w:type="spellEnd"/>
      <w:r w:rsidR="00B84F41" w:rsidRPr="00AE1008">
        <w:rPr>
          <w:rFonts w:ascii="Times New Roman" w:eastAsia="Calibri" w:hAnsi="Times New Roman" w:cs="Times New Roman"/>
          <w:sz w:val="20"/>
          <w:szCs w:val="20"/>
        </w:rPr>
        <w:t xml:space="preserve"> J</w:t>
      </w:r>
      <w:r w:rsidRPr="00AE1008">
        <w:rPr>
          <w:rFonts w:ascii="Times New Roman" w:eastAsia="Calibri" w:hAnsi="Times New Roman" w:cs="Times New Roman"/>
          <w:sz w:val="20"/>
          <w:szCs w:val="20"/>
        </w:rPr>
        <w:t>ennifer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A</w:t>
      </w:r>
      <w:r w:rsidRPr="00AE1008">
        <w:rPr>
          <w:rFonts w:ascii="Times New Roman" w:eastAsia="Calibri" w:hAnsi="Times New Roman" w:cs="Times New Roman"/>
          <w:sz w:val="20"/>
          <w:szCs w:val="20"/>
        </w:rPr>
        <w:t>youb</w:t>
      </w:r>
      <w:r w:rsidR="00B84F41" w:rsidRPr="00AE1008">
        <w:rPr>
          <w:rFonts w:ascii="Times New Roman" w:eastAsia="Calibri" w:hAnsi="Times New Roman" w:cs="Times New Roman"/>
          <w:sz w:val="20"/>
          <w:szCs w:val="20"/>
        </w:rPr>
        <w:t>a</w:t>
      </w:r>
      <w:proofErr w:type="spellEnd"/>
      <w:r w:rsidR="00B84F41" w:rsidRPr="00AE1008">
        <w:rPr>
          <w:rFonts w:ascii="Times New Roman" w:eastAsia="Calibri" w:hAnsi="Times New Roman" w:cs="Times New Roman"/>
          <w:sz w:val="20"/>
          <w:szCs w:val="20"/>
        </w:rPr>
        <w:t xml:space="preserve"> F</w:t>
      </w:r>
      <w:r w:rsidRPr="00AE1008">
        <w:rPr>
          <w:rFonts w:ascii="Times New Roman" w:eastAsia="Calibri" w:hAnsi="Times New Roman" w:cs="Times New Roman"/>
          <w:sz w:val="20"/>
          <w:szCs w:val="20"/>
        </w:rPr>
        <w:t>arah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B84F41" w:rsidRPr="00AE1008">
        <w:rPr>
          <w:rFonts w:ascii="Times New Roman" w:eastAsia="Calibri" w:hAnsi="Times New Roman" w:cs="Times New Roman"/>
          <w:sz w:val="20"/>
          <w:szCs w:val="20"/>
        </w:rPr>
        <w:t>. N</w:t>
      </w:r>
      <w:r w:rsidRPr="00AE1008">
        <w:rPr>
          <w:rFonts w:ascii="Times New Roman" w:eastAsia="Calibri" w:hAnsi="Times New Roman" w:cs="Times New Roman"/>
          <w:sz w:val="20"/>
          <w:szCs w:val="20"/>
        </w:rPr>
        <w:t>ajaa1Nahla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Hwallaa</w:t>
      </w:r>
      <w:proofErr w:type="spellEnd"/>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Nnutritional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dietary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intakes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amid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transition: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case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Eastern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Mediterranean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Region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lastRenderedPageBreak/>
        <w:t>Researc</w:t>
      </w:r>
      <w:r w:rsidR="00B84F41" w:rsidRPr="00AE1008">
        <w:rPr>
          <w:rFonts w:ascii="Times New Roman" w:eastAsia="Calibri" w:hAnsi="Times New Roman" w:cs="Times New Roman"/>
          <w:sz w:val="20"/>
          <w:szCs w:val="20"/>
        </w:rPr>
        <w:t>h V</w:t>
      </w:r>
      <w:r w:rsidRPr="00AE1008">
        <w:rPr>
          <w:rFonts w:ascii="Times New Roman" w:eastAsia="Calibri" w:hAnsi="Times New Roman" w:cs="Times New Roman"/>
          <w:sz w:val="20"/>
          <w:szCs w:val="20"/>
        </w:rPr>
        <w:t>olume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57,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September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Pages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12-27.</w:t>
      </w:r>
      <w:bookmarkEnd w:id="1"/>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Levenson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Regulation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NMDA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receptor: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implications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neuropsychological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64,</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428–432.</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Lind,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Lonnerdal</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Stenlund</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Ismail,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Seswandhana</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Ekstrom</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Persson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community-based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randomized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controlled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trial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iron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supplementation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Indonesian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infants: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interactions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between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iron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American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Journal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Clinical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77,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883–890.</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Lott,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B84F41" w:rsidRPr="00AE1008">
        <w:rPr>
          <w:rFonts w:ascii="Times New Roman" w:eastAsia="Calibri" w:hAnsi="Times New Roman" w:cs="Times New Roman"/>
          <w:sz w:val="20"/>
          <w:szCs w:val="20"/>
        </w:rPr>
        <w:t>. N. A</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Ockenden</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Raboy</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Batten,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w:t>
      </w:r>
      <w:r w:rsidR="00B84F41" w:rsidRPr="00AE1008">
        <w:rPr>
          <w:rFonts w:ascii="Times New Roman" w:eastAsia="Calibri" w:hAnsi="Times New Roman" w:cs="Times New Roman"/>
          <w:sz w:val="20"/>
          <w:szCs w:val="20"/>
        </w:rPr>
        <w:t>. D</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2000.</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phosphorous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crop</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seeds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fruits: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global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estimate.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Science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Research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10,</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11–33.</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Luabeya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KK,</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Mpontshane</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Mackay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Ward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Elson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Chhagan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Zinc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multiple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micronutrient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supplementation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reduce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diarrhea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respiratory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disease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South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African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randomized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controlled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trial.</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PLoS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ONE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2(6):e541.</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Martorell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Stein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Schroeder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Early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later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adiposity.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2001;131:874S–80S.</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Michaelsen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Greer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Protein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needs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early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life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long-term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ClinNutr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2014;99:718S–22S.</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Nyaruhucha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CNM,</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Mamiro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Kerengi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Shayo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NB</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under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pastoral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community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Simanjiro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district,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Tanzania.</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Tanzan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Bull,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32-36.</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NNI</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National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Institute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Composition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Table,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Cairo,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B84F41" w:rsidRPr="00AE1008">
        <w:rPr>
          <w:rFonts w:ascii="Times New Roman" w:eastAsia="Calibri" w:hAnsi="Times New Roman" w:cs="Times New Roman"/>
          <w:sz w:val="20"/>
          <w:szCs w:val="20"/>
        </w:rPr>
        <w:t>. R. E</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UNICEF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Micronutrient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Initiative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/Tulane.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Progress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controlling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vitamin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deficiency.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Ottawa: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Micronutrient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Initiative,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1998.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UNICEF.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Goals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1990s;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Available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from: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http://www.unicef.org/wsc/goals.htm.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Accessed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December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Roman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Viñas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Riba</w:t>
      </w:r>
      <w:r w:rsidR="00B84F41" w:rsidRPr="00AE1008">
        <w:rPr>
          <w:rFonts w:ascii="Times New Roman" w:eastAsia="Calibri" w:hAnsi="Times New Roman" w:cs="Times New Roman"/>
          <w:sz w:val="20"/>
          <w:szCs w:val="20"/>
        </w:rPr>
        <w:t>s</w:t>
      </w:r>
      <w:proofErr w:type="spellEnd"/>
      <w:r w:rsidR="00B84F41" w:rsidRPr="00AE1008">
        <w:rPr>
          <w:rFonts w:ascii="Times New Roman" w:eastAsia="Calibri" w:hAnsi="Times New Roman" w:cs="Times New Roman"/>
          <w:sz w:val="20"/>
          <w:szCs w:val="20"/>
        </w:rPr>
        <w:t xml:space="preserve"> </w:t>
      </w:r>
      <w:proofErr w:type="spellStart"/>
      <w:r w:rsidR="00B84F41" w:rsidRPr="00AE1008">
        <w:rPr>
          <w:rFonts w:ascii="Times New Roman" w:eastAsia="Calibri" w:hAnsi="Times New Roman" w:cs="Times New Roman"/>
          <w:sz w:val="20"/>
          <w:szCs w:val="20"/>
        </w:rPr>
        <w:t>B</w:t>
      </w:r>
      <w:r w:rsidRPr="00AE1008">
        <w:rPr>
          <w:rFonts w:ascii="Times New Roman" w:eastAsia="Calibri" w:hAnsi="Times New Roman" w:cs="Times New Roman"/>
          <w:sz w:val="20"/>
          <w:szCs w:val="20"/>
        </w:rPr>
        <w:t>arba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Ngo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Gurinovic</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Novakovic</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Cavelaars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Groot</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LC,</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van't</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Veer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Matthys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Serra</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Majem</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Projected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prevalence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inadequate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intakes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Europe</w:t>
      </w:r>
      <w:r w:rsidR="00F25EDD" w:rsidRPr="00AE1008">
        <w:rPr>
          <w:rFonts w:ascii="Times New Roman" w:hAnsi="Times New Roman" w:cs="Times New Roman"/>
          <w:sz w:val="20"/>
          <w:szCs w:val="20"/>
        </w:rPr>
        <w:t xml:space="preserve"> </w:t>
      </w:r>
      <w:r w:rsidRPr="00AE1008">
        <w:rPr>
          <w:rFonts w:ascii="Times New Roman" w:eastAsia="Calibri" w:hAnsi="Times New Roman" w:cs="Times New Roman"/>
          <w:sz w:val="20"/>
          <w:szCs w:val="20"/>
        </w:rPr>
        <w:t>Ann</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NutrMetab</w:t>
      </w:r>
      <w:proofErr w:type="spellEnd"/>
      <w:r w:rsidRPr="00AE1008">
        <w:rPr>
          <w:rFonts w:ascii="Times New Roman" w:eastAsia="Calibri" w:hAnsi="Times New Roman" w:cs="Times New Roman"/>
          <w:sz w:val="20"/>
          <w:szCs w:val="20"/>
        </w:rPr>
        <w: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2011;59(2-4):84.</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Semba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Bloem</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anemia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vitamin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deficiency: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epidemiology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pathogenesis.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Eur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ClinNutr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2002;56:271.</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Serdula</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Alexander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MP,</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Scanlon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Bowman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What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are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preschool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eating?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review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dietary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assessment.</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Annu</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2001,</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21:475-98.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Sight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LIFE.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NEWSLETTER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3/2002.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Editorial.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Contents.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Vitmin</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relatives: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marvellous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molecules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key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life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processes.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Page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3.</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Vitamin</w:t>
      </w:r>
      <w:r w:rsidR="00F25EDD" w:rsidRPr="00AE1008">
        <w:rPr>
          <w:rFonts w:ascii="Times New Roman" w:eastAsia="Calibri" w:hAnsi="Times New Roman" w:cs="Times New Roman"/>
          <w:sz w:val="20"/>
          <w:szCs w:val="20"/>
        </w:rPr>
        <w:t xml:space="preserve"> </w:t>
      </w:r>
      <w:r w:rsidR="003E6085"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003E6085" w:rsidRPr="00AE1008">
        <w:rPr>
          <w:rFonts w:ascii="Times New Roman" w:eastAsia="Calibri" w:hAnsi="Times New Roman" w:cs="Times New Roman"/>
          <w:sz w:val="20"/>
          <w:szCs w:val="20"/>
        </w:rPr>
        <w:t>PH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Goodman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www.a2zproject.org/~a2zorg/pdf/30%202002%20SL.</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SPSS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Statistical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Package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Social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Science,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Computer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Software,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IBM,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SPSS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Ver.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16.0</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2008.,</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SPSS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Company,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London,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UK.</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Walker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SP,</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Wachs</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Grantham-McGregor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Black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MM,</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Nelson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Huffman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Baker-</w:t>
      </w:r>
      <w:proofErr w:type="spellStart"/>
      <w:r w:rsidRPr="00AE1008">
        <w:rPr>
          <w:rFonts w:ascii="Times New Roman" w:eastAsia="Calibri" w:hAnsi="Times New Roman" w:cs="Times New Roman"/>
          <w:sz w:val="20"/>
          <w:szCs w:val="20"/>
        </w:rPr>
        <w:t>Henningham</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Chang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SM,</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Hamadani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JD,</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Lozoff</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Inequality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early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childhood: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risk</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protective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factors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early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Lancet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2011;378:1325–38.</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lastRenderedPageBreak/>
        <w:t>Wang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X,</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Hojer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Guo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Luo</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Zhou</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Wang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Stunting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“overweight”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the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WHO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Growth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Standards—malnutrition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among</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children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area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China.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Public</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2009;12: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1991-8.</w:t>
      </w:r>
      <w:r w:rsidR="00F25EDD" w:rsidRPr="00AE1008">
        <w:rPr>
          <w:rFonts w:ascii="Times New Roman" w:eastAsia="Calibri" w:hAnsi="Times New Roman" w:cs="Times New Roman"/>
          <w:sz w:val="20"/>
          <w:szCs w:val="20"/>
        </w:rPr>
        <w:t xml:space="preserve"> </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WHO.2006:</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WHO</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child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growth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standards: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length/height-for-age,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weight-for-age,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weight-for-length,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weight-for-height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body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mass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index-for-age: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methods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development.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Geneva,</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World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Health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Organization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(2006).</w:t>
      </w:r>
    </w:p>
    <w:p w:rsidR="00FB56D5" w:rsidRPr="00AE1008" w:rsidRDefault="00FB56D5" w:rsidP="00B84F41">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Calibri" w:hAnsi="Times New Roman" w:cs="Times New Roman"/>
          <w:sz w:val="20"/>
          <w:szCs w:val="20"/>
        </w:rPr>
      </w:pPr>
      <w:proofErr w:type="spellStart"/>
      <w:r w:rsidRPr="00AE1008">
        <w:rPr>
          <w:rFonts w:ascii="Times New Roman" w:eastAsia="Calibri" w:hAnsi="Times New Roman" w:cs="Times New Roman"/>
          <w:sz w:val="20"/>
          <w:szCs w:val="20"/>
        </w:rPr>
        <w:t>Viteri</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FE,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Gonzalez</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H.</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Adverse</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outcomes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of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poor</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micronutrient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status</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in</w:t>
      </w:r>
      <w:r w:rsidR="00B84F41" w:rsidRPr="00AE1008">
        <w:rPr>
          <w:rFonts w:ascii="Times New Roman" w:hAnsi="Times New Roman" w:cs="Times New Roman" w:hint="eastAsia"/>
          <w:sz w:val="20"/>
          <w:szCs w:val="20"/>
          <w:lang w:eastAsia="zh-CN"/>
        </w:rPr>
        <w:t xml:space="preserve"> </w:t>
      </w:r>
      <w:r w:rsidRPr="00AE1008">
        <w:rPr>
          <w:rFonts w:ascii="Times New Roman" w:eastAsia="Calibri" w:hAnsi="Times New Roman" w:cs="Times New Roman"/>
          <w:sz w:val="20"/>
          <w:szCs w:val="20"/>
        </w:rPr>
        <w:t>Childhood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and</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adolescence.</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Nutr</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Rev</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2002;</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60(5</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pt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w:t>
      </w:r>
      <w:r w:rsidR="00B84F41" w:rsidRPr="00AE1008">
        <w:rPr>
          <w:rFonts w:ascii="Times New Roman" w:eastAsia="Calibri" w:hAnsi="Times New Roman" w:cs="Times New Roman"/>
          <w:sz w:val="20"/>
          <w:szCs w:val="20"/>
        </w:rPr>
        <w:t>: S</w:t>
      </w:r>
      <w:r w:rsidRPr="00AE1008">
        <w:rPr>
          <w:rFonts w:ascii="Times New Roman" w:eastAsia="Calibri" w:hAnsi="Times New Roman" w:cs="Times New Roman"/>
          <w:sz w:val="20"/>
          <w:szCs w:val="20"/>
        </w:rPr>
        <w:t>77–83.</w:t>
      </w:r>
    </w:p>
    <w:p w:rsidR="00FB56D5" w:rsidRPr="00AE1008" w:rsidRDefault="00FB56D5" w:rsidP="00B84F41">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AE1008">
        <w:rPr>
          <w:rFonts w:ascii="Times New Roman" w:eastAsia="Calibri" w:hAnsi="Times New Roman" w:cs="Times New Roman"/>
          <w:sz w:val="20"/>
          <w:szCs w:val="20"/>
        </w:rPr>
        <w:t>Zimmermann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MB,</w:t>
      </w:r>
      <w:r w:rsidR="00F25EDD" w:rsidRPr="00AE1008">
        <w:rPr>
          <w:rFonts w:ascii="Times New Roman" w:eastAsia="Calibri" w:hAnsi="Times New Roman" w:cs="Times New Roman"/>
          <w:sz w:val="20"/>
          <w:szCs w:val="20"/>
        </w:rPr>
        <w:t xml:space="preserve"> </w:t>
      </w:r>
      <w:proofErr w:type="spellStart"/>
      <w:r w:rsidRPr="00AE1008">
        <w:rPr>
          <w:rFonts w:ascii="Times New Roman" w:eastAsia="Calibri" w:hAnsi="Times New Roman" w:cs="Times New Roman"/>
          <w:sz w:val="20"/>
          <w:szCs w:val="20"/>
        </w:rPr>
        <w:t>Hurrell</w:t>
      </w:r>
      <w:proofErr w:type="spellEnd"/>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RF.</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Nutritional</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iron</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deficiency.</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Lancet</w:t>
      </w:r>
      <w:r w:rsidR="00F25EDD" w:rsidRPr="00AE1008">
        <w:rPr>
          <w:rFonts w:ascii="Times New Roman" w:eastAsia="Calibri" w:hAnsi="Times New Roman" w:cs="Times New Roman"/>
          <w:sz w:val="20"/>
          <w:szCs w:val="20"/>
        </w:rPr>
        <w:t xml:space="preserve"> </w:t>
      </w:r>
      <w:r w:rsidRPr="00AE1008">
        <w:rPr>
          <w:rFonts w:ascii="Times New Roman" w:eastAsia="Calibri" w:hAnsi="Times New Roman" w:cs="Times New Roman"/>
          <w:sz w:val="20"/>
          <w:szCs w:val="20"/>
        </w:rPr>
        <w:t>2007;370(9586):511–20.</w:t>
      </w:r>
      <w:bookmarkStart w:id="2" w:name="_GoBack"/>
      <w:bookmarkEnd w:id="2"/>
    </w:p>
    <w:p w:rsidR="00B84F41" w:rsidRPr="00AE1008" w:rsidRDefault="00B84F41" w:rsidP="00B84F41">
      <w:pPr>
        <w:snapToGrid w:val="0"/>
        <w:spacing w:after="0" w:line="240" w:lineRule="auto"/>
        <w:ind w:left="425" w:hanging="425"/>
        <w:jc w:val="both"/>
        <w:rPr>
          <w:rFonts w:ascii="Times New Roman" w:eastAsia="Calibri" w:hAnsi="Times New Roman" w:cs="Times New Roman"/>
          <w:sz w:val="20"/>
          <w:szCs w:val="20"/>
        </w:rPr>
        <w:sectPr w:rsidR="00B84F41" w:rsidRPr="00AE1008" w:rsidSect="00B84F41">
          <w:type w:val="continuous"/>
          <w:pgSz w:w="12240" w:h="15840" w:code="1"/>
          <w:pgMar w:top="1440" w:right="1440" w:bottom="1440" w:left="1440" w:header="720" w:footer="720" w:gutter="0"/>
          <w:cols w:num="2" w:space="550"/>
          <w:docGrid w:linePitch="360"/>
        </w:sectPr>
      </w:pPr>
    </w:p>
    <w:p w:rsidR="00F25EDD" w:rsidRPr="00AE1008" w:rsidRDefault="00F25EDD" w:rsidP="00B84F41">
      <w:pPr>
        <w:snapToGrid w:val="0"/>
        <w:spacing w:after="0" w:line="240" w:lineRule="auto"/>
        <w:ind w:left="425" w:hanging="425"/>
        <w:jc w:val="both"/>
        <w:rPr>
          <w:rFonts w:ascii="Times New Roman" w:eastAsia="Calibri" w:hAnsi="Times New Roman" w:cs="Times New Roman"/>
          <w:sz w:val="20"/>
          <w:szCs w:val="20"/>
        </w:rPr>
      </w:pPr>
    </w:p>
    <w:p w:rsidR="00F25EDD" w:rsidRPr="00AE1008" w:rsidRDefault="00F25EDD" w:rsidP="00B84F41">
      <w:pPr>
        <w:snapToGrid w:val="0"/>
        <w:spacing w:after="0" w:line="240" w:lineRule="auto"/>
        <w:ind w:left="425" w:hanging="425"/>
        <w:jc w:val="both"/>
        <w:rPr>
          <w:rFonts w:ascii="Times New Roman" w:hAnsi="Times New Roman" w:cs="Times New Roman"/>
          <w:sz w:val="20"/>
          <w:szCs w:val="20"/>
        </w:rPr>
      </w:pPr>
      <w:r w:rsidRPr="00AE1008">
        <w:rPr>
          <w:rFonts w:ascii="Times New Roman" w:hAnsi="Times New Roman" w:cs="Times New Roman"/>
          <w:sz w:val="20"/>
          <w:szCs w:val="20"/>
        </w:rPr>
        <w:cr/>
      </w:r>
    </w:p>
    <w:p w:rsidR="00745032" w:rsidRPr="00AE1008" w:rsidRDefault="00F25EDD" w:rsidP="00B84F41">
      <w:pPr>
        <w:snapToGrid w:val="0"/>
        <w:spacing w:after="0" w:line="240" w:lineRule="auto"/>
        <w:jc w:val="both"/>
        <w:rPr>
          <w:rFonts w:ascii="Times New Roman" w:hAnsi="Times New Roman" w:cs="Times New Roman"/>
          <w:sz w:val="20"/>
          <w:szCs w:val="20"/>
        </w:rPr>
      </w:pPr>
      <w:r w:rsidRPr="00AE1008">
        <w:rPr>
          <w:rFonts w:ascii="Times New Roman" w:hAnsi="Times New Roman" w:cs="Times New Roman"/>
          <w:sz w:val="20"/>
          <w:szCs w:val="20"/>
        </w:rPr>
        <w:t>11/17/2018</w:t>
      </w:r>
    </w:p>
    <w:sectPr w:rsidR="00745032" w:rsidRPr="00AE1008" w:rsidSect="00F25ED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D5" w:rsidRDefault="00BE69D5" w:rsidP="00C4157D">
      <w:pPr>
        <w:spacing w:after="0" w:line="240" w:lineRule="auto"/>
      </w:pPr>
      <w:r>
        <w:separator/>
      </w:r>
    </w:p>
  </w:endnote>
  <w:endnote w:type="continuationSeparator" w:id="0">
    <w:p w:rsidR="00BE69D5" w:rsidRDefault="00BE69D5" w:rsidP="00C4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BA0" w:rsidRPr="003E3DFC" w:rsidRDefault="001808DB" w:rsidP="003E3DFC">
    <w:pPr>
      <w:spacing w:after="0" w:line="240" w:lineRule="auto"/>
      <w:jc w:val="center"/>
      <w:rPr>
        <w:rFonts w:ascii="Times New Roman" w:hAnsi="Times New Roman" w:cs="Times New Roman"/>
        <w:sz w:val="20"/>
      </w:rPr>
    </w:pPr>
    <w:r w:rsidRPr="003E3DFC">
      <w:rPr>
        <w:rFonts w:ascii="Times New Roman" w:hAnsi="Times New Roman" w:cs="Times New Roman"/>
        <w:sz w:val="20"/>
      </w:rPr>
      <w:fldChar w:fldCharType="begin"/>
    </w:r>
    <w:r w:rsidR="007A2BA0" w:rsidRPr="003E3DFC">
      <w:rPr>
        <w:rFonts w:ascii="Times New Roman" w:hAnsi="Times New Roman" w:cs="Times New Roman"/>
        <w:sz w:val="20"/>
      </w:rPr>
      <w:instrText xml:space="preserve"> page </w:instrText>
    </w:r>
    <w:r w:rsidRPr="003E3DFC">
      <w:rPr>
        <w:rFonts w:ascii="Times New Roman" w:hAnsi="Times New Roman" w:cs="Times New Roman"/>
        <w:sz w:val="20"/>
      </w:rPr>
      <w:fldChar w:fldCharType="separate"/>
    </w:r>
    <w:r w:rsidR="00A92AED">
      <w:rPr>
        <w:rFonts w:ascii="Times New Roman" w:hAnsi="Times New Roman" w:cs="Times New Roman"/>
        <w:noProof/>
        <w:sz w:val="20"/>
      </w:rPr>
      <w:t>9</w:t>
    </w:r>
    <w:r w:rsidRPr="003E3D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D5" w:rsidRDefault="00BE69D5" w:rsidP="00C4157D">
      <w:pPr>
        <w:spacing w:after="0" w:line="240" w:lineRule="auto"/>
      </w:pPr>
      <w:r>
        <w:separator/>
      </w:r>
    </w:p>
  </w:footnote>
  <w:footnote w:type="continuationSeparator" w:id="0">
    <w:p w:rsidR="00BE69D5" w:rsidRDefault="00BE69D5" w:rsidP="00C4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BA0" w:rsidRPr="003E3DFC" w:rsidRDefault="007A2BA0" w:rsidP="003E3D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3DFC">
      <w:rPr>
        <w:rFonts w:ascii="Times New Roman" w:hAnsi="Times New Roman" w:cs="Times New Roman" w:hint="eastAsia"/>
        <w:iCs/>
        <w:color w:val="000000"/>
        <w:sz w:val="20"/>
        <w:szCs w:val="20"/>
      </w:rPr>
      <w:tab/>
    </w:r>
    <w:r w:rsidRPr="003E3DFC">
      <w:rPr>
        <w:rFonts w:ascii="Times New Roman" w:hAnsi="Times New Roman" w:cs="Times New Roman"/>
        <w:iCs/>
        <w:color w:val="000000"/>
        <w:sz w:val="20"/>
        <w:szCs w:val="20"/>
      </w:rPr>
      <w:t xml:space="preserve">Researcher </w:t>
    </w:r>
    <w:r w:rsidRPr="003E3DFC">
      <w:rPr>
        <w:rFonts w:ascii="Times New Roman" w:hAnsi="Times New Roman" w:cs="Times New Roman"/>
        <w:iCs/>
        <w:sz w:val="20"/>
        <w:szCs w:val="20"/>
      </w:rPr>
      <w:t>201</w:t>
    </w:r>
    <w:r w:rsidRPr="003E3DFC">
      <w:rPr>
        <w:rFonts w:ascii="Times New Roman" w:hAnsi="Times New Roman" w:cs="Times New Roman" w:hint="eastAsia"/>
        <w:iCs/>
        <w:sz w:val="20"/>
        <w:szCs w:val="20"/>
      </w:rPr>
      <w:t>8</w:t>
    </w:r>
    <w:r w:rsidRPr="003E3DFC">
      <w:rPr>
        <w:rFonts w:ascii="Times New Roman" w:hAnsi="Times New Roman" w:cs="Times New Roman"/>
        <w:iCs/>
        <w:sz w:val="20"/>
        <w:szCs w:val="20"/>
      </w:rPr>
      <w:t>;</w:t>
    </w:r>
    <w:r w:rsidRPr="003E3DFC">
      <w:rPr>
        <w:rFonts w:ascii="Times New Roman" w:hAnsi="Times New Roman" w:cs="Times New Roman" w:hint="eastAsia"/>
        <w:iCs/>
        <w:sz w:val="20"/>
        <w:szCs w:val="20"/>
      </w:rPr>
      <w:t>10</w:t>
    </w:r>
    <w:r w:rsidRPr="003E3DFC">
      <w:rPr>
        <w:rFonts w:ascii="Times New Roman" w:hAnsi="Times New Roman" w:cs="Times New Roman"/>
        <w:iCs/>
        <w:sz w:val="20"/>
        <w:szCs w:val="20"/>
      </w:rPr>
      <w:t>(</w:t>
    </w:r>
    <w:r w:rsidRPr="003E3DFC">
      <w:rPr>
        <w:rFonts w:ascii="Times New Roman" w:hAnsi="Times New Roman" w:cs="Times New Roman" w:hint="eastAsia"/>
        <w:iCs/>
        <w:sz w:val="20"/>
        <w:szCs w:val="20"/>
      </w:rPr>
      <w:t>11</w:t>
    </w:r>
    <w:r w:rsidRPr="003E3DFC">
      <w:rPr>
        <w:rFonts w:ascii="Times New Roman" w:hAnsi="Times New Roman" w:cs="Times New Roman"/>
        <w:iCs/>
        <w:sz w:val="20"/>
        <w:szCs w:val="20"/>
      </w:rPr>
      <w:t xml:space="preserve">)  </w:t>
    </w:r>
    <w:r w:rsidRPr="003E3DFC">
      <w:rPr>
        <w:rFonts w:ascii="Times New Roman" w:hAnsi="Times New Roman" w:cs="Times New Roman" w:hint="eastAsia"/>
        <w:iCs/>
        <w:sz w:val="20"/>
        <w:szCs w:val="20"/>
      </w:rPr>
      <w:t xml:space="preserve"> </w:t>
    </w:r>
    <w:r w:rsidRPr="003E3DFC">
      <w:rPr>
        <w:rFonts w:ascii="Times New Roman" w:hAnsi="Times New Roman" w:cs="Times New Roman"/>
        <w:iCs/>
        <w:sz w:val="20"/>
        <w:szCs w:val="20"/>
      </w:rPr>
      <w:t xml:space="preserve"> </w:t>
    </w:r>
    <w:r w:rsidRPr="003E3DFC">
      <w:rPr>
        <w:rFonts w:ascii="Times New Roman" w:hAnsi="Times New Roman" w:cs="Times New Roman" w:hint="eastAsia"/>
        <w:iCs/>
        <w:sz w:val="20"/>
        <w:szCs w:val="20"/>
      </w:rPr>
      <w:tab/>
    </w:r>
    <w:r w:rsidRPr="003E3DFC">
      <w:rPr>
        <w:rFonts w:ascii="Times New Roman" w:hAnsi="Times New Roman" w:cs="Times New Roman"/>
        <w:iCs/>
        <w:sz w:val="20"/>
        <w:szCs w:val="20"/>
      </w:rPr>
      <w:t xml:space="preserve">    </w:t>
    </w:r>
    <w:r w:rsidRPr="003E3DFC">
      <w:rPr>
        <w:rFonts w:ascii="Times New Roman" w:hAnsi="Times New Roman" w:cs="Times New Roman"/>
        <w:sz w:val="20"/>
        <w:szCs w:val="20"/>
      </w:rPr>
      <w:t xml:space="preserve"> </w:t>
    </w:r>
    <w:hyperlink r:id="rId1" w:history="1">
      <w:r w:rsidRPr="003E3DFC">
        <w:rPr>
          <w:rStyle w:val="Hyperlink"/>
          <w:rFonts w:ascii="Times New Roman" w:hAnsi="Times New Roman" w:cs="Times New Roman"/>
          <w:sz w:val="20"/>
          <w:szCs w:val="20"/>
        </w:rPr>
        <w:t>http://www.sciencepub.net/researcher</w:t>
      </w:r>
    </w:hyperlink>
  </w:p>
  <w:p w:rsidR="007A2BA0" w:rsidRPr="003E3DFC" w:rsidRDefault="007A2BA0" w:rsidP="003E3D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1E6A"/>
    <w:multiLevelType w:val="hybridMultilevel"/>
    <w:tmpl w:val="DEB20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FB56D5"/>
    <w:rsid w:val="00023871"/>
    <w:rsid w:val="00051D32"/>
    <w:rsid w:val="000844E0"/>
    <w:rsid w:val="000A0915"/>
    <w:rsid w:val="000B13A2"/>
    <w:rsid w:val="000B3A65"/>
    <w:rsid w:val="000B77FD"/>
    <w:rsid w:val="000D638E"/>
    <w:rsid w:val="000E7619"/>
    <w:rsid w:val="00127785"/>
    <w:rsid w:val="00156927"/>
    <w:rsid w:val="0016091E"/>
    <w:rsid w:val="0018062E"/>
    <w:rsid w:val="001808DB"/>
    <w:rsid w:val="002108CB"/>
    <w:rsid w:val="00213CBA"/>
    <w:rsid w:val="00216DB3"/>
    <w:rsid w:val="002964E9"/>
    <w:rsid w:val="002D70D5"/>
    <w:rsid w:val="002F43A6"/>
    <w:rsid w:val="002F68FE"/>
    <w:rsid w:val="00305E4D"/>
    <w:rsid w:val="00325C39"/>
    <w:rsid w:val="00331783"/>
    <w:rsid w:val="003325E8"/>
    <w:rsid w:val="00361E63"/>
    <w:rsid w:val="003B466B"/>
    <w:rsid w:val="003E3DFC"/>
    <w:rsid w:val="003E6085"/>
    <w:rsid w:val="00454861"/>
    <w:rsid w:val="00482A25"/>
    <w:rsid w:val="004F7A68"/>
    <w:rsid w:val="00504B02"/>
    <w:rsid w:val="00520451"/>
    <w:rsid w:val="00520F15"/>
    <w:rsid w:val="00574A23"/>
    <w:rsid w:val="005E33C8"/>
    <w:rsid w:val="005F22A1"/>
    <w:rsid w:val="00626AA8"/>
    <w:rsid w:val="00652DB0"/>
    <w:rsid w:val="006941A2"/>
    <w:rsid w:val="006A42D7"/>
    <w:rsid w:val="006B5CBC"/>
    <w:rsid w:val="00745032"/>
    <w:rsid w:val="00782108"/>
    <w:rsid w:val="007974BE"/>
    <w:rsid w:val="007A2BA0"/>
    <w:rsid w:val="007F0F49"/>
    <w:rsid w:val="00835F58"/>
    <w:rsid w:val="00850C32"/>
    <w:rsid w:val="008A76EA"/>
    <w:rsid w:val="008F562F"/>
    <w:rsid w:val="00925DAD"/>
    <w:rsid w:val="0093208A"/>
    <w:rsid w:val="00975F6B"/>
    <w:rsid w:val="009A487B"/>
    <w:rsid w:val="00A13B9A"/>
    <w:rsid w:val="00A15A2F"/>
    <w:rsid w:val="00A53C90"/>
    <w:rsid w:val="00A92AED"/>
    <w:rsid w:val="00AE1008"/>
    <w:rsid w:val="00AE3B5B"/>
    <w:rsid w:val="00AF365B"/>
    <w:rsid w:val="00B84F41"/>
    <w:rsid w:val="00B94900"/>
    <w:rsid w:val="00BB0AD2"/>
    <w:rsid w:val="00BB25B1"/>
    <w:rsid w:val="00BE69D5"/>
    <w:rsid w:val="00BF4D79"/>
    <w:rsid w:val="00C2448D"/>
    <w:rsid w:val="00C333C5"/>
    <w:rsid w:val="00C4157D"/>
    <w:rsid w:val="00CC740B"/>
    <w:rsid w:val="00CF1BD4"/>
    <w:rsid w:val="00D26A43"/>
    <w:rsid w:val="00D2784C"/>
    <w:rsid w:val="00D53683"/>
    <w:rsid w:val="00DA6BF7"/>
    <w:rsid w:val="00DB4EF8"/>
    <w:rsid w:val="00EA6AC2"/>
    <w:rsid w:val="00EC40D7"/>
    <w:rsid w:val="00F2458E"/>
    <w:rsid w:val="00F25EDD"/>
    <w:rsid w:val="00F52780"/>
    <w:rsid w:val="00F57CD1"/>
    <w:rsid w:val="00F659C7"/>
    <w:rsid w:val="00F828D1"/>
    <w:rsid w:val="00FA3BA2"/>
    <w:rsid w:val="00FB0DE4"/>
    <w:rsid w:val="00FB56D5"/>
    <w:rsid w:val="00FD0519"/>
    <w:rsid w:val="00FF08A3"/>
    <w:rsid w:val="00FF6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6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6D5"/>
  </w:style>
  <w:style w:type="paragraph" w:styleId="Footer">
    <w:name w:val="footer"/>
    <w:basedOn w:val="Normal"/>
    <w:link w:val="FooterChar"/>
    <w:uiPriority w:val="99"/>
    <w:unhideWhenUsed/>
    <w:rsid w:val="00FB56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6D5"/>
  </w:style>
  <w:style w:type="paragraph" w:styleId="BalloonText">
    <w:name w:val="Balloon Text"/>
    <w:basedOn w:val="Normal"/>
    <w:link w:val="BalloonTextChar"/>
    <w:uiPriority w:val="99"/>
    <w:semiHidden/>
    <w:unhideWhenUsed/>
    <w:rsid w:val="00FB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D5"/>
    <w:rPr>
      <w:rFonts w:ascii="Segoe UI" w:hAnsi="Segoe UI" w:cs="Segoe UI"/>
      <w:sz w:val="18"/>
      <w:szCs w:val="18"/>
    </w:rPr>
  </w:style>
  <w:style w:type="character" w:styleId="Hyperlink">
    <w:name w:val="Hyperlink"/>
    <w:uiPriority w:val="99"/>
    <w:unhideWhenUsed/>
    <w:rsid w:val="00C4157D"/>
    <w:rPr>
      <w:color w:val="0000FF"/>
      <w:u w:val="single"/>
    </w:rPr>
  </w:style>
  <w:style w:type="paragraph" w:styleId="ListParagraph">
    <w:name w:val="List Paragraph"/>
    <w:basedOn w:val="Normal"/>
    <w:uiPriority w:val="34"/>
    <w:qFormat/>
    <w:rsid w:val="00B84F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341868">
      <w:bodyDiv w:val="1"/>
      <w:marLeft w:val="0"/>
      <w:marRight w:val="0"/>
      <w:marTop w:val="0"/>
      <w:marBottom w:val="0"/>
      <w:divBdr>
        <w:top w:val="none" w:sz="0" w:space="0" w:color="auto"/>
        <w:left w:val="none" w:sz="0" w:space="0" w:color="auto"/>
        <w:bottom w:val="none" w:sz="0" w:space="0" w:color="auto"/>
        <w:right w:val="none" w:sz="0" w:space="0" w:color="auto"/>
      </w:divBdr>
    </w:div>
    <w:div w:id="15272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alwamahmoud@yahoo.com" TargetMode="External"/><Relationship Id="rId13" Type="http://schemas.openxmlformats.org/officeDocument/2006/relationships/hyperlink" Target="https://www.frontiersin.org/articles/10.3389/fnhum.2013.00097/f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iencedirect.com/topics/medicine-and-dentistry/vitamin-d" TargetMode="External"/><Relationship Id="rId2" Type="http://schemas.openxmlformats.org/officeDocument/2006/relationships/numbering" Target="numbering.xml"/><Relationship Id="rId16" Type="http://schemas.openxmlformats.org/officeDocument/2006/relationships/hyperlink" Target="https://www.sciencedirect.com/topics/biochemistry-genetics-and-molecular-biology/folic-acid"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rontiersin.org/articles/10.3389/fnhum.2013.00097/full" TargetMode="External"/><Relationship Id="rId10" Type="http://schemas.openxmlformats.org/officeDocument/2006/relationships/hyperlink" Target="http://www.dx.doi.org/10.7537/marsrsj101118.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www.frontiersin.org/articles/10.3389/fnhum.2013.00097/ful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391F-8C72-4463-9CB4-2B4EED2A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Administrator</cp:lastModifiedBy>
  <cp:revision>4</cp:revision>
  <dcterms:created xsi:type="dcterms:W3CDTF">2018-11-19T12:57:00Z</dcterms:created>
  <dcterms:modified xsi:type="dcterms:W3CDTF">2018-11-20T04:47:00Z</dcterms:modified>
</cp:coreProperties>
</file>