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54" w:rsidRPr="00D03279" w:rsidRDefault="00F70BB5" w:rsidP="000D5835">
      <w:pPr>
        <w:bidi w:val="0"/>
        <w:snapToGrid w:val="0"/>
        <w:jc w:val="center"/>
        <w:rPr>
          <w:b/>
          <w:bCs/>
          <w:sz w:val="20"/>
          <w:szCs w:val="20"/>
          <w:lang w:bidi="ar-EG"/>
        </w:rPr>
      </w:pPr>
      <w:bookmarkStart w:id="0" w:name="_Toc523820011"/>
      <w:r w:rsidRPr="00D03279">
        <w:rPr>
          <w:b/>
          <w:bCs/>
          <w:sz w:val="20"/>
          <w:szCs w:val="20"/>
        </w:rPr>
        <w:t>Surgical versus Non-Surgical Intervention</w:t>
      </w:r>
      <w:r w:rsidR="002C5A90" w:rsidRPr="00D03279">
        <w:rPr>
          <w:b/>
          <w:bCs/>
          <w:sz w:val="20"/>
          <w:szCs w:val="20"/>
        </w:rPr>
        <w:t xml:space="preserve"> </w:t>
      </w:r>
      <w:r w:rsidRPr="00D03279">
        <w:rPr>
          <w:b/>
          <w:bCs/>
          <w:sz w:val="20"/>
          <w:szCs w:val="20"/>
        </w:rPr>
        <w:t>for Vocal</w:t>
      </w:r>
      <w:r w:rsidR="002C7754" w:rsidRPr="00D03279">
        <w:rPr>
          <w:b/>
          <w:bCs/>
          <w:sz w:val="20"/>
          <w:szCs w:val="20"/>
        </w:rPr>
        <w:t xml:space="preserve"> </w:t>
      </w:r>
      <w:r w:rsidRPr="00D03279">
        <w:rPr>
          <w:b/>
          <w:bCs/>
          <w:sz w:val="20"/>
          <w:szCs w:val="20"/>
        </w:rPr>
        <w:t>Cord</w:t>
      </w:r>
      <w:r w:rsidR="002C7754" w:rsidRPr="00D03279">
        <w:rPr>
          <w:b/>
          <w:bCs/>
          <w:sz w:val="20"/>
          <w:szCs w:val="20"/>
        </w:rPr>
        <w:t xml:space="preserve"> </w:t>
      </w:r>
      <w:r w:rsidRPr="00D03279">
        <w:rPr>
          <w:b/>
          <w:bCs/>
          <w:sz w:val="20"/>
          <w:szCs w:val="20"/>
        </w:rPr>
        <w:t>Polyp</w:t>
      </w:r>
      <w:r w:rsidR="002C7754" w:rsidRPr="00D03279">
        <w:rPr>
          <w:b/>
          <w:bCs/>
          <w:sz w:val="20"/>
          <w:szCs w:val="20"/>
        </w:rPr>
        <w:t xml:space="preserve"> </w:t>
      </w:r>
      <w:r w:rsidRPr="00D03279">
        <w:rPr>
          <w:b/>
          <w:bCs/>
          <w:sz w:val="20"/>
          <w:szCs w:val="20"/>
        </w:rPr>
        <w:t>(Systematic</w:t>
      </w:r>
      <w:r w:rsidR="002C7754" w:rsidRPr="00D03279">
        <w:rPr>
          <w:b/>
          <w:bCs/>
          <w:sz w:val="20"/>
          <w:szCs w:val="20"/>
        </w:rPr>
        <w:t xml:space="preserve"> </w:t>
      </w:r>
      <w:r w:rsidRPr="00D03279">
        <w:rPr>
          <w:b/>
          <w:bCs/>
          <w:sz w:val="20"/>
          <w:szCs w:val="20"/>
        </w:rPr>
        <w:t>review)</w:t>
      </w:r>
    </w:p>
    <w:p w:rsidR="002C7754" w:rsidRPr="00D03279" w:rsidRDefault="002C7754" w:rsidP="000D5835">
      <w:pPr>
        <w:bidi w:val="0"/>
        <w:snapToGrid w:val="0"/>
        <w:jc w:val="center"/>
        <w:rPr>
          <w:b/>
          <w:bCs/>
          <w:sz w:val="20"/>
          <w:szCs w:val="20"/>
          <w:lang w:bidi="ar-EG"/>
        </w:rPr>
      </w:pPr>
    </w:p>
    <w:p w:rsidR="002C7754" w:rsidRPr="00D03279" w:rsidRDefault="001F3A04" w:rsidP="000D5835">
      <w:pPr>
        <w:bidi w:val="0"/>
        <w:snapToGrid w:val="0"/>
        <w:jc w:val="center"/>
        <w:rPr>
          <w:sz w:val="20"/>
          <w:szCs w:val="20"/>
        </w:rPr>
      </w:pPr>
      <w:proofErr w:type="spellStart"/>
      <w:r w:rsidRPr="00D03279">
        <w:rPr>
          <w:sz w:val="20"/>
          <w:szCs w:val="20"/>
        </w:rPr>
        <w:t>Sayed</w:t>
      </w:r>
      <w:proofErr w:type="spellEnd"/>
      <w:r w:rsidR="002C7754" w:rsidRPr="00D03279">
        <w:rPr>
          <w:sz w:val="20"/>
          <w:szCs w:val="20"/>
        </w:rPr>
        <w:t xml:space="preserve"> </w:t>
      </w:r>
      <w:r w:rsidR="00FB15F3" w:rsidRPr="00D03279">
        <w:rPr>
          <w:sz w:val="20"/>
          <w:szCs w:val="20"/>
        </w:rPr>
        <w:t>M.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Mekheimer</w:t>
      </w:r>
      <w:r w:rsidR="00FB15F3" w:rsidRPr="00D03279">
        <w:rPr>
          <w:sz w:val="20"/>
          <w:szCs w:val="20"/>
          <w:vertAlign w:val="superscript"/>
        </w:rPr>
        <w:t>1</w:t>
      </w:r>
      <w:r w:rsidR="00FB15F3" w:rsidRPr="00D03279">
        <w:rPr>
          <w:sz w:val="20"/>
          <w:szCs w:val="20"/>
        </w:rPr>
        <w:t>,</w:t>
      </w:r>
      <w:r w:rsidR="002C7754" w:rsidRPr="00D03279">
        <w:rPr>
          <w:sz w:val="20"/>
          <w:szCs w:val="20"/>
        </w:rPr>
        <w:t xml:space="preserve"> </w:t>
      </w:r>
      <w:proofErr w:type="spellStart"/>
      <w:r w:rsidRPr="00D03279">
        <w:rPr>
          <w:sz w:val="20"/>
          <w:szCs w:val="20"/>
        </w:rPr>
        <w:t>Hala</w:t>
      </w:r>
      <w:proofErr w:type="spellEnd"/>
      <w:r w:rsidR="002C7754" w:rsidRPr="00D03279">
        <w:rPr>
          <w:sz w:val="20"/>
          <w:szCs w:val="20"/>
        </w:rPr>
        <w:t xml:space="preserve"> </w:t>
      </w:r>
      <w:proofErr w:type="spellStart"/>
      <w:r w:rsidRPr="00D03279">
        <w:rPr>
          <w:sz w:val="20"/>
          <w:szCs w:val="20"/>
        </w:rPr>
        <w:t>Abd</w:t>
      </w:r>
      <w:proofErr w:type="spellEnd"/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Elhasseb</w:t>
      </w:r>
      <w:r w:rsidR="00FB15F3" w:rsidRPr="00D03279">
        <w:rPr>
          <w:sz w:val="20"/>
          <w:szCs w:val="20"/>
          <w:vertAlign w:val="superscript"/>
        </w:rPr>
        <w:t>1</w:t>
      </w:r>
      <w:r w:rsidR="00FB15F3" w:rsidRPr="00D03279">
        <w:rPr>
          <w:sz w:val="20"/>
          <w:szCs w:val="20"/>
        </w:rPr>
        <w:t>,</w:t>
      </w:r>
      <w:r w:rsidR="002C7754" w:rsidRPr="00D03279">
        <w:rPr>
          <w:sz w:val="20"/>
          <w:szCs w:val="20"/>
        </w:rPr>
        <w:t xml:space="preserve"> </w:t>
      </w:r>
      <w:proofErr w:type="spellStart"/>
      <w:r w:rsidR="00B06352" w:rsidRPr="00D03279">
        <w:rPr>
          <w:sz w:val="20"/>
          <w:szCs w:val="20"/>
        </w:rPr>
        <w:t>Yossra</w:t>
      </w:r>
      <w:proofErr w:type="spellEnd"/>
      <w:r w:rsidR="002C7754" w:rsidRPr="00D03279">
        <w:rPr>
          <w:sz w:val="20"/>
          <w:szCs w:val="20"/>
        </w:rPr>
        <w:t xml:space="preserve"> </w:t>
      </w:r>
      <w:r w:rsidR="00B06352" w:rsidRPr="00D03279">
        <w:rPr>
          <w:sz w:val="20"/>
          <w:szCs w:val="20"/>
        </w:rPr>
        <w:t>Sallam</w:t>
      </w:r>
      <w:r w:rsidR="00FB15F3" w:rsidRPr="00D03279">
        <w:rPr>
          <w:sz w:val="20"/>
          <w:szCs w:val="20"/>
          <w:vertAlign w:val="superscript"/>
        </w:rPr>
        <w:t>2</w:t>
      </w:r>
      <w:r w:rsidR="002C7754" w:rsidRPr="00D03279">
        <w:rPr>
          <w:sz w:val="20"/>
          <w:szCs w:val="20"/>
        </w:rPr>
        <w:t xml:space="preserve"> </w:t>
      </w:r>
      <w:r w:rsidR="002C5A90" w:rsidRPr="00D03279">
        <w:rPr>
          <w:sz w:val="20"/>
          <w:szCs w:val="20"/>
        </w:rPr>
        <w:t>and</w:t>
      </w:r>
      <w:r w:rsidR="002C7754" w:rsidRPr="00D03279">
        <w:rPr>
          <w:sz w:val="20"/>
          <w:szCs w:val="20"/>
        </w:rPr>
        <w:t xml:space="preserve"> </w:t>
      </w:r>
      <w:proofErr w:type="spellStart"/>
      <w:r w:rsidR="00FB15F3" w:rsidRPr="00D03279">
        <w:rPr>
          <w:sz w:val="20"/>
          <w:szCs w:val="20"/>
        </w:rPr>
        <w:t>Shahenda</w:t>
      </w:r>
      <w:proofErr w:type="spellEnd"/>
      <w:r w:rsidR="002C7754" w:rsidRPr="00D03279">
        <w:rPr>
          <w:sz w:val="20"/>
          <w:szCs w:val="20"/>
        </w:rPr>
        <w:t xml:space="preserve"> </w:t>
      </w:r>
      <w:r w:rsidR="00837F9F" w:rsidRPr="00D03279">
        <w:rPr>
          <w:sz w:val="20"/>
          <w:szCs w:val="20"/>
        </w:rPr>
        <w:t>A.</w:t>
      </w:r>
      <w:r w:rsidR="002C7754" w:rsidRPr="00D03279">
        <w:rPr>
          <w:sz w:val="20"/>
          <w:szCs w:val="20"/>
        </w:rPr>
        <w:t xml:space="preserve"> </w:t>
      </w:r>
      <w:r w:rsidR="00FB15F3" w:rsidRPr="00D03279">
        <w:rPr>
          <w:sz w:val="20"/>
          <w:szCs w:val="20"/>
        </w:rPr>
        <w:t>Maklad</w:t>
      </w:r>
      <w:r w:rsidR="002C5A90" w:rsidRPr="00D03279">
        <w:rPr>
          <w:sz w:val="20"/>
          <w:szCs w:val="20"/>
          <w:vertAlign w:val="superscript"/>
        </w:rPr>
        <w:t>1</w:t>
      </w:r>
    </w:p>
    <w:p w:rsidR="002C7754" w:rsidRPr="00D03279" w:rsidRDefault="000D5835" w:rsidP="000D5835">
      <w:pPr>
        <w:bidi w:val="0"/>
        <w:snapToGrid w:val="0"/>
        <w:jc w:val="center"/>
        <w:rPr>
          <w:sz w:val="20"/>
          <w:szCs w:val="20"/>
          <w:lang w:eastAsia="zh-CN"/>
        </w:rPr>
      </w:pPr>
      <w:r w:rsidRPr="00D03279">
        <w:rPr>
          <w:rFonts w:hint="eastAsia"/>
          <w:sz w:val="20"/>
          <w:szCs w:val="20"/>
          <w:lang w:eastAsia="zh-CN"/>
        </w:rPr>
        <w:t xml:space="preserve"> </w:t>
      </w:r>
    </w:p>
    <w:p w:rsidR="002C5A90" w:rsidRPr="00D03279" w:rsidRDefault="002C5A90" w:rsidP="000D5835">
      <w:pPr>
        <w:bidi w:val="0"/>
        <w:snapToGrid w:val="0"/>
        <w:jc w:val="center"/>
        <w:rPr>
          <w:sz w:val="20"/>
          <w:szCs w:val="20"/>
        </w:rPr>
      </w:pPr>
      <w:r w:rsidRPr="00D03279">
        <w:rPr>
          <w:sz w:val="20"/>
          <w:szCs w:val="20"/>
          <w:vertAlign w:val="superscript"/>
        </w:rPr>
        <w:t>1</w:t>
      </w:r>
      <w:r w:rsidR="00FB15F3" w:rsidRPr="00D03279">
        <w:rPr>
          <w:sz w:val="20"/>
          <w:szCs w:val="20"/>
        </w:rPr>
        <w:t>Department</w:t>
      </w:r>
      <w:r w:rsidR="002C7754" w:rsidRPr="00D03279">
        <w:rPr>
          <w:sz w:val="20"/>
          <w:szCs w:val="20"/>
        </w:rPr>
        <w:t xml:space="preserve"> </w:t>
      </w:r>
      <w:r w:rsidR="00FB15F3" w:rsidRPr="00D03279">
        <w:rPr>
          <w:sz w:val="20"/>
          <w:szCs w:val="20"/>
        </w:rPr>
        <w:t>of</w:t>
      </w:r>
      <w:r w:rsidR="002C7754" w:rsidRPr="00D03279">
        <w:rPr>
          <w:sz w:val="20"/>
          <w:szCs w:val="20"/>
        </w:rPr>
        <w:t xml:space="preserve"> </w:t>
      </w:r>
      <w:proofErr w:type="spellStart"/>
      <w:r w:rsidR="00FB15F3" w:rsidRPr="00D03279">
        <w:rPr>
          <w:sz w:val="20"/>
          <w:szCs w:val="20"/>
        </w:rPr>
        <w:t>Otorhinolaryngology</w:t>
      </w:r>
      <w:proofErr w:type="spellEnd"/>
      <w:r w:rsidR="007167AE" w:rsidRPr="00D03279">
        <w:rPr>
          <w:sz w:val="20"/>
          <w:szCs w:val="20"/>
        </w:rPr>
        <w:t>,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Faculty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of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Medicine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for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Girls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-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Al-</w:t>
      </w:r>
      <w:proofErr w:type="spellStart"/>
      <w:r w:rsidRPr="00D03279">
        <w:rPr>
          <w:sz w:val="20"/>
          <w:szCs w:val="20"/>
        </w:rPr>
        <w:t>Azhar</w:t>
      </w:r>
      <w:proofErr w:type="spellEnd"/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University,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Egypt</w:t>
      </w:r>
    </w:p>
    <w:p w:rsidR="00DF4617" w:rsidRPr="00D03279" w:rsidRDefault="002C5A90" w:rsidP="000D5835">
      <w:pPr>
        <w:bidi w:val="0"/>
        <w:snapToGrid w:val="0"/>
        <w:jc w:val="center"/>
        <w:rPr>
          <w:sz w:val="20"/>
          <w:szCs w:val="20"/>
        </w:rPr>
      </w:pPr>
      <w:r w:rsidRPr="00D03279">
        <w:rPr>
          <w:sz w:val="20"/>
          <w:szCs w:val="20"/>
          <w:vertAlign w:val="superscript"/>
        </w:rPr>
        <w:t>2</w:t>
      </w:r>
      <w:r w:rsidR="00FB15F3" w:rsidRPr="00D03279">
        <w:rPr>
          <w:sz w:val="20"/>
          <w:szCs w:val="20"/>
        </w:rPr>
        <w:t>Department</w:t>
      </w:r>
      <w:r w:rsidR="002C7754" w:rsidRPr="00D03279">
        <w:rPr>
          <w:sz w:val="20"/>
          <w:szCs w:val="20"/>
        </w:rPr>
        <w:t xml:space="preserve"> </w:t>
      </w:r>
      <w:r w:rsidR="001F3A04" w:rsidRPr="00D03279">
        <w:rPr>
          <w:sz w:val="20"/>
          <w:szCs w:val="20"/>
        </w:rPr>
        <w:t>of</w:t>
      </w:r>
      <w:r w:rsidR="002C7754" w:rsidRPr="00D03279">
        <w:rPr>
          <w:sz w:val="20"/>
          <w:szCs w:val="20"/>
        </w:rPr>
        <w:t xml:space="preserve"> </w:t>
      </w:r>
      <w:proofErr w:type="spellStart"/>
      <w:r w:rsidR="001F3A04" w:rsidRPr="00D03279">
        <w:rPr>
          <w:sz w:val="20"/>
          <w:szCs w:val="20"/>
        </w:rPr>
        <w:t>Phoniatric</w:t>
      </w:r>
      <w:proofErr w:type="spellEnd"/>
      <w:r w:rsidRPr="00D03279">
        <w:rPr>
          <w:sz w:val="20"/>
          <w:szCs w:val="20"/>
        </w:rPr>
        <w:t>,</w:t>
      </w:r>
      <w:r w:rsidR="002C7754" w:rsidRPr="00D03279">
        <w:rPr>
          <w:sz w:val="20"/>
          <w:szCs w:val="20"/>
        </w:rPr>
        <w:t xml:space="preserve"> </w:t>
      </w:r>
      <w:r w:rsidR="001F3A04" w:rsidRPr="00D03279">
        <w:rPr>
          <w:sz w:val="20"/>
          <w:szCs w:val="20"/>
        </w:rPr>
        <w:t>Faculty</w:t>
      </w:r>
      <w:r w:rsidR="002C7754" w:rsidRPr="00D03279">
        <w:rPr>
          <w:sz w:val="20"/>
          <w:szCs w:val="20"/>
        </w:rPr>
        <w:t xml:space="preserve"> </w:t>
      </w:r>
      <w:r w:rsidR="001F3A04" w:rsidRPr="00D03279">
        <w:rPr>
          <w:sz w:val="20"/>
          <w:szCs w:val="20"/>
        </w:rPr>
        <w:t>of</w:t>
      </w:r>
      <w:r w:rsidR="002C7754" w:rsidRPr="00D03279">
        <w:rPr>
          <w:sz w:val="20"/>
          <w:szCs w:val="20"/>
        </w:rPr>
        <w:t xml:space="preserve"> </w:t>
      </w:r>
      <w:r w:rsidR="001F3A04" w:rsidRPr="00D03279">
        <w:rPr>
          <w:sz w:val="20"/>
          <w:szCs w:val="20"/>
        </w:rPr>
        <w:t>Medicine</w:t>
      </w:r>
      <w:r w:rsidR="002C7754" w:rsidRPr="00D03279">
        <w:rPr>
          <w:sz w:val="20"/>
          <w:szCs w:val="20"/>
        </w:rPr>
        <w:t xml:space="preserve"> </w:t>
      </w:r>
      <w:r w:rsidR="001F3A04" w:rsidRPr="00D03279">
        <w:rPr>
          <w:sz w:val="20"/>
          <w:szCs w:val="20"/>
        </w:rPr>
        <w:t>for</w:t>
      </w:r>
      <w:r w:rsidR="002C7754" w:rsidRPr="00D03279">
        <w:rPr>
          <w:sz w:val="20"/>
          <w:szCs w:val="20"/>
        </w:rPr>
        <w:t xml:space="preserve"> </w:t>
      </w:r>
      <w:r w:rsidR="001F3A04" w:rsidRPr="00D03279">
        <w:rPr>
          <w:sz w:val="20"/>
          <w:szCs w:val="20"/>
        </w:rPr>
        <w:t>Girls</w:t>
      </w:r>
      <w:r w:rsidR="002C7754" w:rsidRPr="00D03279">
        <w:rPr>
          <w:sz w:val="20"/>
          <w:szCs w:val="20"/>
        </w:rPr>
        <w:t xml:space="preserve"> </w:t>
      </w:r>
      <w:r w:rsidR="001F3A04" w:rsidRPr="00D03279">
        <w:rPr>
          <w:sz w:val="20"/>
          <w:szCs w:val="20"/>
        </w:rPr>
        <w:t>-</w:t>
      </w:r>
      <w:r w:rsidR="002C7754" w:rsidRPr="00D03279">
        <w:rPr>
          <w:sz w:val="20"/>
          <w:szCs w:val="20"/>
        </w:rPr>
        <w:t xml:space="preserve"> </w:t>
      </w:r>
      <w:r w:rsidR="001F3A04" w:rsidRPr="00D03279">
        <w:rPr>
          <w:sz w:val="20"/>
          <w:szCs w:val="20"/>
        </w:rPr>
        <w:t>Al-</w:t>
      </w:r>
      <w:proofErr w:type="spellStart"/>
      <w:r w:rsidR="001F3A04" w:rsidRPr="00D03279">
        <w:rPr>
          <w:sz w:val="20"/>
          <w:szCs w:val="20"/>
        </w:rPr>
        <w:t>Azhar</w:t>
      </w:r>
      <w:proofErr w:type="spellEnd"/>
      <w:r w:rsidR="002C7754" w:rsidRPr="00D03279">
        <w:rPr>
          <w:sz w:val="20"/>
          <w:szCs w:val="20"/>
        </w:rPr>
        <w:t xml:space="preserve"> </w:t>
      </w:r>
      <w:r w:rsidR="001F3A04" w:rsidRPr="00D03279">
        <w:rPr>
          <w:sz w:val="20"/>
          <w:szCs w:val="20"/>
        </w:rPr>
        <w:t>University</w:t>
      </w:r>
      <w:r w:rsidRPr="00D03279">
        <w:rPr>
          <w:sz w:val="20"/>
          <w:szCs w:val="20"/>
        </w:rPr>
        <w:t>,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Egypt</w:t>
      </w:r>
    </w:p>
    <w:p w:rsidR="002C7754" w:rsidRPr="00D03279" w:rsidRDefault="00D845C1" w:rsidP="000D5835">
      <w:pPr>
        <w:bidi w:val="0"/>
        <w:snapToGrid w:val="0"/>
        <w:jc w:val="center"/>
        <w:rPr>
          <w:sz w:val="20"/>
          <w:szCs w:val="20"/>
        </w:rPr>
      </w:pPr>
      <w:hyperlink r:id="rId8" w:history="1">
        <w:r w:rsidR="00DF4617" w:rsidRPr="00D03279">
          <w:rPr>
            <w:rStyle w:val="Hyperlink"/>
            <w:sz w:val="20"/>
            <w:szCs w:val="20"/>
          </w:rPr>
          <w:t>shaymaklad25@yahoo.com</w:t>
        </w:r>
      </w:hyperlink>
    </w:p>
    <w:p w:rsidR="002C7754" w:rsidRPr="00D03279" w:rsidRDefault="002C7754" w:rsidP="000D5835">
      <w:pPr>
        <w:bidi w:val="0"/>
        <w:snapToGrid w:val="0"/>
        <w:jc w:val="center"/>
        <w:rPr>
          <w:sz w:val="20"/>
          <w:szCs w:val="20"/>
        </w:rPr>
      </w:pPr>
    </w:p>
    <w:p w:rsidR="00DF4617" w:rsidRPr="00D03279" w:rsidRDefault="00DF4617" w:rsidP="000D5835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D03279">
        <w:rPr>
          <w:b/>
          <w:bCs/>
          <w:sz w:val="20"/>
          <w:szCs w:val="20"/>
          <w:lang w:bidi="ar-EG"/>
        </w:rPr>
        <w:t>Abstract: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Introduction</w:t>
      </w:r>
      <w:r w:rsidRPr="00D03279">
        <w:rPr>
          <w:bCs/>
          <w:sz w:val="20"/>
          <w:szCs w:val="20"/>
          <w:lang w:bidi="ar-EG"/>
        </w:rPr>
        <w:t>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audible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sound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produced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phonation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acts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carrier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signal.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disruption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function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called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dysphonia</w:t>
      </w:r>
      <w:proofErr w:type="spellEnd"/>
      <w:r w:rsidRPr="00D03279">
        <w:rPr>
          <w:bCs/>
          <w:sz w:val="20"/>
          <w:szCs w:val="20"/>
          <w:lang w:bidi="ar-EG"/>
        </w:rPr>
        <w:t>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Etiology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dysphonia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divided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three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groups: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</w:rPr>
        <w:t>1-</w:t>
      </w:r>
      <w:r w:rsidRPr="00D03279">
        <w:rPr>
          <w:bCs/>
          <w:sz w:val="20"/>
          <w:szCs w:val="20"/>
          <w:lang w:bidi="ar-EG"/>
        </w:rPr>
        <w:t>Organic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disorders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detectable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morphological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changes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apparatus.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2-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Non-organic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(functional)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disorders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without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detectable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organic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pathology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structure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larynx.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3-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Minimal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associated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pathological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</w:t>
      </w:r>
      <w:proofErr w:type="spellStart"/>
      <w:r w:rsidRPr="00D03279">
        <w:rPr>
          <w:bCs/>
          <w:sz w:val="20"/>
          <w:szCs w:val="20"/>
          <w:lang w:bidi="ar-EG"/>
        </w:rPr>
        <w:t>MAPLs</w:t>
      </w:r>
      <w:proofErr w:type="spellEnd"/>
      <w:r w:rsidRPr="00D03279">
        <w:rPr>
          <w:bCs/>
          <w:sz w:val="20"/>
          <w:szCs w:val="20"/>
          <w:lang w:bidi="ar-EG"/>
        </w:rPr>
        <w:t>);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long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standing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functional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disorders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leading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creation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detectable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organic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changes.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Objective: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aim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work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evaluation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functional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outcome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versus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phonosurgery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management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Subjects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and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methods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(systematic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sz w:val="20"/>
          <w:szCs w:val="20"/>
          <w:lang w:bidi="ar-EG"/>
        </w:rPr>
        <w:t>reviw</w:t>
      </w:r>
      <w:proofErr w:type="spellEnd"/>
      <w:r w:rsidRPr="00D03279">
        <w:rPr>
          <w:b/>
          <w:bCs/>
          <w:sz w:val="20"/>
          <w:szCs w:val="20"/>
          <w:lang w:bidi="ar-EG"/>
        </w:rPr>
        <w:t>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Criteria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exclusion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review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included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review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must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contain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following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elements</w:t>
      </w:r>
      <w:r w:rsidRPr="00D03279">
        <w:rPr>
          <w:b/>
          <w:bCs/>
          <w:sz w:val="20"/>
          <w:szCs w:val="20"/>
          <w:lang w:bidi="ar-EG"/>
        </w:rPr>
        <w:t>: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Criteria</w:t>
      </w:r>
      <w:r w:rsidRPr="00D03279">
        <w:rPr>
          <w:b/>
          <w:bCs/>
          <w:sz w:val="20"/>
          <w:szCs w:val="20"/>
          <w:lang w:bidi="ar-EG"/>
        </w:rPr>
        <w:t>: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focus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versus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non-surgical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place: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place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constraints.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Results</w:t>
      </w:r>
      <w:r w:rsidRPr="00D03279">
        <w:rPr>
          <w:bCs/>
          <w:sz w:val="20"/>
          <w:szCs w:val="20"/>
          <w:lang w:bidi="ar-EG"/>
        </w:rPr>
        <w:t>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differences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between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non-surgical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determined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according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lesion.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Conclusion: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first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line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proved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improving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dysphonia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although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still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far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obtained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cases.</w:t>
      </w:r>
    </w:p>
    <w:p w:rsidR="000D5835" w:rsidRPr="00D03279" w:rsidRDefault="000D5835" w:rsidP="000D5835">
      <w:pPr>
        <w:bidi w:val="0"/>
        <w:snapToGrid w:val="0"/>
        <w:jc w:val="both"/>
        <w:rPr>
          <w:sz w:val="20"/>
          <w:szCs w:val="20"/>
        </w:rPr>
      </w:pPr>
      <w:r w:rsidRPr="00D03279">
        <w:rPr>
          <w:rFonts w:hint="eastAsia"/>
          <w:sz w:val="20"/>
          <w:szCs w:val="20"/>
        </w:rPr>
        <w:t>[</w:t>
      </w:r>
      <w:proofErr w:type="spellStart"/>
      <w:r w:rsidRPr="00D03279">
        <w:rPr>
          <w:sz w:val="20"/>
          <w:szCs w:val="20"/>
        </w:rPr>
        <w:t>Sayed</w:t>
      </w:r>
      <w:proofErr w:type="spellEnd"/>
      <w:r w:rsidRPr="00D03279">
        <w:rPr>
          <w:sz w:val="20"/>
          <w:szCs w:val="20"/>
        </w:rPr>
        <w:t xml:space="preserve"> M. </w:t>
      </w:r>
      <w:proofErr w:type="spellStart"/>
      <w:r w:rsidRPr="00D03279">
        <w:rPr>
          <w:sz w:val="20"/>
          <w:szCs w:val="20"/>
        </w:rPr>
        <w:t>Mekheimer</w:t>
      </w:r>
      <w:proofErr w:type="spellEnd"/>
      <w:r w:rsidRPr="00D03279">
        <w:rPr>
          <w:sz w:val="20"/>
          <w:szCs w:val="20"/>
        </w:rPr>
        <w:t xml:space="preserve">, </w:t>
      </w:r>
      <w:proofErr w:type="spellStart"/>
      <w:r w:rsidRPr="00D03279">
        <w:rPr>
          <w:sz w:val="20"/>
          <w:szCs w:val="20"/>
        </w:rPr>
        <w:t>Hala</w:t>
      </w:r>
      <w:proofErr w:type="spellEnd"/>
      <w:r w:rsidRPr="00D03279">
        <w:rPr>
          <w:sz w:val="20"/>
          <w:szCs w:val="20"/>
        </w:rPr>
        <w:t xml:space="preserve"> </w:t>
      </w:r>
      <w:proofErr w:type="spellStart"/>
      <w:r w:rsidRPr="00D03279">
        <w:rPr>
          <w:sz w:val="20"/>
          <w:szCs w:val="20"/>
        </w:rPr>
        <w:t>Abd</w:t>
      </w:r>
      <w:proofErr w:type="spellEnd"/>
      <w:r w:rsidRPr="00D03279">
        <w:rPr>
          <w:sz w:val="20"/>
          <w:szCs w:val="20"/>
        </w:rPr>
        <w:t xml:space="preserve"> </w:t>
      </w:r>
      <w:proofErr w:type="spellStart"/>
      <w:r w:rsidRPr="00D03279">
        <w:rPr>
          <w:sz w:val="20"/>
          <w:szCs w:val="20"/>
        </w:rPr>
        <w:t>Elhasseb</w:t>
      </w:r>
      <w:proofErr w:type="spellEnd"/>
      <w:r w:rsidRPr="00D03279">
        <w:rPr>
          <w:sz w:val="20"/>
          <w:szCs w:val="20"/>
        </w:rPr>
        <w:t xml:space="preserve">, </w:t>
      </w:r>
      <w:proofErr w:type="spellStart"/>
      <w:r w:rsidRPr="00D03279">
        <w:rPr>
          <w:sz w:val="20"/>
          <w:szCs w:val="20"/>
        </w:rPr>
        <w:t>Yossra</w:t>
      </w:r>
      <w:proofErr w:type="spellEnd"/>
      <w:r w:rsidRPr="00D03279">
        <w:rPr>
          <w:sz w:val="20"/>
          <w:szCs w:val="20"/>
        </w:rPr>
        <w:t xml:space="preserve"> </w:t>
      </w:r>
      <w:proofErr w:type="spellStart"/>
      <w:r w:rsidRPr="00D03279">
        <w:rPr>
          <w:sz w:val="20"/>
          <w:szCs w:val="20"/>
        </w:rPr>
        <w:t>Sallam</w:t>
      </w:r>
      <w:proofErr w:type="spellEnd"/>
      <w:r w:rsidRPr="00D03279">
        <w:rPr>
          <w:sz w:val="20"/>
          <w:szCs w:val="20"/>
          <w:vertAlign w:val="superscript"/>
        </w:rPr>
        <w:t xml:space="preserve"> </w:t>
      </w:r>
      <w:r w:rsidRPr="00D03279">
        <w:rPr>
          <w:sz w:val="20"/>
          <w:szCs w:val="20"/>
        </w:rPr>
        <w:t xml:space="preserve">and </w:t>
      </w:r>
      <w:proofErr w:type="spellStart"/>
      <w:r w:rsidRPr="00D03279">
        <w:rPr>
          <w:sz w:val="20"/>
          <w:szCs w:val="20"/>
        </w:rPr>
        <w:t>Shahenda</w:t>
      </w:r>
      <w:proofErr w:type="spellEnd"/>
      <w:r w:rsidRPr="00D03279">
        <w:rPr>
          <w:sz w:val="20"/>
          <w:szCs w:val="20"/>
        </w:rPr>
        <w:t xml:space="preserve"> A. </w:t>
      </w:r>
      <w:proofErr w:type="spellStart"/>
      <w:r w:rsidRPr="00D03279">
        <w:rPr>
          <w:sz w:val="20"/>
          <w:szCs w:val="20"/>
        </w:rPr>
        <w:t>Maklad</w:t>
      </w:r>
      <w:proofErr w:type="spellEnd"/>
      <w:r w:rsidRPr="00D03279">
        <w:rPr>
          <w:sz w:val="20"/>
          <w:szCs w:val="20"/>
        </w:rPr>
        <w:t>.</w:t>
      </w:r>
      <w:r w:rsidRPr="00D03279">
        <w:rPr>
          <w:rFonts w:hint="eastAsia"/>
          <w:b/>
          <w:bCs/>
          <w:sz w:val="20"/>
          <w:szCs w:val="20"/>
          <w:lang w:bidi="fa-IR"/>
        </w:rPr>
        <w:t xml:space="preserve"> </w:t>
      </w:r>
      <w:r w:rsidRPr="00D03279">
        <w:rPr>
          <w:b/>
          <w:bCs/>
          <w:sz w:val="20"/>
          <w:szCs w:val="20"/>
        </w:rPr>
        <w:t>Surgical versus Non-Surgical Intervention for Vocal Cord Polyp (Systematic review)</w:t>
      </w:r>
      <w:r w:rsidRPr="00D03279">
        <w:rPr>
          <w:rFonts w:eastAsia="Times New Roman"/>
          <w:b/>
          <w:bCs/>
          <w:sz w:val="20"/>
          <w:szCs w:val="20"/>
          <w:lang w:bidi="fa-IR"/>
        </w:rPr>
        <w:t>.</w:t>
      </w:r>
      <w:r w:rsidRPr="00D03279">
        <w:rPr>
          <w:bCs/>
          <w:i/>
          <w:sz w:val="20"/>
          <w:szCs w:val="20"/>
        </w:rPr>
        <w:t xml:space="preserve"> Researcher</w:t>
      </w:r>
      <w:r w:rsidRPr="00D03279">
        <w:rPr>
          <w:bCs/>
          <w:sz w:val="20"/>
          <w:szCs w:val="20"/>
        </w:rPr>
        <w:t xml:space="preserve"> 201</w:t>
      </w:r>
      <w:r w:rsidRPr="00D03279">
        <w:rPr>
          <w:rFonts w:hint="eastAsia"/>
          <w:bCs/>
          <w:sz w:val="20"/>
          <w:szCs w:val="20"/>
        </w:rPr>
        <w:t>9</w:t>
      </w:r>
      <w:r w:rsidRPr="00D03279">
        <w:rPr>
          <w:bCs/>
          <w:sz w:val="20"/>
          <w:szCs w:val="20"/>
        </w:rPr>
        <w:t>;</w:t>
      </w:r>
      <w:r w:rsidRPr="00D03279">
        <w:rPr>
          <w:rFonts w:hint="eastAsia"/>
          <w:bCs/>
          <w:sz w:val="20"/>
          <w:szCs w:val="20"/>
        </w:rPr>
        <w:t>11</w:t>
      </w:r>
      <w:r w:rsidRPr="00D03279">
        <w:rPr>
          <w:bCs/>
          <w:sz w:val="20"/>
          <w:szCs w:val="20"/>
        </w:rPr>
        <w:t>(</w:t>
      </w:r>
      <w:r w:rsidRPr="00D03279">
        <w:rPr>
          <w:rFonts w:hint="eastAsia"/>
          <w:bCs/>
          <w:sz w:val="20"/>
          <w:szCs w:val="20"/>
        </w:rPr>
        <w:t>1</w:t>
      </w:r>
      <w:r w:rsidRPr="00D03279">
        <w:rPr>
          <w:bCs/>
          <w:sz w:val="20"/>
          <w:szCs w:val="20"/>
        </w:rPr>
        <w:t>):</w:t>
      </w:r>
      <w:r w:rsidR="00607EAC" w:rsidRPr="00D03279">
        <w:rPr>
          <w:noProof/>
          <w:color w:val="000000"/>
          <w:sz w:val="20"/>
          <w:szCs w:val="20"/>
        </w:rPr>
        <w:t>4-10</w:t>
      </w:r>
      <w:r w:rsidRPr="00D03279">
        <w:rPr>
          <w:bCs/>
          <w:sz w:val="20"/>
          <w:szCs w:val="20"/>
        </w:rPr>
        <w:t xml:space="preserve">]. </w:t>
      </w:r>
      <w:r w:rsidRPr="00D03279">
        <w:rPr>
          <w:sz w:val="20"/>
          <w:szCs w:val="20"/>
        </w:rPr>
        <w:t>ISSN 1553-9865 (print); ISSN 2163-8950 (online)</w:t>
      </w:r>
      <w:r w:rsidRPr="00D03279">
        <w:rPr>
          <w:bCs/>
          <w:sz w:val="20"/>
          <w:szCs w:val="20"/>
        </w:rPr>
        <w:t xml:space="preserve">. </w:t>
      </w:r>
      <w:hyperlink r:id="rId9" w:history="1">
        <w:r w:rsidRPr="00D03279">
          <w:rPr>
            <w:rStyle w:val="Hyperlink"/>
            <w:sz w:val="20"/>
            <w:szCs w:val="20"/>
          </w:rPr>
          <w:t>http://www.sciencepub.net/researcher</w:t>
        </w:r>
      </w:hyperlink>
      <w:r w:rsidRPr="00D03279">
        <w:rPr>
          <w:bCs/>
          <w:sz w:val="20"/>
          <w:szCs w:val="20"/>
        </w:rPr>
        <w:t>.</w:t>
      </w:r>
      <w:r w:rsidRPr="00D03279">
        <w:rPr>
          <w:rFonts w:hint="eastAsia"/>
          <w:bCs/>
          <w:sz w:val="20"/>
          <w:szCs w:val="20"/>
        </w:rPr>
        <w:t xml:space="preserve"> </w:t>
      </w:r>
      <w:r w:rsidRPr="00D03279">
        <w:rPr>
          <w:rFonts w:hint="eastAsia"/>
          <w:bCs/>
          <w:sz w:val="20"/>
          <w:szCs w:val="20"/>
          <w:lang w:eastAsia="zh-CN"/>
        </w:rPr>
        <w:t>2</w:t>
      </w:r>
      <w:r w:rsidRPr="00D03279">
        <w:rPr>
          <w:rFonts w:hint="eastAsia"/>
          <w:bCs/>
          <w:sz w:val="20"/>
          <w:szCs w:val="20"/>
        </w:rPr>
        <w:t xml:space="preserve">. </w:t>
      </w:r>
      <w:r w:rsidRPr="00D03279">
        <w:rPr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D03279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D03279">
          <w:rPr>
            <w:rStyle w:val="Hyperlink"/>
            <w:rFonts w:hint="eastAsia"/>
            <w:sz w:val="20"/>
            <w:szCs w:val="20"/>
            <w:shd w:val="clear" w:color="auto" w:fill="FFFFFF"/>
          </w:rPr>
          <w:t>r</w:t>
        </w:r>
        <w:r w:rsidRPr="00D03279">
          <w:rPr>
            <w:rStyle w:val="Hyperlink"/>
            <w:sz w:val="20"/>
            <w:szCs w:val="20"/>
            <w:shd w:val="clear" w:color="auto" w:fill="FFFFFF"/>
          </w:rPr>
          <w:t>sj</w:t>
        </w:r>
        <w:r w:rsidRPr="00D03279">
          <w:rPr>
            <w:rStyle w:val="Hyperlink"/>
            <w:rFonts w:hint="eastAsia"/>
            <w:sz w:val="20"/>
            <w:szCs w:val="20"/>
            <w:shd w:val="clear" w:color="auto" w:fill="FFFFFF"/>
          </w:rPr>
          <w:t>110119.</w:t>
        </w:r>
        <w:r w:rsidRPr="00D03279">
          <w:rPr>
            <w:rStyle w:val="Hyperlink"/>
            <w:sz w:val="20"/>
            <w:szCs w:val="20"/>
            <w:shd w:val="clear" w:color="auto" w:fill="FFFFFF"/>
          </w:rPr>
          <w:t>0</w:t>
        </w:r>
        <w:r w:rsidRPr="00D03279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2</w:t>
        </w:r>
      </w:hyperlink>
      <w:r w:rsidRPr="00D03279">
        <w:rPr>
          <w:color w:val="000000"/>
          <w:sz w:val="20"/>
          <w:szCs w:val="20"/>
          <w:shd w:val="clear" w:color="auto" w:fill="FFFFFF"/>
        </w:rPr>
        <w:t>.</w:t>
      </w:r>
    </w:p>
    <w:p w:rsidR="00DF4617" w:rsidRPr="00D03279" w:rsidRDefault="00DF4617" w:rsidP="000D5835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DF4617" w:rsidRPr="00D03279" w:rsidRDefault="00DF4617" w:rsidP="000D5835">
      <w:pPr>
        <w:bidi w:val="0"/>
        <w:snapToGrid w:val="0"/>
        <w:jc w:val="both"/>
        <w:rPr>
          <w:sz w:val="20"/>
          <w:szCs w:val="20"/>
        </w:rPr>
      </w:pPr>
      <w:r w:rsidRPr="00D03279">
        <w:rPr>
          <w:b/>
          <w:bCs/>
          <w:sz w:val="20"/>
          <w:szCs w:val="20"/>
          <w:lang w:bidi="ar-EG"/>
        </w:rPr>
        <w:t>Key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words: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,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,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methods</w:t>
      </w:r>
      <w:r w:rsidR="002C7754" w:rsidRPr="00D03279">
        <w:rPr>
          <w:bCs/>
          <w:sz w:val="20"/>
          <w:szCs w:val="20"/>
          <w:lang w:bidi="ar-EG"/>
        </w:rPr>
        <w:t>.</w:t>
      </w:r>
    </w:p>
    <w:p w:rsidR="000D5835" w:rsidRPr="00D03279" w:rsidRDefault="002C7754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  <w:sectPr w:rsidR="000D5835" w:rsidRPr="00D03279" w:rsidSect="00607EAC">
          <w:headerReference w:type="default" r:id="rId11"/>
          <w:footerReference w:type="even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pgNumType w:start="4"/>
          <w:cols w:space="720"/>
          <w:docGrid w:linePitch="360"/>
        </w:sectPr>
      </w:pPr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cr/>
      </w:r>
    </w:p>
    <w:p w:rsidR="000E15DC" w:rsidRPr="00D03279" w:rsidRDefault="00DF4617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</w:pPr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lastRenderedPageBreak/>
        <w:t>1.</w:t>
      </w:r>
      <w:r w:rsidR="002C7754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 xml:space="preserve"> </w:t>
      </w:r>
      <w:r w:rsidR="00600A72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Introduction</w:t>
      </w:r>
      <w:bookmarkEnd w:id="0"/>
    </w:p>
    <w:p w:rsidR="00634B04" w:rsidRPr="00D03279" w:rsidRDefault="001F3A04" w:rsidP="000D5835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D03279">
        <w:rPr>
          <w:sz w:val="20"/>
          <w:szCs w:val="20"/>
          <w:lang w:bidi="ar-EG"/>
        </w:rPr>
        <w:t>V</w:t>
      </w:r>
      <w:r w:rsidR="00634B04" w:rsidRPr="00D03279">
        <w:rPr>
          <w:sz w:val="20"/>
          <w:szCs w:val="20"/>
          <w:lang w:bidi="ar-EG"/>
        </w:rPr>
        <w:t>oice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is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an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audible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sound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produced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by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phonation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that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acts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as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a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carrier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wave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for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speech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signal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b/>
          <w:bCs/>
          <w:i/>
          <w:iCs/>
          <w:sz w:val="20"/>
          <w:szCs w:val="20"/>
          <w:lang w:bidi="ar-EG"/>
        </w:rPr>
        <w:t>(Aronson</w:t>
      </w:r>
      <w:r w:rsidR="000F1614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34B04" w:rsidRPr="00D03279">
        <w:rPr>
          <w:b/>
          <w:bCs/>
          <w:i/>
          <w:iCs/>
          <w:sz w:val="20"/>
          <w:szCs w:val="20"/>
          <w:lang w:bidi="ar-EG"/>
        </w:rPr>
        <w:t>1990).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Any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disruption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the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function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voice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is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called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="00634B04" w:rsidRPr="00D03279">
        <w:rPr>
          <w:sz w:val="20"/>
          <w:szCs w:val="20"/>
          <w:lang w:bidi="ar-EG"/>
        </w:rPr>
        <w:t>dysphonia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b/>
          <w:bCs/>
          <w:i/>
          <w:iCs/>
          <w:sz w:val="20"/>
          <w:szCs w:val="20"/>
          <w:lang w:bidi="ar-EG"/>
        </w:rPr>
        <w:t>(</w:t>
      </w:r>
      <w:proofErr w:type="spellStart"/>
      <w:r w:rsidR="00634B04" w:rsidRPr="00D03279">
        <w:rPr>
          <w:b/>
          <w:bCs/>
          <w:i/>
          <w:iCs/>
          <w:sz w:val="20"/>
          <w:szCs w:val="20"/>
          <w:lang w:bidi="ar-EG"/>
        </w:rPr>
        <w:t>Kotby</w:t>
      </w:r>
      <w:proofErr w:type="spellEnd"/>
      <w:r w:rsidR="000F1614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34B04" w:rsidRPr="00D03279">
        <w:rPr>
          <w:b/>
          <w:bCs/>
          <w:i/>
          <w:iCs/>
          <w:sz w:val="20"/>
          <w:szCs w:val="20"/>
          <w:lang w:bidi="ar-EG"/>
        </w:rPr>
        <w:t>1986).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Etiology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="00634B04" w:rsidRPr="00D03279">
        <w:rPr>
          <w:sz w:val="20"/>
          <w:szCs w:val="20"/>
          <w:lang w:bidi="ar-EG"/>
        </w:rPr>
        <w:t>dysphonia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can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be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divided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into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three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groups</w:t>
      </w:r>
      <w:r w:rsidR="000F1614" w:rsidRPr="00D03279">
        <w:rPr>
          <w:sz w:val="20"/>
          <w:szCs w:val="20"/>
          <w:lang w:bidi="ar-EG"/>
        </w:rPr>
        <w:t>: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Organic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voice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disorders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with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detectable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morphological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changes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in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the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vocal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apparatus;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n</w:t>
      </w:r>
      <w:r w:rsidR="00634B04" w:rsidRPr="00D03279">
        <w:rPr>
          <w:sz w:val="20"/>
          <w:szCs w:val="20"/>
          <w:lang w:bidi="ar-EG"/>
        </w:rPr>
        <w:t>on-organic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(functional)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voice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disorders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without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detectable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organic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pathology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in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the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structure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the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larynx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and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m</w:t>
      </w:r>
      <w:r w:rsidR="00634B04" w:rsidRPr="00D03279">
        <w:rPr>
          <w:sz w:val="20"/>
          <w:szCs w:val="20"/>
          <w:lang w:bidi="ar-EG"/>
        </w:rPr>
        <w:t>inimal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associated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pathological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lesions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(</w:t>
      </w:r>
      <w:proofErr w:type="spellStart"/>
      <w:r w:rsidR="00634B04" w:rsidRPr="00D03279">
        <w:rPr>
          <w:sz w:val="20"/>
          <w:szCs w:val="20"/>
          <w:lang w:bidi="ar-EG"/>
        </w:rPr>
        <w:t>MAPLs</w:t>
      </w:r>
      <w:proofErr w:type="spellEnd"/>
      <w:r w:rsidR="00634B04" w:rsidRPr="00D03279">
        <w:rPr>
          <w:sz w:val="20"/>
          <w:szCs w:val="20"/>
          <w:lang w:bidi="ar-EG"/>
        </w:rPr>
        <w:t>)</w:t>
      </w:r>
      <w:r w:rsidR="000F1614" w:rsidRPr="00D03279">
        <w:rPr>
          <w:sz w:val="20"/>
          <w:szCs w:val="20"/>
          <w:lang w:bidi="ar-EG"/>
        </w:rPr>
        <w:t>;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long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standing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functional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voice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disorders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leading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to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the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creation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detectable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organic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sz w:val="20"/>
          <w:szCs w:val="20"/>
          <w:lang w:bidi="ar-EG"/>
        </w:rPr>
        <w:t>changes</w:t>
      </w:r>
      <w:r w:rsidR="002C7754" w:rsidRPr="00D03279">
        <w:rPr>
          <w:sz w:val="20"/>
          <w:szCs w:val="20"/>
          <w:lang w:bidi="ar-EG"/>
        </w:rPr>
        <w:t xml:space="preserve"> </w:t>
      </w:r>
      <w:r w:rsidR="00634B04" w:rsidRPr="00D03279">
        <w:rPr>
          <w:b/>
          <w:bCs/>
          <w:i/>
          <w:iCs/>
          <w:sz w:val="20"/>
          <w:szCs w:val="20"/>
          <w:lang w:bidi="ar-EG"/>
        </w:rPr>
        <w:t>(</w:t>
      </w:r>
      <w:proofErr w:type="spellStart"/>
      <w:r w:rsidR="001A5958" w:rsidRPr="00D03279">
        <w:rPr>
          <w:b/>
          <w:bCs/>
          <w:i/>
          <w:iCs/>
          <w:sz w:val="20"/>
          <w:szCs w:val="20"/>
          <w:lang w:bidi="ar-EG"/>
        </w:rPr>
        <w:t>Kotby</w:t>
      </w:r>
      <w:proofErr w:type="spellEnd"/>
      <w:r w:rsidR="000F1614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34B04" w:rsidRPr="00D03279">
        <w:rPr>
          <w:b/>
          <w:bCs/>
          <w:i/>
          <w:iCs/>
          <w:sz w:val="20"/>
          <w:szCs w:val="20"/>
          <w:lang w:bidi="ar-EG"/>
        </w:rPr>
        <w:t>1995).</w:t>
      </w:r>
      <w:r w:rsidR="002C7754" w:rsidRPr="00D03279">
        <w:rPr>
          <w:sz w:val="20"/>
          <w:szCs w:val="20"/>
          <w:lang w:bidi="ar-EG"/>
        </w:rPr>
        <w:t xml:space="preserve"> </w:t>
      </w:r>
    </w:p>
    <w:p w:rsidR="001F3A04" w:rsidRPr="00D03279" w:rsidRDefault="00634B04" w:rsidP="000D5835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D03279">
        <w:rPr>
          <w:sz w:val="20"/>
          <w:szCs w:val="20"/>
          <w:lang w:bidi="ar-EG"/>
        </w:rPr>
        <w:t>Vocal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fold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polyps</w:t>
      </w:r>
      <w:r w:rsidR="000F1614" w:rsidRPr="00D03279">
        <w:rPr>
          <w:sz w:val="20"/>
          <w:szCs w:val="20"/>
          <w:lang w:bidi="ar-EG"/>
        </w:rPr>
        <w:t>,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nodules</w:t>
      </w:r>
      <w:r w:rsidR="000F1614" w:rsidRPr="00D03279">
        <w:rPr>
          <w:sz w:val="20"/>
          <w:szCs w:val="20"/>
          <w:lang w:bidi="ar-EG"/>
        </w:rPr>
        <w:t>,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cysts</w:t>
      </w:r>
      <w:r w:rsidR="000F1614" w:rsidRPr="00D03279">
        <w:rPr>
          <w:sz w:val="20"/>
          <w:szCs w:val="20"/>
          <w:lang w:bidi="ar-EG"/>
        </w:rPr>
        <w:t>,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="00AE35B1" w:rsidRPr="00D03279">
        <w:rPr>
          <w:sz w:val="20"/>
          <w:szCs w:val="20"/>
          <w:lang w:bidi="ar-EG"/>
        </w:rPr>
        <w:t>Reink</w:t>
      </w:r>
      <w:r w:rsidRPr="00D03279">
        <w:rPr>
          <w:sz w:val="20"/>
          <w:szCs w:val="20"/>
          <w:lang w:bidi="ar-EG"/>
        </w:rPr>
        <w:t>e’s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edema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and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Pr="00D03279">
        <w:rPr>
          <w:sz w:val="20"/>
          <w:szCs w:val="20"/>
          <w:lang w:bidi="ar-EG"/>
        </w:rPr>
        <w:t>polypoid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degeneration</w:t>
      </w:r>
      <w:r w:rsidR="000F1614" w:rsidRPr="00D03279">
        <w:rPr>
          <w:sz w:val="20"/>
          <w:szCs w:val="20"/>
          <w:lang w:bidi="ar-EG"/>
        </w:rPr>
        <w:t>,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and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contact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Pr="00D03279">
        <w:rPr>
          <w:sz w:val="20"/>
          <w:szCs w:val="20"/>
          <w:lang w:bidi="ar-EG"/>
        </w:rPr>
        <w:t>granulomas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are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examples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these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lesions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Mosallam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0F1614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1986).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These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benign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lesions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are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grouped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together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because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they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share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certain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common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features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Kleinsasser</w:t>
      </w:r>
      <w:proofErr w:type="spellEnd"/>
      <w:r w:rsidR="000F1614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1991)</w:t>
      </w:r>
      <w:r w:rsidR="00E757F2"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They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have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common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predisposing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factors</w:t>
      </w:r>
      <w:r w:rsidR="000F1614" w:rsidRPr="00D03279">
        <w:rPr>
          <w:sz w:val="20"/>
          <w:szCs w:val="20"/>
          <w:lang w:bidi="ar-EG"/>
        </w:rPr>
        <w:t>: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vocal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trauma</w:t>
      </w:r>
      <w:r w:rsidR="000F1614" w:rsidRPr="00D03279">
        <w:rPr>
          <w:sz w:val="20"/>
          <w:szCs w:val="20"/>
          <w:lang w:bidi="ar-EG"/>
        </w:rPr>
        <w:t>,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smoking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and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other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laryngeal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irritants.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They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have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related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Pr="00D03279">
        <w:rPr>
          <w:sz w:val="20"/>
          <w:szCs w:val="20"/>
          <w:lang w:bidi="ar-EG"/>
        </w:rPr>
        <w:t>histopathological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features</w:t>
      </w:r>
      <w:r w:rsidR="000F1614" w:rsidRPr="00D03279">
        <w:rPr>
          <w:sz w:val="20"/>
          <w:szCs w:val="20"/>
          <w:lang w:bidi="ar-EG"/>
        </w:rPr>
        <w:t>: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they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are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non-</w:t>
      </w:r>
      <w:proofErr w:type="spellStart"/>
      <w:r w:rsidRPr="00D03279">
        <w:rPr>
          <w:sz w:val="20"/>
          <w:szCs w:val="20"/>
          <w:lang w:bidi="ar-EG"/>
        </w:rPr>
        <w:t>neoplastic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and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non-inflammatory.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They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have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common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presenting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symptoms</w:t>
      </w:r>
      <w:r w:rsidR="000F1614" w:rsidRPr="00D03279">
        <w:rPr>
          <w:sz w:val="20"/>
          <w:szCs w:val="20"/>
          <w:lang w:bidi="ar-EG"/>
        </w:rPr>
        <w:t>: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Pr="00D03279">
        <w:rPr>
          <w:sz w:val="20"/>
          <w:szCs w:val="20"/>
          <w:lang w:bidi="ar-EG"/>
        </w:rPr>
        <w:t>dysphonia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with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or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without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Pr="00D03279">
        <w:rPr>
          <w:sz w:val="20"/>
          <w:szCs w:val="20"/>
          <w:lang w:bidi="ar-EG"/>
        </w:rPr>
        <w:t>phonasthenia</w:t>
      </w:r>
      <w:proofErr w:type="spellEnd"/>
      <w:r w:rsidR="001A5958" w:rsidRPr="00D03279">
        <w:rPr>
          <w:sz w:val="20"/>
          <w:szCs w:val="20"/>
          <w:lang w:bidi="ar-EG"/>
        </w:rPr>
        <w:t>.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According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to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protocol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voice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evaluation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developed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at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Pr="00D03279">
        <w:rPr>
          <w:sz w:val="20"/>
          <w:szCs w:val="20"/>
          <w:lang w:bidi="ar-EG"/>
        </w:rPr>
        <w:t>Phoniatrics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Unit</w:t>
      </w:r>
      <w:r w:rsidR="000F1614" w:rsidRPr="00D03279">
        <w:rPr>
          <w:sz w:val="20"/>
          <w:szCs w:val="20"/>
          <w:lang w:bidi="ar-EG"/>
        </w:rPr>
        <w:t>,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Pr="00D03279">
        <w:rPr>
          <w:sz w:val="20"/>
          <w:szCs w:val="20"/>
          <w:lang w:bidi="ar-EG"/>
        </w:rPr>
        <w:t>Ain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Shams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University</w:t>
      </w:r>
      <w:r w:rsidR="000F1614" w:rsidRPr="00D03279">
        <w:rPr>
          <w:sz w:val="20"/>
          <w:szCs w:val="20"/>
          <w:lang w:bidi="ar-EG"/>
        </w:rPr>
        <w:t>,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voice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evaluation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includes</w:t>
      </w:r>
      <w:r w:rsidR="000F1614" w:rsidRPr="00D03279">
        <w:rPr>
          <w:sz w:val="20"/>
          <w:szCs w:val="20"/>
          <w:lang w:bidi="ar-EG"/>
        </w:rPr>
        <w:t>: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Element</w:t>
      </w:r>
      <w:r w:rsidR="00E757F2" w:rsidRPr="00D03279">
        <w:rPr>
          <w:sz w:val="20"/>
          <w:szCs w:val="20"/>
          <w:lang w:bidi="ar-EG"/>
        </w:rPr>
        <w:t>ary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diagnostic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procedures,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clinical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diagnostic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procedures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and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a</w:t>
      </w:r>
      <w:r w:rsidRPr="00D03279">
        <w:rPr>
          <w:sz w:val="20"/>
          <w:szCs w:val="20"/>
          <w:lang w:bidi="ar-EG"/>
        </w:rPr>
        <w:t>dditional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instrumental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measures.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Management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any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voice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disorder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may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follow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one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or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lastRenderedPageBreak/>
        <w:t>a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combination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following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lines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Bouchayer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Cornut</w:t>
      </w:r>
      <w:proofErr w:type="spellEnd"/>
      <w:r w:rsidR="000F1614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1992)</w:t>
      </w:r>
      <w:r w:rsidR="000F1614" w:rsidRPr="00D03279">
        <w:rPr>
          <w:b/>
          <w:bCs/>
          <w:i/>
          <w:iCs/>
          <w:sz w:val="20"/>
          <w:szCs w:val="20"/>
          <w:lang w:bidi="ar-EG"/>
        </w:rPr>
        <w:t>: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Pharmacotherapy,</w:t>
      </w:r>
      <w:r w:rsidR="002C7754" w:rsidRPr="00D03279">
        <w:rPr>
          <w:sz w:val="20"/>
          <w:szCs w:val="20"/>
          <w:lang w:bidi="ar-EG"/>
        </w:rPr>
        <w:t xml:space="preserve"> </w:t>
      </w:r>
      <w:proofErr w:type="spellStart"/>
      <w:r w:rsidR="00E757F2" w:rsidRPr="00D03279">
        <w:rPr>
          <w:sz w:val="20"/>
          <w:szCs w:val="20"/>
          <w:lang w:bidi="ar-EG"/>
        </w:rPr>
        <w:t>phonosurgery</w:t>
      </w:r>
      <w:proofErr w:type="spellEnd"/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and</w:t>
      </w:r>
      <w:r w:rsidR="002C7754" w:rsidRPr="00D03279">
        <w:rPr>
          <w:sz w:val="20"/>
          <w:szCs w:val="20"/>
          <w:lang w:bidi="ar-EG"/>
        </w:rPr>
        <w:t xml:space="preserve"> </w:t>
      </w:r>
      <w:r w:rsidR="00E757F2" w:rsidRPr="00D03279">
        <w:rPr>
          <w:sz w:val="20"/>
          <w:szCs w:val="20"/>
          <w:lang w:bidi="ar-EG"/>
        </w:rPr>
        <w:t>b</w:t>
      </w:r>
      <w:r w:rsidRPr="00D03279">
        <w:rPr>
          <w:sz w:val="20"/>
          <w:szCs w:val="20"/>
          <w:lang w:bidi="ar-EG"/>
        </w:rPr>
        <w:t>ehavioral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readjustment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voice</w:t>
      </w:r>
      <w:r w:rsidR="002C7754" w:rsidRPr="00D03279">
        <w:rPr>
          <w:sz w:val="20"/>
          <w:szCs w:val="20"/>
          <w:lang w:bidi="ar-EG"/>
        </w:rPr>
        <w:t xml:space="preserve"> </w:t>
      </w:r>
      <w:r w:rsidRPr="00D03279">
        <w:rPr>
          <w:sz w:val="20"/>
          <w:szCs w:val="20"/>
          <w:lang w:bidi="ar-EG"/>
        </w:rPr>
        <w:t>therapy.</w:t>
      </w:r>
    </w:p>
    <w:p w:rsidR="0075629F" w:rsidRPr="00D03279" w:rsidRDefault="0075629F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</w:pPr>
      <w:bookmarkStart w:id="1" w:name="_Toc523820012"/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Aim</w:t>
      </w:r>
      <w:r w:rsidR="002C7754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 xml:space="preserve"> </w:t>
      </w:r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of</w:t>
      </w:r>
      <w:r w:rsidR="002C7754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 xml:space="preserve"> </w:t>
      </w:r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the</w:t>
      </w:r>
      <w:r w:rsidR="002C7754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 xml:space="preserve"> </w:t>
      </w:r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Work</w:t>
      </w:r>
      <w:bookmarkEnd w:id="1"/>
    </w:p>
    <w:p w:rsidR="001F3A04" w:rsidRPr="00D03279" w:rsidRDefault="001F3A04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</w:t>
      </w:r>
      <w:r w:rsidR="00EB3C9B" w:rsidRPr="00D03279">
        <w:rPr>
          <w:bCs/>
          <w:sz w:val="20"/>
          <w:szCs w:val="20"/>
          <w:lang w:bidi="ar-EG"/>
        </w:rPr>
        <w:t>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aim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this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work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evaluation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functional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outcome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versus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="00EB3C9B" w:rsidRPr="00D03279">
        <w:rPr>
          <w:bCs/>
          <w:sz w:val="20"/>
          <w:szCs w:val="20"/>
          <w:lang w:bidi="ar-EG"/>
        </w:rPr>
        <w:t>phonosurgery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management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cord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polyp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order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evaluate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applicability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these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procedures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these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lesions.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This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will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made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conducting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systematic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review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literature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this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topic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B3C9B" w:rsidRPr="00D03279">
        <w:rPr>
          <w:bCs/>
          <w:sz w:val="20"/>
          <w:szCs w:val="20"/>
          <w:lang w:bidi="ar-EG"/>
        </w:rPr>
        <w:t>area.</w:t>
      </w:r>
    </w:p>
    <w:p w:rsidR="00DF4617" w:rsidRPr="00D03279" w:rsidRDefault="00DF4617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</w:pPr>
      <w:bookmarkStart w:id="2" w:name="_Toc523820014"/>
    </w:p>
    <w:p w:rsidR="007F4E9F" w:rsidRPr="00D03279" w:rsidRDefault="00DF4617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</w:pPr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2.</w:t>
      </w:r>
      <w:r w:rsidR="002C7754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 xml:space="preserve"> </w:t>
      </w:r>
      <w:r w:rsidR="00806E59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Methods</w:t>
      </w:r>
      <w:bookmarkEnd w:id="2"/>
    </w:p>
    <w:p w:rsidR="000C452D" w:rsidRPr="00D03279" w:rsidRDefault="000C452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literature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review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sought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answer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following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guiding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question</w:t>
      </w:r>
      <w:r w:rsidR="000F1614" w:rsidRPr="00D03279">
        <w:rPr>
          <w:bCs/>
          <w:sz w:val="20"/>
          <w:szCs w:val="20"/>
          <w:lang w:bidi="ar-EG"/>
        </w:rPr>
        <w:t>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E757F2" w:rsidRPr="00D03279">
        <w:rPr>
          <w:bCs/>
          <w:sz w:val="20"/>
          <w:szCs w:val="20"/>
          <w:lang w:bidi="ar-EG"/>
        </w:rPr>
        <w:t>I</w:t>
      </w:r>
      <w:r w:rsidRPr="00D03279">
        <w:rPr>
          <w:bCs/>
          <w:sz w:val="20"/>
          <w:szCs w:val="20"/>
          <w:lang w:bidi="ar-EG"/>
        </w:rPr>
        <w:t>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effective?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bibliographic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research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conducted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through</w:t>
      </w:r>
      <w:r w:rsidR="000F1614" w:rsidRPr="00D03279">
        <w:rPr>
          <w:bCs/>
          <w:sz w:val="20"/>
          <w:szCs w:val="20"/>
          <w:lang w:bidi="ar-EG"/>
        </w:rPr>
        <w:t>: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numPr>
          <w:ilvl w:val="0"/>
          <w:numId w:val="46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Public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Medline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numPr>
          <w:ilvl w:val="0"/>
          <w:numId w:val="46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proofErr w:type="spellStart"/>
      <w:r w:rsidRPr="00D03279">
        <w:rPr>
          <w:bCs/>
          <w:sz w:val="20"/>
          <w:szCs w:val="20"/>
          <w:lang w:bidi="ar-EG"/>
        </w:rPr>
        <w:t>PubMed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platform</w:t>
      </w:r>
    </w:p>
    <w:p w:rsidR="000C452D" w:rsidRPr="00D03279" w:rsidRDefault="000C452D" w:rsidP="000D5835">
      <w:pPr>
        <w:numPr>
          <w:ilvl w:val="0"/>
          <w:numId w:val="46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Besides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Scopus</w:t>
      </w:r>
    </w:p>
    <w:p w:rsidR="000C452D" w:rsidRPr="00D03279" w:rsidRDefault="000C452D" w:rsidP="000D5835">
      <w:pPr>
        <w:numPr>
          <w:ilvl w:val="0"/>
          <w:numId w:val="46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Science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Direct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numPr>
          <w:ilvl w:val="0"/>
          <w:numId w:val="46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Cumulative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Index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Nursing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Allied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Health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Literature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numPr>
          <w:ilvl w:val="0"/>
          <w:numId w:val="46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CINAHL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Web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Science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databases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period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from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2004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2017</w:t>
      </w:r>
      <w:r w:rsidR="000F1614" w:rsidRPr="00D03279">
        <w:rPr>
          <w:bCs/>
          <w:sz w:val="20"/>
          <w:szCs w:val="20"/>
          <w:lang w:bidi="ar-EG"/>
        </w:rPr>
        <w:t>.</w:t>
      </w:r>
    </w:p>
    <w:p w:rsidR="000C452D" w:rsidRPr="00D03279" w:rsidRDefault="000C452D" w:rsidP="000D5835">
      <w:pPr>
        <w:bidi w:val="0"/>
        <w:snapToGrid w:val="0"/>
        <w:ind w:firstLine="425"/>
        <w:jc w:val="both"/>
        <w:rPr>
          <w:bCs/>
          <w:sz w:val="20"/>
          <w:szCs w:val="20"/>
          <w:lang w:eastAsia="zh-CN" w:bidi="ar-EG"/>
        </w:rPr>
      </w:pPr>
      <w:r w:rsidRPr="00D03279">
        <w:rPr>
          <w:bCs/>
          <w:sz w:val="20"/>
          <w:szCs w:val="20"/>
          <w:lang w:bidi="ar-EG"/>
        </w:rPr>
        <w:lastRenderedPageBreak/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Cochrane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database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also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consulted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confirm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inexistence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systematic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review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topic.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2C7754" w:rsidRPr="00D03279" w:rsidRDefault="002C7754" w:rsidP="000D5835">
      <w:pPr>
        <w:bidi w:val="0"/>
        <w:snapToGrid w:val="0"/>
        <w:ind w:firstLine="425"/>
        <w:jc w:val="both"/>
        <w:rPr>
          <w:bCs/>
          <w:sz w:val="20"/>
          <w:szCs w:val="20"/>
          <w:lang w:eastAsia="zh-CN" w:bidi="ar-EG"/>
        </w:rPr>
      </w:pPr>
    </w:p>
    <w:p w:rsidR="00086F79" w:rsidRPr="00D03279" w:rsidRDefault="00DB34FF" w:rsidP="000D5835">
      <w:pPr>
        <w:bidi w:val="0"/>
        <w:snapToGrid w:val="0"/>
        <w:jc w:val="center"/>
        <w:rPr>
          <w:bCs/>
          <w:sz w:val="20"/>
          <w:szCs w:val="20"/>
          <w:lang w:bidi="ar-EG"/>
        </w:rPr>
      </w:pPr>
      <w:r w:rsidRPr="00D03279">
        <w:rPr>
          <w:bCs/>
          <w:noProof/>
          <w:sz w:val="20"/>
          <w:szCs w:val="20"/>
          <w:lang w:eastAsia="zh-CN"/>
        </w:rPr>
        <w:drawing>
          <wp:inline distT="0" distB="0" distL="0" distR="0">
            <wp:extent cx="2368550" cy="1778000"/>
            <wp:effectExtent l="19050" t="0" r="0" b="0"/>
            <wp:docPr id="1" name="Picture 8" descr="Description: C:\Users\misr comput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:\Users\misr computer\Desktop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79" w:rsidRPr="00D03279" w:rsidRDefault="00086F79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</w:p>
    <w:p w:rsidR="000C452D" w:rsidRPr="00D03279" w:rsidRDefault="000C452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Medical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Subject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Headings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</w:t>
      </w:r>
      <w:proofErr w:type="spellStart"/>
      <w:r w:rsidRPr="00D03279">
        <w:rPr>
          <w:bCs/>
          <w:sz w:val="20"/>
          <w:szCs w:val="20"/>
          <w:lang w:bidi="ar-EG"/>
        </w:rPr>
        <w:t>MeSH</w:t>
      </w:r>
      <w:proofErr w:type="spellEnd"/>
      <w:r w:rsidRPr="00D03279">
        <w:rPr>
          <w:bCs/>
          <w:sz w:val="20"/>
          <w:szCs w:val="20"/>
          <w:lang w:bidi="ar-EG"/>
        </w:rPr>
        <w:t>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descriptors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free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terms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4E0B46" w:rsidRPr="00D03279">
        <w:rPr>
          <w:bCs/>
          <w:sz w:val="20"/>
          <w:szCs w:val="20"/>
          <w:lang w:bidi="ar-EG"/>
        </w:rPr>
        <w:t>English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language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(all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fields)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relevant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research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used.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free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term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quotation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marks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individ</w:t>
      </w:r>
      <w:r w:rsidRPr="00D03279">
        <w:rPr>
          <w:bCs/>
          <w:sz w:val="20"/>
          <w:szCs w:val="20"/>
          <w:lang w:bidi="ar-EG"/>
        </w:rPr>
        <w:softHyphen/>
        <w:t>ually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crossed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following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descriptors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Boolean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marker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(Any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kind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logic,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function,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expression,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theory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based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35404" w:rsidRPr="00D03279">
        <w:rPr>
          <w:bCs/>
          <w:sz w:val="20"/>
          <w:szCs w:val="20"/>
          <w:lang w:bidi="ar-EG"/>
        </w:rPr>
        <w:t>work)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9931D1" w:rsidRPr="00D03279">
        <w:rPr>
          <w:bCs/>
          <w:sz w:val="20"/>
          <w:szCs w:val="20"/>
          <w:lang w:bidi="ar-EG"/>
        </w:rPr>
        <w:t>and</w:t>
      </w:r>
      <w:r w:rsidR="000F1614" w:rsidRPr="00D03279">
        <w:rPr>
          <w:bCs/>
          <w:sz w:val="20"/>
          <w:szCs w:val="20"/>
          <w:lang w:bidi="ar-EG"/>
        </w:rPr>
        <w:t>: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numPr>
          <w:ilvl w:val="0"/>
          <w:numId w:val="47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therapeutics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numPr>
          <w:ilvl w:val="0"/>
          <w:numId w:val="47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outcomes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training</w:t>
      </w:r>
      <w:r w:rsidR="000F1614" w:rsidRPr="00D03279">
        <w:rPr>
          <w:bCs/>
          <w:sz w:val="20"/>
          <w:szCs w:val="20"/>
          <w:lang w:bidi="ar-EG"/>
        </w:rPr>
        <w:t>;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numPr>
          <w:ilvl w:val="0"/>
          <w:numId w:val="47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numPr>
          <w:ilvl w:val="0"/>
          <w:numId w:val="47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technique</w:t>
      </w:r>
      <w:r w:rsidR="000D5835" w:rsidRPr="00D03279">
        <w:rPr>
          <w:rFonts w:hint="eastAsia"/>
          <w:bCs/>
          <w:sz w:val="20"/>
          <w:szCs w:val="20"/>
          <w:lang w:eastAsia="zh-CN" w:bidi="ar-EG"/>
        </w:rPr>
        <w:t>,</w:t>
      </w:r>
    </w:p>
    <w:p w:rsidR="000C452D" w:rsidRPr="00D03279" w:rsidRDefault="000C452D" w:rsidP="000D5835">
      <w:pPr>
        <w:numPr>
          <w:ilvl w:val="0"/>
          <w:numId w:val="47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intervention.</w:t>
      </w:r>
    </w:p>
    <w:p w:rsidR="000C452D" w:rsidRPr="00D03279" w:rsidRDefault="000C452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criteria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original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477088"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477088"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477088"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477088"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477088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477088" w:rsidRPr="00D03279">
        <w:rPr>
          <w:bCs/>
          <w:sz w:val="20"/>
          <w:szCs w:val="20"/>
          <w:lang w:bidi="ar-EG"/>
        </w:rPr>
        <w:t>addition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477088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F0728"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F0728" w:rsidRPr="00D03279">
        <w:rPr>
          <w:bCs/>
          <w:sz w:val="20"/>
          <w:szCs w:val="20"/>
          <w:lang w:bidi="ar-EG"/>
        </w:rPr>
        <w:lastRenderedPageBreak/>
        <w:t>involving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found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search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considered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without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restrictions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relation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characteristics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participants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and/or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publication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date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language.</w:t>
      </w:r>
    </w:p>
    <w:p w:rsidR="00AC2326" w:rsidRPr="00D03279" w:rsidRDefault="00AC2326" w:rsidP="000D5835">
      <w:pPr>
        <w:bidi w:val="0"/>
        <w:snapToGrid w:val="0"/>
        <w:jc w:val="both"/>
        <w:rPr>
          <w:b/>
          <w:sz w:val="20"/>
          <w:szCs w:val="20"/>
          <w:lang w:bidi="ar-EG"/>
        </w:rPr>
      </w:pPr>
      <w:r w:rsidRPr="00D03279">
        <w:rPr>
          <w:b/>
          <w:sz w:val="20"/>
          <w:szCs w:val="20"/>
          <w:lang w:bidi="ar-EG"/>
        </w:rPr>
        <w:t>Vocal</w:t>
      </w:r>
      <w:r w:rsidR="002C7754" w:rsidRPr="00D03279">
        <w:rPr>
          <w:b/>
          <w:sz w:val="20"/>
          <w:szCs w:val="20"/>
          <w:lang w:bidi="ar-EG"/>
        </w:rPr>
        <w:t xml:space="preserve"> </w:t>
      </w:r>
      <w:r w:rsidRPr="00D03279">
        <w:rPr>
          <w:b/>
          <w:sz w:val="20"/>
          <w:szCs w:val="20"/>
          <w:lang w:bidi="ar-EG"/>
        </w:rPr>
        <w:t>cord</w:t>
      </w:r>
      <w:r w:rsidR="002C7754" w:rsidRPr="00D03279">
        <w:rPr>
          <w:b/>
          <w:sz w:val="20"/>
          <w:szCs w:val="20"/>
          <w:lang w:bidi="ar-EG"/>
        </w:rPr>
        <w:t xml:space="preserve"> </w:t>
      </w:r>
      <w:r w:rsidRPr="00D03279">
        <w:rPr>
          <w:b/>
          <w:sz w:val="20"/>
          <w:szCs w:val="20"/>
          <w:lang w:bidi="ar-EG"/>
        </w:rPr>
        <w:t>polyp</w:t>
      </w:r>
    </w:p>
    <w:p w:rsidR="000C452D" w:rsidRPr="00D03279" w:rsidRDefault="000C452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exclusive</w:t>
      </w:r>
      <w:r w:rsidR="00301242" w:rsidRPr="00D03279">
        <w:rPr>
          <w:bCs/>
          <w:sz w:val="20"/>
          <w:szCs w:val="20"/>
          <w:lang w:bidi="ar-EG"/>
        </w:rPr>
        <w:t>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301242" w:rsidRPr="00D03279">
        <w:rPr>
          <w:bCs/>
          <w:sz w:val="20"/>
          <w:szCs w:val="20"/>
          <w:lang w:bidi="ar-EG"/>
        </w:rPr>
        <w:t>addressed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301242" w:rsidRPr="00D03279">
        <w:rPr>
          <w:bCs/>
          <w:sz w:val="20"/>
          <w:szCs w:val="20"/>
          <w:lang w:bidi="ar-EG"/>
        </w:rPr>
        <w:t>other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MAPLS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excluded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from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search.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Chapters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books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dissertations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theses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literature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reviews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reviews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editorials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considered.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0C452D" w:rsidRPr="00D03279" w:rsidRDefault="000C452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identification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databases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initially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selected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title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reading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abstract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according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exclusion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criteria.</w:t>
      </w:r>
    </w:p>
    <w:p w:rsidR="000C452D" w:rsidRPr="00D03279" w:rsidRDefault="000C452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reading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abstract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doubts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text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agreed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between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reviewers.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repeated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disregarded.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Also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referenced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elected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criteria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initial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selection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title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summary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considered</w:t>
      </w:r>
      <w:r w:rsidR="009931D1" w:rsidRPr="00D03279">
        <w:rPr>
          <w:bCs/>
          <w:sz w:val="20"/>
          <w:szCs w:val="20"/>
          <w:lang w:bidi="ar-EG"/>
        </w:rPr>
        <w:t>.</w:t>
      </w:r>
    </w:p>
    <w:p w:rsidR="000C452D" w:rsidRPr="00D03279" w:rsidRDefault="000C452D" w:rsidP="000D5835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final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evaluated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relation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methodological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quality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statistical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analysis</w:t>
      </w:r>
      <w:r w:rsidR="000F1614" w:rsidRPr="00D03279">
        <w:rPr>
          <w:bCs/>
          <w:sz w:val="20"/>
          <w:szCs w:val="20"/>
          <w:lang w:bidi="ar-EG"/>
        </w:rPr>
        <w:t>.</w:t>
      </w:r>
    </w:p>
    <w:p w:rsidR="000C452D" w:rsidRPr="00D03279" w:rsidRDefault="000C452D" w:rsidP="000D5835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process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analyzed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observing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previously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elaborated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protocol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containing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following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variables</w:t>
      </w:r>
      <w:r w:rsidR="000F1614" w:rsidRPr="00D03279">
        <w:rPr>
          <w:bCs/>
          <w:sz w:val="20"/>
          <w:szCs w:val="20"/>
          <w:lang w:bidi="ar-EG"/>
        </w:rPr>
        <w:t>: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1F3A04" w:rsidRDefault="000C452D" w:rsidP="000D5835">
      <w:pPr>
        <w:bidi w:val="0"/>
        <w:snapToGrid w:val="0"/>
        <w:ind w:firstLine="425"/>
        <w:jc w:val="both"/>
        <w:rPr>
          <w:rFonts w:hint="eastAsia"/>
          <w:bCs/>
          <w:sz w:val="20"/>
          <w:szCs w:val="20"/>
          <w:lang w:eastAsia="zh-CN" w:bidi="ar-EG"/>
        </w:rPr>
      </w:pPr>
      <w:r w:rsidRPr="00D03279">
        <w:rPr>
          <w:sz w:val="20"/>
          <w:szCs w:val="20"/>
          <w:lang w:bidi="ar-EG"/>
        </w:rPr>
        <w:t>Author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location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effectiveness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number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type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type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0F1614" w:rsidRPr="00D03279">
        <w:rPr>
          <w:bCs/>
          <w:sz w:val="20"/>
          <w:szCs w:val="20"/>
          <w:lang w:bidi="ar-EG"/>
        </w:rPr>
        <w:t>.</w:t>
      </w:r>
    </w:p>
    <w:p w:rsidR="00D03279" w:rsidRPr="00D03279" w:rsidRDefault="00D03279" w:rsidP="00D03279">
      <w:pPr>
        <w:bidi w:val="0"/>
        <w:snapToGrid w:val="0"/>
        <w:ind w:firstLine="425"/>
        <w:jc w:val="both"/>
        <w:rPr>
          <w:rFonts w:hint="eastAsia"/>
          <w:bCs/>
          <w:sz w:val="20"/>
          <w:szCs w:val="20"/>
          <w:lang w:eastAsia="zh-CN" w:bidi="ar-EG"/>
        </w:rPr>
      </w:pPr>
    </w:p>
    <w:p w:rsidR="00D03279" w:rsidRDefault="00D03279" w:rsidP="00D03279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 w:hint="eastAsia"/>
          <w:smallCaps w:val="0"/>
          <w:kern w:val="0"/>
          <w:sz w:val="20"/>
          <w:szCs w:val="20"/>
          <w:lang w:eastAsia="zh-CN"/>
        </w:rPr>
      </w:pPr>
      <w:bookmarkStart w:id="3" w:name="_Toc523820015"/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3. Results</w:t>
      </w:r>
    </w:p>
    <w:p w:rsidR="00D03279" w:rsidRPr="00D03279" w:rsidRDefault="00D03279" w:rsidP="00D03279">
      <w:pPr>
        <w:rPr>
          <w:lang w:eastAsia="zh-CN" w:bidi="ar-EG"/>
        </w:rPr>
        <w:sectPr w:rsidR="00D03279" w:rsidRPr="00D03279" w:rsidSect="000D5835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C7754" w:rsidRPr="00D03279" w:rsidRDefault="002C7754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</w:pPr>
    </w:p>
    <w:p w:rsidR="00B215E0" w:rsidRPr="00D03279" w:rsidRDefault="00EC070F" w:rsidP="000D5835">
      <w:pPr>
        <w:bidi w:val="0"/>
        <w:snapToGrid w:val="0"/>
        <w:jc w:val="center"/>
        <w:rPr>
          <w:b/>
          <w:bCs/>
          <w:sz w:val="20"/>
          <w:szCs w:val="20"/>
          <w:lang w:bidi="ar-EG"/>
        </w:rPr>
      </w:pPr>
      <w:bookmarkStart w:id="4" w:name="_Toc523819864"/>
      <w:bookmarkEnd w:id="3"/>
      <w:r w:rsidRPr="00D03279">
        <w:rPr>
          <w:b/>
          <w:bCs/>
          <w:sz w:val="20"/>
          <w:szCs w:val="20"/>
          <w:lang w:bidi="ar-EG"/>
        </w:rPr>
        <w:t>Table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(</w:t>
      </w:r>
      <w:r w:rsidR="00D845C1" w:rsidRPr="00D03279">
        <w:rPr>
          <w:b/>
          <w:bCs/>
          <w:sz w:val="20"/>
          <w:szCs w:val="20"/>
          <w:lang w:bidi="ar-EG"/>
        </w:rPr>
        <w:fldChar w:fldCharType="begin"/>
      </w:r>
      <w:r w:rsidRPr="00D03279">
        <w:rPr>
          <w:b/>
          <w:bCs/>
          <w:sz w:val="20"/>
          <w:szCs w:val="20"/>
          <w:lang w:bidi="ar-EG"/>
        </w:rPr>
        <w:instrText xml:space="preserve"> SEQ Table \* ARABIC </w:instrText>
      </w:r>
      <w:r w:rsidR="00D845C1" w:rsidRPr="00D03279">
        <w:rPr>
          <w:b/>
          <w:bCs/>
          <w:sz w:val="20"/>
          <w:szCs w:val="20"/>
          <w:lang w:bidi="ar-EG"/>
        </w:rPr>
        <w:fldChar w:fldCharType="separate"/>
      </w:r>
      <w:r w:rsidR="00F70BB5" w:rsidRPr="00D03279">
        <w:rPr>
          <w:b/>
          <w:bCs/>
          <w:noProof/>
          <w:sz w:val="20"/>
          <w:szCs w:val="20"/>
          <w:lang w:bidi="ar-EG"/>
        </w:rPr>
        <w:t>1</w:t>
      </w:r>
      <w:r w:rsidR="00D845C1" w:rsidRPr="00D03279">
        <w:rPr>
          <w:b/>
          <w:bCs/>
          <w:sz w:val="20"/>
          <w:szCs w:val="20"/>
          <w:lang w:bidi="ar-EG"/>
        </w:rPr>
        <w:fldChar w:fldCharType="end"/>
      </w:r>
      <w:r w:rsidRPr="00D03279">
        <w:rPr>
          <w:b/>
          <w:bCs/>
          <w:sz w:val="20"/>
          <w:szCs w:val="20"/>
          <w:lang w:bidi="ar-EG"/>
        </w:rPr>
        <w:t>):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Results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according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variables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analyzed</w:t>
      </w:r>
      <w:bookmarkEnd w:id="4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508"/>
        <w:gridCol w:w="1231"/>
        <w:gridCol w:w="719"/>
        <w:gridCol w:w="607"/>
        <w:gridCol w:w="1043"/>
        <w:gridCol w:w="1520"/>
        <w:gridCol w:w="1364"/>
        <w:gridCol w:w="1484"/>
      </w:tblGrid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sz w:val="16"/>
                <w:szCs w:val="16"/>
                <w:lang w:bidi="ar-EG"/>
              </w:rPr>
            </w:pPr>
            <w:r w:rsidRPr="00D03279">
              <w:rPr>
                <w:b/>
                <w:sz w:val="16"/>
                <w:szCs w:val="16"/>
                <w:lang w:bidi="ar-EG"/>
              </w:rPr>
              <w:t>Author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\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year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sz w:val="16"/>
                <w:szCs w:val="16"/>
                <w:lang w:bidi="ar-EG"/>
              </w:rPr>
            </w:pPr>
            <w:r w:rsidRPr="00D03279">
              <w:rPr>
                <w:b/>
                <w:sz w:val="16"/>
                <w:szCs w:val="16"/>
                <w:lang w:bidi="ar-EG"/>
              </w:rPr>
              <w:t>Number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of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Patients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sz w:val="16"/>
                <w:szCs w:val="16"/>
                <w:lang w:bidi="ar-EG"/>
              </w:rPr>
            </w:pPr>
            <w:r w:rsidRPr="00D03279">
              <w:rPr>
                <w:b/>
                <w:sz w:val="16"/>
                <w:szCs w:val="16"/>
                <w:lang w:bidi="ar-EG"/>
              </w:rPr>
              <w:t>Location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sz w:val="16"/>
                <w:szCs w:val="16"/>
                <w:lang w:bidi="ar-EG"/>
              </w:rPr>
            </w:pPr>
            <w:r w:rsidRPr="00D03279">
              <w:rPr>
                <w:b/>
                <w:sz w:val="16"/>
                <w:szCs w:val="16"/>
                <w:lang w:bidi="ar-EG"/>
              </w:rPr>
              <w:t>Mean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of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age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sz w:val="16"/>
                <w:szCs w:val="16"/>
                <w:lang w:bidi="ar-EG"/>
              </w:rPr>
            </w:pPr>
            <w:r w:rsidRPr="00D03279">
              <w:rPr>
                <w:b/>
                <w:sz w:val="16"/>
                <w:szCs w:val="16"/>
                <w:lang w:bidi="ar-EG"/>
              </w:rPr>
              <w:t>Laterality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sz w:val="16"/>
                <w:szCs w:val="16"/>
                <w:lang w:bidi="ar-EG"/>
              </w:rPr>
            </w:pPr>
            <w:r w:rsidRPr="00D03279">
              <w:rPr>
                <w:b/>
                <w:sz w:val="16"/>
                <w:szCs w:val="16"/>
                <w:lang w:bidi="ar-EG"/>
              </w:rPr>
              <w:t>Type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of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polyp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sz w:val="16"/>
                <w:szCs w:val="16"/>
                <w:lang w:bidi="ar-EG"/>
              </w:rPr>
            </w:pPr>
            <w:r w:rsidRPr="00D03279">
              <w:rPr>
                <w:b/>
                <w:sz w:val="16"/>
                <w:szCs w:val="16"/>
                <w:lang w:bidi="ar-EG"/>
              </w:rPr>
              <w:t>Type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of</w:t>
            </w:r>
            <w:r w:rsidR="002C7754" w:rsidRPr="00D03279">
              <w:rPr>
                <w:b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sz w:val="16"/>
                <w:szCs w:val="16"/>
                <w:lang w:bidi="ar-EG"/>
              </w:rPr>
              <w:t>intervention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sz w:val="16"/>
                <w:szCs w:val="16"/>
                <w:lang w:bidi="ar-EG"/>
              </w:rPr>
            </w:pPr>
            <w:r w:rsidRPr="00D03279">
              <w:rPr>
                <w:b/>
                <w:sz w:val="16"/>
                <w:szCs w:val="16"/>
                <w:lang w:bidi="ar-EG"/>
              </w:rPr>
              <w:t>Effectiveness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proofErr w:type="spellStart"/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Supoporn.sriromp</w:t>
            </w:r>
            <w:proofErr w:type="spellEnd"/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(2004)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42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Thailand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42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Unilatera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voca</w:t>
            </w:r>
            <w:r w:rsidRPr="00D03279">
              <w:rPr>
                <w:bCs/>
                <w:sz w:val="16"/>
                <w:szCs w:val="16"/>
                <w:lang w:bidi="ar-EG"/>
              </w:rPr>
              <w:t>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cord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polyp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</w:t>
            </w:r>
            <w:proofErr w:type="spellStart"/>
            <w:r w:rsidRPr="00D03279">
              <w:rPr>
                <w:bCs/>
                <w:sz w:val="16"/>
                <w:szCs w:val="16"/>
                <w:lang w:bidi="ar-EG"/>
              </w:rPr>
              <w:t>angiomatous</w:t>
            </w:r>
            <w:proofErr w:type="spellEnd"/>
          </w:p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-gelatinous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Conservative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>t (</w:t>
            </w:r>
            <w:r w:rsidRPr="00D03279">
              <w:rPr>
                <w:bCs/>
                <w:sz w:val="16"/>
                <w:szCs w:val="16"/>
                <w:lang w:bidi="ar-EG"/>
              </w:rPr>
              <w:t>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of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all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Seth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M.cohen</w:t>
            </w:r>
            <w:proofErr w:type="spellEnd"/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(2007)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57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(32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Canada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43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Bilateral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vocal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cord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polyp</w:t>
            </w:r>
          </w:p>
        </w:tc>
        <w:tc>
          <w:tcPr>
            <w:tcW w:w="0" w:type="auto"/>
            <w:vAlign w:val="center"/>
          </w:tcPr>
          <w:p w:rsidR="00F845BC" w:rsidRPr="00D03279" w:rsidRDefault="002C7754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F845BC" w:rsidRPr="00D03279">
              <w:rPr>
                <w:bCs/>
                <w:sz w:val="16"/>
                <w:szCs w:val="16"/>
                <w:lang w:bidi="ar-EG"/>
              </w:rPr>
              <w:t>translucent</w:t>
            </w:r>
            <w:r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F845BC" w:rsidRPr="00D03279">
              <w:rPr>
                <w:bCs/>
                <w:sz w:val="16"/>
                <w:szCs w:val="16"/>
                <w:lang w:bidi="ar-EG"/>
              </w:rPr>
              <w:t>type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42%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Hideki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(2012)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512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>s (</w:t>
            </w:r>
            <w:r w:rsidRPr="00D03279">
              <w:rPr>
                <w:bCs/>
                <w:sz w:val="16"/>
                <w:szCs w:val="16"/>
                <w:lang w:bidi="ar-EG"/>
              </w:rPr>
              <w:t>79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Japan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47.8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Bilateral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vocal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cord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1614DE" w:rsidRPr="00D03279">
              <w:rPr>
                <w:bCs/>
                <w:sz w:val="16"/>
                <w:szCs w:val="16"/>
                <w:lang w:bidi="ar-EG"/>
              </w:rPr>
              <w:t>polyp</w:t>
            </w:r>
          </w:p>
        </w:tc>
        <w:tc>
          <w:tcPr>
            <w:tcW w:w="0" w:type="auto"/>
            <w:vAlign w:val="center"/>
          </w:tcPr>
          <w:p w:rsidR="00F845BC" w:rsidRPr="00D03279" w:rsidRDefault="001614DE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Translucent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type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Conservative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40%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Schindler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et,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. (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2012)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16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(1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Italy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49.7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Unilateral</w:t>
            </w:r>
          </w:p>
        </w:tc>
        <w:tc>
          <w:tcPr>
            <w:tcW w:w="0" w:type="auto"/>
            <w:vAlign w:val="center"/>
          </w:tcPr>
          <w:p w:rsidR="00F845BC" w:rsidRPr="00D03279" w:rsidRDefault="001614DE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Hemorrhagic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type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97%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Jane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(2013)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63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(9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Denmark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41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Unilateral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Vocal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cord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polyp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especially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anterior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proofErr w:type="spellStart"/>
            <w:r w:rsidRPr="00D03279">
              <w:rPr>
                <w:bCs/>
                <w:sz w:val="16"/>
                <w:szCs w:val="16"/>
                <w:lang w:bidi="ar-EG"/>
              </w:rPr>
              <w:t>commissure</w:t>
            </w:r>
            <w:proofErr w:type="spellEnd"/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Surgical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intervention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-85%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improved,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quality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unaffected</w:t>
            </w:r>
          </w:p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-13%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improved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but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moderately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affected</w:t>
            </w:r>
          </w:p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-severely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affected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1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Woo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Jin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(2014)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94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(12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Korea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65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Unilateral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-hemorrhagic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47%</w:t>
            </w:r>
          </w:p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-organized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28%</w:t>
            </w:r>
          </w:p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-translucent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25%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Conservative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36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of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study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Pan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Zhuge</w:t>
            </w:r>
            <w:proofErr w:type="spellEnd"/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(2015)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66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(46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lastRenderedPageBreak/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lastRenderedPageBreak/>
              <w:t>China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46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Unilateral</w:t>
            </w:r>
          </w:p>
        </w:tc>
        <w:tc>
          <w:tcPr>
            <w:tcW w:w="0" w:type="auto"/>
            <w:vAlign w:val="center"/>
          </w:tcPr>
          <w:p w:rsidR="00F845BC" w:rsidRPr="00D03279" w:rsidRDefault="00544A29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Translucent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F845BC" w:rsidRPr="00D03279">
              <w:rPr>
                <w:bCs/>
                <w:sz w:val="16"/>
                <w:szCs w:val="16"/>
                <w:lang w:bidi="ar-EG"/>
              </w:rPr>
              <w:t>polyp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Curative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rate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30.3%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lastRenderedPageBreak/>
              <w:t>Maria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Rosaria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(2016)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140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(10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Italy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43.1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Bilateral</w:t>
            </w:r>
          </w:p>
        </w:tc>
        <w:tc>
          <w:tcPr>
            <w:tcW w:w="0" w:type="auto"/>
            <w:vAlign w:val="center"/>
          </w:tcPr>
          <w:p w:rsidR="00F845BC" w:rsidRPr="00D03279" w:rsidRDefault="00544A29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Hemorrhagic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F845BC" w:rsidRPr="00D03279">
              <w:rPr>
                <w:bCs/>
                <w:sz w:val="16"/>
                <w:szCs w:val="16"/>
                <w:lang w:bidi="ar-EG"/>
              </w:rPr>
              <w:t>polyp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</w:t>
            </w:r>
          </w:p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-surgical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intervention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50%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of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each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group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proofErr w:type="spellStart"/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Tatjena</w:t>
            </w:r>
            <w:proofErr w:type="spellEnd"/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Solmen</w:t>
            </w:r>
            <w:proofErr w:type="spellEnd"/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(2016)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61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(1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Germany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45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Unilateral</w:t>
            </w:r>
          </w:p>
        </w:tc>
        <w:tc>
          <w:tcPr>
            <w:tcW w:w="0" w:type="auto"/>
            <w:vAlign w:val="center"/>
          </w:tcPr>
          <w:p w:rsidR="00F845BC" w:rsidRPr="00D03279" w:rsidRDefault="00544A29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Translucent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type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Surgical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intervention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90%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>Matthew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>R.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>Nau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val="fr-FR" w:bidi="ar-EG"/>
              </w:rPr>
              <w:t>(2017)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66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(44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U.S.A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42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Unilateral</w:t>
            </w:r>
          </w:p>
        </w:tc>
        <w:tc>
          <w:tcPr>
            <w:tcW w:w="0" w:type="auto"/>
            <w:vAlign w:val="center"/>
          </w:tcPr>
          <w:p w:rsidR="00F845BC" w:rsidRPr="00D03279" w:rsidRDefault="00544A29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Gelatinous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F845BC" w:rsidRPr="00D03279">
              <w:rPr>
                <w:bCs/>
                <w:sz w:val="16"/>
                <w:szCs w:val="16"/>
                <w:lang w:bidi="ar-EG"/>
              </w:rPr>
              <w:t>polyp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30%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Lee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(2017)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92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(52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missed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during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treatment)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Korea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51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Bilateral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vocal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cord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polyp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especially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sessile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type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Voice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60%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Yen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Bin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(2009)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24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Chicago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49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Bilateral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Translucent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proofErr w:type="spellStart"/>
            <w:r w:rsidRPr="00D03279">
              <w:rPr>
                <w:bCs/>
                <w:sz w:val="16"/>
                <w:szCs w:val="16"/>
                <w:lang w:bidi="ar-EG"/>
              </w:rPr>
              <w:t>hemorregic</w:t>
            </w:r>
            <w:proofErr w:type="spellEnd"/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fibrotic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proofErr w:type="spellStart"/>
            <w:r w:rsidRPr="00D03279">
              <w:rPr>
                <w:bCs/>
                <w:sz w:val="16"/>
                <w:szCs w:val="16"/>
                <w:lang w:bidi="ar-EG"/>
              </w:rPr>
              <w:t>Percutaneous</w:t>
            </w:r>
            <w:proofErr w:type="spellEnd"/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corticosteroid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injection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remission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59%</w:t>
            </w:r>
          </w:p>
        </w:tc>
      </w:tr>
      <w:tr w:rsidR="002C7754" w:rsidRPr="00D03279" w:rsidTr="000D5835">
        <w:trPr>
          <w:jc w:val="center"/>
        </w:trPr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/>
                <w:bCs/>
                <w:i/>
                <w:iCs/>
                <w:sz w:val="16"/>
                <w:szCs w:val="16"/>
                <w:lang w:bidi="ar-EG"/>
              </w:rPr>
            </w:pPr>
            <w:proofErr w:type="spellStart"/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Lilin</w:t>
            </w:r>
            <w:proofErr w:type="spellEnd"/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6"/>
                <w:szCs w:val="16"/>
                <w:lang w:bidi="ar-EG"/>
              </w:rPr>
              <w:t>al.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60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patients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China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44.5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Unilateral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Translucent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Combined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therapy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845BC" w:rsidRPr="00D03279" w:rsidRDefault="00F845BC" w:rsidP="00D03279">
            <w:pPr>
              <w:bidi w:val="0"/>
              <w:snapToGrid w:val="0"/>
              <w:rPr>
                <w:bCs/>
                <w:sz w:val="16"/>
                <w:szCs w:val="16"/>
                <w:lang w:bidi="ar-EG"/>
              </w:rPr>
            </w:pPr>
            <w:r w:rsidRPr="00D03279">
              <w:rPr>
                <w:bCs/>
                <w:sz w:val="16"/>
                <w:szCs w:val="16"/>
                <w:lang w:bidi="ar-EG"/>
              </w:rPr>
              <w:t>Complete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Pr="00D03279">
              <w:rPr>
                <w:bCs/>
                <w:sz w:val="16"/>
                <w:szCs w:val="16"/>
                <w:lang w:bidi="ar-EG"/>
              </w:rPr>
              <w:t>resolution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  <w:r w:rsidR="00544A29" w:rsidRPr="00D03279">
              <w:rPr>
                <w:bCs/>
                <w:sz w:val="16"/>
                <w:szCs w:val="16"/>
                <w:lang w:bidi="ar-EG"/>
              </w:rPr>
              <w:t>70%</w:t>
            </w:r>
            <w:r w:rsidR="002C7754" w:rsidRPr="00D03279">
              <w:rPr>
                <w:bCs/>
                <w:sz w:val="16"/>
                <w:szCs w:val="16"/>
                <w:lang w:bidi="ar-EG"/>
              </w:rPr>
              <w:t xml:space="preserve"> </w:t>
            </w:r>
          </w:p>
        </w:tc>
      </w:tr>
    </w:tbl>
    <w:p w:rsidR="000D5835" w:rsidRPr="00D03279" w:rsidRDefault="000D5835" w:rsidP="000D5835">
      <w:pPr>
        <w:bidi w:val="0"/>
        <w:snapToGrid w:val="0"/>
        <w:ind w:firstLine="425"/>
        <w:jc w:val="both"/>
        <w:rPr>
          <w:b/>
          <w:bCs/>
          <w:sz w:val="20"/>
          <w:szCs w:val="20"/>
          <w:lang w:eastAsia="zh-CN" w:bidi="ar-EG"/>
        </w:rPr>
      </w:pPr>
      <w:bookmarkStart w:id="5" w:name="_Toc523819865"/>
    </w:p>
    <w:p w:rsidR="00B215E0" w:rsidRPr="00D03279" w:rsidRDefault="00AA3DF9" w:rsidP="000D5835">
      <w:pPr>
        <w:bidi w:val="0"/>
        <w:snapToGrid w:val="0"/>
        <w:jc w:val="center"/>
        <w:rPr>
          <w:bCs/>
          <w:sz w:val="20"/>
          <w:szCs w:val="20"/>
          <w:lang w:bidi="ar-EG"/>
        </w:rPr>
      </w:pPr>
      <w:r w:rsidRPr="00D03279">
        <w:rPr>
          <w:b/>
          <w:bCs/>
          <w:sz w:val="20"/>
          <w:szCs w:val="20"/>
          <w:lang w:bidi="ar-EG"/>
        </w:rPr>
        <w:t>Table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(</w:t>
      </w:r>
      <w:r w:rsidR="00D845C1" w:rsidRPr="00D03279">
        <w:rPr>
          <w:b/>
          <w:bCs/>
          <w:sz w:val="20"/>
          <w:szCs w:val="20"/>
          <w:lang w:bidi="ar-EG"/>
        </w:rPr>
        <w:fldChar w:fldCharType="begin"/>
      </w:r>
      <w:r w:rsidRPr="00D03279">
        <w:rPr>
          <w:b/>
          <w:bCs/>
          <w:sz w:val="20"/>
          <w:szCs w:val="20"/>
          <w:lang w:bidi="ar-EG"/>
        </w:rPr>
        <w:instrText xml:space="preserve"> SEQ Table \* ARABIC </w:instrText>
      </w:r>
      <w:r w:rsidR="00D845C1" w:rsidRPr="00D03279">
        <w:rPr>
          <w:b/>
          <w:bCs/>
          <w:sz w:val="20"/>
          <w:szCs w:val="20"/>
          <w:lang w:bidi="ar-EG"/>
        </w:rPr>
        <w:fldChar w:fldCharType="separate"/>
      </w:r>
      <w:r w:rsidR="00F70BB5" w:rsidRPr="00D03279">
        <w:rPr>
          <w:b/>
          <w:bCs/>
          <w:noProof/>
          <w:sz w:val="20"/>
          <w:szCs w:val="20"/>
          <w:lang w:bidi="ar-EG"/>
        </w:rPr>
        <w:t>2</w:t>
      </w:r>
      <w:r w:rsidR="00D845C1" w:rsidRPr="00D03279">
        <w:rPr>
          <w:b/>
          <w:bCs/>
          <w:sz w:val="20"/>
          <w:szCs w:val="20"/>
          <w:lang w:bidi="ar-EG"/>
        </w:rPr>
        <w:fldChar w:fldCharType="end"/>
      </w:r>
      <w:r w:rsidRPr="00D03279">
        <w:rPr>
          <w:b/>
          <w:bCs/>
          <w:sz w:val="20"/>
          <w:szCs w:val="20"/>
          <w:lang w:bidi="ar-EG"/>
        </w:rPr>
        <w:t>):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Acoustic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values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before</w:t>
      </w:r>
      <w:r w:rsidR="002C7754" w:rsidRPr="00D03279">
        <w:rPr>
          <w:bCs/>
          <w:sz w:val="20"/>
          <w:szCs w:val="20"/>
          <w:lang w:bidi="ar-EG"/>
        </w:rPr>
        <w:t xml:space="preserve"> &amp; </w:t>
      </w:r>
      <w:r w:rsidR="00B215E0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bookmarkEnd w:id="5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591"/>
        <w:gridCol w:w="1427"/>
        <w:gridCol w:w="2329"/>
        <w:gridCol w:w="2191"/>
        <w:gridCol w:w="938"/>
      </w:tblGrid>
      <w:tr w:rsidR="00095BDC" w:rsidRPr="00D03279" w:rsidTr="002C7754">
        <w:trPr>
          <w:jc w:val="center"/>
        </w:trPr>
        <w:tc>
          <w:tcPr>
            <w:tcW w:w="1367" w:type="pct"/>
            <w:shd w:val="clear" w:color="auto" w:fill="auto"/>
            <w:vAlign w:val="center"/>
          </w:tcPr>
          <w:p w:rsidR="00095BDC" w:rsidRPr="00D03279" w:rsidRDefault="002C7754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 xml:space="preserve"> </w:t>
            </w:r>
            <w:r w:rsidR="00095BDC" w:rsidRPr="00D03279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Before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voice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therapy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After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voice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therapy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P-value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 w:val="restar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Schindler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et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al.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Jitter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2.3±1.27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1.9±0.97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0.04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Shimmer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4.8±1.95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4.2±1.29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0.06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HNR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0.13±0.14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0.10±0.02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0.04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03279">
              <w:rPr>
                <w:b/>
                <w:bCs/>
                <w:sz w:val="20"/>
                <w:szCs w:val="20"/>
              </w:rPr>
              <w:t>Fo</w:t>
            </w:r>
            <w:proofErr w:type="spellEnd"/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186±54.03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173±42.7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0.64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 w:val="restar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Yoon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Se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Lee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et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al.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Jitter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1.87±1.92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1.79±1.46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0.82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Shimmer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4.64±4.12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4.10±2.73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0.45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HNR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0.30±0.96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3.02±20.78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0.2</w:t>
            </w:r>
            <w:r w:rsidR="00350606" w:rsidRPr="00D03279">
              <w:rPr>
                <w:sz w:val="20"/>
                <w:szCs w:val="20"/>
              </w:rPr>
              <w:t>0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 w:val="restar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Pan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279">
              <w:rPr>
                <w:b/>
                <w:bCs/>
                <w:sz w:val="20"/>
                <w:szCs w:val="20"/>
              </w:rPr>
              <w:t>Zhug</w:t>
            </w:r>
            <w:proofErr w:type="spellEnd"/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et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al.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Jitter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1.50±0.68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1.27±0.50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350606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-</w:t>
            </w:r>
            <w:r w:rsidR="00095BDC" w:rsidRPr="00D03279">
              <w:rPr>
                <w:sz w:val="20"/>
                <w:szCs w:val="20"/>
              </w:rPr>
              <w:t>0.1</w:t>
            </w:r>
            <w:r w:rsidRPr="00D03279">
              <w:rPr>
                <w:sz w:val="20"/>
                <w:szCs w:val="20"/>
              </w:rPr>
              <w:t>34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DSI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350606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-</w:t>
            </w:r>
            <w:r w:rsidR="002C7754" w:rsidRPr="00D03279">
              <w:rPr>
                <w:sz w:val="20"/>
                <w:szCs w:val="20"/>
              </w:rPr>
              <w:t xml:space="preserve"> </w:t>
            </w:r>
            <w:r w:rsidR="00095BDC" w:rsidRPr="00D03279">
              <w:rPr>
                <w:sz w:val="20"/>
                <w:szCs w:val="20"/>
              </w:rPr>
              <w:t>0.26±1.46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0.89±1.42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350606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-</w:t>
            </w:r>
            <w:r w:rsidR="00095BDC" w:rsidRPr="00D03279">
              <w:rPr>
                <w:sz w:val="20"/>
                <w:szCs w:val="20"/>
              </w:rPr>
              <w:t>0.014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03279">
              <w:rPr>
                <w:b/>
                <w:bCs/>
                <w:sz w:val="20"/>
                <w:szCs w:val="20"/>
              </w:rPr>
              <w:t>Fo</w:t>
            </w:r>
            <w:proofErr w:type="spellEnd"/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390.17±50.95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408.98±46.24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</w:t>
            </w:r>
            <w:r w:rsidR="00350606" w:rsidRPr="00D03279">
              <w:rPr>
                <w:sz w:val="20"/>
                <w:szCs w:val="20"/>
              </w:rPr>
              <w:t>.000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I-low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58.30±4.45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56.06±4.17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0.198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 w:val="restar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03279">
              <w:rPr>
                <w:b/>
                <w:bCs/>
                <w:sz w:val="20"/>
                <w:szCs w:val="20"/>
              </w:rPr>
              <w:t>Abd</w:t>
            </w:r>
            <w:proofErr w:type="spellEnd"/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279">
              <w:rPr>
                <w:b/>
                <w:bCs/>
                <w:sz w:val="20"/>
                <w:szCs w:val="20"/>
              </w:rPr>
              <w:t>Elhady</w:t>
            </w:r>
            <w:proofErr w:type="spellEnd"/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et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al.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Jitter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5.5±2.97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5±2.1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0.58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Shimmer</w:t>
            </w:r>
            <w:r w:rsidR="002C7754" w:rsidRPr="00D03279">
              <w:rPr>
                <w:b/>
                <w:bCs/>
                <w:sz w:val="20"/>
                <w:szCs w:val="20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1.6±0.5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1.47±0.4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0.45</w:t>
            </w:r>
          </w:p>
        </w:tc>
      </w:tr>
      <w:tr w:rsidR="00095BDC" w:rsidRPr="00D03279" w:rsidTr="002C7754">
        <w:trPr>
          <w:jc w:val="center"/>
        </w:trPr>
        <w:tc>
          <w:tcPr>
            <w:tcW w:w="1367" w:type="pct"/>
            <w:vMerge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03279">
              <w:rPr>
                <w:b/>
                <w:bCs/>
                <w:sz w:val="20"/>
                <w:szCs w:val="20"/>
              </w:rPr>
              <w:t>HNR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2.5±4.4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3.97±4.2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5BDC" w:rsidRPr="00D03279" w:rsidRDefault="00095BDC" w:rsidP="000D5835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D03279">
              <w:rPr>
                <w:sz w:val="20"/>
                <w:szCs w:val="20"/>
              </w:rPr>
              <w:t>0.27</w:t>
            </w:r>
          </w:p>
        </w:tc>
      </w:tr>
    </w:tbl>
    <w:p w:rsidR="000D5835" w:rsidRPr="00D03279" w:rsidRDefault="000D5835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</w:p>
    <w:p w:rsidR="000D5835" w:rsidRPr="00D03279" w:rsidRDefault="000D5835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  <w:sectPr w:rsidR="000D5835" w:rsidRPr="00D03279" w:rsidSect="002C7754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1F3A04" w:rsidRPr="00D03279" w:rsidRDefault="00B215E0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lastRenderedPageBreak/>
        <w:t>According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Shindler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B8011A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2012</w:t>
      </w:r>
      <w:r w:rsidR="00B8011A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Videostroboscopic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examination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reveal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resolution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initial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pathology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case.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8011A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maximum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phonation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MPT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14.4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±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7.5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lastRenderedPageBreak/>
        <w:t>seconds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before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14.9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±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7.9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seconds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after.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difference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Wilcoxon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signedrank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significant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=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0.33).</w:t>
      </w:r>
    </w:p>
    <w:p w:rsidR="000D5835" w:rsidRPr="00D03279" w:rsidRDefault="000D5835" w:rsidP="000D5835">
      <w:pPr>
        <w:bidi w:val="0"/>
        <w:snapToGrid w:val="0"/>
        <w:jc w:val="center"/>
        <w:rPr>
          <w:bCs/>
          <w:sz w:val="20"/>
          <w:szCs w:val="20"/>
          <w:lang w:bidi="ar-EG"/>
        </w:rPr>
        <w:sectPr w:rsidR="000D5835" w:rsidRPr="00D03279" w:rsidSect="000D5835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DF4617" w:rsidRPr="00D03279" w:rsidRDefault="00DF4617" w:rsidP="000D5835">
      <w:pPr>
        <w:bidi w:val="0"/>
        <w:snapToGrid w:val="0"/>
        <w:jc w:val="center"/>
        <w:rPr>
          <w:bCs/>
          <w:sz w:val="20"/>
          <w:szCs w:val="20"/>
          <w:lang w:bidi="ar-EG"/>
        </w:rPr>
      </w:pPr>
    </w:p>
    <w:p w:rsidR="00B215E0" w:rsidRPr="00D03279" w:rsidRDefault="00AA3DF9" w:rsidP="000D5835">
      <w:pPr>
        <w:bidi w:val="0"/>
        <w:snapToGrid w:val="0"/>
        <w:jc w:val="center"/>
        <w:rPr>
          <w:bCs/>
          <w:sz w:val="20"/>
          <w:szCs w:val="20"/>
          <w:lang w:bidi="ar-EG"/>
        </w:rPr>
      </w:pPr>
      <w:bookmarkStart w:id="6" w:name="_Toc523819866"/>
      <w:r w:rsidRPr="00D03279">
        <w:rPr>
          <w:b/>
          <w:bCs/>
          <w:sz w:val="20"/>
          <w:szCs w:val="20"/>
          <w:lang w:bidi="ar-EG"/>
        </w:rPr>
        <w:t>Table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(</w:t>
      </w:r>
      <w:r w:rsidR="00D845C1" w:rsidRPr="00D03279">
        <w:rPr>
          <w:b/>
          <w:bCs/>
          <w:sz w:val="20"/>
          <w:szCs w:val="20"/>
          <w:lang w:bidi="ar-EG"/>
        </w:rPr>
        <w:fldChar w:fldCharType="begin"/>
      </w:r>
      <w:r w:rsidRPr="00D03279">
        <w:rPr>
          <w:b/>
          <w:bCs/>
          <w:sz w:val="20"/>
          <w:szCs w:val="20"/>
          <w:lang w:bidi="ar-EG"/>
        </w:rPr>
        <w:instrText xml:space="preserve"> SEQ Table \* ARABIC </w:instrText>
      </w:r>
      <w:r w:rsidR="00D845C1" w:rsidRPr="00D03279">
        <w:rPr>
          <w:b/>
          <w:bCs/>
          <w:sz w:val="20"/>
          <w:szCs w:val="20"/>
          <w:lang w:bidi="ar-EG"/>
        </w:rPr>
        <w:fldChar w:fldCharType="separate"/>
      </w:r>
      <w:r w:rsidR="00F70BB5" w:rsidRPr="00D03279">
        <w:rPr>
          <w:b/>
          <w:bCs/>
          <w:noProof/>
          <w:sz w:val="20"/>
          <w:szCs w:val="20"/>
          <w:lang w:bidi="ar-EG"/>
        </w:rPr>
        <w:t>3</w:t>
      </w:r>
      <w:r w:rsidR="00D845C1" w:rsidRPr="00D03279">
        <w:rPr>
          <w:b/>
          <w:bCs/>
          <w:sz w:val="20"/>
          <w:szCs w:val="20"/>
          <w:lang w:bidi="ar-EG"/>
        </w:rPr>
        <w:fldChar w:fldCharType="end"/>
      </w:r>
      <w:r w:rsidRPr="00D03279">
        <w:rPr>
          <w:b/>
          <w:bCs/>
          <w:sz w:val="20"/>
          <w:szCs w:val="20"/>
          <w:lang w:bidi="ar-EG"/>
        </w:rPr>
        <w:t>):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Acoustic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values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before</w:t>
      </w:r>
      <w:r w:rsidR="002C7754" w:rsidRPr="00D03279">
        <w:rPr>
          <w:bCs/>
          <w:sz w:val="20"/>
          <w:szCs w:val="20"/>
          <w:lang w:bidi="ar-EG"/>
        </w:rPr>
        <w:t xml:space="preserve"> &amp; </w:t>
      </w:r>
      <w:r w:rsidR="00B215E0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surgery</w:t>
      </w:r>
      <w:bookmarkEnd w:id="6"/>
      <w:r w:rsidR="002C7754" w:rsidRPr="00D03279">
        <w:rPr>
          <w:bCs/>
          <w:sz w:val="20"/>
          <w:szCs w:val="20"/>
          <w:lang w:bidi="ar-EG"/>
        </w:rPr>
        <w:t xml:space="preserve"> 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218"/>
        <w:gridCol w:w="1577"/>
        <w:gridCol w:w="1827"/>
        <w:gridCol w:w="1819"/>
        <w:gridCol w:w="1035"/>
      </w:tblGrid>
      <w:tr w:rsidR="00DD6853" w:rsidRPr="00D03279" w:rsidTr="002C7754">
        <w:trPr>
          <w:jc w:val="center"/>
        </w:trPr>
        <w:tc>
          <w:tcPr>
            <w:tcW w:w="1698" w:type="pct"/>
            <w:shd w:val="clear" w:color="auto" w:fill="auto"/>
            <w:vAlign w:val="center"/>
          </w:tcPr>
          <w:p w:rsidR="00DD6853" w:rsidRPr="00D03279" w:rsidRDefault="002C7754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095BDC" w:rsidRPr="00D03279">
              <w:rPr>
                <w:b/>
                <w:bCs/>
                <w:sz w:val="20"/>
                <w:szCs w:val="20"/>
                <w:lang w:bidi="ar-EG"/>
              </w:rPr>
              <w:t>Author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Test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Pre-Operative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Post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operative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P-value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 w:val="restar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03279">
              <w:rPr>
                <w:b/>
                <w:bCs/>
                <w:sz w:val="20"/>
                <w:szCs w:val="20"/>
                <w:lang w:bidi="ar-EG"/>
              </w:rPr>
              <w:t>Toran</w:t>
            </w:r>
            <w:proofErr w:type="spellEnd"/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et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al.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2010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Jitter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0.2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0.19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0.694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Shimmer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2.18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1.73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0.001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HNR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23.97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22.48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03279">
              <w:rPr>
                <w:b/>
                <w:bCs/>
                <w:sz w:val="20"/>
                <w:szCs w:val="20"/>
                <w:lang w:bidi="ar-EG"/>
              </w:rPr>
              <w:t>Fo</w:t>
            </w:r>
            <w:proofErr w:type="spellEnd"/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212.32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196.51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0.003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 w:val="restar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03279">
              <w:rPr>
                <w:b/>
                <w:bCs/>
                <w:sz w:val="20"/>
                <w:szCs w:val="20"/>
                <w:lang w:bidi="ar-EG"/>
              </w:rPr>
              <w:t>Lilin</w:t>
            </w:r>
            <w:proofErr w:type="spellEnd"/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et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al.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2014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Jitter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4.50±0.93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4.21±0.91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&gt;0.05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Shimmer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6.84±1.24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6.43±2.25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&gt;0.05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HNR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0.51±0.05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0.47±0.12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&gt;0.05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PPQ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3.36±1.05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3.09±0.82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&gt;0.05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 w:val="restar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Sharon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S.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Tang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et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al.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2015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Jitter</w:t>
            </w:r>
            <w:r w:rsidR="002C7754" w:rsidRPr="00D03279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03279">
              <w:rPr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1.56±4.91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0.35±0.95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0.41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NHR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0.002±0.03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-0.003±0.06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0.93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VHI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31±21.6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14.88±16.47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0.04</w:t>
            </w:r>
          </w:p>
        </w:tc>
      </w:tr>
      <w:tr w:rsidR="00DD6853" w:rsidRPr="00D03279" w:rsidTr="002C7754">
        <w:trPr>
          <w:jc w:val="center"/>
        </w:trPr>
        <w:tc>
          <w:tcPr>
            <w:tcW w:w="1698" w:type="pct"/>
            <w:vMerge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D03279">
              <w:rPr>
                <w:b/>
                <w:bCs/>
                <w:sz w:val="20"/>
                <w:szCs w:val="20"/>
                <w:lang w:bidi="ar-EG"/>
              </w:rPr>
              <w:t>DSI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3.25±6.71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-0.14±5.16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D6853" w:rsidRPr="00D03279" w:rsidRDefault="00DD6853" w:rsidP="000D5835">
            <w:pPr>
              <w:bidi w:val="0"/>
              <w:snapToGrid w:val="0"/>
              <w:jc w:val="both"/>
              <w:rPr>
                <w:sz w:val="20"/>
                <w:szCs w:val="20"/>
                <w:lang w:bidi="ar-EG"/>
              </w:rPr>
            </w:pPr>
            <w:r w:rsidRPr="00D03279">
              <w:rPr>
                <w:sz w:val="20"/>
                <w:szCs w:val="20"/>
                <w:lang w:bidi="ar-EG"/>
              </w:rPr>
              <w:t>0.95</w:t>
            </w:r>
          </w:p>
        </w:tc>
      </w:tr>
    </w:tbl>
    <w:p w:rsidR="000D5835" w:rsidRPr="00D03279" w:rsidRDefault="000D5835" w:rsidP="000D5835">
      <w:pPr>
        <w:bidi w:val="0"/>
        <w:snapToGrid w:val="0"/>
        <w:ind w:firstLine="425"/>
        <w:jc w:val="both"/>
        <w:rPr>
          <w:b/>
          <w:bCs/>
          <w:sz w:val="20"/>
          <w:szCs w:val="20"/>
          <w:lang w:eastAsia="zh-CN" w:bidi="ar-EG"/>
        </w:rPr>
      </w:pPr>
      <w:bookmarkStart w:id="7" w:name="_Toc523819867"/>
    </w:p>
    <w:p w:rsidR="00B215E0" w:rsidRPr="00D03279" w:rsidRDefault="00AA3DF9" w:rsidP="000D5835">
      <w:pPr>
        <w:bidi w:val="0"/>
        <w:snapToGrid w:val="0"/>
        <w:jc w:val="center"/>
        <w:rPr>
          <w:bCs/>
          <w:sz w:val="20"/>
          <w:szCs w:val="20"/>
          <w:lang w:bidi="ar-EG"/>
        </w:rPr>
      </w:pPr>
      <w:r w:rsidRPr="00D03279">
        <w:rPr>
          <w:b/>
          <w:bCs/>
          <w:sz w:val="20"/>
          <w:szCs w:val="20"/>
          <w:lang w:bidi="ar-EG"/>
        </w:rPr>
        <w:lastRenderedPageBreak/>
        <w:t>Table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(</w:t>
      </w:r>
      <w:r w:rsidR="00D845C1" w:rsidRPr="00D03279">
        <w:rPr>
          <w:b/>
          <w:bCs/>
          <w:sz w:val="20"/>
          <w:szCs w:val="20"/>
          <w:lang w:bidi="ar-EG"/>
        </w:rPr>
        <w:fldChar w:fldCharType="begin"/>
      </w:r>
      <w:r w:rsidRPr="00D03279">
        <w:rPr>
          <w:b/>
          <w:bCs/>
          <w:sz w:val="20"/>
          <w:szCs w:val="20"/>
          <w:lang w:bidi="ar-EG"/>
        </w:rPr>
        <w:instrText xml:space="preserve"> SEQ Table \* ARABIC </w:instrText>
      </w:r>
      <w:r w:rsidR="00D845C1" w:rsidRPr="00D03279">
        <w:rPr>
          <w:b/>
          <w:bCs/>
          <w:sz w:val="20"/>
          <w:szCs w:val="20"/>
          <w:lang w:bidi="ar-EG"/>
        </w:rPr>
        <w:fldChar w:fldCharType="separate"/>
      </w:r>
      <w:r w:rsidR="00F70BB5" w:rsidRPr="00D03279">
        <w:rPr>
          <w:b/>
          <w:bCs/>
          <w:noProof/>
          <w:sz w:val="20"/>
          <w:szCs w:val="20"/>
          <w:lang w:bidi="ar-EG"/>
        </w:rPr>
        <w:t>4</w:t>
      </w:r>
      <w:r w:rsidR="00D845C1" w:rsidRPr="00D03279">
        <w:rPr>
          <w:b/>
          <w:bCs/>
          <w:sz w:val="20"/>
          <w:szCs w:val="20"/>
          <w:lang w:bidi="ar-EG"/>
        </w:rPr>
        <w:fldChar w:fldCharType="end"/>
      </w:r>
      <w:r w:rsidRPr="00D03279">
        <w:rPr>
          <w:b/>
          <w:bCs/>
          <w:sz w:val="20"/>
          <w:szCs w:val="20"/>
          <w:lang w:bidi="ar-EG"/>
        </w:rPr>
        <w:t>):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Curative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rate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among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analyzed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studies</w:t>
      </w:r>
      <w:bookmarkEnd w:id="7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216"/>
        <w:gridCol w:w="1725"/>
        <w:gridCol w:w="857"/>
        <w:gridCol w:w="1823"/>
        <w:gridCol w:w="855"/>
      </w:tblGrid>
      <w:tr w:rsidR="00E44C3C" w:rsidRPr="00D03279" w:rsidTr="002C7754">
        <w:trPr>
          <w:jc w:val="center"/>
        </w:trPr>
        <w:tc>
          <w:tcPr>
            <w:tcW w:w="2225" w:type="pct"/>
            <w:vMerge w:val="restar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The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authors</w:t>
            </w:r>
          </w:p>
        </w:tc>
        <w:tc>
          <w:tcPr>
            <w:tcW w:w="1361" w:type="pct"/>
            <w:gridSpan w:val="2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Non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surgical</w:t>
            </w:r>
          </w:p>
        </w:tc>
        <w:tc>
          <w:tcPr>
            <w:tcW w:w="1413" w:type="pct"/>
            <w:gridSpan w:val="2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Surgical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vMerge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No.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(%)</w:t>
            </w:r>
          </w:p>
        </w:tc>
        <w:tc>
          <w:tcPr>
            <w:tcW w:w="452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Total</w:t>
            </w:r>
          </w:p>
        </w:tc>
        <w:tc>
          <w:tcPr>
            <w:tcW w:w="962" w:type="pct"/>
            <w:vMerge w:val="restar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%</w:t>
            </w:r>
          </w:p>
        </w:tc>
        <w:tc>
          <w:tcPr>
            <w:tcW w:w="452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Total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vMerge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vMerge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62" w:type="pct"/>
            <w:vMerge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</w:rPr>
              <w:t>No.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1-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Jane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B.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(2013)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54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(85.7%)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63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2.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Woo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Jin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(2014)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36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(38.3%)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94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154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(100.0%)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154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3.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Hideki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N.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(2012)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55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(41.7%)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132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433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(100.0%)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433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4.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Seth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M.cohen</w:t>
            </w:r>
            <w:proofErr w:type="spellEnd"/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(2005)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25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(43.9%)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57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5.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A.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Schindler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al.,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15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(93.8%)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16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6.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Maria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Rosaria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(2016)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70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(100.0%)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70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70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(100.0%)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70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7.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Pan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Zhuge</w:t>
            </w:r>
            <w:proofErr w:type="spellEnd"/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(2015)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20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(30.3%)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66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8.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Supopornsriron</w:t>
            </w:r>
            <w:proofErr w:type="spellEnd"/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(2004)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42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(100.0%)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42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9.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Tatjena</w:t>
            </w:r>
            <w:proofErr w:type="spellEnd"/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Solmen</w:t>
            </w:r>
            <w:proofErr w:type="spellEnd"/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(2016)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--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60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(98.4%)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61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>10.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>Matthew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>R.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>Nau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val="fr-FR" w:bidi="ar-EG"/>
              </w:rPr>
              <w:t>(2017)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22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(33.3%)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66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11.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Lee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(2017)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40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(43.5%)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92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--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auto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Total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[no.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(%)]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E44C3C" w:rsidRPr="00D03279" w:rsidRDefault="002C7754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2C7754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44C3C" w:rsidRPr="00D03279" w:rsidRDefault="002C7754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E44C3C" w:rsidRPr="00D03279" w:rsidRDefault="002C7754" w:rsidP="000D5835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</w:p>
        </w:tc>
      </w:tr>
      <w:tr w:rsidR="002C7754" w:rsidRPr="00D03279" w:rsidTr="002C7754">
        <w:trPr>
          <w:jc w:val="center"/>
        </w:trPr>
        <w:tc>
          <w:tcPr>
            <w:tcW w:w="2225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Complete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resolution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910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325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(51.2%)</w:t>
            </w:r>
          </w:p>
        </w:tc>
        <w:tc>
          <w:tcPr>
            <w:tcW w:w="452" w:type="pct"/>
            <w:vMerge w:val="restar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635</w:t>
            </w:r>
          </w:p>
        </w:tc>
        <w:tc>
          <w:tcPr>
            <w:tcW w:w="962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771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(98.7%)</w:t>
            </w:r>
          </w:p>
        </w:tc>
        <w:tc>
          <w:tcPr>
            <w:tcW w:w="452" w:type="pct"/>
            <w:vMerge w:val="restar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781</w:t>
            </w: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No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complete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>resolution</w:t>
            </w:r>
            <w:r w:rsidR="002C7754" w:rsidRPr="00D03279">
              <w:rPr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910" w:type="pct"/>
            <w:shd w:val="clear" w:color="auto" w:fill="C0C0C0"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310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(49.8%)</w:t>
            </w:r>
          </w:p>
        </w:tc>
        <w:tc>
          <w:tcPr>
            <w:tcW w:w="452" w:type="pct"/>
            <w:vMerge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10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(1.3%)</w:t>
            </w:r>
          </w:p>
        </w:tc>
        <w:tc>
          <w:tcPr>
            <w:tcW w:w="452" w:type="pct"/>
            <w:vMerge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44C3C" w:rsidRPr="00D03279" w:rsidTr="002C7754">
        <w:trPr>
          <w:jc w:val="center"/>
        </w:trPr>
        <w:tc>
          <w:tcPr>
            <w:tcW w:w="2225" w:type="pct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Chi-square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test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/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p-value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2775" w:type="pct"/>
            <w:gridSpan w:val="4"/>
            <w:shd w:val="clear" w:color="auto" w:fill="C0C0C0"/>
            <w:noWrap/>
            <w:vAlign w:val="center"/>
          </w:tcPr>
          <w:p w:rsidR="00E44C3C" w:rsidRPr="00D03279" w:rsidRDefault="00E44C3C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X</w:t>
            </w:r>
            <w:r w:rsidRPr="00D03279">
              <w:rPr>
                <w:b/>
                <w:bCs/>
                <w:sz w:val="18"/>
                <w:szCs w:val="18"/>
                <w:vertAlign w:val="superscript"/>
                <w:lang w:bidi="ar-EG"/>
              </w:rPr>
              <w:t>2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=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452.5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/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p-value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=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&lt;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0.001</w:t>
            </w:r>
          </w:p>
        </w:tc>
      </w:tr>
    </w:tbl>
    <w:p w:rsidR="00804474" w:rsidRPr="00D03279" w:rsidRDefault="00804474" w:rsidP="000D5835">
      <w:pPr>
        <w:bidi w:val="0"/>
        <w:snapToGrid w:val="0"/>
        <w:jc w:val="center"/>
        <w:rPr>
          <w:b/>
          <w:bCs/>
          <w:sz w:val="20"/>
          <w:szCs w:val="20"/>
          <w:lang w:bidi="ar-EG"/>
        </w:rPr>
      </w:pPr>
      <w:bookmarkStart w:id="8" w:name="_Toc523819868"/>
    </w:p>
    <w:p w:rsidR="00B215E0" w:rsidRPr="00D03279" w:rsidRDefault="00AA3DF9" w:rsidP="000D5835">
      <w:pPr>
        <w:bidi w:val="0"/>
        <w:snapToGrid w:val="0"/>
        <w:jc w:val="center"/>
        <w:rPr>
          <w:bCs/>
          <w:sz w:val="20"/>
          <w:szCs w:val="20"/>
          <w:lang w:bidi="ar-EG"/>
        </w:rPr>
      </w:pPr>
      <w:r w:rsidRPr="00D03279">
        <w:rPr>
          <w:b/>
          <w:bCs/>
          <w:sz w:val="20"/>
          <w:szCs w:val="20"/>
          <w:lang w:bidi="ar-EG"/>
        </w:rPr>
        <w:t>Table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(</w:t>
      </w:r>
      <w:r w:rsidR="00D845C1" w:rsidRPr="00D03279">
        <w:rPr>
          <w:b/>
          <w:bCs/>
          <w:sz w:val="20"/>
          <w:szCs w:val="20"/>
          <w:lang w:bidi="ar-EG"/>
        </w:rPr>
        <w:fldChar w:fldCharType="begin"/>
      </w:r>
      <w:r w:rsidRPr="00D03279">
        <w:rPr>
          <w:b/>
          <w:bCs/>
          <w:sz w:val="20"/>
          <w:szCs w:val="20"/>
          <w:lang w:bidi="ar-EG"/>
        </w:rPr>
        <w:instrText xml:space="preserve"> SEQ Table \* ARABIC </w:instrText>
      </w:r>
      <w:r w:rsidR="00D845C1" w:rsidRPr="00D03279">
        <w:rPr>
          <w:b/>
          <w:bCs/>
          <w:sz w:val="20"/>
          <w:szCs w:val="20"/>
          <w:lang w:bidi="ar-EG"/>
        </w:rPr>
        <w:fldChar w:fldCharType="separate"/>
      </w:r>
      <w:r w:rsidR="00F70BB5" w:rsidRPr="00D03279">
        <w:rPr>
          <w:b/>
          <w:bCs/>
          <w:noProof/>
          <w:sz w:val="20"/>
          <w:szCs w:val="20"/>
          <w:lang w:bidi="ar-EG"/>
        </w:rPr>
        <w:t>5</w:t>
      </w:r>
      <w:r w:rsidR="00D845C1" w:rsidRPr="00D03279">
        <w:rPr>
          <w:b/>
          <w:bCs/>
          <w:sz w:val="20"/>
          <w:szCs w:val="20"/>
          <w:lang w:bidi="ar-EG"/>
        </w:rPr>
        <w:fldChar w:fldCharType="end"/>
      </w:r>
      <w:r w:rsidRPr="00D03279">
        <w:rPr>
          <w:b/>
          <w:bCs/>
          <w:sz w:val="20"/>
          <w:szCs w:val="20"/>
          <w:lang w:bidi="ar-EG"/>
        </w:rPr>
        <w:t>):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table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shows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curative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rate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among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analyzed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according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84093" w:rsidRPr="00D03279">
        <w:rPr>
          <w:bCs/>
          <w:sz w:val="20"/>
          <w:szCs w:val="20"/>
          <w:lang w:bidi="ar-EG"/>
        </w:rPr>
        <w:t>age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p-value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&lt;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215E0" w:rsidRPr="00D03279">
        <w:rPr>
          <w:bCs/>
          <w:sz w:val="20"/>
          <w:szCs w:val="20"/>
          <w:lang w:bidi="ar-EG"/>
        </w:rPr>
        <w:t>0.001</w:t>
      </w:r>
      <w:bookmarkEnd w:id="8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569"/>
        <w:gridCol w:w="1493"/>
        <w:gridCol w:w="2001"/>
        <w:gridCol w:w="1031"/>
        <w:gridCol w:w="1382"/>
      </w:tblGrid>
      <w:tr w:rsidR="00B215E0" w:rsidRPr="00D03279" w:rsidTr="002C7754">
        <w:trPr>
          <w:jc w:val="center"/>
        </w:trPr>
        <w:tc>
          <w:tcPr>
            <w:tcW w:w="188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1844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Non-surgical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sz w:val="19"/>
                <w:szCs w:val="19"/>
                <w:lang w:bidi="ar-EG"/>
              </w:rPr>
              <w:t>(Voice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sz w:val="19"/>
                <w:szCs w:val="19"/>
                <w:lang w:bidi="ar-EG"/>
              </w:rPr>
              <w:t>therapy)</w:t>
            </w:r>
          </w:p>
        </w:tc>
        <w:tc>
          <w:tcPr>
            <w:tcW w:w="1272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Surgical</w:t>
            </w:r>
          </w:p>
        </w:tc>
      </w:tr>
      <w:tr w:rsidR="002C7754" w:rsidRPr="00D03279" w:rsidTr="002C7754">
        <w:trPr>
          <w:jc w:val="center"/>
        </w:trPr>
        <w:tc>
          <w:tcPr>
            <w:tcW w:w="1883" w:type="pct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2C7754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No.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</w:p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of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sz w:val="19"/>
                <w:szCs w:val="19"/>
                <w:lang w:bidi="ar-EG"/>
              </w:rPr>
              <w:t>cases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2C7754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Mean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sz w:val="19"/>
                <w:szCs w:val="19"/>
                <w:lang w:bidi="ar-EG"/>
              </w:rPr>
              <w:t>age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</w:p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(years)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7A71D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No.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</w:p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of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sz w:val="19"/>
                <w:szCs w:val="19"/>
                <w:lang w:bidi="ar-EG"/>
              </w:rPr>
              <w:t>cases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noWrap/>
            <w:vAlign w:val="center"/>
          </w:tcPr>
          <w:p w:rsidR="002C7754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Mean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sz w:val="19"/>
                <w:szCs w:val="19"/>
                <w:lang w:bidi="ar-EG"/>
              </w:rPr>
              <w:t>age</w:t>
            </w:r>
            <w:r w:rsidR="002C7754" w:rsidRPr="00D03279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</w:p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(years)</w:t>
            </w: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Jane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Berg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(2013)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55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41</w:t>
            </w: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Woo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Jin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(2014)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65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157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50</w:t>
            </w: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Hideki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Nakagawa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(2012)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94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47.8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Seth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M.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Cohen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(2005)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512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36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proofErr w:type="spellStart"/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Supaporns</w:t>
            </w:r>
            <w:proofErr w:type="spellEnd"/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(2004)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57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42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proofErr w:type="spellStart"/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A.Schindler</w:t>
            </w:r>
            <w:proofErr w:type="spellEnd"/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(2012)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42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49.7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Mario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Rosaria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(2016)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16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43.1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42.4</w:t>
            </w: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Lee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="00641FB1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et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="00641FB1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al.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(201</w:t>
            </w:r>
            <w:r w:rsidR="00641FB1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7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70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51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70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proofErr w:type="spellStart"/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Tajana</w:t>
            </w:r>
            <w:proofErr w:type="spellEnd"/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Salmen</w:t>
            </w:r>
            <w:proofErr w:type="spellEnd"/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(2016)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92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61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45</w:t>
            </w: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Sharon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S.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Tong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(2015)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62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Cs/>
                <w:sz w:val="19"/>
                <w:szCs w:val="19"/>
                <w:lang w:bidi="ar-EG"/>
              </w:rPr>
            </w:pPr>
            <w:r w:rsidRPr="00D03279">
              <w:rPr>
                <w:bCs/>
                <w:sz w:val="19"/>
                <w:szCs w:val="19"/>
                <w:lang w:bidi="ar-EG"/>
              </w:rPr>
              <w:t>40.25</w:t>
            </w:r>
          </w:p>
        </w:tc>
      </w:tr>
      <w:tr w:rsidR="002C7754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Total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no.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/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Average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age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(years)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883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47.80±9.17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405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sz w:val="19"/>
                <w:szCs w:val="19"/>
                <w:lang w:bidi="ar-EG"/>
              </w:rPr>
              <w:t>43.73±3.95</w:t>
            </w:r>
          </w:p>
        </w:tc>
      </w:tr>
      <w:tr w:rsidR="00B215E0" w:rsidRPr="00D03279" w:rsidTr="002C7754">
        <w:trPr>
          <w:jc w:val="center"/>
        </w:trPr>
        <w:tc>
          <w:tcPr>
            <w:tcW w:w="18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Independent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t-test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/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p-value</w:t>
            </w:r>
          </w:p>
        </w:tc>
        <w:tc>
          <w:tcPr>
            <w:tcW w:w="3117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B215E0" w:rsidRPr="00D03279" w:rsidRDefault="00B215E0" w:rsidP="000D5835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  <w:lang w:bidi="ar-EG"/>
              </w:rPr>
            </w:pP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t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=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8.573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/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p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&lt;</w:t>
            </w:r>
            <w:r w:rsidR="002C7754"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 xml:space="preserve"> </w:t>
            </w:r>
            <w:r w:rsidRPr="00D03279">
              <w:rPr>
                <w:b/>
                <w:bCs/>
                <w:i/>
                <w:iCs/>
                <w:sz w:val="19"/>
                <w:szCs w:val="19"/>
                <w:lang w:bidi="ar-EG"/>
              </w:rPr>
              <w:t>0.001</w:t>
            </w:r>
          </w:p>
        </w:tc>
      </w:tr>
    </w:tbl>
    <w:p w:rsidR="00DF4617" w:rsidRPr="00D03279" w:rsidRDefault="00DF4617" w:rsidP="000D5835">
      <w:pPr>
        <w:bidi w:val="0"/>
        <w:snapToGrid w:val="0"/>
        <w:jc w:val="center"/>
        <w:rPr>
          <w:b/>
          <w:bCs/>
          <w:sz w:val="20"/>
          <w:szCs w:val="20"/>
          <w:lang w:bidi="ar-EG"/>
        </w:rPr>
      </w:pPr>
      <w:bookmarkStart w:id="9" w:name="_Toc523819869"/>
    </w:p>
    <w:p w:rsidR="001975A3" w:rsidRPr="00D03279" w:rsidRDefault="00EC070F" w:rsidP="000D5835">
      <w:pPr>
        <w:bidi w:val="0"/>
        <w:snapToGrid w:val="0"/>
        <w:jc w:val="center"/>
        <w:rPr>
          <w:sz w:val="20"/>
          <w:szCs w:val="20"/>
          <w:lang w:bidi="ar-EG"/>
        </w:rPr>
      </w:pPr>
      <w:r w:rsidRPr="00D03279">
        <w:rPr>
          <w:b/>
          <w:bCs/>
          <w:sz w:val="20"/>
          <w:szCs w:val="20"/>
          <w:lang w:bidi="ar-EG"/>
        </w:rPr>
        <w:t>Table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sz w:val="20"/>
          <w:szCs w:val="20"/>
          <w:lang w:bidi="ar-EG"/>
        </w:rPr>
        <w:t>(</w:t>
      </w:r>
      <w:r w:rsidR="00D845C1" w:rsidRPr="00D03279">
        <w:rPr>
          <w:b/>
          <w:bCs/>
          <w:sz w:val="20"/>
          <w:szCs w:val="20"/>
          <w:lang w:bidi="ar-EG"/>
        </w:rPr>
        <w:fldChar w:fldCharType="begin"/>
      </w:r>
      <w:r w:rsidRPr="00D03279">
        <w:rPr>
          <w:b/>
          <w:bCs/>
          <w:sz w:val="20"/>
          <w:szCs w:val="20"/>
          <w:lang w:bidi="ar-EG"/>
        </w:rPr>
        <w:instrText xml:space="preserve"> SEQ Table \* ARABIC </w:instrText>
      </w:r>
      <w:r w:rsidR="00D845C1" w:rsidRPr="00D03279">
        <w:rPr>
          <w:b/>
          <w:bCs/>
          <w:sz w:val="20"/>
          <w:szCs w:val="20"/>
          <w:lang w:bidi="ar-EG"/>
        </w:rPr>
        <w:fldChar w:fldCharType="separate"/>
      </w:r>
      <w:r w:rsidR="00F70BB5" w:rsidRPr="00D03279">
        <w:rPr>
          <w:b/>
          <w:bCs/>
          <w:noProof/>
          <w:sz w:val="20"/>
          <w:szCs w:val="20"/>
          <w:lang w:bidi="ar-EG"/>
        </w:rPr>
        <w:t>6</w:t>
      </w:r>
      <w:r w:rsidR="00D845C1" w:rsidRPr="00D03279">
        <w:rPr>
          <w:b/>
          <w:bCs/>
          <w:sz w:val="20"/>
          <w:szCs w:val="20"/>
          <w:lang w:bidi="ar-EG"/>
        </w:rPr>
        <w:fldChar w:fldCharType="end"/>
      </w:r>
      <w:r w:rsidRPr="00D03279">
        <w:rPr>
          <w:b/>
          <w:bCs/>
          <w:sz w:val="20"/>
          <w:szCs w:val="20"/>
          <w:lang w:bidi="ar-EG"/>
        </w:rPr>
        <w:t>):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="009C6161" w:rsidRPr="00D03279">
        <w:rPr>
          <w:sz w:val="20"/>
          <w:szCs w:val="20"/>
          <w:lang w:bidi="ar-EG"/>
        </w:rPr>
        <w:t>Duration</w:t>
      </w:r>
      <w:r w:rsidR="002C7754" w:rsidRPr="00D03279">
        <w:rPr>
          <w:sz w:val="20"/>
          <w:szCs w:val="20"/>
          <w:lang w:bidi="ar-EG"/>
        </w:rPr>
        <w:t xml:space="preserve"> </w:t>
      </w:r>
      <w:r w:rsidR="009C6161" w:rsidRPr="00D03279">
        <w:rPr>
          <w:sz w:val="20"/>
          <w:szCs w:val="20"/>
          <w:lang w:bidi="ar-EG"/>
        </w:rPr>
        <w:t>of</w:t>
      </w:r>
      <w:r w:rsidR="002C7754" w:rsidRPr="00D03279">
        <w:rPr>
          <w:sz w:val="20"/>
          <w:szCs w:val="20"/>
          <w:lang w:bidi="ar-EG"/>
        </w:rPr>
        <w:t xml:space="preserve"> </w:t>
      </w:r>
      <w:r w:rsidR="001975A3" w:rsidRPr="00D03279">
        <w:rPr>
          <w:sz w:val="20"/>
          <w:szCs w:val="20"/>
          <w:lang w:bidi="ar-EG"/>
        </w:rPr>
        <w:t>follow</w:t>
      </w:r>
      <w:r w:rsidR="002C7754" w:rsidRPr="00D03279">
        <w:rPr>
          <w:sz w:val="20"/>
          <w:szCs w:val="20"/>
          <w:lang w:bidi="ar-EG"/>
        </w:rPr>
        <w:t xml:space="preserve"> </w:t>
      </w:r>
      <w:r w:rsidR="001975A3" w:rsidRPr="00D03279">
        <w:rPr>
          <w:sz w:val="20"/>
          <w:szCs w:val="20"/>
          <w:lang w:bidi="ar-EG"/>
        </w:rPr>
        <w:t>up</w:t>
      </w:r>
      <w:bookmarkEnd w:id="9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92"/>
        <w:gridCol w:w="677"/>
        <w:gridCol w:w="1668"/>
        <w:gridCol w:w="669"/>
        <w:gridCol w:w="1670"/>
      </w:tblGrid>
      <w:tr w:rsidR="001975A3" w:rsidRPr="00D03279" w:rsidTr="002C7754">
        <w:trPr>
          <w:jc w:val="center"/>
        </w:trPr>
        <w:tc>
          <w:tcPr>
            <w:tcW w:w="2529" w:type="pct"/>
            <w:vMerge w:val="restar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The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author</w:t>
            </w:r>
          </w:p>
        </w:tc>
        <w:tc>
          <w:tcPr>
            <w:tcW w:w="1237" w:type="pct"/>
            <w:gridSpan w:val="2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Non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surgical</w:t>
            </w:r>
          </w:p>
        </w:tc>
        <w:tc>
          <w:tcPr>
            <w:tcW w:w="1233" w:type="pct"/>
            <w:gridSpan w:val="2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Surgical</w:t>
            </w: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vMerge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No.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Period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No.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Period</w:t>
            </w: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1-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Jane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sz w:val="18"/>
                <w:szCs w:val="18"/>
                <w:lang w:bidi="ar-EG"/>
              </w:rPr>
              <w:t>Bjerg</w:t>
            </w:r>
            <w:proofErr w:type="spellEnd"/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Jensen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(2013)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55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3-9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2-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Woo.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Jin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(2014)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157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2-3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3-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R.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Speyer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(2008)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97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2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4-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Hideki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sz w:val="18"/>
                <w:szCs w:val="18"/>
                <w:lang w:bidi="ar-EG"/>
              </w:rPr>
              <w:t>Nokagawa</w:t>
            </w:r>
            <w:proofErr w:type="spellEnd"/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(2012)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94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4.1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5-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Seth.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M.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sz w:val="18"/>
                <w:szCs w:val="18"/>
                <w:lang w:bidi="ar-EG"/>
              </w:rPr>
              <w:t>Coren</w:t>
            </w:r>
            <w:proofErr w:type="spellEnd"/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(2007)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512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3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6-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sz w:val="18"/>
                <w:szCs w:val="18"/>
                <w:lang w:bidi="ar-EG"/>
              </w:rPr>
              <w:t>Micheel</w:t>
            </w:r>
            <w:proofErr w:type="spellEnd"/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M.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sz w:val="18"/>
                <w:szCs w:val="18"/>
                <w:lang w:bidi="ar-EG"/>
              </w:rPr>
              <w:t>Jdn</w:t>
            </w:r>
            <w:proofErr w:type="spellEnd"/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(2003)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50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3-4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7-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Yu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Zhang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(2004)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30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17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days</w:t>
            </w: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8-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Lucian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(2003)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30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2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9-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sz w:val="18"/>
                <w:szCs w:val="18"/>
                <w:lang w:bidi="ar-EG"/>
              </w:rPr>
              <w:t>Supaparn</w:t>
            </w:r>
            <w:proofErr w:type="spellEnd"/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(2004)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57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1-6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10-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Schindler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(2012)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42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1-2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11-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Maria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sz w:val="18"/>
                <w:szCs w:val="18"/>
                <w:lang w:bidi="ar-EG"/>
              </w:rPr>
              <w:t>Rosria</w:t>
            </w:r>
            <w:proofErr w:type="spellEnd"/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et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al.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16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3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20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5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weeks</w:t>
            </w: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12-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Yoon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Se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Lee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(2013)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70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2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months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Total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number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1237" w:type="pct"/>
            <w:gridSpan w:val="2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1075</w:t>
            </w:r>
          </w:p>
        </w:tc>
        <w:tc>
          <w:tcPr>
            <w:tcW w:w="1233" w:type="pct"/>
            <w:gridSpan w:val="2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155</w:t>
            </w: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Total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D03279">
              <w:rPr>
                <w:b/>
                <w:bCs/>
                <w:sz w:val="18"/>
                <w:szCs w:val="18"/>
                <w:lang w:bidi="ar-EG"/>
              </w:rPr>
              <w:t>mean±SD</w:t>
            </w:r>
            <w:proofErr w:type="spellEnd"/>
          </w:p>
        </w:tc>
        <w:tc>
          <w:tcPr>
            <w:tcW w:w="1237" w:type="pct"/>
            <w:gridSpan w:val="2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2.57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±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0.79</w:t>
            </w:r>
          </w:p>
        </w:tc>
        <w:tc>
          <w:tcPr>
            <w:tcW w:w="1233" w:type="pct"/>
            <w:gridSpan w:val="2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3.75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±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2.4</w:t>
            </w:r>
          </w:p>
        </w:tc>
      </w:tr>
      <w:tr w:rsidR="001975A3" w:rsidRPr="00D03279" w:rsidTr="002C7754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  <w:lang w:bidi="ar-EG"/>
              </w:rPr>
            </w:pPr>
            <w:r w:rsidRPr="00D03279">
              <w:rPr>
                <w:b/>
                <w:bCs/>
                <w:sz w:val="18"/>
                <w:szCs w:val="18"/>
                <w:lang w:bidi="ar-EG"/>
              </w:rPr>
              <w:t>Independent</w:t>
            </w:r>
            <w:r w:rsidR="002C7754" w:rsidRPr="00D03279">
              <w:rPr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/>
                <w:bCs/>
                <w:sz w:val="18"/>
                <w:szCs w:val="18"/>
                <w:lang w:bidi="ar-EG"/>
              </w:rPr>
              <w:t>t-test</w:t>
            </w:r>
          </w:p>
        </w:tc>
        <w:tc>
          <w:tcPr>
            <w:tcW w:w="2471" w:type="pct"/>
            <w:gridSpan w:val="4"/>
            <w:shd w:val="clear" w:color="auto" w:fill="auto"/>
            <w:vAlign w:val="center"/>
          </w:tcPr>
          <w:p w:rsidR="001975A3" w:rsidRPr="00D03279" w:rsidRDefault="001975A3" w:rsidP="000D5835">
            <w:pPr>
              <w:bidi w:val="0"/>
              <w:snapToGrid w:val="0"/>
              <w:jc w:val="both"/>
              <w:rPr>
                <w:bCs/>
                <w:sz w:val="18"/>
                <w:szCs w:val="18"/>
                <w:lang w:bidi="ar-EG"/>
              </w:rPr>
            </w:pPr>
            <w:r w:rsidRPr="00D03279">
              <w:rPr>
                <w:bCs/>
                <w:sz w:val="18"/>
                <w:szCs w:val="18"/>
                <w:lang w:bidi="ar-EG"/>
              </w:rPr>
              <w:t>t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=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12.196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p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&lt;</w:t>
            </w:r>
            <w:r w:rsidR="002C7754" w:rsidRPr="00D03279">
              <w:rPr>
                <w:bCs/>
                <w:sz w:val="18"/>
                <w:szCs w:val="18"/>
                <w:lang w:bidi="ar-EG"/>
              </w:rPr>
              <w:t xml:space="preserve"> </w:t>
            </w:r>
            <w:r w:rsidRPr="00D03279">
              <w:rPr>
                <w:bCs/>
                <w:sz w:val="18"/>
                <w:szCs w:val="18"/>
                <w:lang w:bidi="ar-EG"/>
              </w:rPr>
              <w:t>0.001</w:t>
            </w:r>
          </w:p>
        </w:tc>
      </w:tr>
    </w:tbl>
    <w:p w:rsidR="002C7754" w:rsidRPr="00D03279" w:rsidRDefault="002C7754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 w:hint="eastAsia"/>
          <w:smallCaps w:val="0"/>
          <w:kern w:val="0"/>
          <w:sz w:val="20"/>
          <w:szCs w:val="20"/>
          <w:lang w:eastAsia="zh-CN"/>
        </w:rPr>
      </w:pPr>
      <w:bookmarkStart w:id="10" w:name="_Toc523820016"/>
    </w:p>
    <w:p w:rsidR="000D5835" w:rsidRPr="00D03279" w:rsidRDefault="000D5835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  <w:sectPr w:rsidR="000D5835" w:rsidRPr="00D03279" w:rsidSect="002C7754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646AE6" w:rsidRPr="00D03279" w:rsidRDefault="00DF4617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</w:pPr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lastRenderedPageBreak/>
        <w:t>4.</w:t>
      </w:r>
      <w:r w:rsidR="002C7754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 xml:space="preserve"> </w:t>
      </w:r>
      <w:r w:rsidR="00646AE6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Discussion</w:t>
      </w:r>
      <w:bookmarkEnd w:id="10"/>
      <w:r w:rsidR="002C7754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 xml:space="preserve"> </w:t>
      </w:r>
    </w:p>
    <w:p w:rsidR="005B2DFA" w:rsidRPr="00D03279" w:rsidRDefault="008D345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N</w:t>
      </w:r>
      <w:r w:rsidR="005B2DFA" w:rsidRPr="00D03279">
        <w:rPr>
          <w:bCs/>
          <w:sz w:val="20"/>
          <w:szCs w:val="20"/>
          <w:lang w:bidi="ar-EG"/>
        </w:rPr>
        <w:t>on-</w:t>
      </w:r>
      <w:proofErr w:type="spellStart"/>
      <w:r w:rsidR="005B2DFA" w:rsidRPr="00D03279">
        <w:rPr>
          <w:bCs/>
          <w:sz w:val="20"/>
          <w:szCs w:val="20"/>
          <w:lang w:bidi="ar-EG"/>
        </w:rPr>
        <w:t>neoplastic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lesions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impair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communication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have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important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public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health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implications.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0E4EB6" w:rsidRPr="00D03279">
        <w:rPr>
          <w:bCs/>
          <w:sz w:val="20"/>
          <w:szCs w:val="20"/>
          <w:lang w:bidi="ar-EG"/>
        </w:rPr>
        <w:t>(</w:t>
      </w:r>
      <w:r w:rsidR="005B2DFA" w:rsidRPr="00D03279">
        <w:rPr>
          <w:b/>
          <w:bCs/>
          <w:i/>
          <w:iCs/>
          <w:sz w:val="20"/>
          <w:szCs w:val="20"/>
          <w:lang w:bidi="ar-EG"/>
        </w:rPr>
        <w:t>Roy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8C0DC7"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8C0DC7" w:rsidRPr="00D03279">
        <w:rPr>
          <w:b/>
          <w:bCs/>
          <w:i/>
          <w:iCs/>
          <w:sz w:val="20"/>
          <w:szCs w:val="20"/>
          <w:lang w:bidi="ar-EG"/>
        </w:rPr>
        <w:t>al.</w:t>
      </w:r>
      <w:r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5B2DFA" w:rsidRPr="00D03279">
        <w:rPr>
          <w:b/>
          <w:bCs/>
          <w:i/>
          <w:iCs/>
          <w:sz w:val="20"/>
          <w:szCs w:val="20"/>
          <w:lang w:bidi="ar-EG"/>
        </w:rPr>
        <w:t>2005</w:t>
      </w:r>
      <w:r w:rsidR="00F97691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reported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29.9%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general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public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least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disorder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their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lifetime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6%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current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disorder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7.2%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missed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more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work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days.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addition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health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care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costs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related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lost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work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productivity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benign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lesions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such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polyps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cysts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impair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patients’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quality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life.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/>
          <w:bCs/>
          <w:i/>
          <w:iCs/>
          <w:sz w:val="20"/>
          <w:szCs w:val="20"/>
          <w:lang w:bidi="ar-EG"/>
        </w:rPr>
        <w:t>Cohen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8C0DC7"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8C0DC7"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F97691" w:rsidRPr="00D03279">
        <w:rPr>
          <w:b/>
          <w:bCs/>
          <w:i/>
          <w:iCs/>
          <w:sz w:val="20"/>
          <w:szCs w:val="20"/>
          <w:lang w:bidi="ar-EG"/>
        </w:rPr>
        <w:t>(</w:t>
      </w:r>
      <w:r w:rsidR="005B2DFA" w:rsidRPr="00D03279">
        <w:rPr>
          <w:b/>
          <w:bCs/>
          <w:i/>
          <w:iCs/>
          <w:sz w:val="20"/>
          <w:szCs w:val="20"/>
          <w:lang w:bidi="ar-EG"/>
        </w:rPr>
        <w:t>2006</w:t>
      </w:r>
      <w:r w:rsidR="00F97691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="002A3E06" w:rsidRPr="00D03279">
        <w:rPr>
          <w:bCs/>
          <w:sz w:val="20"/>
          <w:szCs w:val="20"/>
          <w:lang w:bidi="ar-EG"/>
        </w:rPr>
        <w:t>suggested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A3E06"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determination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appropriate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may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bring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benefits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only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individual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but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also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society.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common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disorder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larynx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typically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observed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unilateral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masses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free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edge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fold.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phonosurgeons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consider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mainstay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F97691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i/>
          <w:iCs/>
          <w:sz w:val="20"/>
          <w:szCs w:val="20"/>
          <w:lang w:bidi="ar-EG"/>
        </w:rPr>
        <w:t>Benjamin</w:t>
      </w:r>
      <w:r w:rsidR="00F97691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1998</w:t>
      </w:r>
      <w:r w:rsidR="00F97691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</w:p>
    <w:p w:rsidR="000E4EB6" w:rsidRPr="00D03279" w:rsidRDefault="000E4EB6" w:rsidP="000D5835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D03279">
        <w:rPr>
          <w:sz w:val="20"/>
          <w:szCs w:val="20"/>
        </w:rPr>
        <w:t>Most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authors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agree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that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the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optimal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treatment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of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benign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lesions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of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the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larynx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is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complex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and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includes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several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factors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such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as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good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patient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compliance,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the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surgical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method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applied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and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pre/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or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post-operative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voice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sz w:val="20"/>
          <w:szCs w:val="20"/>
        </w:rPr>
        <w:t>therapy</w:t>
      </w:r>
      <w:r w:rsidR="002C7754" w:rsidRPr="00D03279">
        <w:rPr>
          <w:sz w:val="20"/>
          <w:szCs w:val="20"/>
        </w:rPr>
        <w:t xml:space="preserve"> </w:t>
      </w:r>
      <w:r w:rsidRPr="00D03279">
        <w:rPr>
          <w:b/>
          <w:bCs/>
          <w:sz w:val="20"/>
          <w:szCs w:val="20"/>
        </w:rPr>
        <w:t>(Jensen</w:t>
      </w:r>
      <w:r w:rsidR="002C7754" w:rsidRPr="00D03279">
        <w:rPr>
          <w:b/>
          <w:bCs/>
          <w:sz w:val="20"/>
          <w:szCs w:val="20"/>
        </w:rPr>
        <w:t xml:space="preserve"> </w:t>
      </w:r>
      <w:r w:rsidRPr="00D03279">
        <w:rPr>
          <w:b/>
          <w:bCs/>
          <w:sz w:val="20"/>
          <w:szCs w:val="20"/>
        </w:rPr>
        <w:t>and</w:t>
      </w:r>
      <w:r w:rsidR="002C7754" w:rsidRPr="00D03279">
        <w:rPr>
          <w:b/>
          <w:bCs/>
          <w:sz w:val="20"/>
          <w:szCs w:val="20"/>
        </w:rPr>
        <w:t xml:space="preserve"> </w:t>
      </w:r>
      <w:r w:rsidRPr="00D03279">
        <w:rPr>
          <w:b/>
          <w:bCs/>
          <w:sz w:val="20"/>
          <w:szCs w:val="20"/>
        </w:rPr>
        <w:t>Rasmussen,</w:t>
      </w:r>
      <w:r w:rsidR="002C7754" w:rsidRPr="00D03279">
        <w:rPr>
          <w:b/>
          <w:bCs/>
          <w:sz w:val="20"/>
          <w:szCs w:val="20"/>
        </w:rPr>
        <w:t xml:space="preserve"> </w:t>
      </w:r>
      <w:r w:rsidRPr="00D03279">
        <w:rPr>
          <w:b/>
          <w:bCs/>
          <w:sz w:val="20"/>
          <w:szCs w:val="20"/>
        </w:rPr>
        <w:t>2013).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several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A3E06" w:rsidRPr="00D03279">
        <w:rPr>
          <w:bCs/>
          <w:sz w:val="20"/>
          <w:szCs w:val="20"/>
          <w:lang w:bidi="ar-EG"/>
        </w:rPr>
        <w:t>options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A3E06"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A3E06"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A3E06"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A3E06"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which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typically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include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either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from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SLP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combination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laryngeal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microsurgery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otolaryngologist.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authors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recommend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primary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secondary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alternative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F97691" w:rsidRPr="00D03279">
        <w:rPr>
          <w:b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Hogikyan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1999</w:t>
      </w:r>
      <w:r w:rsidR="00F97691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Benninger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F97691"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="00F97691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i/>
          <w:iCs/>
          <w:sz w:val="20"/>
          <w:szCs w:val="20"/>
          <w:lang w:bidi="ar-EG"/>
        </w:rPr>
        <w:t>1996</w:t>
      </w:r>
      <w:r w:rsidR="00F97691" w:rsidRPr="00D03279">
        <w:rPr>
          <w:b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removal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necessary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behavioral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Nevertheless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impossible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range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permanently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altered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F97691" w:rsidRPr="00D03279">
        <w:rPr>
          <w:bCs/>
          <w:sz w:val="20"/>
          <w:szCs w:val="20"/>
          <w:lang w:bidi="ar-EG"/>
        </w:rPr>
        <w:t>.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But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mainly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focused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particularly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superiority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phonomicro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F97691" w:rsidRPr="00D03279">
        <w:rPr>
          <w:b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Petrovia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F97691" w:rsidRPr="00D03279">
        <w:rPr>
          <w:b/>
          <w:bCs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2011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F97691" w:rsidRPr="00D03279">
        <w:rPr>
          <w:b/>
          <w:bCs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Uloza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F97691" w:rsidRPr="00D03279">
        <w:rPr>
          <w:b/>
          <w:bCs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2005</w:t>
      </w:r>
      <w:r w:rsidR="00F97691" w:rsidRPr="00D03279">
        <w:rPr>
          <w:b/>
          <w:bCs/>
          <w:i/>
          <w:iCs/>
          <w:sz w:val="20"/>
          <w:szCs w:val="20"/>
          <w:lang w:bidi="ar-EG"/>
        </w:rPr>
        <w:t>)</w:t>
      </w:r>
      <w:r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success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rate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depends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many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factors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including</w:t>
      </w:r>
      <w:r w:rsidR="000F1614" w:rsidRPr="00D03279">
        <w:rPr>
          <w:bCs/>
          <w:sz w:val="20"/>
          <w:szCs w:val="20"/>
          <w:lang w:bidi="ar-EG"/>
        </w:rPr>
        <w:t>: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chronicity</w:t>
      </w:r>
      <w:proofErr w:type="spellEnd"/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nature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etiology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medical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history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presence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absence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secondary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gains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variability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techniques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duration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clinician’s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skill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knowledge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clinician’s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personality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client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motivation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confidence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client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adherence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client’s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perception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need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take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work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attend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practice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target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behaviors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required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travel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F97691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i/>
          <w:iCs/>
          <w:sz w:val="20"/>
          <w:szCs w:val="20"/>
          <w:lang w:bidi="ar-EG"/>
        </w:rPr>
        <w:t>Patel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="00F97691"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="00F97691" w:rsidRPr="00D03279">
        <w:rPr>
          <w:b/>
          <w:i/>
          <w:iCs/>
          <w:sz w:val="20"/>
          <w:szCs w:val="20"/>
          <w:lang w:bidi="ar-EG"/>
        </w:rPr>
        <w:t>al.</w:t>
      </w:r>
      <w:r w:rsidR="000F1614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2011</w:t>
      </w:r>
      <w:r w:rsidR="00F97691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However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despite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predominant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associated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direct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indirect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presented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different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frequency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duration.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also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emphasized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continuous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orientation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regarding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health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during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therapeutic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process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probably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plays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educational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role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compared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single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orientation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moment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lastRenderedPageBreak/>
        <w:t>according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approach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analyzed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F97691" w:rsidRPr="00D03279">
        <w:rPr>
          <w:b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Yun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F97691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2007</w:t>
      </w:r>
      <w:r w:rsidR="00F97691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general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consensus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</w:t>
      </w:r>
      <w:r w:rsidR="00773AD3" w:rsidRPr="00D03279">
        <w:rPr>
          <w:bCs/>
          <w:sz w:val="20"/>
          <w:szCs w:val="20"/>
          <w:lang w:bidi="ar-EG"/>
        </w:rPr>
        <w:t>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should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aim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removing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mucosa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from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cord.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Whether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techniques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better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laser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determined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certainty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but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newer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instruments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result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likely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dependent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skill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experience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rather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tool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A3164F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i/>
          <w:iCs/>
          <w:sz w:val="20"/>
          <w:szCs w:val="20"/>
          <w:lang w:bidi="ar-EG"/>
        </w:rPr>
        <w:t>Pedersen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McGlashan</w:t>
      </w:r>
      <w:proofErr w:type="spellEnd"/>
      <w:r w:rsidR="00A3164F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2012</w:t>
      </w:r>
      <w:r w:rsidR="00A3164F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Zeitels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2002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also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reported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low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rate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(4.2%)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second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recurrence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polyps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received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combination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therapy.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Several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raised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possibility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immediate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appropriate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Cohen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Colleagues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2007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presented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first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reporting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utility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first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line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often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because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it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requires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away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from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work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traumatic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A3164F" w:rsidRPr="00D03279">
        <w:rPr>
          <w:b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Pannbacker</w:t>
      </w:r>
      <w:proofErr w:type="spellEnd"/>
      <w:r w:rsidR="000F1614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1999</w:t>
      </w:r>
      <w:r w:rsidR="00A3164F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addition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although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73AD3" w:rsidRPr="00D03279">
        <w:rPr>
          <w:bCs/>
          <w:sz w:val="20"/>
          <w:szCs w:val="20"/>
          <w:lang w:bidi="ar-EG"/>
        </w:rPr>
        <w:t>polyp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combination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postoperative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reduce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risk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recurrence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A3164F" w:rsidRPr="00D03279">
        <w:rPr>
          <w:b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Bequignon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0F1614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2013</w:t>
      </w:r>
      <w:r w:rsidR="00A3164F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possibility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indication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relatively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recent.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first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about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topic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appeared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little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over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decade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ago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from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two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different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first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suggested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initial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nodules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Jonhs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2003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second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identifies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discrepancy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primary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indication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otorhinolaryngologists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(91%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nodules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30%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Sulica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8C0DC7"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8C0DC7"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2003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)</w:t>
      </w:r>
      <w:r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Furthermore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observation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spontaneous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resolution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some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during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preparation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period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Cecatto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8C0DC7"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8C0DC7"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2002</w:t>
      </w:r>
      <w:r w:rsidR="00A3164F" w:rsidRPr="00D03279">
        <w:rPr>
          <w:b/>
          <w:bCs/>
          <w:i/>
          <w:iCs/>
          <w:sz w:val="20"/>
          <w:szCs w:val="20"/>
          <w:lang w:bidi="ar-EG"/>
        </w:rPr>
        <w:t>)</w:t>
      </w:r>
      <w:r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result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analyzed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review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direct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indirect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objective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verifying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effectiveness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benign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specifically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lack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standardization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also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corresponded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techniques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direct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Few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describe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techniques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(Schindler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A3164F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2012</w:t>
      </w:r>
      <w:r w:rsidR="00A3164F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Rodríguez</w:t>
      </w:r>
      <w:proofErr w:type="spellEnd"/>
      <w:r w:rsidRPr="00D03279">
        <w:rPr>
          <w:b/>
          <w:i/>
          <w:iCs/>
          <w:sz w:val="20"/>
          <w:szCs w:val="20"/>
          <w:lang w:bidi="ar-EG"/>
        </w:rPr>
        <w:t>-Parra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A3164F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2011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Cho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A3164F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2011).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retrospective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design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some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analyzed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articles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0F1614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i/>
          <w:iCs/>
          <w:sz w:val="20"/>
          <w:szCs w:val="20"/>
          <w:lang w:bidi="ar-EG"/>
        </w:rPr>
        <w:t>Nakagawa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D4869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2012</w:t>
      </w:r>
      <w:r w:rsidR="007D4869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Cho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D4869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2011</w:t>
      </w:r>
      <w:r w:rsidR="007D4869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Yun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D4869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2007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="007D4869" w:rsidRPr="00D03279">
        <w:rPr>
          <w:b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Cohen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D4869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2007)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search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information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medical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records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showed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methodological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biases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filling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out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protocols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lack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standardization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information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different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technical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approaches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different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assistant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professionals.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hand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enabled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higher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number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lastRenderedPageBreak/>
        <w:t>participants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sample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enabling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execution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consistent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statistical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analysis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determination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characteristics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respond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especially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relation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size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and/or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age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(time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existence)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973E0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methodological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structure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cou</w:t>
      </w:r>
      <w:r w:rsidRPr="00D03279">
        <w:rPr>
          <w:bCs/>
          <w:sz w:val="20"/>
          <w:szCs w:val="20"/>
          <w:lang w:bidi="ar-EG"/>
        </w:rPr>
        <w:t>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roughly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divided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four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groups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according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line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treatment</w:t>
      </w:r>
      <w:r w:rsidR="000F1614" w:rsidRPr="00D03279">
        <w:rPr>
          <w:bCs/>
          <w:sz w:val="20"/>
          <w:szCs w:val="20"/>
          <w:lang w:bidi="ar-EG"/>
        </w:rPr>
        <w:t>: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7D4869" w:rsidRPr="00D03279" w:rsidRDefault="005B2DFA" w:rsidP="000D5835">
      <w:pPr>
        <w:numPr>
          <w:ilvl w:val="0"/>
          <w:numId w:val="48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(Pan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Zhuge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7D4869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2015</w:t>
      </w:r>
      <w:r w:rsidR="000F1614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Supoporn</w:t>
      </w:r>
      <w:proofErr w:type="spellEnd"/>
      <w:r w:rsidR="000D5835" w:rsidRPr="00D03279">
        <w:rPr>
          <w:b/>
          <w:i/>
          <w:iCs/>
          <w:sz w:val="20"/>
          <w:szCs w:val="20"/>
          <w:lang w:bidi="ar-EG"/>
        </w:rPr>
        <w:t xml:space="preserve">. </w:t>
      </w:r>
      <w:proofErr w:type="spellStart"/>
      <w:r w:rsidR="000D5835" w:rsidRPr="00D03279">
        <w:rPr>
          <w:b/>
          <w:i/>
          <w:iCs/>
          <w:sz w:val="20"/>
          <w:szCs w:val="20"/>
          <w:lang w:bidi="ar-EG"/>
        </w:rPr>
        <w:t>s</w:t>
      </w:r>
      <w:r w:rsidRPr="00D03279">
        <w:rPr>
          <w:b/>
          <w:i/>
          <w:iCs/>
          <w:sz w:val="20"/>
          <w:szCs w:val="20"/>
          <w:lang w:bidi="ar-EG"/>
        </w:rPr>
        <w:t>riromp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7D4869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2004</w:t>
      </w:r>
      <w:r w:rsidR="000F1614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Lee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7D4869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</w:t>
      </w:r>
      <w:r w:rsidR="00641FB1" w:rsidRPr="00D03279">
        <w:rPr>
          <w:b/>
          <w:i/>
          <w:iCs/>
          <w:sz w:val="20"/>
          <w:szCs w:val="20"/>
          <w:lang w:bidi="ar-EG"/>
        </w:rPr>
        <w:t>7</w:t>
      </w:r>
      <w:r w:rsidR="000F1614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Schindler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7D4869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2012</w:t>
      </w:r>
      <w:r w:rsidR="000F1614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Cohen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7D4869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2005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="007D4869" w:rsidRPr="00D03279">
        <w:rPr>
          <w:b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Nakagawa</w:t>
      </w:r>
      <w:r w:rsidR="007D4869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2012</w:t>
      </w:r>
      <w:r w:rsidR="007D4869" w:rsidRPr="00D03279">
        <w:rPr>
          <w:b/>
          <w:i/>
          <w:iCs/>
          <w:sz w:val="20"/>
          <w:szCs w:val="20"/>
          <w:lang w:bidi="ar-EG"/>
        </w:rPr>
        <w:t>).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</w:p>
    <w:p w:rsidR="007D4869" w:rsidRPr="00D03279" w:rsidRDefault="005B2DFA" w:rsidP="000D5835">
      <w:pPr>
        <w:numPr>
          <w:ilvl w:val="0"/>
          <w:numId w:val="48"/>
        </w:numPr>
        <w:tabs>
          <w:tab w:val="clear" w:pos="1440"/>
        </w:tabs>
        <w:bidi w:val="0"/>
        <w:snapToGrid w:val="0"/>
        <w:ind w:left="0" w:firstLine="425"/>
        <w:jc w:val="both"/>
        <w:rPr>
          <w:b/>
          <w:bCs/>
          <w:i/>
          <w:i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Tatjena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Solmen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7D4869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2016</w:t>
      </w:r>
      <w:r w:rsidR="000F1614" w:rsidRPr="00D03279">
        <w:rPr>
          <w:b/>
          <w:bCs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Sharon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S.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Tong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2015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Jane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Berg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2013)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.</w:t>
      </w:r>
    </w:p>
    <w:p w:rsidR="005B2DFA" w:rsidRPr="00D03279" w:rsidRDefault="005B2DFA" w:rsidP="000D5835">
      <w:pPr>
        <w:numPr>
          <w:ilvl w:val="0"/>
          <w:numId w:val="48"/>
        </w:numPr>
        <w:tabs>
          <w:tab w:val="clear" w:pos="1440"/>
        </w:tabs>
        <w:bidi w:val="0"/>
        <w:snapToGrid w:val="0"/>
        <w:ind w:left="0"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973E0D" w:rsidRPr="00D03279">
        <w:rPr>
          <w:bCs/>
          <w:sz w:val="20"/>
          <w:szCs w:val="20"/>
          <w:lang w:bidi="ar-EG"/>
        </w:rPr>
        <w:t>(combined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973E0D" w:rsidRPr="00D03279">
        <w:rPr>
          <w:bCs/>
          <w:sz w:val="20"/>
          <w:szCs w:val="20"/>
          <w:lang w:bidi="ar-EG"/>
        </w:rPr>
        <w:t>therapy)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(Maria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Rosaria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2016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Woo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Jin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2014)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.</w:t>
      </w:r>
    </w:p>
    <w:p w:rsidR="000D5835" w:rsidRPr="00D03279" w:rsidRDefault="00973E0D" w:rsidP="000D5835">
      <w:pPr>
        <w:numPr>
          <w:ilvl w:val="0"/>
          <w:numId w:val="48"/>
        </w:numPr>
        <w:tabs>
          <w:tab w:val="clear" w:pos="1440"/>
        </w:tabs>
        <w:bidi w:val="0"/>
        <w:snapToGrid w:val="0"/>
        <w:ind w:left="0" w:firstLine="425"/>
        <w:jc w:val="both"/>
        <w:rPr>
          <w:b/>
          <w:i/>
          <w:i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Corticosteroid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injection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V.C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(Yen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Bin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2009</w:t>
      </w:r>
      <w:r w:rsidR="000D5835" w:rsidRPr="00D03279">
        <w:rPr>
          <w:b/>
          <w:i/>
          <w:iCs/>
          <w:sz w:val="20"/>
          <w:szCs w:val="20"/>
          <w:lang w:bidi="ar-EG"/>
        </w:rPr>
        <w:t>).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regarding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age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group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age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was47.80±9.17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age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43.73±3.95with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high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statistical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significance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between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p-value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&lt;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0.001.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raised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possibility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cu</w:t>
      </w:r>
      <w:r w:rsidR="0020339D" w:rsidRPr="00D03279">
        <w:rPr>
          <w:bCs/>
          <w:sz w:val="20"/>
          <w:szCs w:val="20"/>
          <w:lang w:bidi="ar-EG"/>
        </w:rPr>
        <w:t>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approach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98.7%</w:t>
      </w:r>
      <w:r w:rsidR="00F65C9E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while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which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stated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973E0D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973E0D" w:rsidRPr="00D03279">
        <w:rPr>
          <w:bCs/>
          <w:sz w:val="20"/>
          <w:szCs w:val="20"/>
          <w:lang w:bidi="ar-EG"/>
        </w:rPr>
        <w:t>injection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973E0D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973E0D" w:rsidRPr="00D03279">
        <w:rPr>
          <w:bCs/>
          <w:sz w:val="20"/>
          <w:szCs w:val="20"/>
          <w:lang w:bidi="ar-EG"/>
        </w:rPr>
        <w:t>corticosteroid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20339D" w:rsidRPr="00D03279">
        <w:rPr>
          <w:bCs/>
          <w:sz w:val="20"/>
          <w:szCs w:val="20"/>
          <w:lang w:bidi="ar-EG"/>
        </w:rPr>
        <w:t>51.2%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high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statistical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significance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between.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20339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Acoustic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values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before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Jitter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Shimmer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%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HNR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="005B2DFA" w:rsidRPr="00D03279">
        <w:rPr>
          <w:bCs/>
          <w:sz w:val="20"/>
          <w:szCs w:val="20"/>
          <w:lang w:bidi="ar-EG"/>
        </w:rPr>
        <w:t>Fo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no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</w:t>
      </w:r>
      <w:r w:rsidRPr="00D03279">
        <w:rPr>
          <w:bCs/>
          <w:sz w:val="20"/>
          <w:szCs w:val="20"/>
          <w:lang w:bidi="ar-EG"/>
        </w:rPr>
        <w:t>tatistical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significance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before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value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(0.04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0.06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0.04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0.64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respectively).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1F3A04" w:rsidRPr="00D03279" w:rsidRDefault="00B73EB3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Acoustic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values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before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Shimmer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%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HNR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="005B2DFA" w:rsidRPr="00D03279">
        <w:rPr>
          <w:bCs/>
          <w:sz w:val="20"/>
          <w:szCs w:val="20"/>
          <w:lang w:bidi="ar-EG"/>
        </w:rPr>
        <w:t>Fo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high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statistical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significance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before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value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(0.001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0.000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0.003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respectively)</w:t>
      </w:r>
      <w:r w:rsidR="000D5835" w:rsidRPr="00D03279">
        <w:rPr>
          <w:bCs/>
          <w:sz w:val="20"/>
          <w:szCs w:val="20"/>
          <w:lang w:bidi="ar-EG"/>
        </w:rPr>
        <w:t>. w</w:t>
      </w:r>
      <w:r w:rsidR="005B2DFA" w:rsidRPr="00D03279">
        <w:rPr>
          <w:bCs/>
          <w:sz w:val="20"/>
          <w:szCs w:val="20"/>
          <w:lang w:bidi="ar-EG"/>
        </w:rPr>
        <w:t>hile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Jitter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post-operative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no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significance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value0.694.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FA557F" w:rsidRPr="00D03279" w:rsidRDefault="00FA557F" w:rsidP="000D5835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color w:val="000000"/>
          <w:sz w:val="20"/>
          <w:szCs w:val="20"/>
        </w:rPr>
      </w:pPr>
      <w:r w:rsidRPr="00D03279">
        <w:rPr>
          <w:color w:val="000000"/>
          <w:sz w:val="20"/>
          <w:szCs w:val="20"/>
        </w:rPr>
        <w:t>Jitter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refers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to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cycle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to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cycle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variation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in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the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fundamental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frequency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of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the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voice.</w:t>
      </w:r>
      <w:r w:rsidR="002C7754" w:rsidRPr="00D03279">
        <w:rPr>
          <w:color w:val="000000"/>
          <w:sz w:val="20"/>
          <w:szCs w:val="20"/>
        </w:rPr>
        <w:t xml:space="preserve"> </w:t>
      </w:r>
    </w:p>
    <w:p w:rsidR="00FA557F" w:rsidRPr="00D03279" w:rsidRDefault="00FA557F" w:rsidP="000D5835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color w:val="000000"/>
          <w:sz w:val="20"/>
          <w:szCs w:val="20"/>
        </w:rPr>
      </w:pPr>
      <w:r w:rsidRPr="00D03279">
        <w:rPr>
          <w:color w:val="000000"/>
          <w:sz w:val="20"/>
          <w:szCs w:val="20"/>
        </w:rPr>
        <w:t>Shimmer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is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also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a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measurement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of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perturbation.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It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refers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to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cycle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to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cycle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variation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in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the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amplitude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of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voice.</w:t>
      </w:r>
      <w:r w:rsidR="002C7754" w:rsidRPr="00D03279">
        <w:rPr>
          <w:color w:val="000000"/>
          <w:sz w:val="20"/>
          <w:szCs w:val="20"/>
        </w:rPr>
        <w:t xml:space="preserve"> </w:t>
      </w:r>
    </w:p>
    <w:p w:rsidR="00FA557F" w:rsidRPr="00D03279" w:rsidRDefault="00FA557F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color w:val="000000"/>
          <w:sz w:val="20"/>
          <w:szCs w:val="20"/>
        </w:rPr>
        <w:t>The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decreased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HNR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value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is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a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powerful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quantitative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indicator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for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the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improvement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of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voice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quality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(</w:t>
      </w:r>
      <w:proofErr w:type="spellStart"/>
      <w:r w:rsidRPr="00D03279">
        <w:rPr>
          <w:color w:val="000000"/>
          <w:sz w:val="20"/>
          <w:szCs w:val="20"/>
        </w:rPr>
        <w:t>Toran</w:t>
      </w:r>
      <w:proofErr w:type="spellEnd"/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and</w:t>
      </w:r>
      <w:r w:rsidR="002C7754" w:rsidRPr="00D03279">
        <w:rPr>
          <w:color w:val="000000"/>
          <w:sz w:val="20"/>
          <w:szCs w:val="20"/>
        </w:rPr>
        <w:t xml:space="preserve"> </w:t>
      </w:r>
      <w:proofErr w:type="spellStart"/>
      <w:r w:rsidRPr="00D03279">
        <w:rPr>
          <w:color w:val="000000"/>
          <w:sz w:val="20"/>
          <w:szCs w:val="20"/>
        </w:rPr>
        <w:t>Lal</w:t>
      </w:r>
      <w:proofErr w:type="spellEnd"/>
      <w:r w:rsidRPr="00D03279">
        <w:rPr>
          <w:color w:val="000000"/>
          <w:sz w:val="20"/>
          <w:szCs w:val="20"/>
        </w:rPr>
        <w:t>,</w:t>
      </w:r>
      <w:r w:rsidR="002C7754" w:rsidRPr="00D03279">
        <w:rPr>
          <w:color w:val="000000"/>
          <w:sz w:val="20"/>
          <w:szCs w:val="20"/>
        </w:rPr>
        <w:t xml:space="preserve"> </w:t>
      </w:r>
      <w:r w:rsidRPr="00D03279">
        <w:rPr>
          <w:color w:val="000000"/>
          <w:sz w:val="20"/>
          <w:szCs w:val="20"/>
        </w:rPr>
        <w:t>2010).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</w:t>
      </w:r>
      <w:r w:rsidR="00B73EB3" w:rsidRPr="00D03279">
        <w:rPr>
          <w:bCs/>
          <w:sz w:val="20"/>
          <w:szCs w:val="20"/>
          <w:lang w:bidi="ar-EG"/>
        </w:rPr>
        <w:t>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73EB3"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two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describing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microsurgery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included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164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128</w:t>
      </w:r>
      <w:r w:rsidR="000D5835" w:rsidRPr="00D03279">
        <w:rPr>
          <w:bCs/>
          <w:sz w:val="20"/>
          <w:szCs w:val="20"/>
          <w:lang w:bidi="ar-EG"/>
        </w:rPr>
        <w:t>. T</w:t>
      </w:r>
      <w:r w:rsidRPr="00D03279">
        <w:rPr>
          <w:bCs/>
          <w:sz w:val="20"/>
          <w:szCs w:val="20"/>
          <w:lang w:bidi="ar-EG"/>
        </w:rPr>
        <w:t>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six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concerned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included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339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164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which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cure.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three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describing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included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557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547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which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cure.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/>
          <w:bCs/>
          <w:i/>
          <w:iCs/>
          <w:sz w:val="20"/>
          <w:szCs w:val="20"/>
          <w:lang w:bidi="ar-EG"/>
        </w:rPr>
        <w:lastRenderedPageBreak/>
        <w:t>Nakagawa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2012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commented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670D1A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670D1A" w:rsidRPr="00D03279">
        <w:rPr>
          <w:bCs/>
          <w:sz w:val="20"/>
          <w:szCs w:val="20"/>
          <w:lang w:bidi="ar-EG"/>
        </w:rPr>
        <w:t>comparing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their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showed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remission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those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show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either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remission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shrinkage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former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group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greater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proportion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women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small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shorter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duration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symptoms.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agrees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Zeitels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2002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0F1614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prospectively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investigated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outcomes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185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singers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undergone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phonosurgery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rehabilitation.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total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182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(98%)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reported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improvement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surgery.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Although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frequent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benign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folds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eleven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showed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variable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number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participants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which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varied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from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16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433.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/>
          <w:bCs/>
          <w:i/>
          <w:iCs/>
          <w:sz w:val="20"/>
          <w:szCs w:val="20"/>
          <w:lang w:bidi="ar-EG"/>
        </w:rPr>
        <w:t>Lee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201</w:t>
      </w:r>
      <w:r w:rsidR="00641FB1" w:rsidRPr="00D03279">
        <w:rPr>
          <w:b/>
          <w:bCs/>
          <w:i/>
          <w:iCs/>
          <w:sz w:val="20"/>
          <w:szCs w:val="20"/>
          <w:lang w:bidi="ar-EG"/>
        </w:rPr>
        <w:t>7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small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female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showed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response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73EB3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73EB3" w:rsidRPr="00D03279">
        <w:rPr>
          <w:bCs/>
          <w:sz w:val="20"/>
          <w:szCs w:val="20"/>
          <w:lang w:bidi="ar-EG"/>
        </w:rPr>
        <w:t>therapy.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73EB3" w:rsidRPr="00D03279">
        <w:rPr>
          <w:bCs/>
          <w:sz w:val="20"/>
          <w:szCs w:val="20"/>
          <w:lang w:bidi="ar-EG"/>
        </w:rPr>
        <w:t>Among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B73EB3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cases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small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sessile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type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rather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pedunculated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type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found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good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indicator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effective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some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reports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regarding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efficiency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conservative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based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Although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longer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duration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reported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improve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outcomes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20%–49%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670D1A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Cohen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2007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Yun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2007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)</w:t>
      </w:r>
      <w:r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</w:p>
    <w:p w:rsidR="005B2DFA" w:rsidRPr="00D03279" w:rsidRDefault="00B73EB3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There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some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assessed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Hemorrhagic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/>
          <w:bCs/>
          <w:i/>
          <w:iCs/>
          <w:sz w:val="20"/>
          <w:szCs w:val="20"/>
          <w:lang w:bidi="ar-EG"/>
        </w:rPr>
        <w:t>Woo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5B2DFA" w:rsidRPr="00D03279">
        <w:rPr>
          <w:b/>
          <w:bCs/>
          <w:i/>
          <w:iCs/>
          <w:sz w:val="20"/>
          <w:szCs w:val="20"/>
          <w:lang w:bidi="ar-EG"/>
        </w:rPr>
        <w:t>Jin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5B2DFA"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5B2DFA"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(</w:t>
      </w:r>
      <w:r w:rsidR="005B2DFA" w:rsidRPr="00D03279">
        <w:rPr>
          <w:b/>
          <w:bCs/>
          <w:i/>
          <w:iCs/>
          <w:sz w:val="20"/>
          <w:szCs w:val="20"/>
          <w:lang w:bidi="ar-EG"/>
        </w:rPr>
        <w:t>2014</w:t>
      </w:r>
      <w:r w:rsidR="00670D1A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which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present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47%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examined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considered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frequent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type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treated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both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intervention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38%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cure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5B2DFA" w:rsidRPr="00D03279">
        <w:rPr>
          <w:bCs/>
          <w:sz w:val="20"/>
          <w:szCs w:val="20"/>
          <w:lang w:bidi="ar-EG"/>
        </w:rPr>
        <w:t>therapy.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authors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agree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optimal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benign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larynx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complex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includes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several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factors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good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compliance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method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applied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post-operative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670D1A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i/>
          <w:iCs/>
          <w:sz w:val="20"/>
          <w:szCs w:val="20"/>
          <w:lang w:bidi="ar-EG"/>
        </w:rPr>
        <w:t>Geyer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670D1A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2010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="00670D1A" w:rsidRPr="00D03279">
        <w:rPr>
          <w:b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Zeitels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670D1A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2002</w:t>
      </w:r>
      <w:r w:rsidR="00670D1A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Post-operative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were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two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from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eleven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0D17C3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i/>
          <w:iCs/>
          <w:sz w:val="20"/>
          <w:szCs w:val="20"/>
          <w:lang w:bidi="ar-EG"/>
        </w:rPr>
        <w:t>Maria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Rosaria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0D17C3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2016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="000D17C3" w:rsidRPr="00D03279">
        <w:rPr>
          <w:b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Woo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Jin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0D17C3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2014</w:t>
      </w:r>
      <w:r w:rsidR="000D17C3" w:rsidRPr="00D03279">
        <w:rPr>
          <w:b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100%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38%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respectively.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regard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follow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Jane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Berg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0D17C3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2013</w:t>
      </w:r>
      <w:r w:rsidR="000D17C3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Cohen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0D17C3"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0D17C3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2007</w:t>
      </w:r>
      <w:r w:rsidR="000D17C3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stated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vast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majority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had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normal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voices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three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months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their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visits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could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terminated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which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yielded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median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follow-up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period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3.9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months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which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considerably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shorter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studies.</w:t>
      </w:r>
    </w:p>
    <w:p w:rsidR="005B2DFA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Although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usually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unilateral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series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clinical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trials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showed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limited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number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participants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bilateral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0D17C3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Maria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Rosaria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0D17C3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2016</w:t>
      </w:r>
      <w:r w:rsidR="000D17C3" w:rsidRPr="00D03279">
        <w:rPr>
          <w:b/>
          <w:bCs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Lee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41FB1"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641FB1"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201</w:t>
      </w:r>
      <w:r w:rsidR="00641FB1" w:rsidRPr="00D03279">
        <w:rPr>
          <w:b/>
          <w:bCs/>
          <w:i/>
          <w:iCs/>
          <w:sz w:val="20"/>
          <w:szCs w:val="20"/>
          <w:lang w:bidi="ar-EG"/>
        </w:rPr>
        <w:t>7</w:t>
      </w:r>
      <w:r w:rsidR="000D17C3" w:rsidRPr="00D03279">
        <w:rPr>
          <w:b/>
          <w:bCs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Hideki</w:t>
      </w:r>
      <w:r w:rsidR="00764C6C" w:rsidRPr="00D03279">
        <w:rPr>
          <w:b/>
          <w:bCs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2012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764C6C" w:rsidRPr="00D03279">
        <w:rPr>
          <w:b/>
          <w:bCs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764C6C" w:rsidRPr="00D03279">
        <w:rPr>
          <w:b/>
          <w:bCs/>
          <w:i/>
          <w:iCs/>
          <w:sz w:val="20"/>
          <w:szCs w:val="20"/>
          <w:lang w:bidi="ar-EG"/>
        </w:rPr>
        <w:t>Cohen,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2007</w:t>
      </w:r>
      <w:r w:rsidR="00764C6C" w:rsidRPr="00D03279">
        <w:rPr>
          <w:b/>
          <w:bCs/>
          <w:i/>
          <w:iCs/>
          <w:sz w:val="20"/>
          <w:szCs w:val="20"/>
          <w:lang w:bidi="ar-EG"/>
        </w:rPr>
        <w:t>)</w:t>
      </w:r>
      <w:r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</w:p>
    <w:p w:rsidR="00E32ACD" w:rsidRPr="00D03279" w:rsidRDefault="00E32ACD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lastRenderedPageBreak/>
        <w:t>According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done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sz w:val="20"/>
          <w:szCs w:val="20"/>
          <w:lang w:bidi="ar-EG"/>
        </w:rPr>
        <w:t>Yen</w:t>
      </w:r>
      <w:r w:rsidR="002C7754" w:rsidRPr="00D03279">
        <w:rPr>
          <w:b/>
          <w:sz w:val="20"/>
          <w:szCs w:val="20"/>
          <w:lang w:bidi="ar-EG"/>
        </w:rPr>
        <w:t xml:space="preserve"> </w:t>
      </w:r>
      <w:r w:rsidRPr="00D03279">
        <w:rPr>
          <w:b/>
          <w:sz w:val="20"/>
          <w:szCs w:val="20"/>
          <w:lang w:bidi="ar-EG"/>
        </w:rPr>
        <w:t>Bin</w:t>
      </w:r>
      <w:r w:rsidR="002C7754" w:rsidRPr="00D03279">
        <w:rPr>
          <w:b/>
          <w:sz w:val="20"/>
          <w:szCs w:val="20"/>
          <w:lang w:bidi="ar-EG"/>
        </w:rPr>
        <w:t xml:space="preserve"> </w:t>
      </w:r>
      <w:r w:rsidRPr="00D03279">
        <w:rPr>
          <w:b/>
          <w:sz w:val="20"/>
          <w:szCs w:val="20"/>
          <w:lang w:bidi="ar-EG"/>
        </w:rPr>
        <w:t>et</w:t>
      </w:r>
      <w:r w:rsidR="002C7754" w:rsidRPr="00D03279">
        <w:rPr>
          <w:b/>
          <w:sz w:val="20"/>
          <w:szCs w:val="20"/>
          <w:lang w:bidi="ar-EG"/>
        </w:rPr>
        <w:t xml:space="preserve"> </w:t>
      </w:r>
      <w:r w:rsidRPr="00D03279">
        <w:rPr>
          <w:b/>
          <w:sz w:val="20"/>
          <w:szCs w:val="20"/>
          <w:lang w:bidi="ar-EG"/>
        </w:rPr>
        <w:t>al.</w:t>
      </w:r>
      <w:r w:rsidR="002C7754" w:rsidRPr="00D03279">
        <w:rPr>
          <w:b/>
          <w:sz w:val="20"/>
          <w:szCs w:val="20"/>
          <w:lang w:bidi="ar-EG"/>
        </w:rPr>
        <w:t xml:space="preserve"> </w:t>
      </w:r>
      <w:r w:rsidRPr="00D03279">
        <w:rPr>
          <w:b/>
          <w:sz w:val="20"/>
          <w:szCs w:val="20"/>
          <w:lang w:bidi="ar-EG"/>
        </w:rPr>
        <w:t>(2009)</w:t>
      </w:r>
      <w:r w:rsidR="002C7754" w:rsidRPr="00D03279">
        <w:rPr>
          <w:sz w:val="20"/>
          <w:szCs w:val="20"/>
        </w:rPr>
        <w:t xml:space="preserve"> </w:t>
      </w:r>
      <w:proofErr w:type="spellStart"/>
      <w:r w:rsidRPr="00D03279">
        <w:rPr>
          <w:bCs/>
          <w:sz w:val="20"/>
          <w:szCs w:val="20"/>
          <w:lang w:bidi="ar-EG"/>
        </w:rPr>
        <w:t>Percutaneous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corticosteroid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injection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under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topical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anesthesia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performed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successfully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22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24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(92%).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procedure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typically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20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minutes,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including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topical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anesthesia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injection.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Two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failed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procedure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because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thick,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soft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tissue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anterior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neck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hypersensitive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gag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reflex.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median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follow-up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from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PCI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15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months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(range,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9-19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months).</w:t>
      </w:r>
    </w:p>
    <w:p w:rsidR="001F3A04" w:rsidRPr="00D03279" w:rsidRDefault="005B2DFA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Another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important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aspect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classification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difference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terms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size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lesions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Although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estimating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basically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three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sizes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(small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medium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and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large)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authors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classified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them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differently.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Therefore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small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example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considered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="00F3345E" w:rsidRPr="00D03279">
        <w:rPr>
          <w:bCs/>
          <w:sz w:val="20"/>
          <w:szCs w:val="20"/>
          <w:lang w:bidi="ar-EG"/>
        </w:rPr>
        <w:t>punctiform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="00F3345E" w:rsidRPr="00D03279">
        <w:rPr>
          <w:b/>
          <w:sz w:val="20"/>
          <w:szCs w:val="20"/>
          <w:lang w:bidi="ar-EG"/>
        </w:rPr>
        <w:t>Klein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273C1A"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2009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Nakagawa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2012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size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corresponding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1/8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bCs/>
          <w:i/>
          <w:iCs/>
          <w:sz w:val="20"/>
          <w:szCs w:val="20"/>
          <w:lang w:bidi="ar-EG"/>
        </w:rPr>
        <w:t>Yun</w:t>
      </w:r>
      <w:proofErr w:type="spellEnd"/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2007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)</w:t>
      </w:r>
      <w:r w:rsidR="002C7754" w:rsidRPr="00D03279">
        <w:rPr>
          <w:b/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size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1/4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vocal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fold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Cho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bCs/>
          <w:i/>
          <w:iCs/>
          <w:sz w:val="20"/>
          <w:szCs w:val="20"/>
          <w:lang w:bidi="ar-EG"/>
        </w:rPr>
        <w:t>al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(</w:t>
      </w:r>
      <w:r w:rsidRPr="00D03279">
        <w:rPr>
          <w:b/>
          <w:bCs/>
          <w:i/>
          <w:iCs/>
          <w:sz w:val="20"/>
          <w:szCs w:val="20"/>
          <w:lang w:bidi="ar-EG"/>
        </w:rPr>
        <w:t>2011</w:t>
      </w:r>
      <w:r w:rsidR="00745DEB" w:rsidRPr="00D03279">
        <w:rPr>
          <w:b/>
          <w:bCs/>
          <w:i/>
          <w:iCs/>
          <w:sz w:val="20"/>
          <w:szCs w:val="20"/>
          <w:lang w:bidi="ar-EG"/>
        </w:rPr>
        <w:t>)</w:t>
      </w:r>
      <w:r w:rsidRPr="00D03279">
        <w:rPr>
          <w:b/>
          <w:bCs/>
          <w:i/>
          <w:iCs/>
          <w:sz w:val="20"/>
          <w:szCs w:val="20"/>
          <w:lang w:bidi="ar-EG"/>
        </w:rPr>
        <w:t>.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Despite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classification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used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four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identified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response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speech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small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45DEB" w:rsidRPr="00D03279">
        <w:rPr>
          <w:b/>
          <w:i/>
          <w:iCs/>
          <w:sz w:val="20"/>
          <w:szCs w:val="20"/>
          <w:lang w:bidi="ar-EG"/>
        </w:rPr>
        <w:t>(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Yun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45DEB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2007</w:t>
      </w:r>
      <w:r w:rsidR="00745DEB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Nakagawa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al.</w:t>
      </w:r>
      <w:r w:rsidR="00745DEB" w:rsidRPr="00D03279">
        <w:rPr>
          <w:b/>
          <w:i/>
          <w:iCs/>
          <w:sz w:val="20"/>
          <w:szCs w:val="20"/>
          <w:lang w:bidi="ar-EG"/>
        </w:rPr>
        <w:t>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2012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="00745DEB" w:rsidRPr="00D03279">
        <w:rPr>
          <w:b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Cho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45DEB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2011</w:t>
      </w:r>
      <w:r w:rsidR="00745DEB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  <w:r w:rsidR="002C7754" w:rsidRPr="00D03279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same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time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five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studies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did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not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assess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size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of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polyp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745DEB" w:rsidRPr="00D03279">
        <w:rPr>
          <w:b/>
          <w:i/>
          <w:iCs/>
          <w:sz w:val="20"/>
          <w:szCs w:val="20"/>
          <w:lang w:bidi="ar-EG"/>
        </w:rPr>
        <w:t>(</w:t>
      </w:r>
      <w:r w:rsidRPr="00D03279">
        <w:rPr>
          <w:b/>
          <w:i/>
          <w:iCs/>
          <w:sz w:val="20"/>
          <w:szCs w:val="20"/>
          <w:lang w:bidi="ar-EG"/>
        </w:rPr>
        <w:t>Cohen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45DEB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2007</w:t>
      </w:r>
      <w:r w:rsidR="00745DEB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Rodríguez</w:t>
      </w:r>
      <w:proofErr w:type="spellEnd"/>
      <w:r w:rsidRPr="00D03279">
        <w:rPr>
          <w:b/>
          <w:i/>
          <w:iCs/>
          <w:sz w:val="20"/>
          <w:szCs w:val="20"/>
          <w:lang w:bidi="ar-EG"/>
        </w:rPr>
        <w:t>-Parra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45DEB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2011</w:t>
      </w:r>
      <w:r w:rsidR="00745DEB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proofErr w:type="spellStart"/>
      <w:r w:rsidRPr="00D03279">
        <w:rPr>
          <w:b/>
          <w:i/>
          <w:iCs/>
          <w:sz w:val="20"/>
          <w:szCs w:val="20"/>
          <w:lang w:bidi="ar-EG"/>
        </w:rPr>
        <w:t>Adrián</w:t>
      </w:r>
      <w:proofErr w:type="spellEnd"/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45DEB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2015</w:t>
      </w:r>
      <w:r w:rsidR="00745DEB" w:rsidRPr="00D03279">
        <w:rPr>
          <w:b/>
          <w:i/>
          <w:iCs/>
          <w:sz w:val="20"/>
          <w:szCs w:val="20"/>
          <w:lang w:bidi="ar-EG"/>
        </w:rPr>
        <w:t>;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Schindler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45DEB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2013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and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Schindler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et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al</w:t>
      </w:r>
      <w:r w:rsidR="00745DEB" w:rsidRPr="00D03279">
        <w:rPr>
          <w:b/>
          <w:i/>
          <w:iCs/>
          <w:sz w:val="20"/>
          <w:szCs w:val="20"/>
          <w:lang w:bidi="ar-EG"/>
        </w:rPr>
        <w:t>.,</w:t>
      </w:r>
      <w:r w:rsidR="002C7754" w:rsidRPr="00D03279">
        <w:rPr>
          <w:b/>
          <w:i/>
          <w:iCs/>
          <w:sz w:val="20"/>
          <w:szCs w:val="20"/>
          <w:lang w:bidi="ar-EG"/>
        </w:rPr>
        <w:t xml:space="preserve"> </w:t>
      </w:r>
      <w:r w:rsidRPr="00D03279">
        <w:rPr>
          <w:b/>
          <w:i/>
          <w:iCs/>
          <w:sz w:val="20"/>
          <w:szCs w:val="20"/>
          <w:lang w:bidi="ar-EG"/>
        </w:rPr>
        <w:t>2012</w:t>
      </w:r>
      <w:r w:rsidR="00745DEB" w:rsidRPr="00D03279">
        <w:rPr>
          <w:b/>
          <w:i/>
          <w:iCs/>
          <w:sz w:val="20"/>
          <w:szCs w:val="20"/>
          <w:lang w:bidi="ar-EG"/>
        </w:rPr>
        <w:t>)</w:t>
      </w:r>
      <w:r w:rsidRPr="00D03279">
        <w:rPr>
          <w:b/>
          <w:i/>
          <w:iCs/>
          <w:sz w:val="20"/>
          <w:szCs w:val="20"/>
          <w:lang w:bidi="ar-EG"/>
        </w:rPr>
        <w:t>.</w:t>
      </w:r>
    </w:p>
    <w:p w:rsidR="00DF4617" w:rsidRPr="00D03279" w:rsidRDefault="00DF4617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 w:hint="eastAsia"/>
          <w:smallCaps w:val="0"/>
          <w:kern w:val="0"/>
          <w:sz w:val="20"/>
          <w:szCs w:val="20"/>
          <w:lang w:eastAsia="zh-CN"/>
        </w:rPr>
      </w:pPr>
      <w:bookmarkStart w:id="11" w:name="_Toc523820018"/>
      <w:bookmarkStart w:id="12" w:name="_Toc390088401"/>
    </w:p>
    <w:p w:rsidR="00C145B8" w:rsidRPr="00D03279" w:rsidRDefault="00C145B8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</w:pPr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Conclusion</w:t>
      </w:r>
      <w:bookmarkEnd w:id="11"/>
    </w:p>
    <w:p w:rsidR="00C145B8" w:rsidRPr="00D03279" w:rsidRDefault="001F3A04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V</w:t>
      </w:r>
      <w:r w:rsidR="00C145B8" w:rsidRPr="00D03279">
        <w:rPr>
          <w:bCs/>
          <w:sz w:val="20"/>
          <w:szCs w:val="20"/>
          <w:lang w:bidi="ar-EG"/>
        </w:rPr>
        <w:t>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as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a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first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line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treatment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proved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effective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improving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proofErr w:type="spellStart"/>
      <w:r w:rsidR="00C145B8" w:rsidRPr="00D03279">
        <w:rPr>
          <w:bCs/>
          <w:sz w:val="20"/>
          <w:szCs w:val="20"/>
          <w:lang w:bidi="ar-EG"/>
        </w:rPr>
        <w:t>dysphonia</w:t>
      </w:r>
      <w:proofErr w:type="spellEnd"/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patients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with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polyp</w:t>
      </w:r>
      <w:r w:rsidR="000F1614" w:rsidRPr="00D03279">
        <w:rPr>
          <w:bCs/>
          <w:sz w:val="20"/>
          <w:szCs w:val="20"/>
          <w:lang w:bidi="ar-EG"/>
        </w:rPr>
        <w:t>,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although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cure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voice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is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still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far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obtained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C145B8" w:rsidRPr="00D03279">
        <w:rPr>
          <w:bCs/>
          <w:sz w:val="20"/>
          <w:szCs w:val="20"/>
          <w:lang w:bidi="ar-EG"/>
        </w:rPr>
        <w:t>cases.</w:t>
      </w:r>
    </w:p>
    <w:p w:rsidR="001F3A04" w:rsidRPr="00D03279" w:rsidRDefault="006B03F2" w:rsidP="000D5835">
      <w:pPr>
        <w:bidi w:val="0"/>
        <w:snapToGrid w:val="0"/>
        <w:ind w:firstLine="425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t>While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complete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cure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be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DF4617" w:rsidRPr="00D03279">
        <w:rPr>
          <w:bCs/>
          <w:sz w:val="20"/>
          <w:szCs w:val="20"/>
          <w:lang w:bidi="ar-EG"/>
        </w:rPr>
        <w:t>obtained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DF4617" w:rsidRPr="00D03279">
        <w:rPr>
          <w:bCs/>
          <w:sz w:val="20"/>
          <w:szCs w:val="20"/>
          <w:lang w:bidi="ar-EG"/>
        </w:rPr>
        <w:t>in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most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cases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after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surgical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treatment</w:t>
      </w:r>
      <w:r w:rsidR="000D5835" w:rsidRPr="00D03279">
        <w:rPr>
          <w:bCs/>
          <w:sz w:val="20"/>
          <w:szCs w:val="20"/>
          <w:lang w:bidi="ar-EG"/>
        </w:rPr>
        <w:t>. P</w:t>
      </w:r>
      <w:r w:rsidRPr="00D03279">
        <w:rPr>
          <w:bCs/>
          <w:sz w:val="20"/>
          <w:szCs w:val="20"/>
          <w:lang w:bidi="ar-EG"/>
        </w:rPr>
        <w:t>atients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who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received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corticosteroid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therapy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reach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to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59%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Pr="00D03279">
        <w:rPr>
          <w:bCs/>
          <w:sz w:val="20"/>
          <w:szCs w:val="20"/>
          <w:lang w:bidi="ar-EG"/>
        </w:rPr>
        <w:t>curative</w:t>
      </w:r>
      <w:r w:rsidR="002C7754" w:rsidRPr="00D03279">
        <w:rPr>
          <w:bCs/>
          <w:sz w:val="20"/>
          <w:szCs w:val="20"/>
          <w:lang w:bidi="ar-EG"/>
        </w:rPr>
        <w:t xml:space="preserve"> </w:t>
      </w:r>
      <w:r w:rsidR="00DF4617" w:rsidRPr="00D03279">
        <w:rPr>
          <w:bCs/>
          <w:sz w:val="20"/>
          <w:szCs w:val="20"/>
          <w:lang w:bidi="ar-EG"/>
        </w:rPr>
        <w:t>rate.</w:t>
      </w:r>
      <w:r w:rsidR="002C7754" w:rsidRPr="00D03279">
        <w:rPr>
          <w:bCs/>
          <w:sz w:val="20"/>
          <w:szCs w:val="20"/>
          <w:lang w:bidi="ar-EG"/>
        </w:rPr>
        <w:t xml:space="preserve"> </w:t>
      </w:r>
    </w:p>
    <w:bookmarkEnd w:id="12"/>
    <w:p w:rsidR="001F3A04" w:rsidRPr="00D03279" w:rsidRDefault="001F3A04" w:rsidP="000D5835">
      <w:pPr>
        <w:bidi w:val="0"/>
        <w:snapToGrid w:val="0"/>
        <w:ind w:firstLine="425"/>
        <w:jc w:val="both"/>
        <w:rPr>
          <w:rFonts w:hint="eastAsia"/>
          <w:bCs/>
          <w:sz w:val="20"/>
          <w:szCs w:val="20"/>
          <w:lang w:eastAsia="zh-CN" w:bidi="ar-EG"/>
        </w:rPr>
      </w:pPr>
    </w:p>
    <w:p w:rsidR="00646AE6" w:rsidRPr="00D03279" w:rsidRDefault="00646AE6" w:rsidP="000D5835">
      <w:pPr>
        <w:pStyle w:val="Heading1"/>
        <w:keepNext w:val="0"/>
        <w:snapToGrid w:val="0"/>
        <w:spacing w:after="0"/>
        <w:jc w:val="both"/>
        <w:rPr>
          <w:rFonts w:ascii="Times New Roman" w:hAnsi="Times New Roman" w:cs="Times New Roman"/>
          <w:smallCaps w:val="0"/>
          <w:kern w:val="0"/>
          <w:sz w:val="20"/>
          <w:szCs w:val="20"/>
        </w:rPr>
      </w:pPr>
      <w:bookmarkStart w:id="13" w:name="_Toc523820020"/>
      <w:r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>References</w:t>
      </w:r>
      <w:bookmarkEnd w:id="13"/>
      <w:r w:rsidR="002C7754" w:rsidRPr="00D03279">
        <w:rPr>
          <w:rFonts w:ascii="Times New Roman" w:hAnsi="Times New Roman" w:cs="Times New Roman"/>
          <w:smallCaps w:val="0"/>
          <w:kern w:val="0"/>
          <w:sz w:val="20"/>
          <w:szCs w:val="20"/>
        </w:rPr>
        <w:t xml:space="preserve"> </w:t>
      </w:r>
    </w:p>
    <w:p w:rsidR="00AB73BE" w:rsidRPr="00D03279" w:rsidRDefault="00AB73B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Aronson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(1990):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Clinical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disorders: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interdisciplinary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approach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(third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edition).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Thieme</w:t>
      </w:r>
      <w:proofErr w:type="spellEnd"/>
      <w:r w:rsidRPr="00D03279">
        <w:rPr>
          <w:bCs/>
          <w:sz w:val="19"/>
          <w:szCs w:val="19"/>
          <w:lang w:bidi="ar-EG"/>
        </w:rPr>
        <w:t>-Stratton,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Inc.,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New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York.</w:t>
      </w:r>
      <w:r w:rsidR="002C7754" w:rsidRPr="00D03279">
        <w:rPr>
          <w:bCs/>
          <w:sz w:val="19"/>
          <w:szCs w:val="19"/>
          <w:lang w:bidi="ar-EG"/>
        </w:rPr>
        <w:t xml:space="preserve"> </w:t>
      </w:r>
    </w:p>
    <w:p w:rsidR="00AB73BE" w:rsidRPr="00D03279" w:rsidRDefault="00AB73B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Benjamin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(1998):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cord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polyps.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In: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Benjamin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ed.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Endolaryngeal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Surgery.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London,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UK: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Martin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Dunitz</w:t>
      </w:r>
      <w:proofErr w:type="spellEnd"/>
      <w:r w:rsidRPr="00D03279">
        <w:rPr>
          <w:bCs/>
          <w:sz w:val="19"/>
          <w:szCs w:val="19"/>
          <w:lang w:bidi="ar-EG"/>
        </w:rPr>
        <w:t>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237–240.</w:t>
      </w:r>
    </w:p>
    <w:p w:rsidR="00AB73BE" w:rsidRPr="00D03279" w:rsidRDefault="00AB73B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proofErr w:type="spellStart"/>
      <w:r w:rsidRPr="00D03279">
        <w:rPr>
          <w:bCs/>
          <w:sz w:val="19"/>
          <w:szCs w:val="19"/>
          <w:lang w:bidi="ar-EG"/>
        </w:rPr>
        <w:t>Benninger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Jacobson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BH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(1995):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nodules,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microwebs</w:t>
      </w:r>
      <w:proofErr w:type="spellEnd"/>
      <w:r w:rsidRPr="00D03279">
        <w:rPr>
          <w:bCs/>
          <w:sz w:val="19"/>
          <w:szCs w:val="19"/>
          <w:lang w:bidi="ar-EG"/>
        </w:rPr>
        <w:t>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surgery.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Journal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9: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326-331.</w:t>
      </w:r>
    </w:p>
    <w:p w:rsidR="000D5835" w:rsidRPr="00D03279" w:rsidRDefault="00AB73B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proofErr w:type="spellStart"/>
      <w:r w:rsidRPr="00D03279">
        <w:rPr>
          <w:bCs/>
          <w:sz w:val="19"/>
          <w:szCs w:val="19"/>
          <w:lang w:bidi="ar-EG"/>
        </w:rPr>
        <w:t>Béquignon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E,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Bach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Fugain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Guilleré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Blumen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Chabolle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Wagner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(2013).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Long-term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results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surgical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treatment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fold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nodules.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Laryngoscope;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123(8):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1926-193</w:t>
      </w:r>
      <w:r w:rsidR="000D5835" w:rsidRPr="00D03279">
        <w:rPr>
          <w:bCs/>
          <w:sz w:val="19"/>
          <w:szCs w:val="19"/>
          <w:lang w:bidi="ar-EG"/>
        </w:rPr>
        <w:t>0.</w:t>
      </w:r>
    </w:p>
    <w:p w:rsidR="00AB73BE" w:rsidRPr="00D03279" w:rsidRDefault="00AB73B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proofErr w:type="spellStart"/>
      <w:r w:rsidRPr="00D03279">
        <w:rPr>
          <w:bCs/>
          <w:sz w:val="19"/>
          <w:szCs w:val="19"/>
          <w:lang w:bidi="ar-EG"/>
        </w:rPr>
        <w:t>Bouchayer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Cornut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G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(1992):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Microsurgical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treatment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benign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fold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lesions: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Indications,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technique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results.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Folia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Phoniatrica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(Basel);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44: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155-184.</w:t>
      </w:r>
    </w:p>
    <w:p w:rsidR="00AB73BE" w:rsidRPr="00D03279" w:rsidRDefault="00AB73B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lastRenderedPageBreak/>
        <w:t>Cohen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SM,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Dupont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WD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Courey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(2006):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Quality-of-life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impact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nonneoplastic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disorders: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meta-analysis.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Otol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Rhinol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Laryngol</w:t>
      </w:r>
      <w:proofErr w:type="spellEnd"/>
      <w:r w:rsidRPr="00D03279">
        <w:rPr>
          <w:bCs/>
          <w:sz w:val="19"/>
          <w:szCs w:val="19"/>
          <w:lang w:bidi="ar-EG"/>
        </w:rPr>
        <w:t>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115: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128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–34.</w:t>
      </w:r>
    </w:p>
    <w:p w:rsidR="00AB73BE" w:rsidRPr="00D03279" w:rsidRDefault="00AB73B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Cohen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SM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Garrett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CG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(2007):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Utility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therapy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the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management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fold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polyps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cysts.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Otolaryngol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Head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Neck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Surg.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136(5):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742-746.</w:t>
      </w:r>
    </w:p>
    <w:p w:rsidR="004A266E" w:rsidRPr="00D03279" w:rsidRDefault="004A266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proofErr w:type="spellStart"/>
      <w:r w:rsidRPr="00D03279">
        <w:rPr>
          <w:bCs/>
          <w:sz w:val="19"/>
          <w:szCs w:val="19"/>
          <w:lang w:bidi="ar-EG"/>
        </w:rPr>
        <w:t>Cecatto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SB,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Costa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KS,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Garcia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RID,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Haddad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Júnior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FVA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Rapoport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PB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(2002).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Pólipos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de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pregasvocais</w:t>
      </w:r>
      <w:proofErr w:type="spellEnd"/>
      <w:r w:rsidRPr="00D03279">
        <w:rPr>
          <w:bCs/>
          <w:sz w:val="19"/>
          <w:szCs w:val="19"/>
          <w:lang w:bidi="ar-EG"/>
        </w:rPr>
        <w:t>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aspectosclínicos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cirúrgicos</w:t>
      </w:r>
      <w:proofErr w:type="spellEnd"/>
      <w:r w:rsidRPr="00D03279">
        <w:rPr>
          <w:bCs/>
          <w:sz w:val="19"/>
          <w:szCs w:val="19"/>
          <w:lang w:bidi="ar-EG"/>
        </w:rPr>
        <w:t>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Rev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Bras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Otorrinolaringol</w:t>
      </w:r>
      <w:proofErr w:type="spellEnd"/>
      <w:r w:rsidRPr="00D03279">
        <w:rPr>
          <w:bCs/>
          <w:sz w:val="19"/>
          <w:szCs w:val="19"/>
          <w:lang w:bidi="ar-EG"/>
        </w:rPr>
        <w:t>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68(4):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534-8.</w:t>
      </w:r>
    </w:p>
    <w:p w:rsidR="00CF1C40" w:rsidRPr="00D03279" w:rsidRDefault="00CF1C40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Johns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MM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(2003)</w:t>
      </w:r>
      <w:r w:rsidRPr="00D03279">
        <w:rPr>
          <w:sz w:val="19"/>
          <w:szCs w:val="19"/>
          <w:lang w:bidi="ar-EG"/>
        </w:rPr>
        <w:t>: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Update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on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the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etiology,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diagnosis,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and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treatment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of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vocal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fold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nodules,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polyps,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and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cysts.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Current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Opinion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in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Otolaryngology</w:t>
      </w:r>
      <w:r w:rsidR="002C7754" w:rsidRPr="00D03279">
        <w:rPr>
          <w:sz w:val="19"/>
          <w:szCs w:val="19"/>
          <w:lang w:bidi="ar-EG"/>
        </w:rPr>
        <w:t xml:space="preserve"> &amp; </w:t>
      </w:r>
      <w:r w:rsidRPr="00D03279">
        <w:rPr>
          <w:sz w:val="19"/>
          <w:szCs w:val="19"/>
          <w:lang w:bidi="ar-EG"/>
        </w:rPr>
        <w:t>Head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and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Neck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Surgery;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11(6):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456-61.</w:t>
      </w:r>
    </w:p>
    <w:p w:rsidR="006D00A9" w:rsidRPr="00D03279" w:rsidRDefault="006D00A9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r w:rsidRPr="00D03279">
        <w:rPr>
          <w:bCs/>
          <w:sz w:val="19"/>
          <w:szCs w:val="19"/>
        </w:rPr>
        <w:t>Jensen</w:t>
      </w:r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bCs/>
          <w:sz w:val="19"/>
          <w:szCs w:val="19"/>
        </w:rPr>
        <w:t>JB</w:t>
      </w:r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bCs/>
          <w:sz w:val="19"/>
          <w:szCs w:val="19"/>
        </w:rPr>
        <w:t>and</w:t>
      </w:r>
      <w:r w:rsidR="002C7754" w:rsidRPr="00D03279">
        <w:rPr>
          <w:bCs/>
          <w:sz w:val="19"/>
          <w:szCs w:val="19"/>
        </w:rPr>
        <w:t xml:space="preserve"> </w:t>
      </w:r>
      <w:proofErr w:type="spellStart"/>
      <w:r w:rsidRPr="00D03279">
        <w:rPr>
          <w:bCs/>
          <w:sz w:val="19"/>
          <w:szCs w:val="19"/>
        </w:rPr>
        <w:t>Rasmussan</w:t>
      </w:r>
      <w:proofErr w:type="spellEnd"/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bCs/>
          <w:sz w:val="19"/>
          <w:szCs w:val="19"/>
        </w:rPr>
        <w:t>N</w:t>
      </w:r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bCs/>
          <w:sz w:val="19"/>
          <w:szCs w:val="19"/>
        </w:rPr>
        <w:t>(2013):</w:t>
      </w:r>
      <w:r w:rsidR="002C7754" w:rsidRPr="00D03279">
        <w:rPr>
          <w:bCs/>
          <w:sz w:val="19"/>
          <w:szCs w:val="19"/>
        </w:rPr>
        <w:t xml:space="preserve"> </w:t>
      </w:r>
      <w:proofErr w:type="spellStart"/>
      <w:r w:rsidRPr="00D03279">
        <w:rPr>
          <w:sz w:val="19"/>
          <w:szCs w:val="19"/>
        </w:rPr>
        <w:t>Phonosurgery</w:t>
      </w:r>
      <w:proofErr w:type="spellEnd"/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of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vocal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fold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polyps,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cysts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and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nodules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is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beneficial;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Dan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Med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J;60(2)</w:t>
      </w:r>
      <w:r w:rsidR="000D5835" w:rsidRPr="00D03279">
        <w:rPr>
          <w:sz w:val="19"/>
          <w:szCs w:val="19"/>
        </w:rPr>
        <w:t>: A</w:t>
      </w:r>
      <w:r w:rsidRPr="00D03279">
        <w:rPr>
          <w:sz w:val="19"/>
          <w:szCs w:val="19"/>
        </w:rPr>
        <w:t>4577.</w:t>
      </w:r>
    </w:p>
    <w:p w:rsidR="006D00A9" w:rsidRPr="00D03279" w:rsidRDefault="006D00A9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Klein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AM,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Lehmann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Hapner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ER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Johns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MM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(2009):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Spontaneous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resolution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hemorrhagic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polyps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the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true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fold.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23(1):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132-5.</w:t>
      </w:r>
    </w:p>
    <w:p w:rsidR="001F3A04" w:rsidRPr="00D03279" w:rsidRDefault="008702CD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proofErr w:type="spellStart"/>
      <w:r w:rsidRPr="00D03279">
        <w:rPr>
          <w:bCs/>
          <w:sz w:val="19"/>
          <w:szCs w:val="19"/>
        </w:rPr>
        <w:t>Kotby</w:t>
      </w:r>
      <w:proofErr w:type="spellEnd"/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bCs/>
          <w:sz w:val="19"/>
          <w:szCs w:val="19"/>
        </w:rPr>
        <w:t>MN</w:t>
      </w:r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bCs/>
          <w:sz w:val="19"/>
          <w:szCs w:val="19"/>
        </w:rPr>
        <w:t>(1986):</w:t>
      </w:r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sz w:val="19"/>
          <w:szCs w:val="19"/>
        </w:rPr>
        <w:t>Voice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disorders: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Recent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diagnostic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advances.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Egyptian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Journal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of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Otolaryngology;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3(1):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89.</w:t>
      </w:r>
    </w:p>
    <w:p w:rsidR="008702CD" w:rsidRPr="00D03279" w:rsidRDefault="008702CD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proofErr w:type="spellStart"/>
      <w:r w:rsidRPr="00D03279">
        <w:rPr>
          <w:bCs/>
          <w:sz w:val="19"/>
          <w:szCs w:val="19"/>
        </w:rPr>
        <w:t>Kotby</w:t>
      </w:r>
      <w:proofErr w:type="spellEnd"/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bCs/>
          <w:sz w:val="19"/>
          <w:szCs w:val="19"/>
        </w:rPr>
        <w:t>MN</w:t>
      </w:r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bCs/>
          <w:sz w:val="19"/>
          <w:szCs w:val="19"/>
        </w:rPr>
        <w:t>(1995):</w:t>
      </w:r>
      <w:r w:rsidR="002C7754" w:rsidRPr="00D03279">
        <w:rPr>
          <w:bCs/>
          <w:sz w:val="19"/>
          <w:szCs w:val="19"/>
        </w:rPr>
        <w:t xml:space="preserve"> </w:t>
      </w:r>
      <w:r w:rsidRPr="00D03279">
        <w:rPr>
          <w:sz w:val="19"/>
          <w:szCs w:val="19"/>
        </w:rPr>
        <w:t>The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accent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method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of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voice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therapy.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Singular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Publishing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Group,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Inc.,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San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Diego,</w:t>
      </w:r>
      <w:r w:rsidR="002C7754" w:rsidRPr="00D03279">
        <w:rPr>
          <w:sz w:val="19"/>
          <w:szCs w:val="19"/>
        </w:rPr>
        <w:t xml:space="preserve"> </w:t>
      </w:r>
      <w:r w:rsidRPr="00D03279">
        <w:rPr>
          <w:sz w:val="19"/>
          <w:szCs w:val="19"/>
        </w:rPr>
        <w:t>California.</w:t>
      </w:r>
    </w:p>
    <w:p w:rsidR="008702CD" w:rsidRPr="00D03279" w:rsidRDefault="008702CD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Nakagawa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H,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Miyamoto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Kusuyama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Mori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Y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Fukuda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H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(2012):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Resolution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of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vocal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fold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polyps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with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conservative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treatment.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Journal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of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Voice;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26(3):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e107-10.</w:t>
      </w:r>
    </w:p>
    <w:p w:rsidR="000D5835" w:rsidRPr="00D03279" w:rsidRDefault="008702CD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Patel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RR,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Bless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DM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Thibeault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(2011):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Boot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Camp: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Novel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Intensive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Approach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to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Therapy.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Journal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25(5):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562–56</w:t>
      </w:r>
      <w:r w:rsidR="000D5835" w:rsidRPr="00D03279">
        <w:rPr>
          <w:bCs/>
          <w:sz w:val="19"/>
          <w:szCs w:val="19"/>
          <w:lang w:bidi="ar-EG"/>
        </w:rPr>
        <w:t>9.</w:t>
      </w:r>
    </w:p>
    <w:p w:rsidR="008702CD" w:rsidRPr="00D03279" w:rsidRDefault="008702CD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proofErr w:type="spellStart"/>
      <w:r w:rsidRPr="00D03279">
        <w:rPr>
          <w:bCs/>
          <w:sz w:val="19"/>
          <w:szCs w:val="19"/>
          <w:lang w:bidi="ar-EG"/>
        </w:rPr>
        <w:t>Petrovia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LM1,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Babac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Vukovia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Kosanovia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R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Ivankovia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Z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(2011):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Acoustic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analysis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patients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with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fold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polyp.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25: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94-97.</w:t>
      </w:r>
    </w:p>
    <w:p w:rsidR="008702CD" w:rsidRPr="00D03279" w:rsidRDefault="008702CD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Pedersen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McGlashan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(2012):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Surgical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versus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non-surgical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interventions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for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cord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nodules</w:t>
      </w:r>
      <w:r w:rsidR="000D5835" w:rsidRPr="00D03279">
        <w:rPr>
          <w:bCs/>
          <w:sz w:val="19"/>
          <w:szCs w:val="19"/>
          <w:lang w:bidi="ar-EG"/>
        </w:rPr>
        <w:t>. C</w:t>
      </w:r>
      <w:r w:rsidRPr="00D03279">
        <w:rPr>
          <w:bCs/>
          <w:sz w:val="19"/>
          <w:szCs w:val="19"/>
          <w:lang w:bidi="ar-EG"/>
        </w:rPr>
        <w:t>ochrane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Database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Syst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Rev.;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(6):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CD001934.</w:t>
      </w:r>
      <w:r w:rsidR="002C7754" w:rsidRPr="00D03279">
        <w:rPr>
          <w:bCs/>
          <w:sz w:val="19"/>
          <w:szCs w:val="19"/>
          <w:lang w:bidi="ar-EG"/>
        </w:rPr>
        <w:t xml:space="preserve"> </w:t>
      </w:r>
    </w:p>
    <w:p w:rsidR="00531CFE" w:rsidRPr="00D03279" w:rsidRDefault="00531CF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proofErr w:type="spellStart"/>
      <w:r w:rsidRPr="00D03279">
        <w:rPr>
          <w:bCs/>
          <w:sz w:val="19"/>
          <w:szCs w:val="19"/>
          <w:lang w:bidi="ar-EG"/>
        </w:rPr>
        <w:t>Rodríguez</w:t>
      </w:r>
      <w:proofErr w:type="spellEnd"/>
      <w:r w:rsidRPr="00D03279">
        <w:rPr>
          <w:bCs/>
          <w:sz w:val="19"/>
          <w:szCs w:val="19"/>
          <w:lang w:bidi="ar-EG"/>
        </w:rPr>
        <w:t>-Parra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MJ,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Adrián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JÁ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Casado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JC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(2011):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Comparing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voice-therapy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vocal-hygiene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treatments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dysphonia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using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limited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multidimentional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evaluation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protocol.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J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Commun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Disord</w:t>
      </w:r>
      <w:proofErr w:type="spellEnd"/>
      <w:r w:rsidRPr="00D03279">
        <w:rPr>
          <w:bCs/>
          <w:sz w:val="19"/>
          <w:szCs w:val="19"/>
          <w:lang w:bidi="ar-EG"/>
        </w:rPr>
        <w:t>.;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44: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615-30.</w:t>
      </w:r>
    </w:p>
    <w:p w:rsidR="00531CFE" w:rsidRPr="00D03279" w:rsidRDefault="00531CFE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Roy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N,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Merrill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RM,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Gray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Smith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EM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(2005):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Voice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disorders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in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the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general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population: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prevalence,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risk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factors,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and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occupational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impact.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The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Laryngoscope;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115(11):</w:t>
      </w:r>
      <w:r w:rsidR="002C7754" w:rsidRPr="00D03279">
        <w:rPr>
          <w:sz w:val="19"/>
          <w:szCs w:val="19"/>
          <w:lang w:bidi="ar-EG"/>
        </w:rPr>
        <w:t xml:space="preserve"> </w:t>
      </w:r>
      <w:r w:rsidRPr="00D03279">
        <w:rPr>
          <w:sz w:val="19"/>
          <w:szCs w:val="19"/>
          <w:lang w:bidi="ar-EG"/>
        </w:rPr>
        <w:t>1988-95.</w:t>
      </w:r>
    </w:p>
    <w:p w:rsidR="00AC2429" w:rsidRPr="00D03279" w:rsidRDefault="00AC2429" w:rsidP="000D5835">
      <w:pPr>
        <w:pStyle w:val="ListParagraph"/>
        <w:numPr>
          <w:ilvl w:val="0"/>
          <w:numId w:val="59"/>
        </w:numPr>
        <w:bidi w:val="0"/>
        <w:snapToGrid w:val="0"/>
        <w:ind w:left="425" w:hanging="425"/>
        <w:jc w:val="both"/>
        <w:rPr>
          <w:bCs/>
          <w:sz w:val="19"/>
          <w:szCs w:val="19"/>
          <w:lang w:bidi="ar-EG"/>
        </w:rPr>
      </w:pPr>
      <w:r w:rsidRPr="00D03279">
        <w:rPr>
          <w:bCs/>
          <w:sz w:val="19"/>
          <w:szCs w:val="19"/>
          <w:lang w:bidi="ar-EG"/>
        </w:rPr>
        <w:t>Schindler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Mozzanica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Maruzzi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P,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Atac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M,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De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Cristofaro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and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Ottaviani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(2013):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Multidimentional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assessment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of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changes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benign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vocal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fold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lesions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after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voice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therapy.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Acta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proofErr w:type="spellStart"/>
      <w:r w:rsidRPr="00D03279">
        <w:rPr>
          <w:bCs/>
          <w:sz w:val="19"/>
          <w:szCs w:val="19"/>
          <w:lang w:bidi="ar-EG"/>
        </w:rPr>
        <w:t>Otorhinolaryngol</w:t>
      </w:r>
      <w:proofErr w:type="spellEnd"/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Ital.;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40:</w:t>
      </w:r>
      <w:r w:rsidR="002C7754" w:rsidRPr="00D03279">
        <w:rPr>
          <w:bCs/>
          <w:sz w:val="19"/>
          <w:szCs w:val="19"/>
          <w:lang w:bidi="ar-EG"/>
        </w:rPr>
        <w:t xml:space="preserve"> </w:t>
      </w:r>
      <w:r w:rsidRPr="00D03279">
        <w:rPr>
          <w:bCs/>
          <w:sz w:val="19"/>
          <w:szCs w:val="19"/>
          <w:lang w:bidi="ar-EG"/>
        </w:rPr>
        <w:t>291-7.</w:t>
      </w:r>
    </w:p>
    <w:p w:rsidR="000D5835" w:rsidRPr="00D03279" w:rsidRDefault="000D5835" w:rsidP="000D5835">
      <w:pPr>
        <w:bidi w:val="0"/>
        <w:snapToGrid w:val="0"/>
        <w:ind w:left="425" w:hanging="425"/>
        <w:jc w:val="both"/>
        <w:rPr>
          <w:sz w:val="20"/>
          <w:szCs w:val="20"/>
          <w:lang w:bidi="ar-EG"/>
        </w:rPr>
        <w:sectPr w:rsidR="000D5835" w:rsidRPr="00D03279" w:rsidSect="000D5835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8702CD" w:rsidRPr="00D03279" w:rsidRDefault="002C7754" w:rsidP="000D5835">
      <w:pPr>
        <w:bidi w:val="0"/>
        <w:snapToGrid w:val="0"/>
        <w:jc w:val="both"/>
        <w:rPr>
          <w:bCs/>
          <w:sz w:val="20"/>
          <w:szCs w:val="20"/>
          <w:lang w:bidi="ar-EG"/>
        </w:rPr>
      </w:pPr>
      <w:r w:rsidRPr="00D03279">
        <w:rPr>
          <w:bCs/>
          <w:sz w:val="20"/>
          <w:szCs w:val="20"/>
          <w:lang w:bidi="ar-EG"/>
        </w:rPr>
        <w:lastRenderedPageBreak/>
        <w:t>12/30/2018</w:t>
      </w:r>
    </w:p>
    <w:sectPr w:rsidR="008702CD" w:rsidRPr="00D03279" w:rsidSect="002C7754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10D" w:rsidRDefault="006D110D">
      <w:r>
        <w:separator/>
      </w:r>
    </w:p>
  </w:endnote>
  <w:endnote w:type="continuationSeparator" w:id="0">
    <w:p w:rsidR="006D110D" w:rsidRDefault="006D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DIN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xusSerif-Regular">
    <w:altName w:val="NexusSerif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Std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Garamond Std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A8" w:rsidRDefault="00D845C1" w:rsidP="00F94E4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378A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378A8" w:rsidRDefault="00D378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A8" w:rsidRPr="0082095B" w:rsidRDefault="00D845C1" w:rsidP="0082095B">
    <w:pPr>
      <w:bidi w:val="0"/>
      <w:jc w:val="center"/>
      <w:rPr>
        <w:sz w:val="20"/>
      </w:rPr>
    </w:pPr>
    <w:r w:rsidRPr="0082095B">
      <w:rPr>
        <w:sz w:val="20"/>
      </w:rPr>
      <w:fldChar w:fldCharType="begin"/>
    </w:r>
    <w:r w:rsidR="0082095B" w:rsidRPr="0082095B">
      <w:rPr>
        <w:sz w:val="20"/>
      </w:rPr>
      <w:instrText xml:space="preserve"> page </w:instrText>
    </w:r>
    <w:r w:rsidRPr="0082095B">
      <w:rPr>
        <w:sz w:val="20"/>
      </w:rPr>
      <w:fldChar w:fldCharType="separate"/>
    </w:r>
    <w:r w:rsidR="00D03279">
      <w:rPr>
        <w:noProof/>
        <w:sz w:val="20"/>
      </w:rPr>
      <w:t>10</w:t>
    </w:r>
    <w:r w:rsidRPr="0082095B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10D" w:rsidRDefault="006D110D">
      <w:r>
        <w:separator/>
      </w:r>
    </w:p>
  </w:footnote>
  <w:footnote w:type="continuationSeparator" w:id="0">
    <w:p w:rsidR="006D110D" w:rsidRDefault="006D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5B" w:rsidRPr="0082095B" w:rsidRDefault="0082095B" w:rsidP="0082095B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82095B">
      <w:rPr>
        <w:rFonts w:hint="eastAsia"/>
        <w:iCs/>
        <w:color w:val="000000"/>
        <w:sz w:val="20"/>
        <w:szCs w:val="20"/>
      </w:rPr>
      <w:tab/>
    </w:r>
    <w:r w:rsidRPr="0082095B">
      <w:rPr>
        <w:iCs/>
        <w:color w:val="000000"/>
        <w:sz w:val="20"/>
        <w:szCs w:val="20"/>
      </w:rPr>
      <w:t xml:space="preserve">Researcher </w:t>
    </w:r>
    <w:r w:rsidRPr="0082095B">
      <w:rPr>
        <w:iCs/>
        <w:sz w:val="20"/>
        <w:szCs w:val="20"/>
      </w:rPr>
      <w:t>201</w:t>
    </w:r>
    <w:r w:rsidRPr="0082095B">
      <w:rPr>
        <w:rFonts w:hint="eastAsia"/>
        <w:iCs/>
        <w:sz w:val="20"/>
        <w:szCs w:val="20"/>
      </w:rPr>
      <w:t>9</w:t>
    </w:r>
    <w:r w:rsidRPr="0082095B">
      <w:rPr>
        <w:iCs/>
        <w:sz w:val="20"/>
        <w:szCs w:val="20"/>
      </w:rPr>
      <w:t>;</w:t>
    </w:r>
    <w:r w:rsidRPr="0082095B">
      <w:rPr>
        <w:rFonts w:hint="eastAsia"/>
        <w:iCs/>
        <w:sz w:val="20"/>
        <w:szCs w:val="20"/>
      </w:rPr>
      <w:t>11</w:t>
    </w:r>
    <w:r w:rsidRPr="0082095B">
      <w:rPr>
        <w:iCs/>
        <w:sz w:val="20"/>
        <w:szCs w:val="20"/>
      </w:rPr>
      <w:t>(</w:t>
    </w:r>
    <w:r w:rsidRPr="0082095B">
      <w:rPr>
        <w:rFonts w:hint="eastAsia"/>
        <w:iCs/>
        <w:sz w:val="20"/>
        <w:szCs w:val="20"/>
      </w:rPr>
      <w:t>1</w:t>
    </w:r>
    <w:r w:rsidRPr="0082095B">
      <w:rPr>
        <w:iCs/>
        <w:sz w:val="20"/>
        <w:szCs w:val="20"/>
      </w:rPr>
      <w:t xml:space="preserve">)  </w:t>
    </w:r>
    <w:r w:rsidRPr="0082095B">
      <w:rPr>
        <w:rFonts w:hint="eastAsia"/>
        <w:iCs/>
        <w:sz w:val="20"/>
        <w:szCs w:val="20"/>
      </w:rPr>
      <w:t xml:space="preserve"> </w:t>
    </w:r>
    <w:r w:rsidRPr="0082095B">
      <w:rPr>
        <w:iCs/>
        <w:sz w:val="20"/>
        <w:szCs w:val="20"/>
      </w:rPr>
      <w:t xml:space="preserve"> </w:t>
    </w:r>
    <w:r w:rsidRPr="0082095B">
      <w:rPr>
        <w:rFonts w:hint="eastAsia"/>
        <w:iCs/>
        <w:sz w:val="20"/>
        <w:szCs w:val="20"/>
      </w:rPr>
      <w:tab/>
    </w:r>
    <w:r w:rsidRPr="0082095B">
      <w:rPr>
        <w:iCs/>
        <w:sz w:val="20"/>
        <w:szCs w:val="20"/>
      </w:rPr>
      <w:t xml:space="preserve">    </w:t>
    </w:r>
    <w:r w:rsidRPr="0082095B">
      <w:rPr>
        <w:sz w:val="20"/>
        <w:szCs w:val="20"/>
      </w:rPr>
      <w:t xml:space="preserve"> </w:t>
    </w:r>
    <w:hyperlink r:id="rId1" w:history="1">
      <w:r w:rsidRPr="0082095B">
        <w:rPr>
          <w:rStyle w:val="Hyperlink"/>
          <w:sz w:val="20"/>
          <w:szCs w:val="20"/>
        </w:rPr>
        <w:t>http://www.sciencepub.net/researcher</w:t>
      </w:r>
    </w:hyperlink>
  </w:p>
  <w:p w:rsidR="0082095B" w:rsidRPr="0082095B" w:rsidRDefault="0082095B" w:rsidP="0082095B">
    <w:pPr>
      <w:tabs>
        <w:tab w:val="left" w:pos="851"/>
        <w:tab w:val="right" w:pos="8364"/>
      </w:tabs>
      <w:bidi w:val="0"/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8E0"/>
    <w:multiLevelType w:val="hybridMultilevel"/>
    <w:tmpl w:val="89F06120"/>
    <w:lvl w:ilvl="0" w:tplc="43824B4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884BBB"/>
    <w:multiLevelType w:val="hybridMultilevel"/>
    <w:tmpl w:val="30DAA11C"/>
    <w:lvl w:ilvl="0" w:tplc="1E6EAAD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FCA8A6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3C1"/>
    <w:multiLevelType w:val="hybridMultilevel"/>
    <w:tmpl w:val="4EF0C67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A674FB"/>
    <w:multiLevelType w:val="hybridMultilevel"/>
    <w:tmpl w:val="00481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56C58"/>
    <w:multiLevelType w:val="hybridMultilevel"/>
    <w:tmpl w:val="96DACE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8F1ADB"/>
    <w:multiLevelType w:val="hybridMultilevel"/>
    <w:tmpl w:val="F9388EE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1C4EC7"/>
    <w:multiLevelType w:val="hybridMultilevel"/>
    <w:tmpl w:val="737020D8"/>
    <w:lvl w:ilvl="0" w:tplc="4CCC7C1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C4284"/>
    <w:multiLevelType w:val="hybridMultilevel"/>
    <w:tmpl w:val="1C36C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9E345BB"/>
    <w:multiLevelType w:val="hybridMultilevel"/>
    <w:tmpl w:val="D400C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06FD3"/>
    <w:multiLevelType w:val="hybridMultilevel"/>
    <w:tmpl w:val="0F384870"/>
    <w:lvl w:ilvl="0" w:tplc="60A280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4D761C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2" w:tplc="6C8EFC10">
      <w:start w:val="1"/>
      <w:numFmt w:val="decimal"/>
      <w:lvlText w:val="%3-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F05389"/>
    <w:multiLevelType w:val="hybridMultilevel"/>
    <w:tmpl w:val="899484EE"/>
    <w:lvl w:ilvl="0" w:tplc="2BACCD6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0"/>
        <w:szCs w:val="3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E3A19"/>
    <w:multiLevelType w:val="hybridMultilevel"/>
    <w:tmpl w:val="34F625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D2120C"/>
    <w:multiLevelType w:val="hybridMultilevel"/>
    <w:tmpl w:val="F7C83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A0E1C6B"/>
    <w:multiLevelType w:val="hybridMultilevel"/>
    <w:tmpl w:val="D02A8FAE"/>
    <w:lvl w:ilvl="0" w:tplc="60A2809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43031E"/>
    <w:multiLevelType w:val="hybridMultilevel"/>
    <w:tmpl w:val="82927D96"/>
    <w:lvl w:ilvl="0" w:tplc="1E6EAAD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63087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3D67B1"/>
    <w:multiLevelType w:val="hybridMultilevel"/>
    <w:tmpl w:val="AEA0B6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AE2A206">
      <w:start w:val="1"/>
      <w:numFmt w:val="decimal"/>
      <w:lvlText w:val="%2-"/>
      <w:lvlJc w:val="left"/>
      <w:pPr>
        <w:tabs>
          <w:tab w:val="num" w:pos="2940"/>
        </w:tabs>
        <w:ind w:left="294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F7B4B5B"/>
    <w:multiLevelType w:val="hybridMultilevel"/>
    <w:tmpl w:val="331C1B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0432D85"/>
    <w:multiLevelType w:val="hybridMultilevel"/>
    <w:tmpl w:val="0C6CD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1FD0153"/>
    <w:multiLevelType w:val="hybridMultilevel"/>
    <w:tmpl w:val="1B4811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3AF7009"/>
    <w:multiLevelType w:val="hybridMultilevel"/>
    <w:tmpl w:val="6AC8DE16"/>
    <w:lvl w:ilvl="0" w:tplc="85B0464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56644FB"/>
    <w:multiLevelType w:val="hybridMultilevel"/>
    <w:tmpl w:val="1DCA2BE4"/>
    <w:lvl w:ilvl="0" w:tplc="09346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3E0EEBC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C3A22"/>
    <w:multiLevelType w:val="hybridMultilevel"/>
    <w:tmpl w:val="B9348CE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D010372"/>
    <w:multiLevelType w:val="hybridMultilevel"/>
    <w:tmpl w:val="BD54E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1F0F1E"/>
    <w:multiLevelType w:val="hybridMultilevel"/>
    <w:tmpl w:val="37309DB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44D97177"/>
    <w:multiLevelType w:val="hybridMultilevel"/>
    <w:tmpl w:val="18E0BF4C"/>
    <w:lvl w:ilvl="0" w:tplc="38DA8E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50051A2"/>
    <w:multiLevelType w:val="hybridMultilevel"/>
    <w:tmpl w:val="DC2C2F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568DD"/>
    <w:multiLevelType w:val="hybridMultilevel"/>
    <w:tmpl w:val="8CB463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654E3"/>
    <w:multiLevelType w:val="hybridMultilevel"/>
    <w:tmpl w:val="AE96469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241949"/>
    <w:multiLevelType w:val="hybridMultilevel"/>
    <w:tmpl w:val="7422C29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7512479"/>
    <w:multiLevelType w:val="hybridMultilevel"/>
    <w:tmpl w:val="BF6AF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8865BB"/>
    <w:multiLevelType w:val="hybridMultilevel"/>
    <w:tmpl w:val="023E3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397050"/>
    <w:multiLevelType w:val="hybridMultilevel"/>
    <w:tmpl w:val="1FA8C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48F65514"/>
    <w:multiLevelType w:val="hybridMultilevel"/>
    <w:tmpl w:val="AE846E62"/>
    <w:lvl w:ilvl="0" w:tplc="BE9610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85B2E"/>
    <w:multiLevelType w:val="hybridMultilevel"/>
    <w:tmpl w:val="82CAE1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1BC5AEA"/>
    <w:multiLevelType w:val="hybridMultilevel"/>
    <w:tmpl w:val="575483C8"/>
    <w:lvl w:ilvl="0" w:tplc="FE7C9B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CA6651"/>
    <w:multiLevelType w:val="hybridMultilevel"/>
    <w:tmpl w:val="7020D834"/>
    <w:lvl w:ilvl="0" w:tplc="1406865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85B62DA"/>
    <w:multiLevelType w:val="hybridMultilevel"/>
    <w:tmpl w:val="B4BE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8870672"/>
    <w:multiLevelType w:val="hybridMultilevel"/>
    <w:tmpl w:val="D9D200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5B1E5E9E"/>
    <w:multiLevelType w:val="hybridMultilevel"/>
    <w:tmpl w:val="50CE5D6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BB910B2"/>
    <w:multiLevelType w:val="hybridMultilevel"/>
    <w:tmpl w:val="777AE6A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D7354D2"/>
    <w:multiLevelType w:val="hybridMultilevel"/>
    <w:tmpl w:val="A21C88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0EA3096"/>
    <w:multiLevelType w:val="hybridMultilevel"/>
    <w:tmpl w:val="5AC0071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5CE6FBA"/>
    <w:multiLevelType w:val="hybridMultilevel"/>
    <w:tmpl w:val="6D2CC820"/>
    <w:lvl w:ilvl="0" w:tplc="75A85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5CC4B8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E7FC44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0F0AE1"/>
    <w:multiLevelType w:val="hybridMultilevel"/>
    <w:tmpl w:val="23E469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68084127"/>
    <w:multiLevelType w:val="hybridMultilevel"/>
    <w:tmpl w:val="C068FC42"/>
    <w:lvl w:ilvl="0" w:tplc="07022514">
      <w:start w:val="1"/>
      <w:numFmt w:val="decimal"/>
      <w:lvlText w:val="%1-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69D8591B"/>
    <w:multiLevelType w:val="hybridMultilevel"/>
    <w:tmpl w:val="7910DFA2"/>
    <w:lvl w:ilvl="0" w:tplc="CE4A63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EA7418"/>
    <w:multiLevelType w:val="hybridMultilevel"/>
    <w:tmpl w:val="D25C9F76"/>
    <w:lvl w:ilvl="0" w:tplc="BFE098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BEA42EA"/>
    <w:multiLevelType w:val="hybridMultilevel"/>
    <w:tmpl w:val="856275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6D151D66"/>
    <w:multiLevelType w:val="hybridMultilevel"/>
    <w:tmpl w:val="EA4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F9016E4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127DD5"/>
    <w:multiLevelType w:val="hybridMultilevel"/>
    <w:tmpl w:val="3AB6E1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BF5747"/>
    <w:multiLevelType w:val="hybridMultilevel"/>
    <w:tmpl w:val="35C8A3F4"/>
    <w:lvl w:ilvl="0" w:tplc="1E6EAAD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E688DFC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0FF480B"/>
    <w:multiLevelType w:val="hybridMultilevel"/>
    <w:tmpl w:val="DC04253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72D63ED8"/>
    <w:multiLevelType w:val="hybridMultilevel"/>
    <w:tmpl w:val="6A12A0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790E57D9"/>
    <w:multiLevelType w:val="hybridMultilevel"/>
    <w:tmpl w:val="E824703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4">
    <w:nsid w:val="7B2B6C3D"/>
    <w:multiLevelType w:val="hybridMultilevel"/>
    <w:tmpl w:val="514AF4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>
    <w:nsid w:val="7B5F3E33"/>
    <w:multiLevelType w:val="hybridMultilevel"/>
    <w:tmpl w:val="F6BC30F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6">
    <w:nsid w:val="7C995080"/>
    <w:multiLevelType w:val="hybridMultilevel"/>
    <w:tmpl w:val="F7F63872"/>
    <w:lvl w:ilvl="0" w:tplc="85CC4B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CF52FF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E821045"/>
    <w:multiLevelType w:val="hybridMultilevel"/>
    <w:tmpl w:val="AEF0CF0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8">
    <w:nsid w:val="7E845BBE"/>
    <w:multiLevelType w:val="hybridMultilevel"/>
    <w:tmpl w:val="BD7E1ED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6"/>
  </w:num>
  <w:num w:numId="4">
    <w:abstractNumId w:val="9"/>
  </w:num>
  <w:num w:numId="5">
    <w:abstractNumId w:val="42"/>
  </w:num>
  <w:num w:numId="6">
    <w:abstractNumId w:val="48"/>
  </w:num>
  <w:num w:numId="7">
    <w:abstractNumId w:val="34"/>
  </w:num>
  <w:num w:numId="8">
    <w:abstractNumId w:val="29"/>
  </w:num>
  <w:num w:numId="9">
    <w:abstractNumId w:val="20"/>
  </w:num>
  <w:num w:numId="10">
    <w:abstractNumId w:val="45"/>
  </w:num>
  <w:num w:numId="11">
    <w:abstractNumId w:val="50"/>
  </w:num>
  <w:num w:numId="12">
    <w:abstractNumId w:val="14"/>
  </w:num>
  <w:num w:numId="13">
    <w:abstractNumId w:val="1"/>
  </w:num>
  <w:num w:numId="14">
    <w:abstractNumId w:val="2"/>
  </w:num>
  <w:num w:numId="15">
    <w:abstractNumId w:val="28"/>
  </w:num>
  <w:num w:numId="16">
    <w:abstractNumId w:val="5"/>
  </w:num>
  <w:num w:numId="17">
    <w:abstractNumId w:val="41"/>
  </w:num>
  <w:num w:numId="18">
    <w:abstractNumId w:val="27"/>
  </w:num>
  <w:num w:numId="19">
    <w:abstractNumId w:val="51"/>
  </w:num>
  <w:num w:numId="20">
    <w:abstractNumId w:val="53"/>
  </w:num>
  <w:num w:numId="21">
    <w:abstractNumId w:val="57"/>
  </w:num>
  <w:num w:numId="22">
    <w:abstractNumId w:val="55"/>
  </w:num>
  <w:num w:numId="23">
    <w:abstractNumId w:val="39"/>
  </w:num>
  <w:num w:numId="24">
    <w:abstractNumId w:val="31"/>
  </w:num>
  <w:num w:numId="25">
    <w:abstractNumId w:val="23"/>
  </w:num>
  <w:num w:numId="26">
    <w:abstractNumId w:val="15"/>
  </w:num>
  <w:num w:numId="27">
    <w:abstractNumId w:val="43"/>
  </w:num>
  <w:num w:numId="28">
    <w:abstractNumId w:val="7"/>
  </w:num>
  <w:num w:numId="29">
    <w:abstractNumId w:val="24"/>
  </w:num>
  <w:num w:numId="30">
    <w:abstractNumId w:val="52"/>
  </w:num>
  <w:num w:numId="31">
    <w:abstractNumId w:val="8"/>
  </w:num>
  <w:num w:numId="32">
    <w:abstractNumId w:val="16"/>
  </w:num>
  <w:num w:numId="33">
    <w:abstractNumId w:val="11"/>
  </w:num>
  <w:num w:numId="34">
    <w:abstractNumId w:val="33"/>
  </w:num>
  <w:num w:numId="35">
    <w:abstractNumId w:val="38"/>
  </w:num>
  <w:num w:numId="36">
    <w:abstractNumId w:val="19"/>
  </w:num>
  <w:num w:numId="37">
    <w:abstractNumId w:val="35"/>
  </w:num>
  <w:num w:numId="38">
    <w:abstractNumId w:val="54"/>
  </w:num>
  <w:num w:numId="39">
    <w:abstractNumId w:val="0"/>
  </w:num>
  <w:num w:numId="40">
    <w:abstractNumId w:val="47"/>
  </w:num>
  <w:num w:numId="41">
    <w:abstractNumId w:val="40"/>
  </w:num>
  <w:num w:numId="42">
    <w:abstractNumId w:val="49"/>
  </w:num>
  <w:num w:numId="43">
    <w:abstractNumId w:val="26"/>
  </w:num>
  <w:num w:numId="44">
    <w:abstractNumId w:val="25"/>
  </w:num>
  <w:num w:numId="45">
    <w:abstractNumId w:val="58"/>
  </w:num>
  <w:num w:numId="46">
    <w:abstractNumId w:val="21"/>
  </w:num>
  <w:num w:numId="47">
    <w:abstractNumId w:val="17"/>
  </w:num>
  <w:num w:numId="48">
    <w:abstractNumId w:val="18"/>
  </w:num>
  <w:num w:numId="49">
    <w:abstractNumId w:val="22"/>
  </w:num>
  <w:num w:numId="50">
    <w:abstractNumId w:val="32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</w:num>
  <w:num w:numId="53">
    <w:abstractNumId w:val="36"/>
  </w:num>
  <w:num w:numId="54">
    <w:abstractNumId w:val="12"/>
  </w:num>
  <w:num w:numId="55">
    <w:abstractNumId w:val="30"/>
  </w:num>
  <w:num w:numId="56">
    <w:abstractNumId w:val="13"/>
  </w:num>
  <w:num w:numId="57">
    <w:abstractNumId w:val="37"/>
  </w:num>
  <w:num w:numId="58">
    <w:abstractNumId w:val="6"/>
  </w:num>
  <w:num w:numId="59">
    <w:abstractNumId w:val="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843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4BFB"/>
    <w:rsid w:val="00001D5D"/>
    <w:rsid w:val="000026A6"/>
    <w:rsid w:val="00015B9A"/>
    <w:rsid w:val="00023ED6"/>
    <w:rsid w:val="00030B6A"/>
    <w:rsid w:val="00031423"/>
    <w:rsid w:val="00031D86"/>
    <w:rsid w:val="00034AB0"/>
    <w:rsid w:val="00041485"/>
    <w:rsid w:val="00044C87"/>
    <w:rsid w:val="00044D62"/>
    <w:rsid w:val="00045B7E"/>
    <w:rsid w:val="00046463"/>
    <w:rsid w:val="00051FE8"/>
    <w:rsid w:val="00052B20"/>
    <w:rsid w:val="00053F64"/>
    <w:rsid w:val="00062772"/>
    <w:rsid w:val="00062A02"/>
    <w:rsid w:val="00071F34"/>
    <w:rsid w:val="000739F0"/>
    <w:rsid w:val="00086F79"/>
    <w:rsid w:val="00091D69"/>
    <w:rsid w:val="00095BDC"/>
    <w:rsid w:val="0009729F"/>
    <w:rsid w:val="000A117D"/>
    <w:rsid w:val="000A3998"/>
    <w:rsid w:val="000B1CB8"/>
    <w:rsid w:val="000B2712"/>
    <w:rsid w:val="000B5212"/>
    <w:rsid w:val="000B610D"/>
    <w:rsid w:val="000B7527"/>
    <w:rsid w:val="000B7DDF"/>
    <w:rsid w:val="000C452D"/>
    <w:rsid w:val="000D17C3"/>
    <w:rsid w:val="000D34F8"/>
    <w:rsid w:val="000D4FFD"/>
    <w:rsid w:val="000D5835"/>
    <w:rsid w:val="000E15DC"/>
    <w:rsid w:val="000E247B"/>
    <w:rsid w:val="000E4EB6"/>
    <w:rsid w:val="000F1614"/>
    <w:rsid w:val="000F63AB"/>
    <w:rsid w:val="000F66C4"/>
    <w:rsid w:val="0010395C"/>
    <w:rsid w:val="00106510"/>
    <w:rsid w:val="00114F74"/>
    <w:rsid w:val="00115B1A"/>
    <w:rsid w:val="00120121"/>
    <w:rsid w:val="0012567D"/>
    <w:rsid w:val="00131B7C"/>
    <w:rsid w:val="00132DE2"/>
    <w:rsid w:val="00147527"/>
    <w:rsid w:val="00160CFB"/>
    <w:rsid w:val="001614DE"/>
    <w:rsid w:val="00162C7B"/>
    <w:rsid w:val="00163458"/>
    <w:rsid w:val="00172EC7"/>
    <w:rsid w:val="00173D33"/>
    <w:rsid w:val="00177F81"/>
    <w:rsid w:val="00182532"/>
    <w:rsid w:val="00183AA9"/>
    <w:rsid w:val="00185159"/>
    <w:rsid w:val="0019221D"/>
    <w:rsid w:val="00195A26"/>
    <w:rsid w:val="001975A3"/>
    <w:rsid w:val="001A391C"/>
    <w:rsid w:val="001A5958"/>
    <w:rsid w:val="001A6CFC"/>
    <w:rsid w:val="001B35B4"/>
    <w:rsid w:val="001C20ED"/>
    <w:rsid w:val="001C6C7B"/>
    <w:rsid w:val="001D2575"/>
    <w:rsid w:val="001D46F7"/>
    <w:rsid w:val="001E0456"/>
    <w:rsid w:val="001E2EAC"/>
    <w:rsid w:val="001F0AF3"/>
    <w:rsid w:val="001F3A04"/>
    <w:rsid w:val="001F4195"/>
    <w:rsid w:val="001F462B"/>
    <w:rsid w:val="002006D9"/>
    <w:rsid w:val="002019B2"/>
    <w:rsid w:val="0020339D"/>
    <w:rsid w:val="002048AA"/>
    <w:rsid w:val="0020616C"/>
    <w:rsid w:val="00206819"/>
    <w:rsid w:val="00212FD3"/>
    <w:rsid w:val="00213162"/>
    <w:rsid w:val="00216246"/>
    <w:rsid w:val="00222F22"/>
    <w:rsid w:val="00227A4B"/>
    <w:rsid w:val="00227DAE"/>
    <w:rsid w:val="00231028"/>
    <w:rsid w:val="002335F4"/>
    <w:rsid w:val="00235404"/>
    <w:rsid w:val="0023546A"/>
    <w:rsid w:val="0023796E"/>
    <w:rsid w:val="00241B4F"/>
    <w:rsid w:val="00242A17"/>
    <w:rsid w:val="0024429F"/>
    <w:rsid w:val="00244457"/>
    <w:rsid w:val="002477AA"/>
    <w:rsid w:val="002579EB"/>
    <w:rsid w:val="00260321"/>
    <w:rsid w:val="00264C2F"/>
    <w:rsid w:val="002657BF"/>
    <w:rsid w:val="00267FC7"/>
    <w:rsid w:val="00271B6C"/>
    <w:rsid w:val="00273C1A"/>
    <w:rsid w:val="002767D9"/>
    <w:rsid w:val="002873BD"/>
    <w:rsid w:val="00291EFB"/>
    <w:rsid w:val="00293213"/>
    <w:rsid w:val="002A3E06"/>
    <w:rsid w:val="002A7FC7"/>
    <w:rsid w:val="002B1FD0"/>
    <w:rsid w:val="002B76CD"/>
    <w:rsid w:val="002C01A0"/>
    <w:rsid w:val="002C5A90"/>
    <w:rsid w:val="002C7754"/>
    <w:rsid w:val="002C7A09"/>
    <w:rsid w:val="002D6242"/>
    <w:rsid w:val="002E2BAA"/>
    <w:rsid w:val="002E44CC"/>
    <w:rsid w:val="002E726C"/>
    <w:rsid w:val="002F24C5"/>
    <w:rsid w:val="00301242"/>
    <w:rsid w:val="003129C8"/>
    <w:rsid w:val="00313368"/>
    <w:rsid w:val="00323B32"/>
    <w:rsid w:val="003358B4"/>
    <w:rsid w:val="003435B7"/>
    <w:rsid w:val="00345397"/>
    <w:rsid w:val="00350606"/>
    <w:rsid w:val="00354EC0"/>
    <w:rsid w:val="003759AA"/>
    <w:rsid w:val="003831C4"/>
    <w:rsid w:val="003913D7"/>
    <w:rsid w:val="003A0BB5"/>
    <w:rsid w:val="003A3AE2"/>
    <w:rsid w:val="003A62B6"/>
    <w:rsid w:val="003A6AE2"/>
    <w:rsid w:val="003A72B5"/>
    <w:rsid w:val="003B381D"/>
    <w:rsid w:val="003B5331"/>
    <w:rsid w:val="003C0487"/>
    <w:rsid w:val="003D3C78"/>
    <w:rsid w:val="003D7254"/>
    <w:rsid w:val="003E617B"/>
    <w:rsid w:val="003E7898"/>
    <w:rsid w:val="003F73C1"/>
    <w:rsid w:val="004033FF"/>
    <w:rsid w:val="004073C7"/>
    <w:rsid w:val="004110BF"/>
    <w:rsid w:val="004171C7"/>
    <w:rsid w:val="00421849"/>
    <w:rsid w:val="00424BBA"/>
    <w:rsid w:val="00427E8A"/>
    <w:rsid w:val="00431D58"/>
    <w:rsid w:val="004321DE"/>
    <w:rsid w:val="0043248E"/>
    <w:rsid w:val="00432C37"/>
    <w:rsid w:val="00441E2D"/>
    <w:rsid w:val="00441F41"/>
    <w:rsid w:val="00446A77"/>
    <w:rsid w:val="00453715"/>
    <w:rsid w:val="00453910"/>
    <w:rsid w:val="00453BBC"/>
    <w:rsid w:val="004633A3"/>
    <w:rsid w:val="0047451A"/>
    <w:rsid w:val="00477088"/>
    <w:rsid w:val="00477D94"/>
    <w:rsid w:val="00480D96"/>
    <w:rsid w:val="00486C34"/>
    <w:rsid w:val="004918C5"/>
    <w:rsid w:val="00492BC4"/>
    <w:rsid w:val="004945A8"/>
    <w:rsid w:val="004A188E"/>
    <w:rsid w:val="004A266E"/>
    <w:rsid w:val="004A2D2B"/>
    <w:rsid w:val="004B5083"/>
    <w:rsid w:val="004C09CC"/>
    <w:rsid w:val="004C0FDE"/>
    <w:rsid w:val="004C17C6"/>
    <w:rsid w:val="004E0B46"/>
    <w:rsid w:val="004E1BA4"/>
    <w:rsid w:val="004E3108"/>
    <w:rsid w:val="004E6258"/>
    <w:rsid w:val="004E6D42"/>
    <w:rsid w:val="00500AEA"/>
    <w:rsid w:val="00503C9F"/>
    <w:rsid w:val="00504D8A"/>
    <w:rsid w:val="00505EC8"/>
    <w:rsid w:val="00507B88"/>
    <w:rsid w:val="00520FB8"/>
    <w:rsid w:val="00524295"/>
    <w:rsid w:val="00531CFE"/>
    <w:rsid w:val="00532D0F"/>
    <w:rsid w:val="00533EC4"/>
    <w:rsid w:val="00535D04"/>
    <w:rsid w:val="005404B1"/>
    <w:rsid w:val="00544A29"/>
    <w:rsid w:val="00545AD7"/>
    <w:rsid w:val="00551F4B"/>
    <w:rsid w:val="005565B9"/>
    <w:rsid w:val="00560F09"/>
    <w:rsid w:val="00563E02"/>
    <w:rsid w:val="00567A2C"/>
    <w:rsid w:val="0057158B"/>
    <w:rsid w:val="00585E33"/>
    <w:rsid w:val="00586568"/>
    <w:rsid w:val="00587375"/>
    <w:rsid w:val="005A4BFB"/>
    <w:rsid w:val="005A6EC5"/>
    <w:rsid w:val="005B1261"/>
    <w:rsid w:val="005B2DFA"/>
    <w:rsid w:val="005B5C7C"/>
    <w:rsid w:val="005B6E40"/>
    <w:rsid w:val="005B715A"/>
    <w:rsid w:val="005B7242"/>
    <w:rsid w:val="005C47F3"/>
    <w:rsid w:val="005C49F0"/>
    <w:rsid w:val="005C79F0"/>
    <w:rsid w:val="005D66AA"/>
    <w:rsid w:val="00600A72"/>
    <w:rsid w:val="00607EAC"/>
    <w:rsid w:val="00612DA8"/>
    <w:rsid w:val="0061750C"/>
    <w:rsid w:val="00620895"/>
    <w:rsid w:val="0062550E"/>
    <w:rsid w:val="00634B04"/>
    <w:rsid w:val="0063507F"/>
    <w:rsid w:val="00641AEC"/>
    <w:rsid w:val="00641FB1"/>
    <w:rsid w:val="00646AE6"/>
    <w:rsid w:val="0065202C"/>
    <w:rsid w:val="00661625"/>
    <w:rsid w:val="00666A54"/>
    <w:rsid w:val="00670D1A"/>
    <w:rsid w:val="006756DD"/>
    <w:rsid w:val="00690D8D"/>
    <w:rsid w:val="0069318F"/>
    <w:rsid w:val="00696649"/>
    <w:rsid w:val="006A12E0"/>
    <w:rsid w:val="006A2534"/>
    <w:rsid w:val="006A395A"/>
    <w:rsid w:val="006A41A1"/>
    <w:rsid w:val="006A4BD9"/>
    <w:rsid w:val="006A591A"/>
    <w:rsid w:val="006B03F2"/>
    <w:rsid w:val="006B1824"/>
    <w:rsid w:val="006B4E63"/>
    <w:rsid w:val="006B5065"/>
    <w:rsid w:val="006B5FA4"/>
    <w:rsid w:val="006B738D"/>
    <w:rsid w:val="006C3AED"/>
    <w:rsid w:val="006D00A9"/>
    <w:rsid w:val="006D110D"/>
    <w:rsid w:val="006D4B46"/>
    <w:rsid w:val="006D62BA"/>
    <w:rsid w:val="006E3E8D"/>
    <w:rsid w:val="006E5DA2"/>
    <w:rsid w:val="006E6139"/>
    <w:rsid w:val="007024B7"/>
    <w:rsid w:val="0070494C"/>
    <w:rsid w:val="00705318"/>
    <w:rsid w:val="00712B36"/>
    <w:rsid w:val="007167AE"/>
    <w:rsid w:val="007301BF"/>
    <w:rsid w:val="00730DC4"/>
    <w:rsid w:val="00731D97"/>
    <w:rsid w:val="007361AF"/>
    <w:rsid w:val="00744C22"/>
    <w:rsid w:val="00745DEB"/>
    <w:rsid w:val="00750A24"/>
    <w:rsid w:val="00752BAC"/>
    <w:rsid w:val="0075629F"/>
    <w:rsid w:val="00764701"/>
    <w:rsid w:val="00764C6C"/>
    <w:rsid w:val="00765571"/>
    <w:rsid w:val="00771C19"/>
    <w:rsid w:val="00773AD3"/>
    <w:rsid w:val="0077693B"/>
    <w:rsid w:val="00783898"/>
    <w:rsid w:val="00783D18"/>
    <w:rsid w:val="00784AA9"/>
    <w:rsid w:val="00786BFE"/>
    <w:rsid w:val="00796FC7"/>
    <w:rsid w:val="007A234C"/>
    <w:rsid w:val="007A71D0"/>
    <w:rsid w:val="007A77B7"/>
    <w:rsid w:val="007C3849"/>
    <w:rsid w:val="007D4869"/>
    <w:rsid w:val="007D6598"/>
    <w:rsid w:val="007D7FC0"/>
    <w:rsid w:val="007F4E9F"/>
    <w:rsid w:val="00800640"/>
    <w:rsid w:val="008007CB"/>
    <w:rsid w:val="00801EB6"/>
    <w:rsid w:val="00802BFD"/>
    <w:rsid w:val="00804474"/>
    <w:rsid w:val="00806E59"/>
    <w:rsid w:val="00810703"/>
    <w:rsid w:val="0081229C"/>
    <w:rsid w:val="0082095B"/>
    <w:rsid w:val="0082371D"/>
    <w:rsid w:val="008359C0"/>
    <w:rsid w:val="00835A6B"/>
    <w:rsid w:val="00837F9F"/>
    <w:rsid w:val="0084673F"/>
    <w:rsid w:val="0085393C"/>
    <w:rsid w:val="00854098"/>
    <w:rsid w:val="00856977"/>
    <w:rsid w:val="008600E3"/>
    <w:rsid w:val="008639BF"/>
    <w:rsid w:val="008702CD"/>
    <w:rsid w:val="00871B94"/>
    <w:rsid w:val="00882F0F"/>
    <w:rsid w:val="00890507"/>
    <w:rsid w:val="008909E0"/>
    <w:rsid w:val="00894ED2"/>
    <w:rsid w:val="00896DDF"/>
    <w:rsid w:val="008C0DC7"/>
    <w:rsid w:val="008C388D"/>
    <w:rsid w:val="008C7303"/>
    <w:rsid w:val="008C7E4D"/>
    <w:rsid w:val="008D345D"/>
    <w:rsid w:val="008D384D"/>
    <w:rsid w:val="008D7B87"/>
    <w:rsid w:val="008E08A7"/>
    <w:rsid w:val="008E5923"/>
    <w:rsid w:val="008E6A92"/>
    <w:rsid w:val="008F1E2B"/>
    <w:rsid w:val="008F4D63"/>
    <w:rsid w:val="00903027"/>
    <w:rsid w:val="0090773A"/>
    <w:rsid w:val="009116E1"/>
    <w:rsid w:val="0091310D"/>
    <w:rsid w:val="00913F35"/>
    <w:rsid w:val="00924350"/>
    <w:rsid w:val="0092467B"/>
    <w:rsid w:val="00924D10"/>
    <w:rsid w:val="00930363"/>
    <w:rsid w:val="00933A06"/>
    <w:rsid w:val="00935AB3"/>
    <w:rsid w:val="0094103B"/>
    <w:rsid w:val="009454CE"/>
    <w:rsid w:val="009515D7"/>
    <w:rsid w:val="00952CEC"/>
    <w:rsid w:val="00953041"/>
    <w:rsid w:val="009538E2"/>
    <w:rsid w:val="00953DB8"/>
    <w:rsid w:val="009543F4"/>
    <w:rsid w:val="00956FDB"/>
    <w:rsid w:val="009570EF"/>
    <w:rsid w:val="009657CF"/>
    <w:rsid w:val="009704A1"/>
    <w:rsid w:val="00973E0D"/>
    <w:rsid w:val="009741F7"/>
    <w:rsid w:val="009746B6"/>
    <w:rsid w:val="00975D70"/>
    <w:rsid w:val="00977DAF"/>
    <w:rsid w:val="009931D1"/>
    <w:rsid w:val="009A2365"/>
    <w:rsid w:val="009A610B"/>
    <w:rsid w:val="009B0A94"/>
    <w:rsid w:val="009B6D94"/>
    <w:rsid w:val="009C153A"/>
    <w:rsid w:val="009C580F"/>
    <w:rsid w:val="009C6161"/>
    <w:rsid w:val="009C7616"/>
    <w:rsid w:val="009D3113"/>
    <w:rsid w:val="009D3902"/>
    <w:rsid w:val="009E150B"/>
    <w:rsid w:val="009E4E30"/>
    <w:rsid w:val="009E4FF4"/>
    <w:rsid w:val="009F1C6C"/>
    <w:rsid w:val="00A02FEC"/>
    <w:rsid w:val="00A054A6"/>
    <w:rsid w:val="00A149D8"/>
    <w:rsid w:val="00A16674"/>
    <w:rsid w:val="00A30B2E"/>
    <w:rsid w:val="00A3164F"/>
    <w:rsid w:val="00A32FBF"/>
    <w:rsid w:val="00A330AA"/>
    <w:rsid w:val="00A412F9"/>
    <w:rsid w:val="00A41AF3"/>
    <w:rsid w:val="00A567EB"/>
    <w:rsid w:val="00A60AC1"/>
    <w:rsid w:val="00A66DA7"/>
    <w:rsid w:val="00A67892"/>
    <w:rsid w:val="00A7132B"/>
    <w:rsid w:val="00A75469"/>
    <w:rsid w:val="00A759E0"/>
    <w:rsid w:val="00A7606C"/>
    <w:rsid w:val="00A86E47"/>
    <w:rsid w:val="00A97AF3"/>
    <w:rsid w:val="00A97FE0"/>
    <w:rsid w:val="00AA2F5B"/>
    <w:rsid w:val="00AA3DF9"/>
    <w:rsid w:val="00AA4238"/>
    <w:rsid w:val="00AA788F"/>
    <w:rsid w:val="00AB28D8"/>
    <w:rsid w:val="00AB2CEF"/>
    <w:rsid w:val="00AB40BA"/>
    <w:rsid w:val="00AB66B6"/>
    <w:rsid w:val="00AB73BE"/>
    <w:rsid w:val="00AB7CC1"/>
    <w:rsid w:val="00AB7E90"/>
    <w:rsid w:val="00AC1F18"/>
    <w:rsid w:val="00AC2326"/>
    <w:rsid w:val="00AC2429"/>
    <w:rsid w:val="00AC2979"/>
    <w:rsid w:val="00AC65EF"/>
    <w:rsid w:val="00AC749A"/>
    <w:rsid w:val="00AD00B6"/>
    <w:rsid w:val="00AD19BE"/>
    <w:rsid w:val="00AD5A7A"/>
    <w:rsid w:val="00AE35B1"/>
    <w:rsid w:val="00AE43A2"/>
    <w:rsid w:val="00AF09E5"/>
    <w:rsid w:val="00AF5BDA"/>
    <w:rsid w:val="00B02174"/>
    <w:rsid w:val="00B04FF7"/>
    <w:rsid w:val="00B06352"/>
    <w:rsid w:val="00B13364"/>
    <w:rsid w:val="00B215E0"/>
    <w:rsid w:val="00B259A7"/>
    <w:rsid w:val="00B25AFA"/>
    <w:rsid w:val="00B36B6A"/>
    <w:rsid w:val="00B37E6C"/>
    <w:rsid w:val="00B4123F"/>
    <w:rsid w:val="00B4550C"/>
    <w:rsid w:val="00B47C65"/>
    <w:rsid w:val="00B54D9D"/>
    <w:rsid w:val="00B617CE"/>
    <w:rsid w:val="00B630AE"/>
    <w:rsid w:val="00B72E14"/>
    <w:rsid w:val="00B73EB3"/>
    <w:rsid w:val="00B74B5D"/>
    <w:rsid w:val="00B76BE0"/>
    <w:rsid w:val="00B8011A"/>
    <w:rsid w:val="00B82D41"/>
    <w:rsid w:val="00B85E27"/>
    <w:rsid w:val="00B9074E"/>
    <w:rsid w:val="00B94001"/>
    <w:rsid w:val="00B95683"/>
    <w:rsid w:val="00BA0BC3"/>
    <w:rsid w:val="00BA1C82"/>
    <w:rsid w:val="00BA31AA"/>
    <w:rsid w:val="00BB1D61"/>
    <w:rsid w:val="00BB2236"/>
    <w:rsid w:val="00BB5725"/>
    <w:rsid w:val="00BE5271"/>
    <w:rsid w:val="00BF0728"/>
    <w:rsid w:val="00BF2B63"/>
    <w:rsid w:val="00BF4E4F"/>
    <w:rsid w:val="00C01ACF"/>
    <w:rsid w:val="00C07B9E"/>
    <w:rsid w:val="00C11CDE"/>
    <w:rsid w:val="00C12FFE"/>
    <w:rsid w:val="00C145B8"/>
    <w:rsid w:val="00C17401"/>
    <w:rsid w:val="00C279B2"/>
    <w:rsid w:val="00C344BD"/>
    <w:rsid w:val="00C4072E"/>
    <w:rsid w:val="00C56591"/>
    <w:rsid w:val="00C70AFB"/>
    <w:rsid w:val="00C71A45"/>
    <w:rsid w:val="00C71DE7"/>
    <w:rsid w:val="00C76639"/>
    <w:rsid w:val="00C84093"/>
    <w:rsid w:val="00C95221"/>
    <w:rsid w:val="00C9604D"/>
    <w:rsid w:val="00CA7FBB"/>
    <w:rsid w:val="00CB021C"/>
    <w:rsid w:val="00CB0719"/>
    <w:rsid w:val="00CB4B62"/>
    <w:rsid w:val="00CC2655"/>
    <w:rsid w:val="00CD17BE"/>
    <w:rsid w:val="00CE1A2E"/>
    <w:rsid w:val="00CE1AE2"/>
    <w:rsid w:val="00CE4C32"/>
    <w:rsid w:val="00CE616D"/>
    <w:rsid w:val="00CF1C40"/>
    <w:rsid w:val="00D03279"/>
    <w:rsid w:val="00D063EE"/>
    <w:rsid w:val="00D135F5"/>
    <w:rsid w:val="00D1700E"/>
    <w:rsid w:val="00D178D0"/>
    <w:rsid w:val="00D246EA"/>
    <w:rsid w:val="00D26354"/>
    <w:rsid w:val="00D33926"/>
    <w:rsid w:val="00D378A8"/>
    <w:rsid w:val="00D427CB"/>
    <w:rsid w:val="00D448B9"/>
    <w:rsid w:val="00D44FDB"/>
    <w:rsid w:val="00D47A97"/>
    <w:rsid w:val="00D53110"/>
    <w:rsid w:val="00D61983"/>
    <w:rsid w:val="00D62EEA"/>
    <w:rsid w:val="00D63F55"/>
    <w:rsid w:val="00D707D2"/>
    <w:rsid w:val="00D71F14"/>
    <w:rsid w:val="00D7288D"/>
    <w:rsid w:val="00D76268"/>
    <w:rsid w:val="00D845C1"/>
    <w:rsid w:val="00D87DAB"/>
    <w:rsid w:val="00D90BCB"/>
    <w:rsid w:val="00D92FC1"/>
    <w:rsid w:val="00D93415"/>
    <w:rsid w:val="00D946E6"/>
    <w:rsid w:val="00D9797D"/>
    <w:rsid w:val="00DA2E73"/>
    <w:rsid w:val="00DB34FF"/>
    <w:rsid w:val="00DB5F6B"/>
    <w:rsid w:val="00DC46AF"/>
    <w:rsid w:val="00DC6C77"/>
    <w:rsid w:val="00DD58C3"/>
    <w:rsid w:val="00DD6853"/>
    <w:rsid w:val="00DD6A25"/>
    <w:rsid w:val="00DE5C29"/>
    <w:rsid w:val="00DF010D"/>
    <w:rsid w:val="00DF4617"/>
    <w:rsid w:val="00E02008"/>
    <w:rsid w:val="00E02345"/>
    <w:rsid w:val="00E06982"/>
    <w:rsid w:val="00E07D4A"/>
    <w:rsid w:val="00E1006F"/>
    <w:rsid w:val="00E21711"/>
    <w:rsid w:val="00E3154B"/>
    <w:rsid w:val="00E32ACD"/>
    <w:rsid w:val="00E32C83"/>
    <w:rsid w:val="00E34326"/>
    <w:rsid w:val="00E34EDF"/>
    <w:rsid w:val="00E40190"/>
    <w:rsid w:val="00E44C3C"/>
    <w:rsid w:val="00E4592D"/>
    <w:rsid w:val="00E46ABC"/>
    <w:rsid w:val="00E47C66"/>
    <w:rsid w:val="00E52467"/>
    <w:rsid w:val="00E52A3B"/>
    <w:rsid w:val="00E543C2"/>
    <w:rsid w:val="00E614DE"/>
    <w:rsid w:val="00E61DFF"/>
    <w:rsid w:val="00E72DA8"/>
    <w:rsid w:val="00E750CA"/>
    <w:rsid w:val="00E752A7"/>
    <w:rsid w:val="00E757F2"/>
    <w:rsid w:val="00E82BD2"/>
    <w:rsid w:val="00E85D0A"/>
    <w:rsid w:val="00E879F3"/>
    <w:rsid w:val="00E96ACE"/>
    <w:rsid w:val="00E977AC"/>
    <w:rsid w:val="00EA2AF3"/>
    <w:rsid w:val="00EB3C9B"/>
    <w:rsid w:val="00EC070F"/>
    <w:rsid w:val="00EC5B19"/>
    <w:rsid w:val="00ED2332"/>
    <w:rsid w:val="00ED2CB9"/>
    <w:rsid w:val="00ED3049"/>
    <w:rsid w:val="00ED3FFF"/>
    <w:rsid w:val="00EE172E"/>
    <w:rsid w:val="00EE3724"/>
    <w:rsid w:val="00EF6012"/>
    <w:rsid w:val="00F019AA"/>
    <w:rsid w:val="00F047EB"/>
    <w:rsid w:val="00F053E0"/>
    <w:rsid w:val="00F12F40"/>
    <w:rsid w:val="00F13E46"/>
    <w:rsid w:val="00F2404C"/>
    <w:rsid w:val="00F25A84"/>
    <w:rsid w:val="00F27F46"/>
    <w:rsid w:val="00F31A68"/>
    <w:rsid w:val="00F3345E"/>
    <w:rsid w:val="00F36A29"/>
    <w:rsid w:val="00F41178"/>
    <w:rsid w:val="00F54B3E"/>
    <w:rsid w:val="00F64E6A"/>
    <w:rsid w:val="00F64FFF"/>
    <w:rsid w:val="00F65C9E"/>
    <w:rsid w:val="00F671F2"/>
    <w:rsid w:val="00F67AB3"/>
    <w:rsid w:val="00F70BB5"/>
    <w:rsid w:val="00F71270"/>
    <w:rsid w:val="00F71FC9"/>
    <w:rsid w:val="00F7401C"/>
    <w:rsid w:val="00F82FB9"/>
    <w:rsid w:val="00F845BC"/>
    <w:rsid w:val="00F84C66"/>
    <w:rsid w:val="00F91FC2"/>
    <w:rsid w:val="00F94C26"/>
    <w:rsid w:val="00F94E49"/>
    <w:rsid w:val="00F963B7"/>
    <w:rsid w:val="00F9640F"/>
    <w:rsid w:val="00F97691"/>
    <w:rsid w:val="00F97C2F"/>
    <w:rsid w:val="00FA4B71"/>
    <w:rsid w:val="00FA557F"/>
    <w:rsid w:val="00FA7C2C"/>
    <w:rsid w:val="00FB0494"/>
    <w:rsid w:val="00FB15F3"/>
    <w:rsid w:val="00FB1D94"/>
    <w:rsid w:val="00FB35DD"/>
    <w:rsid w:val="00FC2020"/>
    <w:rsid w:val="00FC261B"/>
    <w:rsid w:val="00FC4B85"/>
    <w:rsid w:val="00FD27C7"/>
    <w:rsid w:val="00FE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098"/>
    <w:pPr>
      <w:bidi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4BFB"/>
    <w:pPr>
      <w:keepNext/>
      <w:bidi w:val="0"/>
      <w:spacing w:after="60"/>
      <w:jc w:val="center"/>
      <w:outlineLvl w:val="0"/>
    </w:pPr>
    <w:rPr>
      <w:rFonts w:ascii="Albertus Extra Bold" w:hAnsi="Albertus Extra Bold" w:cs="Arial"/>
      <w:b/>
      <w:bCs/>
      <w:smallCaps/>
      <w:kern w:val="32"/>
      <w:sz w:val="44"/>
      <w:szCs w:val="44"/>
      <w:lang w:bidi="ar-EG"/>
    </w:rPr>
  </w:style>
  <w:style w:type="paragraph" w:styleId="Heading2">
    <w:name w:val="heading 2"/>
    <w:basedOn w:val="Normal"/>
    <w:next w:val="Normal"/>
    <w:qFormat/>
    <w:rsid w:val="00F27F46"/>
    <w:pPr>
      <w:keepNext/>
      <w:bidi w:val="0"/>
      <w:spacing w:before="240" w:after="60"/>
      <w:outlineLvl w:val="1"/>
    </w:pPr>
    <w:rPr>
      <w:rFonts w:ascii="Albertus Extra Bold" w:hAnsi="Albertus Extra Bold" w:cs="Arial"/>
      <w:b/>
      <w:bCs/>
      <w:sz w:val="30"/>
      <w:szCs w:val="30"/>
      <w:lang w:bidi="ar-EG"/>
    </w:rPr>
  </w:style>
  <w:style w:type="paragraph" w:styleId="Heading3">
    <w:name w:val="heading 3"/>
    <w:basedOn w:val="Normal"/>
    <w:link w:val="Heading3Char"/>
    <w:qFormat/>
    <w:rsid w:val="00DB5F6B"/>
    <w:pPr>
      <w:bidi w:val="0"/>
      <w:spacing w:before="100" w:beforeAutospacing="1" w:after="100" w:afterAutospacing="1"/>
      <w:outlineLvl w:val="2"/>
    </w:pPr>
    <w:rPr>
      <w:rFonts w:eastAsia="宋体"/>
      <w:b/>
      <w:bCs/>
      <w:sz w:val="27"/>
      <w:szCs w:val="27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54D9D"/>
    <w:rPr>
      <w:rFonts w:ascii="Albertus Extra Bold" w:hAnsi="Albertus Extra Bold" w:cs="Arial"/>
      <w:b/>
      <w:bCs/>
      <w:smallCaps/>
      <w:kern w:val="32"/>
      <w:sz w:val="44"/>
      <w:szCs w:val="44"/>
      <w:lang w:val="en-US" w:eastAsia="en-US" w:bidi="ar-EG"/>
    </w:rPr>
  </w:style>
  <w:style w:type="character" w:customStyle="1" w:styleId="Heading3Char">
    <w:name w:val="Heading 3 Char"/>
    <w:link w:val="Heading3"/>
    <w:locked/>
    <w:rsid w:val="00DB5F6B"/>
    <w:rPr>
      <w:rFonts w:eastAsia="宋体"/>
      <w:b/>
      <w:bCs/>
      <w:sz w:val="27"/>
      <w:szCs w:val="27"/>
      <w:lang w:val="en-US" w:eastAsia="zh-CN" w:bidi="ar-EG"/>
    </w:rPr>
  </w:style>
  <w:style w:type="paragraph" w:styleId="Header">
    <w:name w:val="header"/>
    <w:aliases w:val="Char"/>
    <w:basedOn w:val="Normal"/>
    <w:link w:val="HeaderChar1"/>
    <w:rsid w:val="005A4BFB"/>
    <w:pPr>
      <w:tabs>
        <w:tab w:val="center" w:pos="4153"/>
        <w:tab w:val="right" w:pos="8306"/>
      </w:tabs>
    </w:pPr>
  </w:style>
  <w:style w:type="character" w:customStyle="1" w:styleId="HeaderChar1">
    <w:name w:val="Header Char1"/>
    <w:aliases w:val="Char Char"/>
    <w:link w:val="Header"/>
    <w:rsid w:val="009B0A94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1"/>
    <w:rsid w:val="005A4BFB"/>
    <w:pPr>
      <w:tabs>
        <w:tab w:val="center" w:pos="4153"/>
        <w:tab w:val="right" w:pos="8306"/>
      </w:tabs>
    </w:pPr>
  </w:style>
  <w:style w:type="character" w:customStyle="1" w:styleId="FooterChar1">
    <w:name w:val="Footer Char1"/>
    <w:link w:val="Footer"/>
    <w:rsid w:val="009B0A94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5A4BFB"/>
  </w:style>
  <w:style w:type="character" w:styleId="Hyperlink">
    <w:name w:val="Hyperlink"/>
    <w:uiPriority w:val="99"/>
    <w:rsid w:val="006E613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E6139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rsid w:val="009B0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B0A94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qFormat/>
    <w:rsid w:val="009B0A94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9B0A9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rsid w:val="009B0A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A94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9B0A94"/>
    <w:rPr>
      <w:lang w:val="en-U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9B0A94"/>
    <w:rPr>
      <w:b/>
      <w:bCs/>
    </w:rPr>
  </w:style>
  <w:style w:type="character" w:customStyle="1" w:styleId="CommentSubjectChar">
    <w:name w:val="Comment Subject Char"/>
    <w:link w:val="CommentSubject"/>
    <w:rsid w:val="009B0A94"/>
    <w:rPr>
      <w:b/>
      <w:bCs/>
      <w:lang w:val="en-US" w:eastAsia="ar-SA" w:bidi="ar-SA"/>
    </w:rPr>
  </w:style>
  <w:style w:type="paragraph" w:styleId="BalloonText">
    <w:name w:val="Balloon Text"/>
    <w:basedOn w:val="Normal"/>
    <w:link w:val="BalloonTextChar1"/>
    <w:rsid w:val="009B0A9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1">
    <w:name w:val="Balloon Text Char1"/>
    <w:link w:val="BalloonText"/>
    <w:rsid w:val="009B0A94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BalloonTextChar">
    <w:name w:val="Balloon Text Char"/>
    <w:semiHidden/>
    <w:locked/>
    <w:rsid w:val="00B54D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54D9D"/>
    <w:pPr>
      <w:bidi w:val="0"/>
      <w:spacing w:before="100" w:beforeAutospacing="1" w:after="100" w:afterAutospacing="1"/>
    </w:pPr>
  </w:style>
  <w:style w:type="paragraph" w:customStyle="1" w:styleId="Pa10">
    <w:name w:val="Pa10"/>
    <w:basedOn w:val="Normal"/>
    <w:next w:val="Normal"/>
    <w:rsid w:val="00B54D9D"/>
    <w:pPr>
      <w:autoSpaceDE w:val="0"/>
      <w:autoSpaceDN w:val="0"/>
      <w:bidi w:val="0"/>
      <w:adjustRightInd w:val="0"/>
      <w:spacing w:line="141" w:lineRule="atLeast"/>
    </w:pPr>
    <w:rPr>
      <w:rFonts w:ascii="Tahoma" w:eastAsia="Calibri" w:hAnsi="Tahoma" w:cs="Tahoma"/>
    </w:rPr>
  </w:style>
  <w:style w:type="paragraph" w:customStyle="1" w:styleId="citation">
    <w:name w:val="citation"/>
    <w:basedOn w:val="Normal"/>
    <w:rsid w:val="00B54D9D"/>
    <w:pPr>
      <w:bidi w:val="0"/>
      <w:spacing w:before="100" w:beforeAutospacing="1" w:after="100" w:afterAutospacing="1"/>
    </w:pPr>
    <w:rPr>
      <w:rFonts w:eastAsia="Calibri"/>
    </w:rPr>
  </w:style>
  <w:style w:type="character" w:customStyle="1" w:styleId="HeaderChar">
    <w:name w:val="Header Char"/>
    <w:semiHidden/>
    <w:locked/>
    <w:rsid w:val="00B54D9D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semiHidden/>
    <w:locked/>
    <w:rsid w:val="00B54D9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B54D9D"/>
    <w:rPr>
      <w:rFonts w:ascii="Arabic Transparent" w:eastAsia="Calibri" w:hAnsi="Arabic Transparent" w:cs="Arial"/>
      <w:sz w:val="22"/>
      <w:szCs w:val="22"/>
      <w:lang w:eastAsia="en-US"/>
    </w:rPr>
  </w:style>
  <w:style w:type="character" w:customStyle="1" w:styleId="apple-converted-space">
    <w:name w:val="apple-converted-space"/>
    <w:rsid w:val="00B54D9D"/>
    <w:rPr>
      <w:rFonts w:cs="Times New Roman"/>
    </w:rPr>
  </w:style>
  <w:style w:type="character" w:customStyle="1" w:styleId="reference-text">
    <w:name w:val="reference-text"/>
    <w:rsid w:val="00B54D9D"/>
    <w:rPr>
      <w:rFonts w:cs="Times New Roman"/>
    </w:rPr>
  </w:style>
  <w:style w:type="character" w:customStyle="1" w:styleId="emphasistypeitalic">
    <w:name w:val="emphasistypeitalic"/>
    <w:rsid w:val="00B54D9D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B54D9D"/>
    <w:pPr>
      <w:bidi w:val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B54D9D"/>
    <w:rPr>
      <w:rFonts w:eastAsia="Calibri"/>
      <w:lang w:val="en-US" w:eastAsia="en-US" w:bidi="ar-SA"/>
    </w:rPr>
  </w:style>
  <w:style w:type="character" w:styleId="FootnoteReference">
    <w:name w:val="footnote reference"/>
    <w:semiHidden/>
    <w:rsid w:val="00B54D9D"/>
    <w:rPr>
      <w:rFonts w:cs="Times New Roman"/>
      <w:vertAlign w:val="superscript"/>
    </w:rPr>
  </w:style>
  <w:style w:type="paragraph" w:customStyle="1" w:styleId="Pa1">
    <w:name w:val="Pa1"/>
    <w:basedOn w:val="Default"/>
    <w:next w:val="Default"/>
    <w:rsid w:val="00DB5F6B"/>
    <w:pPr>
      <w:spacing w:line="241" w:lineRule="atLeast"/>
    </w:pPr>
    <w:rPr>
      <w:rFonts w:ascii="DINPro-Light" w:hAnsi="DINPro-Light" w:cs="Arial"/>
      <w:color w:val="auto"/>
    </w:rPr>
  </w:style>
  <w:style w:type="character" w:customStyle="1" w:styleId="A1">
    <w:name w:val="A1"/>
    <w:rsid w:val="00DB5F6B"/>
    <w:rPr>
      <w:color w:val="000000"/>
      <w:sz w:val="16"/>
    </w:rPr>
  </w:style>
  <w:style w:type="paragraph" w:customStyle="1" w:styleId="Pa0">
    <w:name w:val="Pa0"/>
    <w:basedOn w:val="Default"/>
    <w:next w:val="Default"/>
    <w:rsid w:val="00DB5F6B"/>
    <w:pPr>
      <w:spacing w:line="241" w:lineRule="atLeast"/>
    </w:pPr>
    <w:rPr>
      <w:rFonts w:ascii="DINPro-Light" w:hAnsi="DINPro-Light" w:cs="Arial"/>
      <w:color w:val="auto"/>
    </w:rPr>
  </w:style>
  <w:style w:type="character" w:customStyle="1" w:styleId="A2">
    <w:name w:val="A2"/>
    <w:rsid w:val="00DB5F6B"/>
    <w:rPr>
      <w:rFonts w:ascii="NexusSerif-Regular" w:hAnsi="NexusSerif-Regular"/>
      <w:color w:val="000000"/>
      <w:sz w:val="18"/>
    </w:rPr>
  </w:style>
  <w:style w:type="character" w:customStyle="1" w:styleId="A3">
    <w:name w:val="A3"/>
    <w:rsid w:val="00DB5F6B"/>
    <w:rPr>
      <w:rFonts w:ascii="NexusSerif-Regular" w:hAnsi="NexusSerif-Regular"/>
      <w:color w:val="000000"/>
      <w:sz w:val="12"/>
    </w:rPr>
  </w:style>
  <w:style w:type="paragraph" w:customStyle="1" w:styleId="Pa2">
    <w:name w:val="Pa2"/>
    <w:basedOn w:val="Default"/>
    <w:next w:val="Default"/>
    <w:rsid w:val="00DB5F6B"/>
    <w:pPr>
      <w:spacing w:line="241" w:lineRule="atLeast"/>
    </w:pPr>
    <w:rPr>
      <w:rFonts w:ascii="DINPro-Light" w:hAnsi="DINPro-Light" w:cs="Arial"/>
      <w:color w:val="auto"/>
    </w:rPr>
  </w:style>
  <w:style w:type="paragraph" w:customStyle="1" w:styleId="Pa13">
    <w:name w:val="Pa13"/>
    <w:basedOn w:val="Default"/>
    <w:next w:val="Default"/>
    <w:rsid w:val="00DB5F6B"/>
    <w:pPr>
      <w:spacing w:line="181" w:lineRule="atLeast"/>
    </w:pPr>
    <w:rPr>
      <w:color w:val="auto"/>
    </w:rPr>
  </w:style>
  <w:style w:type="character" w:customStyle="1" w:styleId="A5">
    <w:name w:val="A5"/>
    <w:rsid w:val="00DB5F6B"/>
    <w:rPr>
      <w:color w:val="000000"/>
      <w:sz w:val="16"/>
    </w:rPr>
  </w:style>
  <w:style w:type="character" w:styleId="FollowedHyperlink">
    <w:name w:val="FollowedHyperlink"/>
    <w:semiHidden/>
    <w:rsid w:val="00DB5F6B"/>
    <w:rPr>
      <w:rFonts w:cs="Times New Roman"/>
      <w:color w:val="800080"/>
      <w:u w:val="single"/>
    </w:rPr>
  </w:style>
  <w:style w:type="paragraph" w:customStyle="1" w:styleId="Pa3">
    <w:name w:val="Pa3"/>
    <w:basedOn w:val="Default"/>
    <w:next w:val="Default"/>
    <w:rsid w:val="00DB5F6B"/>
    <w:pPr>
      <w:spacing w:line="241" w:lineRule="atLeast"/>
    </w:pPr>
    <w:rPr>
      <w:color w:val="auto"/>
    </w:rPr>
  </w:style>
  <w:style w:type="paragraph" w:customStyle="1" w:styleId="authlist">
    <w:name w:val="auth_list"/>
    <w:basedOn w:val="Normal"/>
    <w:rsid w:val="00DB5F6B"/>
    <w:pPr>
      <w:bidi w:val="0"/>
      <w:spacing w:before="100" w:beforeAutospacing="1" w:after="100" w:afterAutospacing="1"/>
    </w:pPr>
  </w:style>
  <w:style w:type="character" w:customStyle="1" w:styleId="drf">
    <w:name w:val="drf"/>
    <w:rsid w:val="00DB5F6B"/>
    <w:rPr>
      <w:rFonts w:cs="Times New Roman"/>
    </w:rPr>
  </w:style>
  <w:style w:type="paragraph" w:customStyle="1" w:styleId="Pa26">
    <w:name w:val="Pa26"/>
    <w:basedOn w:val="Normal"/>
    <w:next w:val="Normal"/>
    <w:rsid w:val="007F4E9F"/>
    <w:pPr>
      <w:autoSpaceDE w:val="0"/>
      <w:autoSpaceDN w:val="0"/>
      <w:bidi w:val="0"/>
      <w:adjustRightInd w:val="0"/>
      <w:spacing w:line="241" w:lineRule="atLeast"/>
    </w:pPr>
    <w:rPr>
      <w:rFonts w:ascii="Futura Std Book" w:hAnsi="Futura Std Book" w:cs="Arial"/>
    </w:rPr>
  </w:style>
  <w:style w:type="paragraph" w:customStyle="1" w:styleId="Pa28">
    <w:name w:val="Pa28"/>
    <w:basedOn w:val="Normal"/>
    <w:next w:val="Normal"/>
    <w:rsid w:val="007F4E9F"/>
    <w:pPr>
      <w:autoSpaceDE w:val="0"/>
      <w:autoSpaceDN w:val="0"/>
      <w:bidi w:val="0"/>
      <w:adjustRightInd w:val="0"/>
      <w:spacing w:line="241" w:lineRule="atLeast"/>
    </w:pPr>
    <w:rPr>
      <w:rFonts w:ascii="Futura Std Book" w:hAnsi="Futura Std Book" w:cs="Arial"/>
    </w:rPr>
  </w:style>
  <w:style w:type="paragraph" w:customStyle="1" w:styleId="Pa30">
    <w:name w:val="Pa30"/>
    <w:basedOn w:val="Normal"/>
    <w:next w:val="Normal"/>
    <w:rsid w:val="007F4E9F"/>
    <w:pPr>
      <w:autoSpaceDE w:val="0"/>
      <w:autoSpaceDN w:val="0"/>
      <w:bidi w:val="0"/>
      <w:adjustRightInd w:val="0"/>
      <w:spacing w:line="241" w:lineRule="atLeast"/>
    </w:pPr>
    <w:rPr>
      <w:rFonts w:ascii="Futura Std Book" w:hAnsi="Futura Std Book" w:cs="Arial"/>
    </w:rPr>
  </w:style>
  <w:style w:type="character" w:customStyle="1" w:styleId="A6">
    <w:name w:val="A6"/>
    <w:rsid w:val="007F4E9F"/>
    <w:rPr>
      <w:rFonts w:ascii="ITC Garamond Std Book" w:hAnsi="ITC Garamond Std Book"/>
      <w:color w:val="000000"/>
    </w:rPr>
  </w:style>
  <w:style w:type="paragraph" w:customStyle="1" w:styleId="Pa32">
    <w:name w:val="Pa32"/>
    <w:basedOn w:val="Normal"/>
    <w:next w:val="Normal"/>
    <w:rsid w:val="007F4E9F"/>
    <w:pPr>
      <w:autoSpaceDE w:val="0"/>
      <w:autoSpaceDN w:val="0"/>
      <w:bidi w:val="0"/>
      <w:adjustRightInd w:val="0"/>
      <w:spacing w:line="241" w:lineRule="atLeast"/>
    </w:pPr>
    <w:rPr>
      <w:rFonts w:ascii="ITC Garamond Std Book" w:hAnsi="ITC Garamond Std Book" w:cs="Arial"/>
    </w:rPr>
  </w:style>
  <w:style w:type="paragraph" w:customStyle="1" w:styleId="Pa33">
    <w:name w:val="Pa33"/>
    <w:basedOn w:val="Normal"/>
    <w:next w:val="Normal"/>
    <w:rsid w:val="007F4E9F"/>
    <w:pPr>
      <w:autoSpaceDE w:val="0"/>
      <w:autoSpaceDN w:val="0"/>
      <w:bidi w:val="0"/>
      <w:adjustRightInd w:val="0"/>
      <w:spacing w:line="241" w:lineRule="atLeast"/>
    </w:pPr>
    <w:rPr>
      <w:rFonts w:ascii="ITC Garamond Std Book" w:hAnsi="ITC Garamond Std Book" w:cs="Arial"/>
    </w:rPr>
  </w:style>
  <w:style w:type="paragraph" w:customStyle="1" w:styleId="Pa11">
    <w:name w:val="Pa11"/>
    <w:basedOn w:val="Normal"/>
    <w:next w:val="Normal"/>
    <w:rsid w:val="007F4E9F"/>
    <w:pPr>
      <w:autoSpaceDE w:val="0"/>
      <w:autoSpaceDN w:val="0"/>
      <w:bidi w:val="0"/>
      <w:adjustRightInd w:val="0"/>
      <w:spacing w:line="201" w:lineRule="atLeast"/>
    </w:pPr>
    <w:rPr>
      <w:rFonts w:ascii="Futura Std Light" w:hAnsi="Futura Std Light" w:cs="Arial"/>
    </w:rPr>
  </w:style>
  <w:style w:type="character" w:styleId="Emphasis">
    <w:name w:val="Emphasis"/>
    <w:qFormat/>
    <w:rsid w:val="007F4E9F"/>
    <w:rPr>
      <w:i/>
    </w:rPr>
  </w:style>
  <w:style w:type="character" w:customStyle="1" w:styleId="color">
    <w:name w:val="color"/>
    <w:rsid w:val="007F4E9F"/>
    <w:rPr>
      <w:rFonts w:cs="Times New Roman"/>
    </w:rPr>
  </w:style>
  <w:style w:type="character" w:customStyle="1" w:styleId="mb">
    <w:name w:val="mb"/>
    <w:rsid w:val="007F4E9F"/>
    <w:rPr>
      <w:rFonts w:cs="Times New Roman"/>
    </w:rPr>
  </w:style>
  <w:style w:type="character" w:customStyle="1" w:styleId="caption1">
    <w:name w:val="caption1"/>
    <w:rsid w:val="007F4E9F"/>
    <w:rPr>
      <w:rFonts w:cs="Times New Roman"/>
    </w:rPr>
  </w:style>
  <w:style w:type="character" w:customStyle="1" w:styleId="source">
    <w:name w:val="source"/>
    <w:rsid w:val="007F4E9F"/>
    <w:rPr>
      <w:rFonts w:cs="Times New Roman"/>
    </w:rPr>
  </w:style>
  <w:style w:type="table" w:customStyle="1" w:styleId="LightList-Accent11">
    <w:name w:val="Light List - Accent 11"/>
    <w:rsid w:val="007F4E9F"/>
    <w:rPr>
      <w:rFonts w:ascii="Calibri" w:hAnsi="Calibri" w:cs="Arial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F4E9F"/>
    <w:rPr>
      <w:rFonts w:ascii="Calibri" w:hAnsi="Calibri" w:cs="Arial"/>
      <w:color w:val="365F91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unhideWhenUsed/>
    <w:rsid w:val="00646AE6"/>
  </w:style>
  <w:style w:type="table" w:styleId="TableGrid">
    <w:name w:val="Table Grid"/>
    <w:basedOn w:val="TableNormal"/>
    <w:rsid w:val="00646AE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646AE6"/>
    <w:pPr>
      <w:bidi w:val="0"/>
      <w:spacing w:before="100" w:beforeAutospacing="1" w:after="100" w:afterAutospacing="1"/>
    </w:pPr>
  </w:style>
  <w:style w:type="paragraph" w:customStyle="1" w:styleId="headinganchor">
    <w:name w:val="headinganchor"/>
    <w:basedOn w:val="Normal"/>
    <w:rsid w:val="00646AE6"/>
    <w:pPr>
      <w:bidi w:val="0"/>
      <w:spacing w:before="100" w:beforeAutospacing="1" w:after="100" w:afterAutospacing="1"/>
    </w:pPr>
  </w:style>
  <w:style w:type="character" w:customStyle="1" w:styleId="headingendmark">
    <w:name w:val="headingendmark"/>
    <w:rsid w:val="00646AE6"/>
  </w:style>
  <w:style w:type="character" w:customStyle="1" w:styleId="h2">
    <w:name w:val="h2"/>
    <w:rsid w:val="00646AE6"/>
  </w:style>
  <w:style w:type="paragraph" w:customStyle="1" w:styleId="bulletindent1">
    <w:name w:val="bulletindent1"/>
    <w:basedOn w:val="Normal"/>
    <w:rsid w:val="00646AE6"/>
    <w:pPr>
      <w:bidi w:val="0"/>
      <w:spacing w:before="100" w:beforeAutospacing="1" w:after="100" w:afterAutospacing="1"/>
    </w:pPr>
  </w:style>
  <w:style w:type="character" w:customStyle="1" w:styleId="glyph">
    <w:name w:val="glyph"/>
    <w:rsid w:val="00646AE6"/>
  </w:style>
  <w:style w:type="paragraph" w:styleId="TOC1">
    <w:name w:val="toc 1"/>
    <w:basedOn w:val="Normal"/>
    <w:next w:val="Normal"/>
    <w:autoRedefine/>
    <w:unhideWhenUsed/>
    <w:rsid w:val="00646AE6"/>
  </w:style>
  <w:style w:type="paragraph" w:styleId="TableofFigures">
    <w:name w:val="table of figures"/>
    <w:basedOn w:val="Normal"/>
    <w:next w:val="Normal"/>
    <w:unhideWhenUsed/>
    <w:rsid w:val="00646AE6"/>
  </w:style>
  <w:style w:type="character" w:customStyle="1" w:styleId="CharChar7">
    <w:name w:val="Char Char7"/>
    <w:rsid w:val="00AB7CC1"/>
    <w:rPr>
      <w:sz w:val="24"/>
      <w:szCs w:val="24"/>
      <w:lang w:val="en-US" w:eastAsia="en-US" w:bidi="ar-SA"/>
    </w:rPr>
  </w:style>
  <w:style w:type="character" w:customStyle="1" w:styleId="CharChar6">
    <w:name w:val="Char Char6"/>
    <w:rsid w:val="00AB7CC1"/>
    <w:rPr>
      <w:sz w:val="24"/>
      <w:szCs w:val="24"/>
      <w:lang w:val="en-US" w:eastAsia="en-US" w:bidi="ar-SA"/>
    </w:rPr>
  </w:style>
  <w:style w:type="character" w:customStyle="1" w:styleId="CharCharChar">
    <w:name w:val="Char Char Char"/>
    <w:rsid w:val="00071F34"/>
    <w:rPr>
      <w:sz w:val="24"/>
      <w:szCs w:val="24"/>
      <w:lang w:val="en-US" w:eastAsia="en-US" w:bidi="ar-SA"/>
    </w:rPr>
  </w:style>
  <w:style w:type="character" w:customStyle="1" w:styleId="CharChar9">
    <w:name w:val="Char Char9"/>
    <w:rsid w:val="00071F34"/>
    <w:rPr>
      <w:sz w:val="24"/>
      <w:szCs w:val="24"/>
      <w:lang w:val="en-US" w:eastAsia="en-US" w:bidi="ar-SA"/>
    </w:rPr>
  </w:style>
  <w:style w:type="paragraph" w:customStyle="1" w:styleId="Pa6">
    <w:name w:val="Pa6"/>
    <w:basedOn w:val="Default"/>
    <w:next w:val="Default"/>
    <w:rsid w:val="00C07B9E"/>
    <w:pPr>
      <w:spacing w:line="201" w:lineRule="atLeast"/>
    </w:pPr>
    <w:rPr>
      <w:rFonts w:ascii="Arial" w:eastAsia="Calibri" w:hAnsi="Arial" w:cs="Arial"/>
      <w:color w:val="auto"/>
    </w:rPr>
  </w:style>
  <w:style w:type="paragraph" w:customStyle="1" w:styleId="Pa14">
    <w:name w:val="Pa14"/>
    <w:basedOn w:val="Normal"/>
    <w:next w:val="Normal"/>
    <w:rsid w:val="00C07B9E"/>
    <w:pPr>
      <w:autoSpaceDE w:val="0"/>
      <w:autoSpaceDN w:val="0"/>
      <w:bidi w:val="0"/>
      <w:adjustRightInd w:val="0"/>
      <w:spacing w:line="281" w:lineRule="atLeast"/>
    </w:pPr>
    <w:rPr>
      <w:rFonts w:ascii="Arial" w:eastAsia="Calibri" w:hAnsi="Arial" w:cs="Arial"/>
    </w:rPr>
  </w:style>
  <w:style w:type="character" w:customStyle="1" w:styleId="A7">
    <w:name w:val="A7"/>
    <w:rsid w:val="00C07B9E"/>
    <w:rPr>
      <w:b/>
      <w:bCs/>
      <w:color w:val="000000"/>
      <w:sz w:val="15"/>
      <w:szCs w:val="15"/>
    </w:rPr>
  </w:style>
  <w:style w:type="table" w:customStyle="1" w:styleId="TableGrid1">
    <w:name w:val="Table Grid1"/>
    <w:basedOn w:val="TableNormal"/>
    <w:next w:val="TableGrid"/>
    <w:rsid w:val="00132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ymaklad25@yah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x.doi.org/10.7537/marsrsj110119.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12A8-B7F5-475A-B004-90DBA0F6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4213</Words>
  <Characters>24020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vortex</Company>
  <LinksUpToDate>false</LinksUpToDate>
  <CharactersWithSpaces>28177</CharactersWithSpaces>
  <SharedDoc>false</SharedDoc>
  <HLinks>
    <vt:vector size="18" baseType="variant"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mailto:shaymaklad25@yahoo.com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Moda</dc:creator>
  <cp:lastModifiedBy>Administrator</cp:lastModifiedBy>
  <cp:revision>3</cp:revision>
  <cp:lastPrinted>2018-12-23T15:33:00Z</cp:lastPrinted>
  <dcterms:created xsi:type="dcterms:W3CDTF">2019-01-01T13:37:00Z</dcterms:created>
  <dcterms:modified xsi:type="dcterms:W3CDTF">2019-01-01T17:03:00Z</dcterms:modified>
</cp:coreProperties>
</file>