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15" w:rsidRPr="00EE6638" w:rsidRDefault="00C22900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Platelet derived micro particles and the risk of pulmonary hypertension in Egyptian patients with </w:t>
      </w:r>
      <w:proofErr w:type="spellStart"/>
      <w:r w:rsidRPr="00EE6638">
        <w:rPr>
          <w:rFonts w:ascii="Times New Roman" w:hAnsi="Times New Roman" w:cs="Times New Roman"/>
          <w:b/>
          <w:bCs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major</w:t>
      </w:r>
    </w:p>
    <w:p w:rsidR="001A6015" w:rsidRPr="00EE6638" w:rsidRDefault="001A6015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6015" w:rsidRPr="00EE6638" w:rsidRDefault="00C22900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Mariana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Rady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Moawad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E66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Hanaa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Hassan Eldash</w:t>
      </w: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E66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Sherin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Khamis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Hussein</w:t>
      </w: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E6638">
        <w:rPr>
          <w:rFonts w:ascii="Times New Roman" w:hAnsi="Times New Roman" w:cs="Times New Roman"/>
          <w:sz w:val="20"/>
          <w:szCs w:val="20"/>
        </w:rPr>
        <w:t xml:space="preserve">, Mohammed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Mansour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Abbas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Eid</w:t>
      </w: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1A6015" w:rsidRPr="00EE6638" w:rsidRDefault="001A6015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C22900" w:rsidRPr="00EE6638" w:rsidRDefault="00C22900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E6638">
        <w:rPr>
          <w:rFonts w:ascii="Times New Roman" w:hAnsi="Times New Roman" w:cs="Times New Roman"/>
          <w:sz w:val="20"/>
          <w:szCs w:val="20"/>
        </w:rPr>
        <w:t xml:space="preserve"> Department of Pediatrics, </w:t>
      </w:r>
      <w:r w:rsidRPr="00EE663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E6638">
        <w:rPr>
          <w:rFonts w:ascii="Times New Roman" w:hAnsi="Times New Roman" w:cs="Times New Roman"/>
          <w:sz w:val="20"/>
          <w:szCs w:val="20"/>
        </w:rPr>
        <w:t xml:space="preserve"> Department of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Clinical Pathology, Faculty of Medicine,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Fayoum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University, P.O. Box 63514,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Fayoum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 Egypt</w:t>
      </w:r>
    </w:p>
    <w:p w:rsidR="001A6015" w:rsidRPr="00EE6638" w:rsidRDefault="00C22900" w:rsidP="00CA72D4">
      <w:pPr>
        <w:snapToGrid w:val="0"/>
        <w:contextualSpacing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EE6638">
        <w:rPr>
          <w:rFonts w:ascii="Times New Roman" w:hAnsi="Times New Roman" w:cs="Times New Roman"/>
          <w:sz w:val="20"/>
          <w:szCs w:val="20"/>
        </w:rPr>
        <w:t>mma21@fayoum.edu.eg</w:t>
      </w:r>
      <w:r w:rsidR="00EE6638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1A6015" w:rsidRPr="00EE6638" w:rsidRDefault="001A6015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694E" w:rsidRPr="00EE6638" w:rsidRDefault="00CE694E" w:rsidP="00CA72D4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C22900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E6638">
        <w:rPr>
          <w:rFonts w:ascii="Times New Roman" w:hAnsi="Times New Roman" w:cs="Times New Roman"/>
          <w:sz w:val="20"/>
          <w:szCs w:val="20"/>
        </w:rPr>
        <w:t xml:space="preserve">Chronic platelet activation usually accompanies this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hypercoagulable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state noticed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. The associated thrombotic risk is partially attributed to the presence of high levels of membrane-derived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(MPs) originating from activated platelets. The level of circulating platelet-derived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) as a risk factor for pulmonary hypertension in Egyptian children with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major is a subject of interest. Forty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children and thirty age- and sex-matched healthy subjects were enrolled in this study. CBC, serum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and serum level of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were measured. Assessment of systolic ventricular function and pulmonary artery pressure was done using Doppler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Echocardiographic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study</w:t>
      </w:r>
      <w:r w:rsidR="00C22900" w:rsidRPr="00EE6638">
        <w:rPr>
          <w:rFonts w:ascii="Times New Roman" w:hAnsi="Times New Roman" w:cs="Times New Roman"/>
          <w:sz w:val="20"/>
          <w:szCs w:val="20"/>
        </w:rPr>
        <w:t xml:space="preserve">. </w:t>
      </w:r>
      <w:r w:rsidRPr="00EE6638">
        <w:rPr>
          <w:rFonts w:ascii="Times New Roman" w:hAnsi="Times New Roman" w:cs="Times New Roman"/>
          <w:sz w:val="20"/>
          <w:szCs w:val="20"/>
        </w:rPr>
        <w:t xml:space="preserve">Serum level of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was significantly elevated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 compared to healthy controls. Fifty percent of our cases had mild to moderate pulmonary hypertension.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had higher level of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thrombocytosis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and higher mean of pulmonary pressure compared with non-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counterparts. PDMP was higher in patients with pulmonary hypertension with significant difference (p&lt;0.05).</w:t>
      </w:r>
      <w:r w:rsidR="00C22900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 xml:space="preserve">Platelet-derived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) may be implicated in vascular dysfunction and the risk of pulmonary hypertension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patients. Their quantification could provide utility for early detection of cardiovascular abnormalities.</w:t>
      </w:r>
    </w:p>
    <w:p w:rsidR="00CA72D4" w:rsidRPr="00EE6638" w:rsidRDefault="00CA72D4" w:rsidP="00CA72D4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 w:hint="eastAsia"/>
          <w:sz w:val="20"/>
          <w:szCs w:val="20"/>
        </w:rPr>
        <w:t>[</w:t>
      </w:r>
      <w:r w:rsidRPr="00EE6638">
        <w:rPr>
          <w:rFonts w:ascii="Times New Roman" w:hAnsi="Times New Roman" w:cs="Times New Roman"/>
          <w:sz w:val="20"/>
          <w:szCs w:val="20"/>
        </w:rPr>
        <w:t xml:space="preserve">Mariana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Rady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Moawad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Hanaa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Hassan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Eldash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Sherin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Khamis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Hussein, Mohammed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Mansour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Abbas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Eid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Pr="00EE6638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Platelet derived micro particles and the risk of pulmonary hypertension in Egyptian patients with </w:t>
      </w:r>
      <w:proofErr w:type="spellStart"/>
      <w:r w:rsidRPr="00EE6638">
        <w:rPr>
          <w:rFonts w:ascii="Times New Roman" w:hAnsi="Times New Roman" w:cs="Times New Roman"/>
          <w:b/>
          <w:bCs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major</w:t>
      </w:r>
      <w:r w:rsidRPr="00EE663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EE6638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EE6638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EE6638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EE6638">
        <w:rPr>
          <w:rFonts w:ascii="Times New Roman" w:hAnsi="Times New Roman" w:cs="Times New Roman"/>
          <w:bCs/>
          <w:sz w:val="20"/>
          <w:szCs w:val="20"/>
        </w:rPr>
        <w:t>;</w:t>
      </w:r>
      <w:r w:rsidRPr="00EE6638">
        <w:rPr>
          <w:rFonts w:ascii="Times New Roman" w:hAnsi="Times New Roman" w:cs="Times New Roman" w:hint="eastAsia"/>
          <w:bCs/>
          <w:sz w:val="20"/>
          <w:szCs w:val="20"/>
        </w:rPr>
        <w:t>11</w:t>
      </w:r>
      <w:r w:rsidRPr="00EE6638">
        <w:rPr>
          <w:rFonts w:ascii="Times New Roman" w:hAnsi="Times New Roman" w:cs="Times New Roman"/>
          <w:bCs/>
          <w:sz w:val="20"/>
          <w:szCs w:val="20"/>
        </w:rPr>
        <w:t>(</w:t>
      </w:r>
      <w:r w:rsidRPr="00EE6638">
        <w:rPr>
          <w:rFonts w:ascii="Times New Roman" w:hAnsi="Times New Roman" w:cs="Times New Roman" w:hint="eastAsia"/>
          <w:bCs/>
          <w:sz w:val="20"/>
          <w:szCs w:val="20"/>
        </w:rPr>
        <w:t>1</w:t>
      </w:r>
      <w:r w:rsidRPr="00EE6638">
        <w:rPr>
          <w:rFonts w:ascii="Times New Roman" w:hAnsi="Times New Roman" w:cs="Times New Roman"/>
          <w:bCs/>
          <w:sz w:val="20"/>
          <w:szCs w:val="20"/>
        </w:rPr>
        <w:t>):</w:t>
      </w:r>
      <w:r w:rsidR="003A2002" w:rsidRPr="00EE6638">
        <w:rPr>
          <w:rFonts w:ascii="Times New Roman" w:hAnsi="Times New Roman" w:cs="Times New Roman"/>
          <w:noProof/>
          <w:color w:val="000000"/>
          <w:sz w:val="20"/>
          <w:szCs w:val="20"/>
        </w:rPr>
        <w:t>62-6</w:t>
      </w:r>
      <w:r w:rsidR="00EE6638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8</w:t>
      </w:r>
      <w:r w:rsidRPr="00EE6638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EE6638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EE6638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7" w:history="1">
        <w:r w:rsidRPr="00EE6638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EE6638">
        <w:rPr>
          <w:rFonts w:ascii="Times New Roman" w:hAnsi="Times New Roman" w:cs="Times New Roman"/>
          <w:bCs/>
          <w:sz w:val="20"/>
          <w:szCs w:val="20"/>
        </w:rPr>
        <w:t>.</w:t>
      </w:r>
      <w:r w:rsidRPr="00EE663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FA66A7" w:rsidRPr="00EE6638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10</w:t>
      </w:r>
      <w:r w:rsidRPr="00EE6638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EE66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Pr="00EE66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EE66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EE66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EE66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110119.</w:t>
        </w:r>
        <w:r w:rsidR="00FA66A7" w:rsidRPr="00EE66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  <w:r w:rsidRPr="00EE66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</w:hyperlink>
      <w:r w:rsidRPr="00EE66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E694E" w:rsidRPr="00EE6638" w:rsidRDefault="00CE694E" w:rsidP="00CA72D4">
      <w:pPr>
        <w:snapToGri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94E" w:rsidRPr="00EE6638" w:rsidRDefault="00CE694E" w:rsidP="00CA72D4">
      <w:pPr>
        <w:snapToGri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C22900" w:rsidRPr="00EE6638">
        <w:rPr>
          <w:rFonts w:ascii="Times New Roman" w:hAnsi="Times New Roman" w:cs="Times New Roman"/>
          <w:sz w:val="20"/>
          <w:szCs w:val="20"/>
        </w:rPr>
        <w:t>:</w:t>
      </w:r>
      <w:r w:rsidRPr="00EE6638">
        <w:rPr>
          <w:rFonts w:ascii="Times New Roman" w:hAnsi="Times New Roman" w:cs="Times New Roman"/>
          <w:sz w:val="20"/>
          <w:szCs w:val="20"/>
        </w:rPr>
        <w:t xml:space="preserve"> Beta-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; Platelet 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); Pulmonary hypertension</w:t>
      </w:r>
    </w:p>
    <w:p w:rsidR="00FA66A7" w:rsidRDefault="001A6015" w:rsidP="00CA72D4">
      <w:pPr>
        <w:snapToGrid w:val="0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EE6638">
        <w:rPr>
          <w:rFonts w:ascii="Times New Roman" w:hAnsi="Times New Roman" w:cs="Times New Roman"/>
          <w:sz w:val="20"/>
          <w:szCs w:val="20"/>
        </w:rPr>
        <w:cr/>
      </w:r>
    </w:p>
    <w:p w:rsidR="00EE6638" w:rsidRPr="00EE6638" w:rsidRDefault="00EE6638" w:rsidP="00CA72D4">
      <w:pPr>
        <w:snapToGrid w:val="0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  <w:sectPr w:rsidR="00EE6638" w:rsidRPr="00EE6638" w:rsidSect="003A2002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62"/>
          <w:cols w:space="720"/>
          <w:docGrid w:linePitch="360"/>
        </w:sectPr>
      </w:pPr>
    </w:p>
    <w:p w:rsidR="00CE694E" w:rsidRPr="00EE6638" w:rsidRDefault="00CE694E" w:rsidP="00CA72D4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One of the inherited disorders of hemoglobin synthesis is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which is characterized by ineffective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erythropoiesis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 different grades of defective β-chain manufacture, an inequality in α/β-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globin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chain synthesis and anemia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Cappellini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et al., 2012). Though the life expectation of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 has significantly improved over the last few years, they still suffer from several complications of this inherited disease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et al., 2008). Owing to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hemostatic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abnormalities, a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hypercoagulable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state exists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thalassaemic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 in early childhood, which might contribute to the cardiac and pulmonary abnormalities and the thrombotic events which happen far along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Eldor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et al., 2001).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Chronic platelet activation usually accompanies this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hypercoagulable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state that has been noticed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. The associated thrombotic risk is partially attributed to the presence of high levels of membrane-derived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(MPs), stemming from activated platelets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et al., 2013). Platelet-derived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are coagulant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subcellular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vesicles released from activated platelet (previously called platelet dust). Platelet factor 3 is mentioned as the ability of both platelet and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to facilitate coagulation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Nieuwland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et al., 2002).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lastRenderedPageBreak/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(MPs) become more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procoagulant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and more prominent when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 are intensively transfused, and this may contribute to increased risk of pulmonary hypertension, vascular dysfunction and aortic wall stiffness detected in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patients. So, their quantification may provide efficacy for early recognition of cardiovascular abnormality (Agouti et al., 2015).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The aim of this study was to assess the level of circulating platelet-derived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) as a risk factor for pulmonary hypertension and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hypercoagulable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status in Egyptian children with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major.</w:t>
      </w:r>
    </w:p>
    <w:p w:rsidR="00FA66A7" w:rsidRPr="00EE6638" w:rsidRDefault="00FA66A7" w:rsidP="00CA72D4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A66A7" w:rsidRPr="00EE6638" w:rsidRDefault="00CE694E" w:rsidP="00CA72D4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2. Patients and Methods</w:t>
      </w:r>
    </w:p>
    <w:p w:rsidR="00CE694E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This case-control study included 40 patients diagnosed as 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major (21 males and 19 females with a male to female ratio 1.1:1), 13 patients were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and 27 patients were non-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. Patients were recruited from regular attendants of the Pediatric Hematology Clinic,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Fayoum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University Hospital during the period from June to December 2016. Thirty age- and sex- matched healthy subjects were enrolled as a control group. An informed consent was obtained from the guardian of each patient and control before participation. This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 xml:space="preserve">study was reviewed and approved by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Fayoum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Faculty of Medicine Research Ethical Committee.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All patients in the study were subjected to complete thorough history taking and physical examination. Laboratory investigations were done in the form of complete blood picture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Sysmex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KX-21N Automated Hematology Analyzer,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Sysmex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Europe GmbH, Hamburg, Germany), serum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level (ARCHITECT i1000SR immunoassay analyzer, Abbott, Illinois, U.S.A.) and measurement of serum platelet-derived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using double-sandwich ELISA technique, using commercially available kit (M</w:t>
      </w:r>
      <w:r w:rsidR="00E968AC" w:rsidRPr="00EE6638">
        <w:rPr>
          <w:rFonts w:ascii="Times New Roman" w:hAnsi="Times New Roman" w:cs="Times New Roman"/>
          <w:sz w:val="20"/>
          <w:szCs w:val="20"/>
        </w:rPr>
        <w:t>y B</w:t>
      </w:r>
      <w:r w:rsidRPr="00EE6638">
        <w:rPr>
          <w:rFonts w:ascii="Times New Roman" w:hAnsi="Times New Roman" w:cs="Times New Roman"/>
          <w:sz w:val="20"/>
          <w:szCs w:val="20"/>
        </w:rPr>
        <w:t>i</w:t>
      </w:r>
      <w:r w:rsidR="00E968AC" w:rsidRPr="00EE6638">
        <w:rPr>
          <w:rFonts w:ascii="Times New Roman" w:hAnsi="Times New Roman" w:cs="Times New Roman"/>
          <w:sz w:val="20"/>
          <w:szCs w:val="20"/>
        </w:rPr>
        <w:t>o S</w:t>
      </w:r>
      <w:r w:rsidRPr="00EE6638">
        <w:rPr>
          <w:rFonts w:ascii="Times New Roman" w:hAnsi="Times New Roman" w:cs="Times New Roman"/>
          <w:sz w:val="20"/>
          <w:szCs w:val="20"/>
        </w:rPr>
        <w:t>ource, San Diego, USA). ELISA plate absorbance was read by 800 TS absorbance reader 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BioTek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Instruments, Inc., Winooski, VT, USA). </w:t>
      </w:r>
    </w:p>
    <w:p w:rsidR="00FA66A7" w:rsidRPr="00EE6638" w:rsidRDefault="00CE694E" w:rsidP="00CA72D4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Also,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Echocardiographic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(DC-70, Shenzhen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Mindray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Bio-Medical Electronics Co.</w:t>
      </w:r>
      <w:r w:rsidR="00FA66A7" w:rsidRPr="00EE6638">
        <w:rPr>
          <w:rFonts w:ascii="Times New Roman" w:hAnsi="Times New Roman" w:cs="Times New Roman"/>
          <w:sz w:val="20"/>
          <w:szCs w:val="20"/>
        </w:rPr>
        <w:t>, L</w:t>
      </w:r>
      <w:r w:rsidRPr="00EE6638">
        <w:rPr>
          <w:rFonts w:ascii="Times New Roman" w:hAnsi="Times New Roman" w:cs="Times New Roman"/>
          <w:sz w:val="20"/>
          <w:szCs w:val="20"/>
        </w:rPr>
        <w:t xml:space="preserve">td.,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Nanshan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, China) study was done for cases in the form of assessment of: estimated systolic pulmonary artery pressure, ejection fraction, fraction shortening and tricuspid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regurgitant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jet velocity.</w:t>
      </w:r>
    </w:p>
    <w:p w:rsidR="00FA66A7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Reference ranges 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echocardiographic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parameters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Egyptian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children:</w:t>
      </w:r>
    </w:p>
    <w:p w:rsidR="00FA66A7" w:rsidRPr="00EE6638" w:rsidRDefault="00CE694E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•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(Ejection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Fraction):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-84%</w:t>
      </w:r>
    </w:p>
    <w:p w:rsidR="00FA66A7" w:rsidRPr="00EE6638" w:rsidRDefault="00CE694E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•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(Fraction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shortening):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-55%</w:t>
      </w:r>
    </w:p>
    <w:p w:rsidR="00FA66A7" w:rsidRPr="00EE6638" w:rsidRDefault="00CE694E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•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ESPAP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(Estimated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systolic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artery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pressure):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-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mmHg,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ESPAP&gt;25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mmHg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rest,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sub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classified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into: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6A7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- </w:t>
      </w:r>
      <w:r w:rsidR="00CE694E" w:rsidRPr="00EE6638">
        <w:rPr>
          <w:rFonts w:ascii="Times New Roman" w:hAnsi="Times New Roman" w:cs="Times New Roman"/>
          <w:sz w:val="20"/>
          <w:szCs w:val="20"/>
        </w:rPr>
        <w:t>Mild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(25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-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40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mmHg)</w:t>
      </w:r>
    </w:p>
    <w:p w:rsidR="00FA66A7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- </w:t>
      </w:r>
      <w:r w:rsidR="00CE694E" w:rsidRPr="00EE6638">
        <w:rPr>
          <w:rFonts w:ascii="Times New Roman" w:hAnsi="Times New Roman" w:cs="Times New Roman"/>
          <w:sz w:val="20"/>
          <w:szCs w:val="20"/>
        </w:rPr>
        <w:t>Moderate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(41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-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55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mmHg)</w:t>
      </w:r>
    </w:p>
    <w:p w:rsidR="00FA66A7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- </w:t>
      </w:r>
      <w:r w:rsidR="00CE694E" w:rsidRPr="00EE6638">
        <w:rPr>
          <w:rFonts w:ascii="Times New Roman" w:hAnsi="Times New Roman" w:cs="Times New Roman"/>
          <w:sz w:val="20"/>
          <w:szCs w:val="20"/>
        </w:rPr>
        <w:t>Severe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(&gt;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55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mmHg)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(Park,</w:t>
      </w: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CE694E" w:rsidRPr="00EE6638">
        <w:rPr>
          <w:rFonts w:ascii="Times New Roman" w:hAnsi="Times New Roman" w:cs="Times New Roman"/>
          <w:sz w:val="20"/>
          <w:szCs w:val="20"/>
        </w:rPr>
        <w:t>2014)</w:t>
      </w:r>
    </w:p>
    <w:p w:rsidR="00FA66A7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6A7" w:rsidRPr="00EE6638" w:rsidRDefault="00CE694E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Analysis</w:t>
      </w:r>
    </w:p>
    <w:p w:rsidR="00FA66A7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collected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coded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facilitate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manipulation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double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entered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Microsoft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Access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analysis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performed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SPSS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software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version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18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windows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quantitative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parametric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in-depended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t-Test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measures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independent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quantitative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One-way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ANOVA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independent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quantitative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Kruskal</w:t>
      </w:r>
      <w:proofErr w:type="spellEnd"/>
      <w:r w:rsidR="00FA66A7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wallis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independent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nonparametric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Mann-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whitney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independent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nonparametric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qualitative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square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two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qualitative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Bivariate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pearson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correlation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association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variables.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≤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0.05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considered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cut-off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value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significance.</w:t>
      </w:r>
    </w:p>
    <w:p w:rsidR="00FA66A7" w:rsidRPr="00EE6638" w:rsidRDefault="00FA66A7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A66A7" w:rsidRPr="00EE6638" w:rsidRDefault="00CE694E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FA66A7" w:rsidRPr="00EE6638" w:rsidRDefault="00CE694E" w:rsidP="00FA66A7">
      <w:pPr>
        <w:snapToGri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4.1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Basic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Demographic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clinical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groups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case-control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included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recruited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from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attendants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hematology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clinic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age-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sex-matched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subjects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7.9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years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range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6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months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13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years.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Females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constituted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52.5%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males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constituted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47.5%.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from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rural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areas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75%,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positive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consanguinity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(72.5%)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similar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conditions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their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families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(70%).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FA66A7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30%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12.5%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history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infection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viral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hepatitis.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apparent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thromboembolic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vascular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disease.</w:t>
      </w:r>
    </w:p>
    <w:p w:rsidR="001A6015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Almost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half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(45%)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Deferasirox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Deferoxamine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Deferiprone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2.5%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combined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therapy: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Deferiprone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Deferasirox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17.5%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does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iron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chelating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agent.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different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types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iron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chelating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lower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hemoglobin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both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total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leucocytic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(TLC)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(Table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1).</w:t>
      </w:r>
    </w:p>
    <w:p w:rsidR="00FA66A7" w:rsidRPr="00EE6638" w:rsidRDefault="00FA66A7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FA66A7" w:rsidRPr="00EE6638" w:rsidSect="00FA66A7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CE694E" w:rsidRPr="00EE6638" w:rsidRDefault="00CE694E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E6638" w:rsidRDefault="00EE6638" w:rsidP="00CA72D4">
      <w:pPr>
        <w:snapToGrid w:val="0"/>
        <w:contextualSpacing/>
        <w:jc w:val="center"/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</w:pPr>
    </w:p>
    <w:p w:rsidR="00F14B94" w:rsidRPr="00EE6638" w:rsidRDefault="00F14B94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(1):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Comparisons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laboratory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findings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controls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272"/>
        <w:gridCol w:w="870"/>
        <w:gridCol w:w="815"/>
        <w:gridCol w:w="870"/>
        <w:gridCol w:w="671"/>
        <w:gridCol w:w="978"/>
      </w:tblGrid>
      <w:tr w:rsidR="00F14B94" w:rsidRPr="00EE6638" w:rsidTr="001A6015">
        <w:trPr>
          <w:jc w:val="center"/>
        </w:trPr>
        <w:tc>
          <w:tcPr>
            <w:tcW w:w="2782" w:type="pct"/>
            <w:vMerge w:val="restar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889" w:type="pct"/>
            <w:gridSpan w:val="2"/>
            <w:vAlign w:val="center"/>
          </w:tcPr>
          <w:p w:rsidR="00F14B94" w:rsidRPr="00EE6638" w:rsidRDefault="00F14B94" w:rsidP="00FA66A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Cases</w:t>
            </w:r>
            <w:r w:rsidR="00FA66A7" w:rsidRPr="00EE6638"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(n=40)</w:t>
            </w:r>
          </w:p>
        </w:tc>
        <w:tc>
          <w:tcPr>
            <w:tcW w:w="813" w:type="pct"/>
            <w:gridSpan w:val="2"/>
            <w:shd w:val="clear" w:color="auto" w:fill="F2F2F2" w:themeFill="background1" w:themeFillShade="F2"/>
            <w:vAlign w:val="center"/>
          </w:tcPr>
          <w:p w:rsidR="00F14B94" w:rsidRPr="00EE6638" w:rsidRDefault="00F14B94" w:rsidP="00FA66A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Controls</w:t>
            </w:r>
            <w:r w:rsidR="00FA66A7" w:rsidRPr="00EE6638"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(n=30)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</w:tr>
      <w:tr w:rsidR="001A6015" w:rsidRPr="00EE6638" w:rsidTr="001A6015">
        <w:trPr>
          <w:jc w:val="center"/>
        </w:trPr>
        <w:tc>
          <w:tcPr>
            <w:tcW w:w="2782" w:type="pct"/>
            <w:vMerge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430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6015" w:rsidRPr="00EE6638" w:rsidTr="001A6015">
        <w:trPr>
          <w:jc w:val="center"/>
        </w:trPr>
        <w:tc>
          <w:tcPr>
            <w:tcW w:w="2782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Hb</w:t>
            </w:r>
            <w:proofErr w:type="spellEnd"/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level</w:t>
            </w:r>
          </w:p>
        </w:tc>
        <w:tc>
          <w:tcPr>
            <w:tcW w:w="459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430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10.6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1A6015" w:rsidRPr="00EE6638" w:rsidTr="001A6015">
        <w:trPr>
          <w:jc w:val="center"/>
        </w:trPr>
        <w:tc>
          <w:tcPr>
            <w:tcW w:w="2782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Platelet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count</w:t>
            </w:r>
          </w:p>
        </w:tc>
        <w:tc>
          <w:tcPr>
            <w:tcW w:w="459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338.8</w:t>
            </w:r>
          </w:p>
        </w:tc>
        <w:tc>
          <w:tcPr>
            <w:tcW w:w="430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149.3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87.8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</w:tr>
      <w:tr w:rsidR="001A6015" w:rsidRPr="00EE6638" w:rsidTr="001A6015">
        <w:trPr>
          <w:jc w:val="center"/>
        </w:trPr>
        <w:tc>
          <w:tcPr>
            <w:tcW w:w="2782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Total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leucocytes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count</w:t>
            </w:r>
          </w:p>
        </w:tc>
        <w:tc>
          <w:tcPr>
            <w:tcW w:w="459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12.7</w:t>
            </w:r>
          </w:p>
        </w:tc>
        <w:tc>
          <w:tcPr>
            <w:tcW w:w="430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1A6015" w:rsidRPr="00EE6638" w:rsidTr="001A6015">
        <w:trPr>
          <w:jc w:val="center"/>
        </w:trPr>
        <w:tc>
          <w:tcPr>
            <w:tcW w:w="2782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Serum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Platelet-derived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micro-particles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level</w:t>
            </w:r>
          </w:p>
        </w:tc>
        <w:tc>
          <w:tcPr>
            <w:tcW w:w="459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1.85</w:t>
            </w:r>
          </w:p>
        </w:tc>
        <w:tc>
          <w:tcPr>
            <w:tcW w:w="430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&lt;0.001</w:t>
            </w:r>
          </w:p>
        </w:tc>
      </w:tr>
    </w:tbl>
    <w:p w:rsidR="00FA66A7" w:rsidRDefault="00FA66A7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E6638" w:rsidRPr="00EE6638" w:rsidRDefault="00EE6638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FA66A7" w:rsidRPr="00EE6638" w:rsidRDefault="00FA66A7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A66A7" w:rsidRPr="00EE6638" w:rsidSect="001A6015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CE694E" w:rsidRPr="00EE6638" w:rsidRDefault="00CE694E" w:rsidP="00FA66A7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lastRenderedPageBreak/>
        <w:t>4.2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sz w:val="20"/>
          <w:szCs w:val="20"/>
        </w:rPr>
        <w:t>ferritin</w:t>
      </w:r>
      <w:proofErr w:type="spellEnd"/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level</w:t>
      </w:r>
    </w:p>
    <w:p w:rsidR="00795776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24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children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(almost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half)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anemia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(48%).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anemic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appeared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iron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deficiency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anemia;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reduced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both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iron&lt;50mcg/dl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&lt;10ng/ml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elevated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TIBC&gt;350mcg/dl.</w:t>
      </w:r>
    </w:p>
    <w:p w:rsidR="001A6015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&lt;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1000ng/dl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25%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1000-2500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/dl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35%,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40%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&gt;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2500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/dl.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statistically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value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lastRenderedPageBreak/>
        <w:t>ferritin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&gt;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2500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/dl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(p-value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0.02)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(Table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showed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associated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concomitant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</w:p>
    <w:p w:rsidR="00FA66A7" w:rsidRPr="00EE6638" w:rsidRDefault="00FA66A7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FA66A7" w:rsidRPr="00EE6638" w:rsidSect="00FA66A7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A66A7" w:rsidRPr="00EE6638" w:rsidRDefault="00FA66A7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</w:p>
    <w:p w:rsidR="00EE6638" w:rsidRDefault="00EE6638" w:rsidP="00CA72D4">
      <w:pPr>
        <w:snapToGrid w:val="0"/>
        <w:contextualSpacing/>
        <w:jc w:val="center"/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eastAsia="zh-CN"/>
        </w:rPr>
      </w:pPr>
    </w:p>
    <w:p w:rsidR="00F14B94" w:rsidRPr="00EE6638" w:rsidRDefault="00F14B94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(2):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ferritin</w:t>
      </w:r>
      <w:proofErr w:type="spellEnd"/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level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70"/>
        <w:gridCol w:w="2981"/>
        <w:gridCol w:w="1831"/>
        <w:gridCol w:w="1094"/>
      </w:tblGrid>
      <w:tr w:rsidR="00F14B94" w:rsidRPr="00EE6638" w:rsidTr="001A6015">
        <w:trPr>
          <w:jc w:val="center"/>
        </w:trPr>
        <w:tc>
          <w:tcPr>
            <w:tcW w:w="1884" w:type="pct"/>
            <w:vMerge w:val="restar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Ferritin</w:t>
            </w:r>
            <w:proofErr w:type="spellEnd"/>
          </w:p>
        </w:tc>
        <w:tc>
          <w:tcPr>
            <w:tcW w:w="2539" w:type="pct"/>
            <w:gridSpan w:val="2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Serum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level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PDMPs</w:t>
            </w:r>
            <w:proofErr w:type="spellEnd"/>
          </w:p>
        </w:tc>
        <w:tc>
          <w:tcPr>
            <w:tcW w:w="577" w:type="pct"/>
            <w:vMerge w:val="restar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</w:tr>
      <w:tr w:rsidR="00F14B94" w:rsidRPr="00EE6638" w:rsidTr="001A6015">
        <w:trPr>
          <w:jc w:val="center"/>
        </w:trPr>
        <w:tc>
          <w:tcPr>
            <w:tcW w:w="1884" w:type="pct"/>
            <w:vMerge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966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577" w:type="pct"/>
            <w:vMerge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4B94" w:rsidRPr="00EE6638" w:rsidTr="001A6015">
        <w:trPr>
          <w:jc w:val="center"/>
        </w:trPr>
        <w:tc>
          <w:tcPr>
            <w:tcW w:w="1884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&lt;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1000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ng</w:t>
            </w:r>
            <w:proofErr w:type="spellEnd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/dl</w:t>
            </w:r>
          </w:p>
        </w:tc>
        <w:tc>
          <w:tcPr>
            <w:tcW w:w="1573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966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577" w:type="pct"/>
            <w:vMerge w:val="restar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F14B94" w:rsidRPr="00EE6638" w:rsidTr="001A6015">
        <w:trPr>
          <w:jc w:val="center"/>
        </w:trPr>
        <w:tc>
          <w:tcPr>
            <w:tcW w:w="1884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1000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-2500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ng</w:t>
            </w:r>
            <w:proofErr w:type="spellEnd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/dl</w:t>
            </w:r>
          </w:p>
        </w:tc>
        <w:tc>
          <w:tcPr>
            <w:tcW w:w="1573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966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577" w:type="pct"/>
            <w:vMerge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4B94" w:rsidRPr="00EE6638" w:rsidTr="001A6015">
        <w:trPr>
          <w:jc w:val="center"/>
        </w:trPr>
        <w:tc>
          <w:tcPr>
            <w:tcW w:w="1884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&gt;2500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ng</w:t>
            </w:r>
            <w:proofErr w:type="spellEnd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/dl</w:t>
            </w:r>
          </w:p>
        </w:tc>
        <w:tc>
          <w:tcPr>
            <w:tcW w:w="1573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966" w:type="pct"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577" w:type="pct"/>
            <w:vMerge/>
            <w:vAlign w:val="center"/>
          </w:tcPr>
          <w:p w:rsidR="00F14B94" w:rsidRPr="00EE6638" w:rsidRDefault="00F14B94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A66A7" w:rsidRDefault="00FA66A7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E6638" w:rsidRPr="00EE6638" w:rsidRDefault="00EE6638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FA66A7" w:rsidRPr="00EE6638" w:rsidRDefault="00FA66A7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A66A7" w:rsidRPr="00EE6638" w:rsidSect="001A6015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CE694E" w:rsidRPr="00EE6638" w:rsidRDefault="00CE694E" w:rsidP="00FA66A7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lastRenderedPageBreak/>
        <w:t>4.3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Correlation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selected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laboratory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investigations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A6015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There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statistically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correlation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micro-particles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duration,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onset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frequency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blood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transfusion.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statistically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correlation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micro-particles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laboratory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investigations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including: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(HB,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PLT</w:t>
      </w:r>
      <w:r w:rsidR="00FA66A7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TLC)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(Table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3).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known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next,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together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some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selected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lab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parameters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ones.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shown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Table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ESPAP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(p&lt;0.05).</w:t>
      </w:r>
    </w:p>
    <w:p w:rsidR="00FA66A7" w:rsidRPr="00EE6638" w:rsidRDefault="00FA66A7" w:rsidP="00CA72D4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FA66A7" w:rsidRPr="00EE6638" w:rsidSect="00FA66A7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E6638" w:rsidRDefault="001A6015" w:rsidP="00CA72D4">
      <w:pPr>
        <w:snapToGrid w:val="0"/>
        <w:contextualSpacing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EE6638">
        <w:rPr>
          <w:rFonts w:ascii="Times New Roman" w:hAnsi="Times New Roman" w:cs="Times New Roman"/>
          <w:sz w:val="20"/>
          <w:szCs w:val="20"/>
        </w:rPr>
        <w:lastRenderedPageBreak/>
        <w:cr/>
      </w:r>
    </w:p>
    <w:p w:rsidR="00DB6A3D" w:rsidRPr="00EE6638" w:rsidRDefault="00DB6A3D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(3):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Correlation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investigations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41"/>
        <w:gridCol w:w="2587"/>
        <w:gridCol w:w="3648"/>
      </w:tblGrid>
      <w:tr w:rsidR="00DB6A3D" w:rsidRPr="00EE6638" w:rsidTr="001A6015">
        <w:trPr>
          <w:jc w:val="center"/>
        </w:trPr>
        <w:tc>
          <w:tcPr>
            <w:tcW w:w="1710" w:type="pct"/>
            <w:vMerge w:val="restar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3290" w:type="pct"/>
            <w:gridSpan w:val="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Serum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Platelet-derived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micro-particles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level</w:t>
            </w:r>
          </w:p>
        </w:tc>
      </w:tr>
      <w:tr w:rsidR="00DB6A3D" w:rsidRPr="00EE6638" w:rsidTr="001A6015">
        <w:trPr>
          <w:jc w:val="center"/>
        </w:trPr>
        <w:tc>
          <w:tcPr>
            <w:tcW w:w="1710" w:type="pct"/>
            <w:vMerge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92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DB6A3D" w:rsidRPr="00EE6638" w:rsidTr="001A6015">
        <w:trPr>
          <w:jc w:val="center"/>
        </w:trPr>
        <w:tc>
          <w:tcPr>
            <w:tcW w:w="1710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Hb</w:t>
            </w:r>
            <w:proofErr w:type="spellEnd"/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level</w:t>
            </w:r>
          </w:p>
        </w:tc>
        <w:tc>
          <w:tcPr>
            <w:tcW w:w="136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-0.13</w:t>
            </w:r>
          </w:p>
        </w:tc>
        <w:tc>
          <w:tcPr>
            <w:tcW w:w="192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0.4</w:t>
            </w:r>
          </w:p>
        </w:tc>
      </w:tr>
      <w:tr w:rsidR="00DB6A3D" w:rsidRPr="00EE6638" w:rsidTr="001A6015">
        <w:trPr>
          <w:jc w:val="center"/>
        </w:trPr>
        <w:tc>
          <w:tcPr>
            <w:tcW w:w="1710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Platelet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count</w:t>
            </w:r>
          </w:p>
        </w:tc>
        <w:tc>
          <w:tcPr>
            <w:tcW w:w="136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0.21</w:t>
            </w:r>
          </w:p>
        </w:tc>
        <w:tc>
          <w:tcPr>
            <w:tcW w:w="192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0.2</w:t>
            </w:r>
          </w:p>
        </w:tc>
      </w:tr>
      <w:tr w:rsidR="00DB6A3D" w:rsidRPr="00EE6638" w:rsidTr="001A6015">
        <w:trPr>
          <w:jc w:val="center"/>
        </w:trPr>
        <w:tc>
          <w:tcPr>
            <w:tcW w:w="1710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Total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leucocytes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count</w:t>
            </w:r>
          </w:p>
        </w:tc>
        <w:tc>
          <w:tcPr>
            <w:tcW w:w="136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92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0.9</w:t>
            </w:r>
          </w:p>
        </w:tc>
      </w:tr>
      <w:tr w:rsidR="00DB6A3D" w:rsidRPr="00EE6638" w:rsidTr="001A6015">
        <w:trPr>
          <w:jc w:val="center"/>
        </w:trPr>
        <w:tc>
          <w:tcPr>
            <w:tcW w:w="1710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ESPAP</w:t>
            </w:r>
          </w:p>
        </w:tc>
        <w:tc>
          <w:tcPr>
            <w:tcW w:w="136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0.21</w:t>
            </w:r>
          </w:p>
        </w:tc>
        <w:tc>
          <w:tcPr>
            <w:tcW w:w="192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0.2</w:t>
            </w:r>
          </w:p>
        </w:tc>
      </w:tr>
    </w:tbl>
    <w:p w:rsidR="00DB6A3D" w:rsidRPr="00EE6638" w:rsidRDefault="00DB6A3D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6A3D" w:rsidRPr="00EE6638" w:rsidRDefault="00DB6A3D" w:rsidP="00CA72D4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(4):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Different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Investigations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splenectomy</w:t>
      </w:r>
      <w:proofErr w:type="spellEnd"/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733"/>
        <w:gridCol w:w="1132"/>
        <w:gridCol w:w="1132"/>
        <w:gridCol w:w="1131"/>
        <w:gridCol w:w="1131"/>
        <w:gridCol w:w="1217"/>
      </w:tblGrid>
      <w:tr w:rsidR="00DB6A3D" w:rsidRPr="00EE6638" w:rsidTr="001A6015">
        <w:trPr>
          <w:jc w:val="center"/>
        </w:trPr>
        <w:tc>
          <w:tcPr>
            <w:tcW w:w="1969" w:type="pct"/>
            <w:vMerge w:val="restar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Investigations</w:t>
            </w:r>
          </w:p>
        </w:tc>
        <w:tc>
          <w:tcPr>
            <w:tcW w:w="2388" w:type="pct"/>
            <w:gridSpan w:val="4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Splenectomy</w:t>
            </w:r>
            <w:proofErr w:type="spellEnd"/>
          </w:p>
        </w:tc>
        <w:tc>
          <w:tcPr>
            <w:tcW w:w="642" w:type="pct"/>
            <w:vMerge w:val="restar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Merge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(n=28)</w:t>
            </w:r>
          </w:p>
        </w:tc>
        <w:tc>
          <w:tcPr>
            <w:tcW w:w="1194" w:type="pct"/>
            <w:gridSpan w:val="2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(n=12)</w:t>
            </w:r>
          </w:p>
        </w:tc>
        <w:tc>
          <w:tcPr>
            <w:tcW w:w="642" w:type="pct"/>
            <w:vMerge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Merge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642" w:type="pct"/>
            <w:vMerge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</w:t>
            </w:r>
            <w:proofErr w:type="spellEnd"/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level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(g/</w:t>
            </w: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</w:t>
            </w:r>
            <w:proofErr w:type="spellEnd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Platelet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count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(cells/mm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297.4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74.3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435.5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225.6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0.006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TLC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(cells/mm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16.4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Serum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PDMPs</w:t>
            </w:r>
            <w:proofErr w:type="spellEnd"/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2.37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2.22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0.029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Serum</w:t>
            </w:r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ferritin</w:t>
            </w:r>
            <w:proofErr w:type="spellEnd"/>
            <w:r w:rsidR="001A6015"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1867.9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1257.4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2485.5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1236.4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0.128</w:t>
            </w:r>
          </w:p>
        </w:tc>
      </w:tr>
      <w:tr w:rsidR="00DB6A3D" w:rsidRPr="00EE6638" w:rsidTr="001A6015">
        <w:trPr>
          <w:jc w:val="center"/>
        </w:trPr>
        <w:tc>
          <w:tcPr>
            <w:tcW w:w="1969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ESPAP</w:t>
            </w: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24.8</w:t>
            </w:r>
          </w:p>
        </w:tc>
        <w:tc>
          <w:tcPr>
            <w:tcW w:w="597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33.8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64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</w:tbl>
    <w:p w:rsidR="00CE694E" w:rsidRPr="00EE6638" w:rsidRDefault="00DB6A3D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bidi="ar-EG"/>
        </w:rPr>
        <w:t>*</w:t>
      </w:r>
      <w:r w:rsidR="001A6015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bidi="ar-EG"/>
        </w:rPr>
        <w:t xml:space="preserve"> </w:t>
      </w:r>
      <w:r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>Estimated</w:t>
      </w:r>
      <w:r w:rsidR="001A6015"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>systolic</w:t>
      </w:r>
      <w:r w:rsidR="001A6015"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>pulmonary</w:t>
      </w:r>
      <w:r w:rsidR="001A6015"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>artery</w:t>
      </w:r>
      <w:r w:rsidR="001A6015"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EE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EG"/>
        </w:rPr>
        <w:t>pressure</w:t>
      </w:r>
    </w:p>
    <w:p w:rsidR="001A6015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6A3D" w:rsidRPr="00EE6638" w:rsidRDefault="001A6015" w:rsidP="00FA66A7">
      <w:pPr>
        <w:snapToGri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able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(5):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Description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Echo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parameters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among</w:t>
      </w:r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B6A3D" w:rsidRPr="00EE66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cases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26"/>
        <w:gridCol w:w="2058"/>
        <w:gridCol w:w="2128"/>
        <w:gridCol w:w="1279"/>
        <w:gridCol w:w="785"/>
      </w:tblGrid>
      <w:tr w:rsidR="00DB6A3D" w:rsidRPr="00EE6638" w:rsidTr="001A6015">
        <w:trPr>
          <w:jc w:val="center"/>
        </w:trPr>
        <w:tc>
          <w:tcPr>
            <w:tcW w:w="170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Variable</w:t>
            </w:r>
          </w:p>
        </w:tc>
        <w:tc>
          <w:tcPr>
            <w:tcW w:w="1086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Minimum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123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Maximum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Mean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SD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</w:p>
        </w:tc>
      </w:tr>
      <w:tr w:rsidR="00DB6A3D" w:rsidRPr="00EE6638" w:rsidTr="001A6015">
        <w:trPr>
          <w:jc w:val="center"/>
        </w:trPr>
        <w:tc>
          <w:tcPr>
            <w:tcW w:w="170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EF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(%)</w:t>
            </w:r>
          </w:p>
        </w:tc>
        <w:tc>
          <w:tcPr>
            <w:tcW w:w="1086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60</w:t>
            </w:r>
          </w:p>
        </w:tc>
        <w:tc>
          <w:tcPr>
            <w:tcW w:w="1123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83</w:t>
            </w:r>
          </w:p>
        </w:tc>
        <w:tc>
          <w:tcPr>
            <w:tcW w:w="67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68.3</w:t>
            </w:r>
          </w:p>
        </w:tc>
        <w:tc>
          <w:tcPr>
            <w:tcW w:w="41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6.2</w:t>
            </w:r>
          </w:p>
        </w:tc>
      </w:tr>
      <w:tr w:rsidR="00DB6A3D" w:rsidRPr="00EE6638" w:rsidTr="001A6015">
        <w:trPr>
          <w:jc w:val="center"/>
        </w:trPr>
        <w:tc>
          <w:tcPr>
            <w:tcW w:w="170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FS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(%)</w:t>
            </w:r>
          </w:p>
        </w:tc>
        <w:tc>
          <w:tcPr>
            <w:tcW w:w="1086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25</w:t>
            </w:r>
          </w:p>
        </w:tc>
        <w:tc>
          <w:tcPr>
            <w:tcW w:w="1123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51</w:t>
            </w:r>
          </w:p>
        </w:tc>
        <w:tc>
          <w:tcPr>
            <w:tcW w:w="67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37.8</w:t>
            </w:r>
          </w:p>
        </w:tc>
        <w:tc>
          <w:tcPr>
            <w:tcW w:w="41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5.6</w:t>
            </w:r>
          </w:p>
        </w:tc>
      </w:tr>
      <w:tr w:rsidR="00DB6A3D" w:rsidRPr="00EE6638" w:rsidTr="001A6015">
        <w:trPr>
          <w:jc w:val="center"/>
        </w:trPr>
        <w:tc>
          <w:tcPr>
            <w:tcW w:w="170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ESPAP</w:t>
            </w:r>
            <w:r w:rsidR="001A6015"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 xml:space="preserve"> </w:t>
            </w: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(mmHg)</w:t>
            </w:r>
          </w:p>
        </w:tc>
        <w:tc>
          <w:tcPr>
            <w:tcW w:w="1086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18</w:t>
            </w:r>
          </w:p>
        </w:tc>
        <w:tc>
          <w:tcPr>
            <w:tcW w:w="1123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50</w:t>
            </w:r>
          </w:p>
        </w:tc>
        <w:tc>
          <w:tcPr>
            <w:tcW w:w="67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27.1</w:t>
            </w:r>
          </w:p>
        </w:tc>
        <w:tc>
          <w:tcPr>
            <w:tcW w:w="41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8.3</w:t>
            </w:r>
          </w:p>
        </w:tc>
      </w:tr>
      <w:tr w:rsidR="00DB6A3D" w:rsidRPr="00EE6638" w:rsidTr="001A6015">
        <w:trPr>
          <w:jc w:val="center"/>
        </w:trPr>
        <w:tc>
          <w:tcPr>
            <w:tcW w:w="1702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EG"/>
              </w:rPr>
              <w:t>TR</w:t>
            </w:r>
          </w:p>
        </w:tc>
        <w:tc>
          <w:tcPr>
            <w:tcW w:w="1086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</w:t>
            </w:r>
          </w:p>
        </w:tc>
        <w:tc>
          <w:tcPr>
            <w:tcW w:w="1123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40</w:t>
            </w:r>
          </w:p>
        </w:tc>
        <w:tc>
          <w:tcPr>
            <w:tcW w:w="675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17.2</w:t>
            </w:r>
          </w:p>
        </w:tc>
        <w:tc>
          <w:tcPr>
            <w:tcW w:w="414" w:type="pct"/>
            <w:vAlign w:val="center"/>
          </w:tcPr>
          <w:p w:rsidR="00DB6A3D" w:rsidRPr="00EE6638" w:rsidRDefault="00DB6A3D" w:rsidP="00CA72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6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8.8</w:t>
            </w:r>
          </w:p>
        </w:tc>
      </w:tr>
    </w:tbl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E6638" w:rsidRPr="00EE6638" w:rsidRDefault="00EE6638" w:rsidP="00FA66A7">
      <w:pPr>
        <w:snapToGrid w:val="0"/>
        <w:ind w:left="425" w:hanging="425"/>
        <w:contextualSpacing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  <w:sectPr w:rsidR="00EE6638" w:rsidRPr="00EE6638" w:rsidSect="001A6015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795776" w:rsidRPr="00EE6638" w:rsidRDefault="00F74D7C" w:rsidP="00FA66A7">
      <w:pPr>
        <w:snapToGri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zh-CN"/>
        </w:rPr>
        <w:lastRenderedPageBreak/>
        <w:drawing>
          <wp:inline distT="0" distB="0" distL="0" distR="0">
            <wp:extent cx="2771554" cy="20037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33" cy="20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8C" w:rsidRPr="00EE6638" w:rsidRDefault="0053116A" w:rsidP="00FA66A7">
      <w:pPr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(1):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artery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pressure.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(ESPAP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&gt;25)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(N=19)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1.51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±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1.82,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(ESPAP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&lt;25)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(N=21)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0.46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±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0.36.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Difference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statistically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(p=0.034).</w:t>
      </w:r>
    </w:p>
    <w:p w:rsidR="00A574D2" w:rsidRDefault="00A574D2" w:rsidP="00CA72D4">
      <w:pPr>
        <w:snapToGrid w:val="0"/>
        <w:ind w:left="425" w:hanging="425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E6638" w:rsidRPr="00EE6638" w:rsidRDefault="00EE6638" w:rsidP="00CA72D4">
      <w:pPr>
        <w:snapToGrid w:val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A66A7" w:rsidRPr="00EE6638" w:rsidRDefault="00FA66A7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 xml:space="preserve">Regarding Echo findings, 14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 xml:space="preserve"> cases (35%) had mild pulmonary hypertension while 6 cases (15%) had moderate pulmonary hypertension. None of our studied patients had systolic dysfunction (Ejection fraction in all patients was &gt; 55%) as presented in Table 5. We found that PDMP was higher in patients with pulmonary hypertension with significant difference (p-value = 0.034) (Figure 1).</w:t>
      </w:r>
    </w:p>
    <w:p w:rsidR="00FA66A7" w:rsidRPr="00EE6638" w:rsidRDefault="00FA66A7" w:rsidP="00CA72D4">
      <w:pPr>
        <w:snapToGrid w:val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A66A7" w:rsidRPr="00EE6638" w:rsidRDefault="00FA66A7" w:rsidP="00CA72D4">
      <w:pPr>
        <w:snapToGrid w:val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CE694E" w:rsidRPr="00EE6638" w:rsidRDefault="00CE694E" w:rsidP="00CA72D4">
      <w:pPr>
        <w:snapToGrid w:val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1A6015" w:rsidRPr="00EE66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It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visions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association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defective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hemoglobin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synthesis,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RBC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perturbation,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pathophysiological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complications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detected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assessment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circulating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which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simple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consistent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method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Pattanapanyasat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2004).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current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incidence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consanguineous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marriages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(72.5%)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un-related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ones.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Which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(Khan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2015;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2015).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expected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CBC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lower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(6.2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10.6).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hand,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still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low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according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reference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range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normal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sex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University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Iowa,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Department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Pathology,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"Pediatric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Reference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Ranges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-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Laboratory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Services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Handbook”,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2017);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48%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anemia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which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appeared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microcytic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hypochromic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type.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lastRenderedPageBreak/>
        <w:t>WBCs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usually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elevated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due,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miscounting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many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nucleated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RBCs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leukocytes.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Leukocytosis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usually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present,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after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excluding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nucleated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RBCs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hemolysis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post-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sequelae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Therefore,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wasn’t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surprising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find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WBCs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(12.7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8.8).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measurement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different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FA66A7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(1.85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0.71)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p-value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&lt;0.001.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consistent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PDMPS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&lt;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0.001)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2013;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Agouti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2015).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serum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&gt;2500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/ml,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suggesting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relationship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iron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overload.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results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agreement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2013;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Elsayh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2013).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Thirty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percent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(12/40)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underwent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11.3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7.9),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longer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duration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10.8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6.6),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435.5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297.4)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PDMP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(2.22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0.73)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counterparts.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could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result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amounts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blood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circulation.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MPs,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especially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from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efficiency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prothombinase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complexes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Chaichompoo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2012).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One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leading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cause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mortality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morbidity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cardiovascular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involvement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Aessopos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2007).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seems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happen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commonly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early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cardiac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involvement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(Du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1997).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clinically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asymptomatic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cardiopulmonary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abnormalities.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Screening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risk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performed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non-invasive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M-mode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Doppler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echocardiography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different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modalities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evaluate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left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ventricular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function,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artery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pressure,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tricuspid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regurgitant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velocity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(TRV).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Echocardiography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non-invasive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method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estimate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pressures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measuring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TRV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(Gladwin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2008).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50%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(20/40)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Fourteen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six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moderate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consistent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data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groups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Dedeoglu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Bornaun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2017;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(2013).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value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which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splenectomized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2013).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None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systolic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dysfunction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&gt;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50%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ranging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between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60-83%)</w:t>
      </w:r>
      <w:r w:rsidR="00FA66A7" w:rsidRPr="00EE6638">
        <w:rPr>
          <w:rFonts w:ascii="Times New Roman" w:hAnsi="Times New Roman" w:cs="Times New Roman"/>
          <w:sz w:val="20"/>
          <w:szCs w:val="20"/>
        </w:rPr>
        <w:t>. T</w:t>
      </w:r>
      <w:r w:rsidRPr="00EE6638">
        <w:rPr>
          <w:rFonts w:ascii="Times New Roman" w:hAnsi="Times New Roman" w:cs="Times New Roman"/>
          <w:sz w:val="20"/>
          <w:szCs w:val="20"/>
        </w:rPr>
        <w:t>hese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findings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agreement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other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Abhay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2016;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Eshaqhosseni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2014).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hemodynamic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effects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associated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anemia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assisted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maintain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average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ejection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fraction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myocardial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fiber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shortening.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explain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failure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detect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impaired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ventricular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systolic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function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Eshaqhosseni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2014).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PDMP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normal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artery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pressure.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consistent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Ogawa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who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PDMP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involved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pathogenesis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found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those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Kqiku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reported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overall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fraction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MPs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</w:p>
    <w:p w:rsidR="00CE694E" w:rsidRPr="00EE6638" w:rsidRDefault="00CE694E" w:rsidP="00FA66A7">
      <w:pPr>
        <w:snapToGrid w:val="0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None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experienced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thromboembolic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(TEE).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However,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Borgna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(1998)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surveyed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nine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italian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centers,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observing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4%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683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TM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9.6%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52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TI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experienced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TEE.23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above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years,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family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history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previous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identified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risk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factors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thrombosis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TI.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Moreover,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receiving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aspirin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therapy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lower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recurrent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TEE.</w:t>
      </w:r>
    </w:p>
    <w:p w:rsidR="0075098C" w:rsidRPr="00EE6638" w:rsidRDefault="00CE694E" w:rsidP="00FA66A7">
      <w:pPr>
        <w:snapToGrid w:val="0"/>
        <w:ind w:firstLine="425"/>
        <w:contextualSpacing/>
        <w:jc w:val="both"/>
        <w:rPr>
          <w:rFonts w:ascii="Times New Roman" w:eastAsia="宋体" w:hAnsi="Times New Roman" w:cs="Times New Roman"/>
          <w:sz w:val="20"/>
          <w:szCs w:val="20"/>
          <w:lang w:eastAsia="zh-CN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elevated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compared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healthy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controls.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Fifty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percent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our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had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mild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moderate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PDMP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significantly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suggest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that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increased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implicated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vascular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dysfunction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risk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observed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Assessment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PDMPs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might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provide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efficacy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early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detection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cardiovascular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abnormalities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monitoring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biological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efficiency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chelation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therapy.</w:t>
      </w:r>
    </w:p>
    <w:p w:rsidR="001A6015" w:rsidRPr="00EE6638" w:rsidRDefault="006D681E" w:rsidP="00FA66A7">
      <w:pPr>
        <w:pStyle w:val="Title"/>
        <w:snapToGrid w:val="0"/>
        <w:spacing w:before="0" w:after="0" w:line="240" w:lineRule="auto"/>
        <w:ind w:firstLine="425"/>
        <w:contextualSpacing/>
        <w:jc w:val="both"/>
        <w:rPr>
          <w:rFonts w:ascii="Times New Roman" w:hAnsi="Times New Roman"/>
          <w:b w:val="0"/>
          <w:bCs w:val="0"/>
          <w:color w:val="000000" w:themeColor="text1"/>
          <w:kern w:val="0"/>
          <w:sz w:val="20"/>
          <w:szCs w:val="20"/>
        </w:rPr>
      </w:pP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We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showed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that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Platelet-derived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(</w:t>
      </w:r>
      <w:proofErr w:type="spellStart"/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PDMPs</w:t>
      </w:r>
      <w:proofErr w:type="spellEnd"/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)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is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implicated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in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vascular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dysfunction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and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the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risk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of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pulmonary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hypertension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in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patients.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Their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quantification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could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provide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utility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for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early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detection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of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cardiovascular</w:t>
      </w:r>
      <w:r w:rsidR="001A6015"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EE6638">
        <w:rPr>
          <w:rFonts w:ascii="Times New Roman" w:hAnsi="Times New Roman"/>
          <w:b w:val="0"/>
          <w:bCs w:val="0"/>
          <w:kern w:val="0"/>
          <w:sz w:val="20"/>
          <w:szCs w:val="20"/>
        </w:rPr>
        <w:t>abnormalities.</w:t>
      </w:r>
    </w:p>
    <w:p w:rsidR="006D681E" w:rsidRDefault="006D681E" w:rsidP="00FA66A7">
      <w:pPr>
        <w:snapToGrid w:val="0"/>
        <w:ind w:firstLine="425"/>
        <w:contextualSpacing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</w:pPr>
    </w:p>
    <w:p w:rsidR="00EE6638" w:rsidRDefault="00EE6638" w:rsidP="00FA66A7">
      <w:pPr>
        <w:snapToGrid w:val="0"/>
        <w:ind w:firstLine="425"/>
        <w:contextualSpacing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</w:pPr>
    </w:p>
    <w:p w:rsidR="00EE6638" w:rsidRPr="00EE6638" w:rsidRDefault="00EE6638" w:rsidP="00FA66A7">
      <w:pPr>
        <w:snapToGrid w:val="0"/>
        <w:ind w:firstLine="425"/>
        <w:contextualSpacing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</w:pPr>
    </w:p>
    <w:p w:rsidR="00EE6638" w:rsidRDefault="00EE6638" w:rsidP="00FA66A7">
      <w:pPr>
        <w:snapToGrid w:val="0"/>
        <w:contextualSpacing/>
        <w:jc w:val="both"/>
        <w:rPr>
          <w:rFonts w:ascii="Times New Roman" w:hAnsi="Times New Roman" w:cs="Times New Roman" w:hint="eastAsia"/>
          <w:b/>
          <w:iCs/>
          <w:color w:val="000000" w:themeColor="text1"/>
          <w:sz w:val="20"/>
          <w:szCs w:val="20"/>
          <w:lang w:eastAsia="zh-CN"/>
        </w:rPr>
      </w:pPr>
    </w:p>
    <w:p w:rsidR="006D681E" w:rsidRPr="00EE6638" w:rsidRDefault="006D681E" w:rsidP="00FA66A7">
      <w:pPr>
        <w:snapToGrid w:val="0"/>
        <w:contextualSpacing/>
        <w:jc w:val="both"/>
        <w:rPr>
          <w:rFonts w:ascii="Times New Roman" w:eastAsia="宋体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EE663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Corresponding</w:t>
      </w:r>
      <w:r w:rsidR="001A6015" w:rsidRPr="00EE663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author</w:t>
      </w:r>
      <w:r w:rsidRPr="00EE6638">
        <w:rPr>
          <w:rFonts w:ascii="Times New Roman" w:eastAsia="宋体" w:hAnsi="Times New Roman" w:cs="Times New Roman" w:hint="eastAsia"/>
          <w:b/>
          <w:color w:val="000000" w:themeColor="text1"/>
          <w:sz w:val="20"/>
          <w:szCs w:val="20"/>
          <w:lang w:eastAsia="zh-CN"/>
        </w:rPr>
        <w:t>:</w:t>
      </w:r>
    </w:p>
    <w:p w:rsidR="006D681E" w:rsidRPr="00EE6638" w:rsidRDefault="006D681E" w:rsidP="00FA66A7">
      <w:pPr>
        <w:adjustRightInd w:val="0"/>
        <w:snapToGrid w:val="0"/>
        <w:contextualSpacing/>
        <w:jc w:val="both"/>
        <w:rPr>
          <w:rFonts w:ascii="Times New Roman" w:eastAsia="宋体" w:hAnsi="Times New Roman" w:cs="Times New Roman"/>
          <w:color w:val="000000" w:themeColor="text1"/>
          <w:sz w:val="20"/>
          <w:szCs w:val="20"/>
          <w:lang w:eastAsia="zh-CN"/>
        </w:rPr>
      </w:pP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Mohammed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Mansour</w:t>
      </w:r>
      <w:proofErr w:type="spellEnd"/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Abbas</w:t>
      </w:r>
      <w:proofErr w:type="spellEnd"/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Eid</w:t>
      </w:r>
      <w:proofErr w:type="spellEnd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M.D.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Ph.D.,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Lecturer,</w:t>
      </w:r>
    </w:p>
    <w:p w:rsidR="006D681E" w:rsidRPr="00EE6638" w:rsidRDefault="006D681E" w:rsidP="00FA66A7">
      <w:pPr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Department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Pathology,</w:t>
      </w:r>
    </w:p>
    <w:p w:rsidR="006D681E" w:rsidRPr="00EE6638" w:rsidRDefault="006D681E" w:rsidP="00FA66A7">
      <w:pPr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Faculty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Medicine,</w:t>
      </w:r>
      <w:r w:rsidR="001A6015" w:rsidRPr="00EE6638">
        <w:rPr>
          <w:rFonts w:ascii="Times New Roman" w:eastAsia="宋体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Fayoum</w:t>
      </w:r>
      <w:proofErr w:type="spellEnd"/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</w:p>
    <w:p w:rsidR="006D681E" w:rsidRPr="00EE6638" w:rsidRDefault="006D681E" w:rsidP="00FA66A7">
      <w:pPr>
        <w:autoSpaceDE w:val="0"/>
        <w:autoSpaceDN w:val="0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</w:pPr>
      <w:proofErr w:type="spellStart"/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Fayoum</w:t>
      </w:r>
      <w:proofErr w:type="spellEnd"/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City,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PO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Box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>63514</w:t>
      </w:r>
      <w:r w:rsidRPr="00EE6638">
        <w:rPr>
          <w:rFonts w:ascii="Times New Roman" w:eastAsia="宋体" w:hAnsi="Times New Roman" w:cs="Times New Roman" w:hint="eastAsia"/>
          <w:color w:val="000000" w:themeColor="text1"/>
          <w:sz w:val="20"/>
          <w:szCs w:val="20"/>
          <w:lang w:eastAsia="zh-CN"/>
        </w:rPr>
        <w:t>,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Egypt</w:t>
      </w:r>
    </w:p>
    <w:p w:rsidR="006D681E" w:rsidRPr="00EE6638" w:rsidRDefault="006D681E" w:rsidP="00FA66A7">
      <w:pPr>
        <w:autoSpaceDE w:val="0"/>
        <w:autoSpaceDN w:val="0"/>
        <w:adjustRightInd w:val="0"/>
        <w:snapToGrid w:val="0"/>
        <w:contextualSpacing/>
        <w:jc w:val="both"/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de-DE"/>
        </w:rPr>
      </w:pPr>
      <w:r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de-DE"/>
        </w:rPr>
        <w:t>Tel:</w:t>
      </w:r>
      <w:r w:rsidR="001A6015"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de-DE"/>
        </w:rPr>
        <w:t xml:space="preserve"> </w:t>
      </w:r>
      <w:r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de-DE"/>
        </w:rPr>
        <w:t>+2-127-408-3431</w:t>
      </w:r>
    </w:p>
    <w:p w:rsidR="006D681E" w:rsidRPr="00EE6638" w:rsidRDefault="006D681E" w:rsidP="00FA66A7">
      <w:pPr>
        <w:autoSpaceDE w:val="0"/>
        <w:autoSpaceDN w:val="0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it-IT"/>
        </w:rPr>
        <w:t>Fax:</w:t>
      </w:r>
      <w:r w:rsidR="001A6015"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EE6638">
        <w:rPr>
          <w:rFonts w:ascii="Times New Roman" w:eastAsia="MS PGothic" w:hAnsi="Times New Roman" w:cs="Times New Roman"/>
          <w:color w:val="000000" w:themeColor="text1"/>
          <w:sz w:val="20"/>
          <w:szCs w:val="20"/>
          <w:lang w:val="it-IT"/>
        </w:rPr>
        <w:t>+2-84-630-2350</w:t>
      </w:r>
    </w:p>
    <w:p w:rsidR="006D681E" w:rsidRDefault="006D681E" w:rsidP="00FA66A7">
      <w:pPr>
        <w:snapToGrid w:val="0"/>
        <w:contextualSpacing/>
        <w:jc w:val="both"/>
        <w:rPr>
          <w:rFonts w:ascii="Times New Roman" w:hAnsi="Times New Roman" w:cs="Times New Roman" w:hint="eastAsia"/>
          <w:color w:val="000000" w:themeColor="text1"/>
          <w:sz w:val="20"/>
          <w:szCs w:val="20"/>
          <w:lang w:val="it-IT" w:eastAsia="zh-CN"/>
        </w:rPr>
      </w:pPr>
      <w:r w:rsidRPr="00EE6638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E-mail:</w:t>
      </w:r>
      <w:r w:rsidR="001A6015" w:rsidRPr="00EE6638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hyperlink r:id="rId17" w:history="1">
        <w:r w:rsidR="00EE6638" w:rsidRPr="009307F6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mma21@fayoum.edu.eg</w:t>
        </w:r>
      </w:hyperlink>
    </w:p>
    <w:p w:rsidR="00EE6638" w:rsidRDefault="00EE6638" w:rsidP="00FA66A7">
      <w:pPr>
        <w:snapToGrid w:val="0"/>
        <w:contextualSpacing/>
        <w:jc w:val="both"/>
        <w:rPr>
          <w:rFonts w:ascii="Times New Roman" w:eastAsia="宋体" w:hAnsi="Times New Roman" w:cs="Times New Roman" w:hint="eastAsia"/>
          <w:sz w:val="20"/>
          <w:szCs w:val="20"/>
          <w:lang w:eastAsia="zh-CN"/>
        </w:rPr>
      </w:pPr>
    </w:p>
    <w:p w:rsidR="00EE6638" w:rsidRPr="00EE6638" w:rsidRDefault="00EE6638" w:rsidP="00FA66A7">
      <w:pPr>
        <w:snapToGrid w:val="0"/>
        <w:contextualSpacing/>
        <w:jc w:val="both"/>
        <w:rPr>
          <w:rFonts w:ascii="Times New Roman" w:eastAsia="宋体" w:hAnsi="Times New Roman" w:cs="Times New Roman" w:hint="eastAsia"/>
          <w:sz w:val="20"/>
          <w:szCs w:val="20"/>
          <w:lang w:eastAsia="zh-CN"/>
        </w:rPr>
      </w:pPr>
    </w:p>
    <w:p w:rsidR="001A6015" w:rsidRPr="00EE6638" w:rsidRDefault="001A6015" w:rsidP="00CA72D4">
      <w:pPr>
        <w:snapToGrid w:val="0"/>
        <w:ind w:left="425" w:hanging="425"/>
        <w:contextualSpacing/>
        <w:jc w:val="both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:rsidR="00CE694E" w:rsidRPr="00EE6638" w:rsidRDefault="00CE694E" w:rsidP="00FA66A7">
      <w:pPr>
        <w:snapToGri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38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75098C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Cappellini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M.D.,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Erika,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Ali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Khaled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Hypercoagulability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status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quo.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Expert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Review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Hematology,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5(5):505-512.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75098C" w:rsidRPr="00EE6638">
        <w:rPr>
          <w:rFonts w:ascii="Times New Roman" w:hAnsi="Times New Roman" w:cs="Times New Roman"/>
          <w:sz w:val="20"/>
          <w:szCs w:val="20"/>
        </w:rPr>
        <w:t>https://www.tandfonline.com/doi/full/10.1586/ehm.12.42)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098C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A.T.,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Zaher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Imad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Cappellini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(2008)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hypercoagulability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Blood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Reviews,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22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(5):283–292.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75098C" w:rsidRPr="00EE6638">
        <w:rPr>
          <w:rFonts w:ascii="Times New Roman" w:hAnsi="Times New Roman" w:cs="Times New Roman"/>
          <w:sz w:val="20"/>
          <w:szCs w:val="20"/>
        </w:rPr>
        <w:t>https://www.sciencedirect.com/science/article/pii/S0268960X08000362?via%3Dihub)</w:t>
      </w:r>
    </w:p>
    <w:p w:rsidR="0075098C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Eldor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Durst,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-Am,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Goldfarb,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Gillis,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chronic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hypercoagulable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state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beta-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thalassaemia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already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childhood.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British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Haematolog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107:739–746.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(https://onlinelibrary.wiley.com/doi/full/10.1046/j.1365-2141.1999.01758.x)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098C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Tantawy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A.G.,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Amira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Eman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A.R.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Habeeb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N.M.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(2013)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Flow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cytometric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assessment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circulating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erythrocytes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young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aortic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wall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stiffness.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European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Haematology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90:508–518.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75098C" w:rsidRPr="00EE6638">
        <w:rPr>
          <w:rFonts w:ascii="Times New Roman" w:hAnsi="Times New Roman" w:cs="Times New Roman"/>
          <w:sz w:val="20"/>
          <w:szCs w:val="20"/>
        </w:rPr>
        <w:t>https://onlinelibrary.wiley.com/doi/full/10.1111/ejh.12108)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098C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Nieuwland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der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Pol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Chris,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Auguste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Michelson,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(Ed.).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Chapter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Pp403-413.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Academic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Press,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Diego,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(https://www.edwinvanderpol.com/publications/chapters/platelet_derived_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Agouti,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Cointe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Robert,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Judicone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Loundou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(2015)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erythrocyte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procoagulant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transfused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thalassaemia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British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Haematolog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171:615–624.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(https://onlinelibrary.wiley.com/doi/full/10.1111/bjh.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13609)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lastRenderedPageBreak/>
        <w:t>Park,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M.K.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(2014)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Systemic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Park,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M.K.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(Ed.).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cardiology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practitioners,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sixth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edition,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Chapter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28</w:t>
      </w:r>
      <w:r w:rsidR="00FA66A7" w:rsidRPr="00EE6638">
        <w:rPr>
          <w:rFonts w:ascii="Times New Roman" w:hAnsi="Times New Roman" w:cs="Times New Roman"/>
          <w:sz w:val="20"/>
          <w:szCs w:val="20"/>
        </w:rPr>
        <w:t>: P</w:t>
      </w:r>
      <w:r w:rsidRPr="00EE6638">
        <w:rPr>
          <w:rFonts w:ascii="Times New Roman" w:hAnsi="Times New Roman" w:cs="Times New Roman"/>
          <w:sz w:val="20"/>
          <w:szCs w:val="20"/>
        </w:rPr>
        <w:t>p.483-494.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Mosby,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Missouri.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https://www.elsevier.ca/ca/product.jsp?isbn=9780323169516)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Pattanapanyasat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Noulsri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Fucharoen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Lerdwana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Lamchiagdhase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(2004)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Flow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cytometric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quantitation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blood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cell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vesicles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Cytometry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Part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Clinical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Cytometry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57(1):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23–31.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(https://onlinelibrary.wiley.com/doi/full/10.1002/cyto.b.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10064)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Khan,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Ahmed,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Khan,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R.A.,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Mushtaq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Ullah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Shah,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M.W.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(2015)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Consanguinity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ratio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District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Bannu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Pakistan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Medical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Association,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65: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1161-1163.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(http://jpma.org.pk/full_article_text.php?article_id=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7517)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Pamir,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Nese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Y.,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Selmin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Semra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(2015)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Common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Complications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Beta-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International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Hematology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Oncology,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3(23):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193-199.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http://www.uhod.org/summary_en.php3?id=573)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University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Iowa,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Department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Pathology,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"Pediatric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Reference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Ranges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-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Labora</w:t>
      </w:r>
      <w:r w:rsidR="003414BD" w:rsidRPr="00EE6638">
        <w:rPr>
          <w:rFonts w:ascii="Times New Roman" w:hAnsi="Times New Roman" w:cs="Times New Roman"/>
          <w:sz w:val="20"/>
          <w:szCs w:val="20"/>
        </w:rPr>
        <w:t>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3414BD" w:rsidRPr="00EE6638">
        <w:rPr>
          <w:rFonts w:ascii="Times New Roman" w:hAnsi="Times New Roman" w:cs="Times New Roman"/>
          <w:sz w:val="20"/>
          <w:szCs w:val="20"/>
        </w:rPr>
        <w:t>Services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3414BD" w:rsidRPr="00EE6638">
        <w:rPr>
          <w:rFonts w:ascii="Times New Roman" w:hAnsi="Times New Roman" w:cs="Times New Roman"/>
          <w:sz w:val="20"/>
          <w:szCs w:val="20"/>
        </w:rPr>
        <w:t>Handbook”.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3414BD" w:rsidRPr="00EE6638">
        <w:rPr>
          <w:rFonts w:ascii="Times New Roman" w:hAnsi="Times New Roman" w:cs="Times New Roman"/>
          <w:sz w:val="20"/>
          <w:szCs w:val="20"/>
        </w:rPr>
        <w:t>(2017)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Available: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https://www.healthcare.uiowa.edu/path_handbook/Appendix/Heme/PEDIATRIC_NORMALS.html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Elsayh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K.I.,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Zahran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Abaseri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T.B.,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Mohamed,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A.O.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EE6638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Metwally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T.H.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(2013)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Hypoxia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biomarkers,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oxidative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stress,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circulating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upper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Egypt.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Clinical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Applied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Thrombosis/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Hemostasis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20(5):536–545.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https://journals.sagepub.com/doi/full/10.1177/1076029612472552?url_ver=Z39.88-2003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3414BD" w:rsidRPr="00EE6638">
        <w:rPr>
          <w:rFonts w:ascii="Times New Roman" w:hAnsi="Times New Roman" w:cs="Times New Roman"/>
          <w:sz w:val="20"/>
          <w:szCs w:val="20"/>
        </w:rPr>
        <w:t>rfr_id</w:t>
      </w:r>
      <w:proofErr w:type="spellEnd"/>
      <w:r w:rsidR="003414BD" w:rsidRPr="00EE6638">
        <w:rPr>
          <w:rFonts w:ascii="Times New Roman" w:hAnsi="Times New Roman" w:cs="Times New Roman"/>
          <w:sz w:val="20"/>
          <w:szCs w:val="20"/>
        </w:rPr>
        <w:t>=ori%3Arid%3Acrossref.org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3414BD" w:rsidRPr="00EE6638">
        <w:rPr>
          <w:rFonts w:ascii="Times New Roman" w:hAnsi="Times New Roman" w:cs="Times New Roman"/>
          <w:sz w:val="20"/>
          <w:szCs w:val="20"/>
        </w:rPr>
        <w:t>rfr_dat</w:t>
      </w:r>
      <w:proofErr w:type="spellEnd"/>
      <w:r w:rsidR="003414BD" w:rsidRPr="00EE6638">
        <w:rPr>
          <w:rFonts w:ascii="Times New Roman" w:hAnsi="Times New Roman" w:cs="Times New Roman"/>
          <w:sz w:val="20"/>
          <w:szCs w:val="20"/>
        </w:rPr>
        <w:t>=cr_pub%3Dpubmed)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Youssry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Soliman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Ghamrawy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Samy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Nasr,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(2017)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Circulating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risk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thromboembolic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Egyptian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Annals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Hematology,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96:597–603.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https://link.springer.com/article/10.1007%2Fs00277-017-2925-x)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Chaichompoo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Kumya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Khowawisetsut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Chiangjong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Chaiyarit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Characterizations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proteome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analysis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platelet-free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plasma-derived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/hemoglobin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Proteome,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76:239–250.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https://www.sciencedirect.com/science/article/pii/S1874391912004289?via%3Dihub)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Aessopos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Kati,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EE6638">
        <w:rPr>
          <w:rFonts w:ascii="Times New Roman" w:hAnsi="Times New Roman" w:cs="Times New Roman"/>
          <w:sz w:val="20"/>
          <w:szCs w:val="20"/>
        </w:rPr>
        <w:t>Farmakis,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(2007)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Heart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intermedia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review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the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underlying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pathophysiology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Haematologica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92:658–665.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http://www.haematologica.org/content/92/5/658.long)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414BD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Du,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Z.D.,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Roguin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Milgram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Saab,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Koren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(1997)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American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Heart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134:532–537.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3414BD" w:rsidRPr="00EE6638">
        <w:rPr>
          <w:rFonts w:ascii="Times New Roman" w:hAnsi="Times New Roman" w:cs="Times New Roman"/>
          <w:sz w:val="20"/>
          <w:szCs w:val="20"/>
        </w:rPr>
        <w:t>https://www.researchgate.net/publication/13898416_Pulmonary_hypertension_in_patients_with_thalassemia_major)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Gladwin,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M.T.,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Vichinsky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(2008)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complications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sickle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cell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New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England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Medicine,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359:2254–2265.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https://www.nejm.org/doi/full/10.1056/NEJMra0804411)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Dedeoglu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Bornaun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(2017)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Children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[beta]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Splenectomy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High-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Levels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Related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Not?.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Pediatric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Hematology/Oncology,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39(4):259–265.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https://insights.ovid.com/pubmed?pmid=28234742)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Abhay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C.P.,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Ritwik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Pooja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Sudipta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(2016)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Children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to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Assess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Cardiovascular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Changes,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Rural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Medical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College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Hospital;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West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Bengal;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India.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IOSR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Dental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Medical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Sciences,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15(4):43-47.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https://www.semanticscholar.org/paper/A-Study-on-Thalassemic-Children-to-Assess-Changes-%2C-Pal-Mukherjee/40e77ada129a3d628e20d1d50cede075c77a2d08)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Eshaqhosseni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Miri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Arsang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S.H.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(2014)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Cardiac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Disorders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Children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Β-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Bulletin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Environment,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Pharmacology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Life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Sciences,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3:172-175.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http://www.bepls.com/aug_2014/29a.pdf)</w:t>
      </w:r>
      <w:r w:rsidR="00E968AC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Ogawa,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Tsukuda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Sato,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Serizawa,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N.,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Mizoguchi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(2012)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Platelet-Derived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American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Respiratory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Critical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Medicine,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185:A3819.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https://www.atsjournals.org/doi/abs/10.1164/ajrccm-conference.2012.185.1_MeetingAbstracts.A3819)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53116A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t>Kqiku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X.,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Kovacs,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G.,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Rohde,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Strunk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Olschewsk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(2011)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Determination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of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cell-derived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microparticles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patients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with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lastRenderedPageBreak/>
        <w:t>pulmonary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hypertension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and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connective-tissue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diseases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using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flow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cytometry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European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Respiratory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Journal,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38:3345.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</w:t>
      </w:r>
      <w:r w:rsidR="0053116A" w:rsidRPr="00EE6638">
        <w:rPr>
          <w:rFonts w:ascii="Times New Roman" w:hAnsi="Times New Roman" w:cs="Times New Roman"/>
          <w:sz w:val="20"/>
          <w:szCs w:val="20"/>
        </w:rPr>
        <w:t>https://erj.ersjournals.com/content/38/Suppl_55/p3345)</w:t>
      </w:r>
      <w:r w:rsidR="00EE66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A6015" w:rsidRPr="00EE6638" w:rsidRDefault="00CE694E" w:rsidP="00CA72D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638">
        <w:rPr>
          <w:rFonts w:ascii="Times New Roman" w:hAnsi="Times New Roman" w:cs="Times New Roman"/>
          <w:sz w:val="20"/>
          <w:szCs w:val="20"/>
        </w:rPr>
        <w:lastRenderedPageBreak/>
        <w:t>Borgna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Carnelli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Caruso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V,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Dore,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F.,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De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Mattia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D.,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et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al.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(1998)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Thromboembolic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events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beta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thalassemia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major: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Italian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multicenter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study.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638">
        <w:rPr>
          <w:rFonts w:ascii="Times New Roman" w:hAnsi="Times New Roman" w:cs="Times New Roman"/>
          <w:sz w:val="20"/>
          <w:szCs w:val="20"/>
        </w:rPr>
        <w:t>Haematologica</w:t>
      </w:r>
      <w:proofErr w:type="spellEnd"/>
      <w:r w:rsidRPr="00EE6638">
        <w:rPr>
          <w:rFonts w:ascii="Times New Roman" w:hAnsi="Times New Roman" w:cs="Times New Roman"/>
          <w:sz w:val="20"/>
          <w:szCs w:val="20"/>
        </w:rPr>
        <w:t>,</w:t>
      </w:r>
      <w:r w:rsidR="001A6015" w:rsidRPr="00EE6638">
        <w:rPr>
          <w:rFonts w:ascii="Times New Roman" w:hAnsi="Times New Roman" w:cs="Times New Roman"/>
          <w:sz w:val="20"/>
          <w:szCs w:val="20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t>99:76–79</w:t>
      </w:r>
      <w:r w:rsidR="001A6015" w:rsidRPr="00EE6638">
        <w:rPr>
          <w:rFonts w:ascii="Times New Roman" w:hAnsi="Times New Roman" w:cs="Times New Roman"/>
          <w:sz w:val="20"/>
          <w:szCs w:val="20"/>
        </w:rPr>
        <w:t>. (</w:t>
      </w:r>
      <w:r w:rsidRPr="00EE6638">
        <w:rPr>
          <w:rFonts w:ascii="Times New Roman" w:hAnsi="Times New Roman" w:cs="Times New Roman"/>
          <w:sz w:val="20"/>
          <w:szCs w:val="20"/>
        </w:rPr>
        <w:t>https://www.karger.com/Article/A</w:t>
      </w:r>
      <w:r w:rsidR="0053116A" w:rsidRPr="00EE6638">
        <w:rPr>
          <w:rFonts w:ascii="Times New Roman" w:hAnsi="Times New Roman" w:cs="Times New Roman"/>
          <w:sz w:val="20"/>
          <w:szCs w:val="20"/>
        </w:rPr>
        <w:t>bstract/40814)</w:t>
      </w:r>
    </w:p>
    <w:p w:rsidR="00FA66A7" w:rsidRPr="00EE6638" w:rsidRDefault="00FA66A7" w:rsidP="00CA72D4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FA66A7" w:rsidRPr="00EE6638" w:rsidSect="00FA66A7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1A6015" w:rsidRPr="00EE6638" w:rsidRDefault="001A6015" w:rsidP="00CA72D4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lastRenderedPageBreak/>
        <w:cr/>
        <w:t xml:space="preserve"> </w:t>
      </w:r>
      <w:r w:rsidR="00E968AC" w:rsidRPr="00EE66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E6638">
        <w:rPr>
          <w:rFonts w:ascii="Times New Roman" w:hAnsi="Times New Roman" w:cs="Times New Roman"/>
          <w:sz w:val="20"/>
          <w:szCs w:val="20"/>
        </w:rPr>
        <w:cr/>
      </w:r>
    </w:p>
    <w:p w:rsidR="004E0B05" w:rsidRPr="00EE6638" w:rsidRDefault="001A6015" w:rsidP="00FA66A7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EE6638">
        <w:rPr>
          <w:rFonts w:ascii="Times New Roman" w:hAnsi="Times New Roman" w:cs="Times New Roman"/>
          <w:sz w:val="20"/>
          <w:szCs w:val="20"/>
        </w:rPr>
        <w:t>1/20/2019</w:t>
      </w:r>
    </w:p>
    <w:sectPr w:rsidR="004E0B05" w:rsidRPr="00EE6638" w:rsidSect="001A6015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89" w:rsidRDefault="00C97989" w:rsidP="001A6015">
      <w:r>
        <w:separator/>
      </w:r>
    </w:p>
  </w:endnote>
  <w:endnote w:type="continuationSeparator" w:id="0">
    <w:p w:rsidR="00C97989" w:rsidRDefault="00C97989" w:rsidP="001A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D4" w:rsidRPr="001639BF" w:rsidRDefault="00A33B97" w:rsidP="001639BF">
    <w:pPr>
      <w:jc w:val="center"/>
      <w:rPr>
        <w:rFonts w:ascii="Times New Roman" w:hAnsi="Times New Roman" w:cs="Times New Roman"/>
        <w:sz w:val="20"/>
      </w:rPr>
    </w:pPr>
    <w:r w:rsidRPr="001639BF">
      <w:rPr>
        <w:rFonts w:ascii="Times New Roman" w:hAnsi="Times New Roman" w:cs="Times New Roman"/>
        <w:sz w:val="20"/>
      </w:rPr>
      <w:fldChar w:fldCharType="begin"/>
    </w:r>
    <w:r w:rsidR="001639BF" w:rsidRPr="001639BF">
      <w:rPr>
        <w:rFonts w:ascii="Times New Roman" w:hAnsi="Times New Roman" w:cs="Times New Roman"/>
        <w:sz w:val="20"/>
      </w:rPr>
      <w:instrText xml:space="preserve"> page </w:instrText>
    </w:r>
    <w:r w:rsidRPr="001639BF">
      <w:rPr>
        <w:rFonts w:ascii="Times New Roman" w:hAnsi="Times New Roman" w:cs="Times New Roman"/>
        <w:sz w:val="20"/>
      </w:rPr>
      <w:fldChar w:fldCharType="separate"/>
    </w:r>
    <w:r w:rsidR="00EE6638">
      <w:rPr>
        <w:rFonts w:ascii="Times New Roman" w:hAnsi="Times New Roman" w:cs="Times New Roman"/>
        <w:noProof/>
        <w:sz w:val="20"/>
      </w:rPr>
      <w:t>62</w:t>
    </w:r>
    <w:r w:rsidRPr="001639B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89" w:rsidRDefault="00C97989" w:rsidP="001A6015">
      <w:r>
        <w:separator/>
      </w:r>
    </w:p>
  </w:footnote>
  <w:footnote w:type="continuationSeparator" w:id="0">
    <w:p w:rsidR="00C97989" w:rsidRDefault="00C97989" w:rsidP="001A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BF" w:rsidRPr="001639BF" w:rsidRDefault="001639BF" w:rsidP="001639B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sz w:val="20"/>
        <w:szCs w:val="20"/>
      </w:rPr>
    </w:pPr>
    <w:r w:rsidRPr="001639B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1639B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1639BF">
      <w:rPr>
        <w:rFonts w:ascii="Times New Roman" w:hAnsi="Times New Roman" w:cs="Times New Roman"/>
        <w:iCs/>
        <w:sz w:val="20"/>
        <w:szCs w:val="20"/>
      </w:rPr>
      <w:t>201</w:t>
    </w:r>
    <w:r w:rsidRPr="001639BF">
      <w:rPr>
        <w:rFonts w:ascii="Times New Roman" w:hAnsi="Times New Roman" w:cs="Times New Roman" w:hint="eastAsia"/>
        <w:iCs/>
        <w:sz w:val="20"/>
        <w:szCs w:val="20"/>
      </w:rPr>
      <w:t>9</w:t>
    </w:r>
    <w:r w:rsidRPr="001639BF">
      <w:rPr>
        <w:rFonts w:ascii="Times New Roman" w:hAnsi="Times New Roman" w:cs="Times New Roman"/>
        <w:iCs/>
        <w:sz w:val="20"/>
        <w:szCs w:val="20"/>
      </w:rPr>
      <w:t>;</w:t>
    </w:r>
    <w:r w:rsidRPr="001639BF">
      <w:rPr>
        <w:rFonts w:ascii="Times New Roman" w:hAnsi="Times New Roman" w:cs="Times New Roman" w:hint="eastAsia"/>
        <w:iCs/>
        <w:sz w:val="20"/>
        <w:szCs w:val="20"/>
      </w:rPr>
      <w:t>11</w:t>
    </w:r>
    <w:r w:rsidRPr="001639BF">
      <w:rPr>
        <w:rFonts w:ascii="Times New Roman" w:hAnsi="Times New Roman" w:cs="Times New Roman"/>
        <w:iCs/>
        <w:sz w:val="20"/>
        <w:szCs w:val="20"/>
      </w:rPr>
      <w:t>(</w:t>
    </w:r>
    <w:r w:rsidRPr="001639BF">
      <w:rPr>
        <w:rFonts w:ascii="Times New Roman" w:hAnsi="Times New Roman" w:cs="Times New Roman" w:hint="eastAsia"/>
        <w:iCs/>
        <w:sz w:val="20"/>
        <w:szCs w:val="20"/>
      </w:rPr>
      <w:t>1</w:t>
    </w:r>
    <w:r w:rsidRPr="001639BF">
      <w:rPr>
        <w:rFonts w:ascii="Times New Roman" w:hAnsi="Times New Roman" w:cs="Times New Roman"/>
        <w:iCs/>
        <w:sz w:val="20"/>
        <w:szCs w:val="20"/>
      </w:rPr>
      <w:t xml:space="preserve">)  </w:t>
    </w:r>
    <w:r w:rsidRPr="001639B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1639BF">
      <w:rPr>
        <w:rFonts w:ascii="Times New Roman" w:hAnsi="Times New Roman" w:cs="Times New Roman"/>
        <w:iCs/>
        <w:sz w:val="20"/>
        <w:szCs w:val="20"/>
      </w:rPr>
      <w:t xml:space="preserve"> </w:t>
    </w:r>
    <w:r w:rsidRPr="001639BF">
      <w:rPr>
        <w:rFonts w:ascii="Times New Roman" w:hAnsi="Times New Roman" w:cs="Times New Roman" w:hint="eastAsia"/>
        <w:iCs/>
        <w:sz w:val="20"/>
        <w:szCs w:val="20"/>
      </w:rPr>
      <w:tab/>
    </w:r>
    <w:r w:rsidRPr="001639BF">
      <w:rPr>
        <w:rFonts w:ascii="Times New Roman" w:hAnsi="Times New Roman" w:cs="Times New Roman"/>
        <w:iCs/>
        <w:sz w:val="20"/>
        <w:szCs w:val="20"/>
      </w:rPr>
      <w:t xml:space="preserve">    </w:t>
    </w:r>
    <w:r w:rsidRPr="001639B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1639B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1639BF" w:rsidRPr="001639BF" w:rsidRDefault="001639BF" w:rsidP="001639BF">
    <w:pP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132"/>
    <w:multiLevelType w:val="hybridMultilevel"/>
    <w:tmpl w:val="0D281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694E"/>
    <w:rsid w:val="000B09CE"/>
    <w:rsid w:val="001639BF"/>
    <w:rsid w:val="001A6015"/>
    <w:rsid w:val="001B1F1E"/>
    <w:rsid w:val="00301F29"/>
    <w:rsid w:val="003414BD"/>
    <w:rsid w:val="003432F9"/>
    <w:rsid w:val="003A2002"/>
    <w:rsid w:val="004E0B05"/>
    <w:rsid w:val="0053116A"/>
    <w:rsid w:val="005428F1"/>
    <w:rsid w:val="005A1698"/>
    <w:rsid w:val="006D681E"/>
    <w:rsid w:val="0075098C"/>
    <w:rsid w:val="007715E2"/>
    <w:rsid w:val="00773D45"/>
    <w:rsid w:val="00795776"/>
    <w:rsid w:val="00920A3A"/>
    <w:rsid w:val="00A14BB7"/>
    <w:rsid w:val="00A33B97"/>
    <w:rsid w:val="00A574D2"/>
    <w:rsid w:val="00B679F5"/>
    <w:rsid w:val="00BD18C8"/>
    <w:rsid w:val="00BF788F"/>
    <w:rsid w:val="00C1446F"/>
    <w:rsid w:val="00C22900"/>
    <w:rsid w:val="00C80566"/>
    <w:rsid w:val="00C97989"/>
    <w:rsid w:val="00CA72D4"/>
    <w:rsid w:val="00CE694E"/>
    <w:rsid w:val="00DB6A3D"/>
    <w:rsid w:val="00E968AC"/>
    <w:rsid w:val="00EE5066"/>
    <w:rsid w:val="00EE6638"/>
    <w:rsid w:val="00F14B94"/>
    <w:rsid w:val="00F74D7C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B9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09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16A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D681E"/>
    <w:pPr>
      <w:spacing w:before="240" w:after="60" w:line="48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681E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20A3A"/>
  </w:style>
  <w:style w:type="paragraph" w:styleId="Header">
    <w:name w:val="header"/>
    <w:basedOn w:val="Normal"/>
    <w:link w:val="HeaderChar"/>
    <w:uiPriority w:val="99"/>
    <w:semiHidden/>
    <w:unhideWhenUsed/>
    <w:rsid w:val="001A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60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60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601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110119.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esearcher" TargetMode="External"/><Relationship Id="rId17" Type="http://schemas.openxmlformats.org/officeDocument/2006/relationships/hyperlink" Target="mailto:mma21@fayoum.edu.eg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</cp:revision>
  <dcterms:created xsi:type="dcterms:W3CDTF">2019-01-22T15:22:00Z</dcterms:created>
  <dcterms:modified xsi:type="dcterms:W3CDTF">2019-01-23T14:25:00Z</dcterms:modified>
</cp:coreProperties>
</file>