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CF" w:rsidRPr="004A2733" w:rsidRDefault="00970C7A" w:rsidP="004D27B1">
      <w:pPr>
        <w:suppressAutoHyphens w:val="0"/>
        <w:snapToGrid w:val="0"/>
        <w:jc w:val="center"/>
        <w:rPr>
          <w:b/>
          <w:bCs/>
          <w:sz w:val="20"/>
          <w:szCs w:val="20"/>
        </w:rPr>
      </w:pPr>
      <w:r w:rsidRPr="004A2733">
        <w:rPr>
          <w:b/>
          <w:bCs/>
          <w:sz w:val="20"/>
          <w:szCs w:val="20"/>
        </w:rPr>
        <w:t xml:space="preserve">Effect </w:t>
      </w:r>
      <w:r w:rsidR="0043159A" w:rsidRPr="004A2733">
        <w:rPr>
          <w:b/>
          <w:bCs/>
          <w:sz w:val="20"/>
          <w:szCs w:val="20"/>
        </w:rPr>
        <w:t>of corporate governance and ownership structure on fair liquidity</w:t>
      </w:r>
    </w:p>
    <w:p w:rsidR="00151BCF" w:rsidRPr="004A2733" w:rsidRDefault="00151BCF" w:rsidP="004D27B1">
      <w:pPr>
        <w:suppressAutoHyphens w:val="0"/>
        <w:snapToGrid w:val="0"/>
        <w:jc w:val="center"/>
        <w:rPr>
          <w:b/>
          <w:bCs/>
          <w:sz w:val="20"/>
          <w:szCs w:val="20"/>
        </w:rPr>
      </w:pPr>
    </w:p>
    <w:p w:rsidR="00151BCF" w:rsidRPr="004A2733" w:rsidRDefault="00EA1F9D" w:rsidP="004D27B1">
      <w:pPr>
        <w:suppressAutoHyphens w:val="0"/>
        <w:snapToGrid w:val="0"/>
        <w:jc w:val="center"/>
        <w:rPr>
          <w:bCs/>
          <w:iCs/>
          <w:sz w:val="20"/>
          <w:szCs w:val="20"/>
          <w:lang w:eastAsia="zh-CN"/>
        </w:rPr>
      </w:pPr>
      <w:r w:rsidRPr="004A2733">
        <w:rPr>
          <w:bCs/>
          <w:iCs/>
          <w:sz w:val="20"/>
          <w:szCs w:val="20"/>
        </w:rPr>
        <w:t xml:space="preserve">Dr Ali </w:t>
      </w:r>
      <w:proofErr w:type="spellStart"/>
      <w:r w:rsidRPr="004A2733">
        <w:rPr>
          <w:bCs/>
          <w:iCs/>
          <w:sz w:val="20"/>
          <w:szCs w:val="20"/>
        </w:rPr>
        <w:t>Pirzad</w:t>
      </w:r>
      <w:proofErr w:type="spellEnd"/>
      <w:r w:rsidRPr="004A2733">
        <w:rPr>
          <w:bCs/>
          <w:iCs/>
          <w:sz w:val="20"/>
          <w:szCs w:val="20"/>
        </w:rPr>
        <w:t xml:space="preserve">, </w:t>
      </w:r>
      <w:proofErr w:type="spellStart"/>
      <w:r w:rsidRPr="004A2733">
        <w:rPr>
          <w:bCs/>
          <w:iCs/>
          <w:sz w:val="20"/>
          <w:szCs w:val="20"/>
        </w:rPr>
        <w:t>Simin</w:t>
      </w:r>
      <w:proofErr w:type="spellEnd"/>
      <w:r w:rsidRPr="004A2733">
        <w:rPr>
          <w:bCs/>
          <w:iCs/>
          <w:sz w:val="20"/>
          <w:szCs w:val="20"/>
        </w:rPr>
        <w:t xml:space="preserve"> </w:t>
      </w:r>
      <w:proofErr w:type="spellStart"/>
      <w:r w:rsidRPr="004A2733">
        <w:rPr>
          <w:bCs/>
          <w:iCs/>
          <w:sz w:val="20"/>
          <w:szCs w:val="20"/>
        </w:rPr>
        <w:t>Rezaei</w:t>
      </w:r>
      <w:proofErr w:type="spellEnd"/>
      <w:r w:rsidRPr="004A2733">
        <w:rPr>
          <w:bCs/>
          <w:iCs/>
          <w:sz w:val="20"/>
          <w:szCs w:val="20"/>
        </w:rPr>
        <w:t>,</w:t>
      </w:r>
      <w:r w:rsidRPr="004A2733">
        <w:rPr>
          <w:sz w:val="20"/>
          <w:szCs w:val="20"/>
        </w:rPr>
        <w:t xml:space="preserve"> </w:t>
      </w:r>
      <w:proofErr w:type="spellStart"/>
      <w:r w:rsidRPr="004A2733">
        <w:rPr>
          <w:bCs/>
          <w:iCs/>
          <w:sz w:val="20"/>
          <w:szCs w:val="20"/>
        </w:rPr>
        <w:t>Seyedeh</w:t>
      </w:r>
      <w:proofErr w:type="spellEnd"/>
      <w:r w:rsidRPr="004A2733">
        <w:rPr>
          <w:bCs/>
          <w:iCs/>
          <w:sz w:val="20"/>
          <w:szCs w:val="20"/>
        </w:rPr>
        <w:t xml:space="preserve"> </w:t>
      </w:r>
      <w:proofErr w:type="spellStart"/>
      <w:r w:rsidRPr="004A2733">
        <w:rPr>
          <w:bCs/>
          <w:iCs/>
          <w:sz w:val="20"/>
          <w:szCs w:val="20"/>
        </w:rPr>
        <w:t>Maryam</w:t>
      </w:r>
      <w:proofErr w:type="spellEnd"/>
      <w:r w:rsidRPr="004A2733">
        <w:rPr>
          <w:bCs/>
          <w:iCs/>
          <w:sz w:val="20"/>
          <w:szCs w:val="20"/>
        </w:rPr>
        <w:t xml:space="preserve"> </w:t>
      </w:r>
      <w:proofErr w:type="spellStart"/>
      <w:r w:rsidRPr="004A2733">
        <w:rPr>
          <w:bCs/>
          <w:iCs/>
          <w:sz w:val="20"/>
          <w:szCs w:val="20"/>
        </w:rPr>
        <w:t>Razavi</w:t>
      </w:r>
      <w:proofErr w:type="spellEnd"/>
    </w:p>
    <w:p w:rsidR="00151BCF" w:rsidRPr="004A2733" w:rsidRDefault="00151BCF" w:rsidP="004D27B1">
      <w:pPr>
        <w:suppressAutoHyphens w:val="0"/>
        <w:snapToGrid w:val="0"/>
        <w:jc w:val="center"/>
        <w:rPr>
          <w:bCs/>
          <w:iCs/>
          <w:sz w:val="20"/>
          <w:szCs w:val="20"/>
          <w:lang w:eastAsia="zh-CN"/>
        </w:rPr>
      </w:pPr>
    </w:p>
    <w:p w:rsidR="00151BCF" w:rsidRPr="004A2733" w:rsidRDefault="00EA1F9D" w:rsidP="004D27B1">
      <w:pPr>
        <w:suppressAutoHyphens w:val="0"/>
        <w:snapToGrid w:val="0"/>
        <w:jc w:val="center"/>
        <w:rPr>
          <w:sz w:val="20"/>
          <w:szCs w:val="20"/>
        </w:rPr>
      </w:pPr>
      <w:r w:rsidRPr="004A2733">
        <w:rPr>
          <w:sz w:val="20"/>
          <w:szCs w:val="20"/>
        </w:rPr>
        <w:t xml:space="preserve">Department of management, </w:t>
      </w:r>
      <w:proofErr w:type="spellStart"/>
      <w:r w:rsidRPr="004A2733">
        <w:rPr>
          <w:sz w:val="20"/>
          <w:szCs w:val="20"/>
        </w:rPr>
        <w:t>Dehdasht</w:t>
      </w:r>
      <w:proofErr w:type="spellEnd"/>
      <w:r w:rsidRPr="004A2733">
        <w:rPr>
          <w:sz w:val="20"/>
          <w:szCs w:val="20"/>
        </w:rPr>
        <w:t xml:space="preserve"> Branch, Islamic Azad University</w:t>
      </w:r>
      <w:r w:rsidR="00151BCF" w:rsidRPr="004A2733">
        <w:rPr>
          <w:sz w:val="20"/>
          <w:szCs w:val="20"/>
        </w:rPr>
        <w:t>,</w:t>
      </w:r>
      <w:r w:rsidRPr="004A2733">
        <w:rPr>
          <w:sz w:val="20"/>
          <w:szCs w:val="20"/>
        </w:rPr>
        <w:t xml:space="preserve"> </w:t>
      </w:r>
      <w:proofErr w:type="spellStart"/>
      <w:r w:rsidRPr="004A2733">
        <w:rPr>
          <w:sz w:val="20"/>
          <w:szCs w:val="20"/>
        </w:rPr>
        <w:t>Dehdasht</w:t>
      </w:r>
      <w:proofErr w:type="spellEnd"/>
      <w:r w:rsidRPr="004A2733">
        <w:rPr>
          <w:sz w:val="20"/>
          <w:szCs w:val="20"/>
        </w:rPr>
        <w:t>, Iran</w:t>
      </w:r>
    </w:p>
    <w:p w:rsidR="00151BCF" w:rsidRPr="004A2733" w:rsidRDefault="00151BCF" w:rsidP="004D27B1">
      <w:pPr>
        <w:suppressAutoHyphens w:val="0"/>
        <w:snapToGrid w:val="0"/>
        <w:jc w:val="center"/>
        <w:rPr>
          <w:sz w:val="20"/>
          <w:szCs w:val="20"/>
        </w:rPr>
      </w:pPr>
    </w:p>
    <w:p w:rsidR="00AE71F1" w:rsidRPr="004A2733" w:rsidRDefault="00471E57" w:rsidP="004D27B1">
      <w:pPr>
        <w:suppressAutoHyphens w:val="0"/>
        <w:snapToGrid w:val="0"/>
        <w:jc w:val="both"/>
        <w:rPr>
          <w:sz w:val="20"/>
          <w:szCs w:val="20"/>
        </w:rPr>
      </w:pPr>
      <w:r w:rsidRPr="004A2733">
        <w:rPr>
          <w:b/>
          <w:sz w:val="20"/>
          <w:szCs w:val="20"/>
        </w:rPr>
        <w:t xml:space="preserve">Abstract: </w:t>
      </w:r>
      <w:r w:rsidR="00AE71F1" w:rsidRPr="004A2733">
        <w:rPr>
          <w:sz w:val="20"/>
          <w:szCs w:val="20"/>
        </w:rPr>
        <w:t>Successful management in companies and manufacturing enterprises requires appropriate use of its resources. Cash in the company is precious capital that must be used correctly to achieve company goals. In this study the effect of corporate governance variables (non-mandated members of the board of directors, the number of board members) and ownership structure (institutional ownership, the major owner) on the volume of corporate liquidity has been surveyed. Therefore 78 companies in the years 1384 to 1388, excluding investment and financial intermediation companies were selected as samples. In research hypotheses test, by means of regression model, ordinary least squares (OLS) was examined. Overall, the results of hypothesis test showed that there is no relation between the proportion of non-duty members of the board of directors and percentage shares at the disposal of institutional shareholders with liquidity companies and despite the significant and negative equity for shares of the block shareholders and the positive relationship between the number of board members was confirmed with liquidity.</w:t>
      </w:r>
    </w:p>
    <w:p w:rsidR="004D27B1" w:rsidRPr="004A2733" w:rsidRDefault="004D27B1" w:rsidP="004D27B1">
      <w:pPr>
        <w:suppressAutoHyphens w:val="0"/>
        <w:snapToGrid w:val="0"/>
        <w:jc w:val="both"/>
        <w:rPr>
          <w:bCs/>
          <w:iCs/>
          <w:sz w:val="20"/>
          <w:szCs w:val="20"/>
          <w:lang w:eastAsia="zh-CN"/>
        </w:rPr>
      </w:pPr>
      <w:r w:rsidRPr="004A2733">
        <w:rPr>
          <w:rFonts w:hint="eastAsia"/>
          <w:sz w:val="20"/>
          <w:szCs w:val="20"/>
        </w:rPr>
        <w:t>[</w:t>
      </w:r>
      <w:r w:rsidRPr="004A2733">
        <w:rPr>
          <w:bCs/>
          <w:iCs/>
          <w:sz w:val="20"/>
          <w:szCs w:val="20"/>
        </w:rPr>
        <w:t xml:space="preserve">Ali </w:t>
      </w:r>
      <w:proofErr w:type="spellStart"/>
      <w:r w:rsidRPr="004A2733">
        <w:rPr>
          <w:bCs/>
          <w:iCs/>
          <w:sz w:val="20"/>
          <w:szCs w:val="20"/>
        </w:rPr>
        <w:t>Pirzad</w:t>
      </w:r>
      <w:proofErr w:type="spellEnd"/>
      <w:r w:rsidRPr="004A2733">
        <w:rPr>
          <w:bCs/>
          <w:iCs/>
          <w:sz w:val="20"/>
          <w:szCs w:val="20"/>
        </w:rPr>
        <w:t xml:space="preserve">, </w:t>
      </w:r>
      <w:proofErr w:type="spellStart"/>
      <w:r w:rsidRPr="004A2733">
        <w:rPr>
          <w:bCs/>
          <w:iCs/>
          <w:sz w:val="20"/>
          <w:szCs w:val="20"/>
        </w:rPr>
        <w:t>Simin</w:t>
      </w:r>
      <w:proofErr w:type="spellEnd"/>
      <w:r w:rsidRPr="004A2733">
        <w:rPr>
          <w:bCs/>
          <w:iCs/>
          <w:sz w:val="20"/>
          <w:szCs w:val="20"/>
        </w:rPr>
        <w:t xml:space="preserve"> </w:t>
      </w:r>
      <w:proofErr w:type="spellStart"/>
      <w:r w:rsidRPr="004A2733">
        <w:rPr>
          <w:bCs/>
          <w:iCs/>
          <w:sz w:val="20"/>
          <w:szCs w:val="20"/>
        </w:rPr>
        <w:t>Rezaei</w:t>
      </w:r>
      <w:proofErr w:type="spellEnd"/>
      <w:r w:rsidRPr="004A2733">
        <w:rPr>
          <w:bCs/>
          <w:iCs/>
          <w:sz w:val="20"/>
          <w:szCs w:val="20"/>
        </w:rPr>
        <w:t>,</w:t>
      </w:r>
      <w:r w:rsidRPr="004A2733">
        <w:rPr>
          <w:sz w:val="20"/>
          <w:szCs w:val="20"/>
        </w:rPr>
        <w:t xml:space="preserve"> </w:t>
      </w:r>
      <w:proofErr w:type="spellStart"/>
      <w:r w:rsidRPr="004A2733">
        <w:rPr>
          <w:bCs/>
          <w:iCs/>
          <w:sz w:val="20"/>
          <w:szCs w:val="20"/>
        </w:rPr>
        <w:t>Seyedeh</w:t>
      </w:r>
      <w:proofErr w:type="spellEnd"/>
      <w:r w:rsidRPr="004A2733">
        <w:rPr>
          <w:bCs/>
          <w:iCs/>
          <w:sz w:val="20"/>
          <w:szCs w:val="20"/>
        </w:rPr>
        <w:t xml:space="preserve"> </w:t>
      </w:r>
      <w:proofErr w:type="spellStart"/>
      <w:r w:rsidRPr="004A2733">
        <w:rPr>
          <w:bCs/>
          <w:iCs/>
          <w:sz w:val="20"/>
          <w:szCs w:val="20"/>
        </w:rPr>
        <w:t>Maryam</w:t>
      </w:r>
      <w:proofErr w:type="spellEnd"/>
      <w:r w:rsidRPr="004A2733">
        <w:rPr>
          <w:bCs/>
          <w:iCs/>
          <w:sz w:val="20"/>
          <w:szCs w:val="20"/>
        </w:rPr>
        <w:t xml:space="preserve"> </w:t>
      </w:r>
      <w:proofErr w:type="spellStart"/>
      <w:r w:rsidRPr="004A2733">
        <w:rPr>
          <w:bCs/>
          <w:iCs/>
          <w:sz w:val="20"/>
          <w:szCs w:val="20"/>
        </w:rPr>
        <w:t>Razavi</w:t>
      </w:r>
      <w:proofErr w:type="spellEnd"/>
      <w:r w:rsidRPr="004A2733">
        <w:rPr>
          <w:sz w:val="20"/>
          <w:szCs w:val="20"/>
        </w:rPr>
        <w:t>.</w:t>
      </w:r>
      <w:r w:rsidRPr="004A2733">
        <w:rPr>
          <w:rFonts w:eastAsiaTheme="minorEastAsia" w:hint="eastAsia"/>
          <w:b/>
          <w:bCs/>
          <w:sz w:val="20"/>
          <w:szCs w:val="20"/>
          <w:lang w:bidi="fa-IR"/>
        </w:rPr>
        <w:t xml:space="preserve"> </w:t>
      </w:r>
      <w:r w:rsidRPr="004A2733">
        <w:rPr>
          <w:b/>
          <w:bCs/>
          <w:sz w:val="20"/>
          <w:szCs w:val="20"/>
        </w:rPr>
        <w:t>Effect of corporate governance and ownership structure on fair liquidity</w:t>
      </w:r>
      <w:r w:rsidRPr="004A2733">
        <w:rPr>
          <w:rFonts w:eastAsia="Times New Roman"/>
          <w:b/>
          <w:bCs/>
          <w:sz w:val="20"/>
          <w:szCs w:val="20"/>
          <w:lang w:bidi="fa-IR"/>
        </w:rPr>
        <w:t>.</w:t>
      </w:r>
      <w:r w:rsidRPr="004A2733">
        <w:rPr>
          <w:bCs/>
          <w:i/>
          <w:sz w:val="20"/>
          <w:szCs w:val="20"/>
        </w:rPr>
        <w:t xml:space="preserve"> Researcher</w:t>
      </w:r>
      <w:r w:rsidRPr="004A2733">
        <w:rPr>
          <w:bCs/>
          <w:sz w:val="20"/>
          <w:szCs w:val="20"/>
        </w:rPr>
        <w:t xml:space="preserve"> 201</w:t>
      </w:r>
      <w:r w:rsidRPr="004A2733">
        <w:rPr>
          <w:rFonts w:hint="eastAsia"/>
          <w:bCs/>
          <w:sz w:val="20"/>
          <w:szCs w:val="20"/>
        </w:rPr>
        <w:t>9</w:t>
      </w:r>
      <w:r w:rsidRPr="004A2733">
        <w:rPr>
          <w:bCs/>
          <w:sz w:val="20"/>
          <w:szCs w:val="20"/>
        </w:rPr>
        <w:t>;</w:t>
      </w:r>
      <w:r w:rsidRPr="004A2733">
        <w:rPr>
          <w:rFonts w:hint="eastAsia"/>
          <w:bCs/>
          <w:sz w:val="20"/>
          <w:szCs w:val="20"/>
        </w:rPr>
        <w:t>11</w:t>
      </w:r>
      <w:r w:rsidRPr="004A2733">
        <w:rPr>
          <w:bCs/>
          <w:sz w:val="20"/>
          <w:szCs w:val="20"/>
        </w:rPr>
        <w:t>(</w:t>
      </w:r>
      <w:r w:rsidRPr="004A2733">
        <w:rPr>
          <w:rFonts w:hint="eastAsia"/>
          <w:bCs/>
          <w:sz w:val="20"/>
          <w:szCs w:val="20"/>
        </w:rPr>
        <w:t>3</w:t>
      </w:r>
      <w:r w:rsidRPr="004A2733">
        <w:rPr>
          <w:bCs/>
          <w:sz w:val="20"/>
          <w:szCs w:val="20"/>
        </w:rPr>
        <w:t>):</w:t>
      </w:r>
      <w:r w:rsidR="000F2115" w:rsidRPr="004A2733">
        <w:rPr>
          <w:noProof/>
          <w:color w:val="000000"/>
          <w:sz w:val="20"/>
          <w:szCs w:val="20"/>
        </w:rPr>
        <w:t>77-85</w:t>
      </w:r>
      <w:r w:rsidRPr="004A2733">
        <w:rPr>
          <w:bCs/>
          <w:sz w:val="20"/>
          <w:szCs w:val="20"/>
        </w:rPr>
        <w:t xml:space="preserve">]. </w:t>
      </w:r>
      <w:r w:rsidRPr="004A2733">
        <w:rPr>
          <w:sz w:val="20"/>
          <w:szCs w:val="20"/>
        </w:rPr>
        <w:t>ISSN 1553-9865 (print); ISSN 2163-8950 (online)</w:t>
      </w:r>
      <w:r w:rsidRPr="004A2733">
        <w:rPr>
          <w:bCs/>
          <w:sz w:val="20"/>
          <w:szCs w:val="20"/>
        </w:rPr>
        <w:t xml:space="preserve">. </w:t>
      </w:r>
      <w:hyperlink r:id="rId7" w:history="1">
        <w:r w:rsidRPr="004A2733">
          <w:rPr>
            <w:rStyle w:val="Hyperlink"/>
            <w:sz w:val="20"/>
            <w:szCs w:val="20"/>
          </w:rPr>
          <w:t>http://www.sciencepub.net/researcher</w:t>
        </w:r>
      </w:hyperlink>
      <w:r w:rsidRPr="004A2733">
        <w:rPr>
          <w:bCs/>
          <w:sz w:val="20"/>
          <w:szCs w:val="20"/>
        </w:rPr>
        <w:t>.</w:t>
      </w:r>
      <w:r w:rsidRPr="004A2733">
        <w:rPr>
          <w:rFonts w:hint="eastAsia"/>
          <w:bCs/>
          <w:sz w:val="20"/>
          <w:szCs w:val="20"/>
        </w:rPr>
        <w:t xml:space="preserve"> </w:t>
      </w:r>
      <w:r w:rsidRPr="004A2733">
        <w:rPr>
          <w:rFonts w:hint="eastAsia"/>
          <w:bCs/>
          <w:sz w:val="20"/>
          <w:szCs w:val="20"/>
          <w:lang w:eastAsia="zh-CN"/>
        </w:rPr>
        <w:t>13</w:t>
      </w:r>
      <w:r w:rsidRPr="004A2733">
        <w:rPr>
          <w:rFonts w:hint="eastAsia"/>
          <w:bCs/>
          <w:sz w:val="20"/>
          <w:szCs w:val="20"/>
        </w:rPr>
        <w:t xml:space="preserve">. </w:t>
      </w:r>
      <w:r w:rsidRPr="004A2733">
        <w:rPr>
          <w:color w:val="000000"/>
          <w:sz w:val="20"/>
          <w:szCs w:val="20"/>
          <w:shd w:val="clear" w:color="auto" w:fill="FFFFFF"/>
        </w:rPr>
        <w:t>doi:</w:t>
      </w:r>
      <w:hyperlink r:id="rId8" w:history="1">
        <w:r w:rsidRPr="004A2733">
          <w:rPr>
            <w:rStyle w:val="Hyperlink"/>
            <w:sz w:val="20"/>
            <w:szCs w:val="20"/>
            <w:shd w:val="clear" w:color="auto" w:fill="FFFFFF"/>
          </w:rPr>
          <w:t>10.7537/mars</w:t>
        </w:r>
        <w:r w:rsidRPr="004A2733">
          <w:rPr>
            <w:rStyle w:val="Hyperlink"/>
            <w:rFonts w:hint="eastAsia"/>
            <w:sz w:val="20"/>
            <w:szCs w:val="20"/>
            <w:shd w:val="clear" w:color="auto" w:fill="FFFFFF"/>
          </w:rPr>
          <w:t>r</w:t>
        </w:r>
        <w:r w:rsidRPr="004A2733">
          <w:rPr>
            <w:rStyle w:val="Hyperlink"/>
            <w:sz w:val="20"/>
            <w:szCs w:val="20"/>
            <w:shd w:val="clear" w:color="auto" w:fill="FFFFFF"/>
          </w:rPr>
          <w:t>sj</w:t>
        </w:r>
        <w:r w:rsidRPr="004A2733">
          <w:rPr>
            <w:rStyle w:val="Hyperlink"/>
            <w:rFonts w:hint="eastAsia"/>
            <w:sz w:val="20"/>
            <w:szCs w:val="20"/>
            <w:shd w:val="clear" w:color="auto" w:fill="FFFFFF"/>
          </w:rPr>
          <w:t>110319.</w:t>
        </w:r>
        <w:r w:rsidRPr="004A2733">
          <w:rPr>
            <w:rStyle w:val="Hyperlink"/>
            <w:rFonts w:hint="eastAsia"/>
            <w:sz w:val="20"/>
            <w:szCs w:val="20"/>
            <w:shd w:val="clear" w:color="auto" w:fill="FFFFFF"/>
            <w:lang w:eastAsia="zh-CN"/>
          </w:rPr>
          <w:t>13</w:t>
        </w:r>
      </w:hyperlink>
      <w:r w:rsidRPr="004A2733">
        <w:rPr>
          <w:color w:val="000000"/>
          <w:sz w:val="20"/>
          <w:szCs w:val="20"/>
          <w:shd w:val="clear" w:color="auto" w:fill="FFFFFF"/>
        </w:rPr>
        <w:t>.</w:t>
      </w:r>
    </w:p>
    <w:p w:rsidR="001817C7" w:rsidRPr="004A2733" w:rsidRDefault="001817C7" w:rsidP="004D27B1">
      <w:pPr>
        <w:suppressAutoHyphens w:val="0"/>
        <w:snapToGrid w:val="0"/>
        <w:jc w:val="both"/>
        <w:rPr>
          <w:sz w:val="20"/>
          <w:szCs w:val="20"/>
        </w:rPr>
      </w:pPr>
    </w:p>
    <w:p w:rsidR="001817C7" w:rsidRPr="004A2733" w:rsidRDefault="001817C7" w:rsidP="004D27B1">
      <w:pPr>
        <w:suppressAutoHyphens w:val="0"/>
        <w:snapToGrid w:val="0"/>
        <w:jc w:val="both"/>
        <w:rPr>
          <w:sz w:val="20"/>
          <w:szCs w:val="20"/>
        </w:rPr>
      </w:pPr>
      <w:r w:rsidRPr="004A2733">
        <w:rPr>
          <w:b/>
          <w:sz w:val="20"/>
          <w:szCs w:val="20"/>
        </w:rPr>
        <w:t xml:space="preserve">Keywords: </w:t>
      </w:r>
      <w:r w:rsidR="00AE71F1" w:rsidRPr="004A2733">
        <w:rPr>
          <w:sz w:val="20"/>
          <w:szCs w:val="20"/>
        </w:rPr>
        <w:t>corporate governance, ownership structure, liquidity, non-duty members.</w:t>
      </w:r>
    </w:p>
    <w:p w:rsidR="004D27B1" w:rsidRPr="004A2733" w:rsidRDefault="00151BCF" w:rsidP="004D27B1">
      <w:pPr>
        <w:suppressAutoHyphens w:val="0"/>
        <w:snapToGrid w:val="0"/>
        <w:jc w:val="both"/>
        <w:rPr>
          <w:b/>
          <w:sz w:val="20"/>
          <w:szCs w:val="20"/>
          <w:lang w:eastAsia="zh-CN"/>
        </w:rPr>
      </w:pPr>
      <w:r w:rsidRPr="004A2733">
        <w:rPr>
          <w:b/>
          <w:sz w:val="20"/>
          <w:szCs w:val="20"/>
        </w:rPr>
        <w:cr/>
      </w:r>
    </w:p>
    <w:p w:rsidR="00A22BBB" w:rsidRPr="004A2733" w:rsidRDefault="00A22BBB" w:rsidP="004D27B1">
      <w:pPr>
        <w:suppressAutoHyphens w:val="0"/>
        <w:snapToGrid w:val="0"/>
        <w:jc w:val="both"/>
        <w:rPr>
          <w:b/>
          <w:sz w:val="20"/>
          <w:szCs w:val="20"/>
          <w:lang w:eastAsia="zh-CN"/>
        </w:rPr>
        <w:sectPr w:rsidR="00A22BBB" w:rsidRPr="004A2733" w:rsidSect="000F211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7"/>
          <w:cols w:space="720"/>
          <w:docGrid w:linePitch="360"/>
        </w:sectPr>
      </w:pPr>
    </w:p>
    <w:p w:rsidR="00471E57" w:rsidRPr="004A2733" w:rsidRDefault="00471E57" w:rsidP="004D27B1">
      <w:pPr>
        <w:suppressAutoHyphens w:val="0"/>
        <w:snapToGrid w:val="0"/>
        <w:jc w:val="both"/>
        <w:rPr>
          <w:b/>
          <w:sz w:val="20"/>
          <w:szCs w:val="20"/>
        </w:rPr>
      </w:pPr>
      <w:r w:rsidRPr="004A2733">
        <w:rPr>
          <w:b/>
          <w:sz w:val="20"/>
          <w:szCs w:val="20"/>
        </w:rPr>
        <w:lastRenderedPageBreak/>
        <w:t>1. Introduction</w:t>
      </w:r>
    </w:p>
    <w:p w:rsidR="00AE71F1" w:rsidRPr="004A2733" w:rsidRDefault="00AE71F1" w:rsidP="004D27B1">
      <w:pPr>
        <w:suppressAutoHyphens w:val="0"/>
        <w:snapToGrid w:val="0"/>
        <w:ind w:firstLine="425"/>
        <w:jc w:val="both"/>
        <w:rPr>
          <w:sz w:val="20"/>
          <w:szCs w:val="20"/>
          <w:lang w:eastAsia="zh-CN"/>
        </w:rPr>
      </w:pPr>
      <w:r w:rsidRPr="004A2733">
        <w:rPr>
          <w:sz w:val="20"/>
          <w:szCs w:val="20"/>
        </w:rPr>
        <w:t>Undoubtedly the emergence of industrial corporations in the world that began in the 18th century, is considered as one of the largest economic development and perhaps the most important factor of industrial progress. From the results of this phenomenon, the separation of ownership from management, existence of differences in their utility function and thus create a conflict of interest and eventually authorship of owner-representative relation and representation theory. At the same time as the issue of overlapping rights mainly and the risk of expropriation minority shareholders' rights by large shareholders which have a controlling influence, in particular, was one of the most important problem for the owner-representative in most countries. Corporate governance debate began in the 1990s in England, the US and Canada in response to the problems of lack of effectiveness of the board of directors in large companies. Base of corporate governance started with the code-set report ​​in England, Day report in Canada and board principals at General Motors of the United State</w:t>
      </w:r>
      <w:r w:rsidR="00151BCF" w:rsidRPr="004A2733">
        <w:rPr>
          <w:sz w:val="20"/>
          <w:szCs w:val="20"/>
        </w:rPr>
        <w:t>s (</w:t>
      </w:r>
      <w:r w:rsidRPr="004A2733">
        <w:rPr>
          <w:sz w:val="20"/>
          <w:szCs w:val="20"/>
        </w:rPr>
        <w:t xml:space="preserve">Current,1387). Overall most of the major issues in corporate ownership emerges from two main important quandaries separation ownership from control to decrease costs and separation profit contrasting factors between managers and owners with the aim of maximizing shareholder value investment. Thus the separation of ownership from management, provided the conditions to build up "delegation" as the inevitable solution of the leading companies in the communities (Ryan,2001). To be </w:t>
      </w:r>
      <w:r w:rsidRPr="004A2733">
        <w:rPr>
          <w:sz w:val="20"/>
          <w:szCs w:val="20"/>
        </w:rPr>
        <w:lastRenderedPageBreak/>
        <w:t>successful in companies and manufacturing enterprises management requires correct and appropriate use of its resources, Knowledge of the situation of companies is one of the basic needs of management. Cash in the company is precious capital that must be used correctly to achieve company goals. Each company has different objectives which one of the most important tools to achieve the objectives is cash. Liquidity means the comparative ability to convert assets into cash and sometimes is considered as near the level of assets to cash. Ability to pay obligations of the entity is the ability to pay obligations at maturity. During the company's profitability, it may be suffering from a shortage of liquidity and despite the drawback, it may have high liquidity. So liquidity is sometimes more important than profitability. In explaining the position of one of these we call: if a company is not profitable, it is sick but if it has no liquidity, it is dying.</w:t>
      </w:r>
    </w:p>
    <w:p w:rsidR="004D27B1" w:rsidRPr="004A2733" w:rsidRDefault="004D27B1" w:rsidP="004D27B1">
      <w:pPr>
        <w:suppressAutoHyphens w:val="0"/>
        <w:snapToGrid w:val="0"/>
        <w:ind w:firstLine="425"/>
        <w:jc w:val="both"/>
        <w:rPr>
          <w:sz w:val="20"/>
          <w:szCs w:val="20"/>
          <w:lang w:eastAsia="zh-CN"/>
        </w:rPr>
      </w:pPr>
    </w:p>
    <w:p w:rsidR="00412A4E" w:rsidRPr="004A2733" w:rsidRDefault="00151BCF" w:rsidP="004D27B1">
      <w:pPr>
        <w:suppressAutoHyphens w:val="0"/>
        <w:snapToGrid w:val="0"/>
        <w:jc w:val="both"/>
        <w:rPr>
          <w:b/>
          <w:bCs/>
          <w:sz w:val="20"/>
          <w:szCs w:val="20"/>
        </w:rPr>
      </w:pPr>
      <w:r w:rsidRPr="004A2733">
        <w:rPr>
          <w:b/>
          <w:bCs/>
          <w:sz w:val="20"/>
          <w:szCs w:val="20"/>
        </w:rPr>
        <w:t>2</w:t>
      </w:r>
      <w:r w:rsidR="00412A4E" w:rsidRPr="004A2733">
        <w:rPr>
          <w:b/>
          <w:bCs/>
          <w:sz w:val="20"/>
          <w:szCs w:val="20"/>
        </w:rPr>
        <w:t>. Theoretical research</w:t>
      </w:r>
    </w:p>
    <w:p w:rsidR="00D53769" w:rsidRPr="004A2733" w:rsidRDefault="00D53769" w:rsidP="004D27B1">
      <w:pPr>
        <w:suppressAutoHyphens w:val="0"/>
        <w:snapToGrid w:val="0"/>
        <w:jc w:val="both"/>
        <w:rPr>
          <w:b/>
          <w:bCs/>
          <w:sz w:val="20"/>
          <w:szCs w:val="20"/>
        </w:rPr>
      </w:pPr>
      <w:r w:rsidRPr="004A2733">
        <w:rPr>
          <w:b/>
          <w:bCs/>
          <w:sz w:val="20"/>
          <w:szCs w:val="20"/>
        </w:rPr>
        <w:t>2.1 Corporate governance</w:t>
      </w:r>
    </w:p>
    <w:p w:rsidR="004D27B1" w:rsidRPr="004A2733" w:rsidRDefault="00D53769" w:rsidP="004D27B1">
      <w:pPr>
        <w:suppressAutoHyphens w:val="0"/>
        <w:snapToGrid w:val="0"/>
        <w:ind w:firstLine="425"/>
        <w:jc w:val="both"/>
        <w:rPr>
          <w:sz w:val="20"/>
          <w:szCs w:val="20"/>
        </w:rPr>
      </w:pPr>
      <w:r w:rsidRPr="004A2733">
        <w:rPr>
          <w:sz w:val="20"/>
          <w:szCs w:val="20"/>
        </w:rPr>
        <w:t>One of the most important issues in recent years following the financial scandals at large companies which has been considered by researchers and has been introduced to investors, is the subject of corporate governance that deals with necessary monitoring on company management and the separation of economic unit from its ownership and finally the rights of investors and stakeholders (</w:t>
      </w:r>
      <w:proofErr w:type="spellStart"/>
      <w:r w:rsidRPr="004A2733">
        <w:rPr>
          <w:sz w:val="20"/>
          <w:szCs w:val="20"/>
        </w:rPr>
        <w:t>Adaoglu</w:t>
      </w:r>
      <w:proofErr w:type="spellEnd"/>
      <w:r w:rsidRPr="004A2733">
        <w:rPr>
          <w:sz w:val="20"/>
          <w:szCs w:val="20"/>
        </w:rPr>
        <w:t>,</w:t>
      </w:r>
      <w:r w:rsidR="00B42900" w:rsidRPr="004A2733">
        <w:rPr>
          <w:rFonts w:hint="eastAsia"/>
          <w:sz w:val="20"/>
          <w:szCs w:val="20"/>
          <w:lang w:eastAsia="zh-CN"/>
        </w:rPr>
        <w:t xml:space="preserve"> </w:t>
      </w:r>
      <w:r w:rsidRPr="004A2733">
        <w:rPr>
          <w:sz w:val="20"/>
          <w:szCs w:val="20"/>
        </w:rPr>
        <w:t xml:space="preserve">2000). From the micro perspective, corporate governance involves a set of relations </w:t>
      </w:r>
      <w:r w:rsidRPr="004A2733">
        <w:rPr>
          <w:sz w:val="20"/>
          <w:szCs w:val="20"/>
        </w:rPr>
        <w:lastRenderedPageBreak/>
        <w:t>between company management, its board, shareholders and other stakeholders. These relationships involves the rules and different stimuli, forms the structure by means of the targets set, tools to achieve targets and monitoring over performance. The macro perspective, good corporate governance means to some extent which companies are managed in an open and honest manner. For market confidence, capital efficiency, renewable industrial structures of countries and finally the general wealth of society is important (Ghods,1387). The term corporate governance refers to the Greek word "</w:t>
      </w:r>
      <w:proofErr w:type="spellStart"/>
      <w:r w:rsidRPr="004A2733">
        <w:rPr>
          <w:sz w:val="20"/>
          <w:szCs w:val="20"/>
        </w:rPr>
        <w:t>Kyberman</w:t>
      </w:r>
      <w:proofErr w:type="spellEnd"/>
      <w:r w:rsidRPr="004A2733">
        <w:rPr>
          <w:sz w:val="20"/>
          <w:szCs w:val="20"/>
        </w:rPr>
        <w:t>" which means guidance or running and Greek word has converted to Latin word as “</w:t>
      </w:r>
      <w:proofErr w:type="spellStart"/>
      <w:r w:rsidRPr="004A2733">
        <w:rPr>
          <w:sz w:val="20"/>
          <w:szCs w:val="20"/>
        </w:rPr>
        <w:t>Gubernare</w:t>
      </w:r>
      <w:proofErr w:type="spellEnd"/>
      <w:r w:rsidRPr="004A2733">
        <w:rPr>
          <w:sz w:val="20"/>
          <w:szCs w:val="20"/>
        </w:rPr>
        <w:t>” and old French “</w:t>
      </w:r>
      <w:proofErr w:type="spellStart"/>
      <w:r w:rsidRPr="004A2733">
        <w:rPr>
          <w:sz w:val="20"/>
          <w:szCs w:val="20"/>
        </w:rPr>
        <w:t>Governer</w:t>
      </w:r>
      <w:proofErr w:type="spellEnd"/>
      <w:r w:rsidRPr="004A2733">
        <w:rPr>
          <w:sz w:val="20"/>
          <w:szCs w:val="20"/>
        </w:rPr>
        <w:t>”. But the word is defined in different ways by organizations or committees according to their ideological interests (Abu-Tapanjeh,2009). Organization for Economic Cooperation and Development (OECD) has defined the company governance (Governance): "A set of relationships between management, board of directors, shareholders and other stakeholders to participate."</w:t>
      </w:r>
      <w:r w:rsidR="00151BCF" w:rsidRPr="004A2733">
        <w:rPr>
          <w:sz w:val="20"/>
          <w:szCs w:val="20"/>
        </w:rPr>
        <w:t xml:space="preserve"> </w:t>
      </w:r>
      <w:r w:rsidRPr="004A2733">
        <w:rPr>
          <w:sz w:val="20"/>
          <w:szCs w:val="20"/>
        </w:rPr>
        <w:t>The World Bank defines corporate governance as this:" Corporate governance concerns a balance between social and economic goals and individual and collective objectives. Strengthening corporate governance framework is for the effective use of resources and to monitor the resources to meet the purpose and intend to further the interests of individuals, companies and society. "(Ibrahim,2004).</w:t>
      </w:r>
    </w:p>
    <w:p w:rsidR="004D27B1" w:rsidRPr="004A2733" w:rsidRDefault="00D53769" w:rsidP="004D27B1">
      <w:pPr>
        <w:suppressAutoHyphens w:val="0"/>
        <w:snapToGrid w:val="0"/>
        <w:jc w:val="both"/>
        <w:rPr>
          <w:b/>
          <w:bCs/>
          <w:sz w:val="20"/>
          <w:szCs w:val="20"/>
        </w:rPr>
      </w:pPr>
      <w:r w:rsidRPr="004A2733">
        <w:rPr>
          <w:b/>
          <w:bCs/>
          <w:sz w:val="20"/>
          <w:szCs w:val="20"/>
        </w:rPr>
        <w:t>2.2 Ownership structure</w:t>
      </w:r>
    </w:p>
    <w:p w:rsidR="004D27B1" w:rsidRPr="004A2733" w:rsidRDefault="00D53769" w:rsidP="004D27B1">
      <w:pPr>
        <w:suppressAutoHyphens w:val="0"/>
        <w:snapToGrid w:val="0"/>
        <w:ind w:firstLine="425"/>
        <w:jc w:val="both"/>
        <w:rPr>
          <w:sz w:val="20"/>
          <w:szCs w:val="20"/>
        </w:rPr>
      </w:pPr>
      <w:r w:rsidRPr="004A2733">
        <w:rPr>
          <w:sz w:val="20"/>
          <w:szCs w:val="20"/>
        </w:rPr>
        <w:t>In recent years many cases of conflict of interest between groups and how companies deal with these conflicts have been raised by economists. Corporate managers and shareholders conflict of interest comes from two sources. First, the management tends to favor some company resources to their profit. Second conflict cause is rooted in the fact that if directors are not company, they have no incentive to take bold actions; accept the risks of new products for markets or expand company (</w:t>
      </w:r>
      <w:proofErr w:type="spellStart"/>
      <w:r w:rsidRPr="004A2733">
        <w:rPr>
          <w:sz w:val="20"/>
          <w:szCs w:val="20"/>
        </w:rPr>
        <w:t>Namazi</w:t>
      </w:r>
      <w:proofErr w:type="spellEnd"/>
      <w:r w:rsidRPr="004A2733">
        <w:rPr>
          <w:sz w:val="20"/>
          <w:szCs w:val="20"/>
        </w:rPr>
        <w:t xml:space="preserve"> 87). Corporate ownership structure may be different in different countries. In the United States and Japan, the majority of shares owned by financial institutions, stock brokers, investment companies and other companies. Although all these investors are the company owners, the time horizon of the investors who hold the stock is significantly different.</w:t>
      </w:r>
      <w:r w:rsidR="00151BCF" w:rsidRPr="004A2733">
        <w:rPr>
          <w:sz w:val="20"/>
          <w:szCs w:val="20"/>
        </w:rPr>
        <w:t xml:space="preserve"> </w:t>
      </w:r>
      <w:r w:rsidRPr="004A2733">
        <w:rPr>
          <w:sz w:val="20"/>
          <w:szCs w:val="20"/>
        </w:rPr>
        <w:t>Based on western researchers findings, small investors (shareholders), stock brokers and investment companies have short-term investment horizon; While corporate managers, financial institutions and holding companies have a long-term investment horizo</w:t>
      </w:r>
      <w:r w:rsidR="00151BCF" w:rsidRPr="004A2733">
        <w:rPr>
          <w:sz w:val="20"/>
          <w:szCs w:val="20"/>
        </w:rPr>
        <w:t>n (</w:t>
      </w:r>
      <w:r w:rsidRPr="004A2733">
        <w:rPr>
          <w:sz w:val="20"/>
          <w:szCs w:val="20"/>
        </w:rPr>
        <w:t xml:space="preserve">Pourheydari,83). Ownership and control are usually separated in stock company, which leads to conflict of interest between financiers and managers who run company. In addition to upper </w:t>
      </w:r>
      <w:r w:rsidRPr="004A2733">
        <w:rPr>
          <w:sz w:val="20"/>
          <w:szCs w:val="20"/>
        </w:rPr>
        <w:lastRenderedPageBreak/>
        <w:t>stimulus, the major shareholders to reduce agency costs, it is easier for large shareholders to put pressure not to scatter their votes among different groups, to coordinate with the management. If the managers repeatedly face with these shareholders demands, they likely will be replaced. Thus, the major shareholders are different from small shareholders and not only they can monitor over management, but also have the ability to do s</w:t>
      </w:r>
      <w:r w:rsidR="00151BCF" w:rsidRPr="004A2733">
        <w:rPr>
          <w:sz w:val="20"/>
          <w:szCs w:val="20"/>
        </w:rPr>
        <w:t>o (</w:t>
      </w:r>
      <w:r w:rsidRPr="004A2733">
        <w:rPr>
          <w:sz w:val="20"/>
          <w:szCs w:val="20"/>
        </w:rPr>
        <w:t>Andres,2008). Ownership structure of companies investing in Iran, is constructed mainly from companies, foundations, institutions and governmental organizations, other corporations and small shareholder</w:t>
      </w:r>
      <w:r w:rsidR="00151BCF" w:rsidRPr="004A2733">
        <w:rPr>
          <w:sz w:val="20"/>
          <w:szCs w:val="20"/>
        </w:rPr>
        <w:t>s (</w:t>
      </w:r>
      <w:r w:rsidRPr="004A2733">
        <w:rPr>
          <w:sz w:val="20"/>
          <w:szCs w:val="20"/>
        </w:rPr>
        <w:t xml:space="preserve">Pourheydari,83). Determination of ownership structure type and composition of company shareholders, is a control device practices in corporate governance. Then it can be considered to determine the rule in the form of different types of ownership such as property distribution, concentration of ownership, company ownership and the percentage composition of major shareholders and their ownership. Also company </w:t>
      </w:r>
      <w:proofErr w:type="spellStart"/>
      <w:r w:rsidRPr="004A2733">
        <w:rPr>
          <w:sz w:val="20"/>
          <w:szCs w:val="20"/>
        </w:rPr>
        <w:t>shareholdind</w:t>
      </w:r>
      <w:proofErr w:type="spellEnd"/>
      <w:r w:rsidRPr="004A2733">
        <w:rPr>
          <w:sz w:val="20"/>
          <w:szCs w:val="20"/>
        </w:rPr>
        <w:t xml:space="preserve"> composition follows different models such as juridical shareholder, managerial ownership, public and private shareholders (</w:t>
      </w:r>
      <w:proofErr w:type="spellStart"/>
      <w:r w:rsidRPr="004A2733">
        <w:rPr>
          <w:sz w:val="20"/>
          <w:szCs w:val="20"/>
        </w:rPr>
        <w:t>Babayi</w:t>
      </w:r>
      <w:proofErr w:type="spellEnd"/>
      <w:r w:rsidRPr="004A2733">
        <w:rPr>
          <w:sz w:val="20"/>
          <w:szCs w:val="20"/>
        </w:rPr>
        <w:t xml:space="preserve"> Zakili,87).</w:t>
      </w:r>
    </w:p>
    <w:p w:rsidR="004D27B1" w:rsidRPr="004A2733" w:rsidRDefault="00D53769" w:rsidP="004D27B1">
      <w:pPr>
        <w:suppressAutoHyphens w:val="0"/>
        <w:snapToGrid w:val="0"/>
        <w:jc w:val="both"/>
        <w:rPr>
          <w:b/>
          <w:bCs/>
          <w:sz w:val="20"/>
          <w:szCs w:val="20"/>
        </w:rPr>
      </w:pPr>
      <w:r w:rsidRPr="004A2733">
        <w:rPr>
          <w:b/>
          <w:bCs/>
          <w:sz w:val="20"/>
          <w:szCs w:val="20"/>
        </w:rPr>
        <w:t>2.3 Liquidity</w:t>
      </w:r>
    </w:p>
    <w:p w:rsidR="004D27B1" w:rsidRPr="004A2733" w:rsidRDefault="00D53769" w:rsidP="004D27B1">
      <w:pPr>
        <w:suppressAutoHyphens w:val="0"/>
        <w:snapToGrid w:val="0"/>
        <w:ind w:firstLine="425"/>
        <w:jc w:val="both"/>
        <w:rPr>
          <w:sz w:val="20"/>
          <w:szCs w:val="20"/>
        </w:rPr>
      </w:pPr>
      <w:r w:rsidRPr="004A2733">
        <w:rPr>
          <w:sz w:val="20"/>
          <w:szCs w:val="20"/>
        </w:rPr>
        <w:t>Company performance and evaluation are focused continuously by shareholders, investors, financial creditors such as banks and financial institutions, creditors and particularly managers. Performance evaluation is financially determined by liquidity and profitability with the power index. Profitability is the sign of economic agency wealth and liquidity power is the sign of economic agency survival (Talebi,1375). In addition, Professor Lee has frankly said that the final outcome of the trade unit performance is cash flows and not profits. Profit is a virtual concept, while the cash is a physical source (</w:t>
      </w:r>
      <w:proofErr w:type="spellStart"/>
      <w:r w:rsidRPr="004A2733">
        <w:rPr>
          <w:sz w:val="20"/>
          <w:szCs w:val="20"/>
        </w:rPr>
        <w:t>Forghandoust</w:t>
      </w:r>
      <w:proofErr w:type="spellEnd"/>
      <w:r w:rsidRPr="004A2733">
        <w:rPr>
          <w:sz w:val="20"/>
          <w:szCs w:val="20"/>
        </w:rPr>
        <w:t xml:space="preserve"> </w:t>
      </w:r>
      <w:proofErr w:type="spellStart"/>
      <w:r w:rsidRPr="004A2733">
        <w:rPr>
          <w:sz w:val="20"/>
          <w:szCs w:val="20"/>
        </w:rPr>
        <w:t>Haghighi</w:t>
      </w:r>
      <w:proofErr w:type="spellEnd"/>
      <w:r w:rsidR="00151BCF" w:rsidRPr="004A2733">
        <w:rPr>
          <w:sz w:val="20"/>
          <w:szCs w:val="20"/>
        </w:rPr>
        <w:t xml:space="preserve"> &amp; </w:t>
      </w:r>
      <w:r w:rsidRPr="004A2733">
        <w:rPr>
          <w:sz w:val="20"/>
          <w:szCs w:val="20"/>
        </w:rPr>
        <w:t xml:space="preserve">Vafadar,1376). Cash (liquidity) is one of the most important and vital resource for companies. Balance between existing cash and future needs of the company is one of the most important factors of economic health and one of the main reasons of the firm growth. From the organizational perspective, the ability to predict approximate results of upcoming activities, especially its future cash flows, makes efficient to corporate governance in their shape and lead optimal decisions taken in the field of operational and investment and financing strategies. From out-organizational user’s point of view, including investors and creditors, operating cash flow forecasting is particular important. Generally, non-effective investment arises from poor corporate governance which can affect firm profitability and firm value. Existing literature shows that the uncertain cash flow is one of the reasons and factors of company value and can be influential on the </w:t>
      </w:r>
      <w:r w:rsidRPr="004A2733">
        <w:rPr>
          <w:sz w:val="20"/>
          <w:szCs w:val="20"/>
        </w:rPr>
        <w:lastRenderedPageBreak/>
        <w:t>final value. On the other hand, it is rational for managers to have self-interest in spending cash resources (cash balance) instead of maintenance. Perhaps, because it costs more cash on the balance sheet inventory kept clear disciplinary (Harford</w:t>
      </w:r>
      <w:r w:rsidR="00151BCF" w:rsidRPr="004A2733">
        <w:rPr>
          <w:sz w:val="20"/>
          <w:szCs w:val="20"/>
        </w:rPr>
        <w:t xml:space="preserve"> &amp; </w:t>
      </w:r>
      <w:r w:rsidRPr="004A2733">
        <w:rPr>
          <w:sz w:val="20"/>
          <w:szCs w:val="20"/>
        </w:rPr>
        <w:t>others,2008). Chen expressed companies have incentives to hold cash in the transaction, including incentives, safety incentives and financial hierarchy theory. Companies hold cash for trading purposes in order to avoid the high costs from capital market. The result is the hierarchical theory of information asymmetry. Companies keep cash for precautionary purposes in order to maintain the profitable investment opportunities. There are three reasons for emphasizing the holdings of cash (liquidity) as there is an asset. First, the manager simply holds cash, which can be used with uncertainty and carelessness. Secondly, corporate maintain or increase cash to avoid deficits in time for the company's health and funding. Finally, if the corporate governance structure is appropriate, almost fluctuating liquidity levels will be less over time (Mahert-Smith,2007).</w:t>
      </w:r>
    </w:p>
    <w:p w:rsidR="004D27B1" w:rsidRPr="004A2733" w:rsidRDefault="00F657C4" w:rsidP="004D27B1">
      <w:pPr>
        <w:suppressAutoHyphens w:val="0"/>
        <w:snapToGrid w:val="0"/>
        <w:jc w:val="both"/>
        <w:rPr>
          <w:b/>
          <w:bCs/>
          <w:sz w:val="20"/>
          <w:szCs w:val="20"/>
        </w:rPr>
      </w:pPr>
      <w:r w:rsidRPr="004A2733">
        <w:rPr>
          <w:b/>
          <w:bCs/>
          <w:sz w:val="20"/>
          <w:szCs w:val="20"/>
        </w:rPr>
        <w:t xml:space="preserve">2.4 </w:t>
      </w:r>
      <w:r w:rsidR="00D53769" w:rsidRPr="004A2733">
        <w:rPr>
          <w:b/>
          <w:bCs/>
          <w:sz w:val="20"/>
          <w:szCs w:val="20"/>
        </w:rPr>
        <w:t>Studies done outside of Iran</w:t>
      </w:r>
    </w:p>
    <w:p w:rsidR="004D27B1" w:rsidRPr="004A2733" w:rsidRDefault="00D53769" w:rsidP="004D27B1">
      <w:pPr>
        <w:suppressAutoHyphens w:val="0"/>
        <w:snapToGrid w:val="0"/>
        <w:ind w:firstLine="425"/>
        <w:jc w:val="both"/>
        <w:rPr>
          <w:sz w:val="20"/>
          <w:szCs w:val="20"/>
        </w:rPr>
      </w:pPr>
      <w:r w:rsidRPr="004A2733">
        <w:rPr>
          <w:sz w:val="20"/>
          <w:szCs w:val="20"/>
        </w:rPr>
        <w:t>Lee Cheng Few selected a sample of 1061 firms during the period 2001 to 2005 in five Asian countries (Malaysia, Philippines, India, Singapore and Thailand) stated that if the board plays corporate governance role in the ASEAN countries, it would be predicted that firms with stronger managerial structures (more non-duty board members, etc.), after controlling other factors, have lower maintenance cash. Analyzes has begun with the relationship between cash handling, board structure and managerial ownership structure. After controlling for other factors to determine the cash handling, it was concluded that firms with greater share of responsibility in the Board of Directors, CEO and Chairman positions separate and smaller board hold less cash. Chung and other</w:t>
      </w:r>
      <w:r w:rsidR="00151BCF" w:rsidRPr="004A2733">
        <w:rPr>
          <w:sz w:val="20"/>
          <w:szCs w:val="20"/>
        </w:rPr>
        <w:t>s (</w:t>
      </w:r>
      <w:r w:rsidRPr="004A2733">
        <w:rPr>
          <w:sz w:val="20"/>
          <w:szCs w:val="20"/>
        </w:rPr>
        <w:t>Chung</w:t>
      </w:r>
      <w:r w:rsidR="00151BCF" w:rsidRPr="004A2733">
        <w:rPr>
          <w:sz w:val="20"/>
          <w:szCs w:val="20"/>
        </w:rPr>
        <w:t xml:space="preserve"> &amp; </w:t>
      </w:r>
      <w:r w:rsidRPr="004A2733">
        <w:rPr>
          <w:sz w:val="20"/>
          <w:szCs w:val="20"/>
        </w:rPr>
        <w:t>Elder</w:t>
      </w:r>
      <w:r w:rsidR="00151BCF" w:rsidRPr="004A2733">
        <w:rPr>
          <w:sz w:val="20"/>
          <w:szCs w:val="20"/>
        </w:rPr>
        <w:t xml:space="preserve"> &amp; </w:t>
      </w:r>
      <w:r w:rsidRPr="004A2733">
        <w:rPr>
          <w:sz w:val="20"/>
          <w:szCs w:val="20"/>
        </w:rPr>
        <w:t>Kim) (2008) in a research examine the relationship between corporate governance and market liquidity using the index of effective leading properties on operational and financial transparency. The above index is based on 24 leadership standards chosen from among the Institute of institutional shareholder services</w:t>
      </w:r>
      <w:r w:rsidR="00151BCF" w:rsidRPr="004A2733">
        <w:rPr>
          <w:sz w:val="20"/>
          <w:szCs w:val="20"/>
        </w:rPr>
        <w:t>,</w:t>
      </w:r>
      <w:r w:rsidRPr="004A2733">
        <w:rPr>
          <w:sz w:val="20"/>
          <w:szCs w:val="20"/>
        </w:rPr>
        <w:t xml:space="preserve"> that are in close relationship with the company's operational and financial transparency. They also used some criteria, such as price gap, the effect of price and trading based on information to evaluate potential liquidity and found that firms with better governance, narrower price gap, the larger market quality index, has the least price effect of turnover and possible reduction transaction on a tip-off.</w:t>
      </w:r>
    </w:p>
    <w:p w:rsidR="004D27B1" w:rsidRPr="004A2733" w:rsidRDefault="00D53769" w:rsidP="004D27B1">
      <w:pPr>
        <w:suppressAutoHyphens w:val="0"/>
        <w:snapToGrid w:val="0"/>
        <w:ind w:firstLine="425"/>
        <w:jc w:val="both"/>
        <w:rPr>
          <w:sz w:val="20"/>
          <w:szCs w:val="20"/>
        </w:rPr>
      </w:pPr>
      <w:proofErr w:type="spellStart"/>
      <w:r w:rsidRPr="004A2733">
        <w:rPr>
          <w:sz w:val="20"/>
          <w:szCs w:val="20"/>
        </w:rPr>
        <w:t>Amidu</w:t>
      </w:r>
      <w:proofErr w:type="spellEnd"/>
      <w:r w:rsidRPr="004A2733">
        <w:rPr>
          <w:sz w:val="20"/>
          <w:szCs w:val="20"/>
        </w:rPr>
        <w:t xml:space="preserve"> and </w:t>
      </w:r>
      <w:proofErr w:type="spellStart"/>
      <w:r w:rsidRPr="004A2733">
        <w:rPr>
          <w:sz w:val="20"/>
          <w:szCs w:val="20"/>
        </w:rPr>
        <w:t>Joshuo</w:t>
      </w:r>
      <w:proofErr w:type="spellEnd"/>
      <w:r w:rsidRPr="004A2733">
        <w:rPr>
          <w:sz w:val="20"/>
          <w:szCs w:val="20"/>
        </w:rPr>
        <w:t xml:space="preserve"> (2006) began to research companies in Ghana and used institutional ownership as an agency costs measure and also used sales growth </w:t>
      </w:r>
      <w:r w:rsidRPr="004A2733">
        <w:rPr>
          <w:sz w:val="20"/>
          <w:szCs w:val="20"/>
        </w:rPr>
        <w:lastRenderedPageBreak/>
        <w:t>and market value to official value as a criterion for investment opportunities. Their results showed that institutional ownership, profitability and cash flow have a positive relationship with payout ratios and also found there is a negative relationship between the risk ratio of interest payments, institutional shareholders ownership, growth and market value to book value.</w:t>
      </w:r>
    </w:p>
    <w:p w:rsidR="004D27B1" w:rsidRPr="004A2733" w:rsidRDefault="00D53769" w:rsidP="004D27B1">
      <w:pPr>
        <w:suppressAutoHyphens w:val="0"/>
        <w:snapToGrid w:val="0"/>
        <w:ind w:firstLine="425"/>
        <w:jc w:val="both"/>
        <w:rPr>
          <w:sz w:val="20"/>
          <w:szCs w:val="20"/>
        </w:rPr>
      </w:pPr>
      <w:r w:rsidRPr="004A2733">
        <w:rPr>
          <w:sz w:val="20"/>
          <w:szCs w:val="20"/>
        </w:rPr>
        <w:t>Harford (1999) showed that firms with high liquidity, very likely gain the increase in firm value and in the lack of a regulatory system that can prevent the managers interests, investment could be inefficient, it may also have negative effects on the value and liquidity.</w:t>
      </w:r>
    </w:p>
    <w:p w:rsidR="004D27B1" w:rsidRPr="004A2733" w:rsidRDefault="00D53769" w:rsidP="004D27B1">
      <w:pPr>
        <w:suppressAutoHyphens w:val="0"/>
        <w:snapToGrid w:val="0"/>
        <w:ind w:firstLine="425"/>
        <w:jc w:val="both"/>
        <w:rPr>
          <w:sz w:val="20"/>
          <w:szCs w:val="20"/>
        </w:rPr>
      </w:pPr>
      <w:r w:rsidRPr="004A2733">
        <w:rPr>
          <w:sz w:val="20"/>
          <w:szCs w:val="20"/>
        </w:rPr>
        <w:t xml:space="preserve">Harford and his colleagues (2008) with using a sample of 1872 firms tested the relationship between corporate governance structure and handling cash. The results show that firms with more local ownership and a higher percentage of institutional ownership, keeping more cash, while firms with higher quality of corporate governance and greater and more independent board of directors hold less cash. </w:t>
      </w:r>
      <w:proofErr w:type="spellStart"/>
      <w:r w:rsidRPr="004A2733">
        <w:rPr>
          <w:sz w:val="20"/>
          <w:szCs w:val="20"/>
        </w:rPr>
        <w:t>Mikkelson</w:t>
      </w:r>
      <w:proofErr w:type="spellEnd"/>
      <w:r w:rsidRPr="004A2733">
        <w:rPr>
          <w:sz w:val="20"/>
          <w:szCs w:val="20"/>
        </w:rPr>
        <w:t xml:space="preserve"> and </w:t>
      </w:r>
      <w:proofErr w:type="spellStart"/>
      <w:r w:rsidRPr="004A2733">
        <w:rPr>
          <w:sz w:val="20"/>
          <w:szCs w:val="20"/>
        </w:rPr>
        <w:t>Partch</w:t>
      </w:r>
      <w:proofErr w:type="spellEnd"/>
      <w:r w:rsidRPr="004A2733">
        <w:rPr>
          <w:sz w:val="20"/>
          <w:szCs w:val="20"/>
        </w:rPr>
        <w:t xml:space="preserve"> (2003) also argue that stable cash holding does not lead to poor performance and cash immutability will reduce the risk of corporate bankruptcy.</w:t>
      </w:r>
    </w:p>
    <w:p w:rsidR="004D27B1" w:rsidRPr="004A2733" w:rsidRDefault="00F657C4" w:rsidP="004D27B1">
      <w:pPr>
        <w:suppressAutoHyphens w:val="0"/>
        <w:snapToGrid w:val="0"/>
        <w:jc w:val="both"/>
        <w:rPr>
          <w:b/>
          <w:bCs/>
          <w:sz w:val="20"/>
          <w:szCs w:val="20"/>
        </w:rPr>
      </w:pPr>
      <w:r w:rsidRPr="004A2733">
        <w:rPr>
          <w:b/>
          <w:bCs/>
          <w:sz w:val="20"/>
          <w:szCs w:val="20"/>
        </w:rPr>
        <w:t xml:space="preserve">2.5 </w:t>
      </w:r>
      <w:r w:rsidR="00D53769" w:rsidRPr="004A2733">
        <w:rPr>
          <w:b/>
          <w:bCs/>
          <w:sz w:val="20"/>
          <w:szCs w:val="20"/>
        </w:rPr>
        <w:t>Studies done in Iran</w:t>
      </w:r>
    </w:p>
    <w:p w:rsidR="00D53769" w:rsidRPr="004A2733" w:rsidRDefault="00D53769" w:rsidP="004D27B1">
      <w:pPr>
        <w:suppressAutoHyphens w:val="0"/>
        <w:snapToGrid w:val="0"/>
        <w:ind w:firstLine="425"/>
        <w:jc w:val="both"/>
        <w:rPr>
          <w:sz w:val="20"/>
          <w:szCs w:val="20"/>
        </w:rPr>
      </w:pPr>
      <w:proofErr w:type="spellStart"/>
      <w:r w:rsidRPr="004A2733">
        <w:rPr>
          <w:sz w:val="20"/>
          <w:szCs w:val="20"/>
        </w:rPr>
        <w:t>Aghayi</w:t>
      </w:r>
      <w:proofErr w:type="spellEnd"/>
      <w:r w:rsidRPr="004A2733">
        <w:rPr>
          <w:sz w:val="20"/>
          <w:szCs w:val="20"/>
        </w:rPr>
        <w:t xml:space="preserve"> and colleagues (1388) investigate the factors affecting the maintenance of cash in listed companies in Tehran Stock Exchange. They selected sample includes 283 companies and their research period is between 1379 to 1384. Their results show that receivable accounts, net working capital, goods existence and short-term debt, respectively, are the most important factors which have a negative impact on cash retention. On the other hand, growth opportunities, profit dividends, cash flows and net income profit, respectively, are the most important factors having a positive effect on maintaining cash, but there is not enough evidence about the negative effects on long-term debt and firm size on cash kept.</w:t>
      </w:r>
    </w:p>
    <w:p w:rsidR="00D53769" w:rsidRPr="004A2733" w:rsidRDefault="00D53769" w:rsidP="004D27B1">
      <w:pPr>
        <w:suppressAutoHyphens w:val="0"/>
        <w:snapToGrid w:val="0"/>
        <w:ind w:firstLine="425"/>
        <w:jc w:val="both"/>
        <w:rPr>
          <w:sz w:val="20"/>
          <w:szCs w:val="20"/>
        </w:rPr>
      </w:pPr>
      <w:proofErr w:type="spellStart"/>
      <w:r w:rsidRPr="004A2733">
        <w:rPr>
          <w:sz w:val="20"/>
          <w:szCs w:val="20"/>
        </w:rPr>
        <w:t>Hosseini</w:t>
      </w:r>
      <w:proofErr w:type="spellEnd"/>
      <w:r w:rsidRPr="004A2733">
        <w:rPr>
          <w:sz w:val="20"/>
          <w:szCs w:val="20"/>
        </w:rPr>
        <w:t xml:space="preserve"> (1386) examined the relationship between corporate governance and shareholder returns. In this study, institutional shareholders and its effect on shareholder returns, it is trying to return the excess amount will be calculated as shareholders in companies with good governance. Results show that there is no relationship between institutional shareholders and shareholder returns in Iran. </w:t>
      </w:r>
      <w:proofErr w:type="spellStart"/>
      <w:r w:rsidRPr="004A2733">
        <w:rPr>
          <w:sz w:val="20"/>
          <w:szCs w:val="20"/>
        </w:rPr>
        <w:t>Sadeghi</w:t>
      </w:r>
      <w:proofErr w:type="spellEnd"/>
      <w:r w:rsidRPr="004A2733">
        <w:rPr>
          <w:sz w:val="20"/>
          <w:szCs w:val="20"/>
        </w:rPr>
        <w:t xml:space="preserve"> Sharif and </w:t>
      </w:r>
      <w:proofErr w:type="spellStart"/>
      <w:r w:rsidRPr="004A2733">
        <w:rPr>
          <w:sz w:val="20"/>
          <w:szCs w:val="20"/>
        </w:rPr>
        <w:t>Kaffash</w:t>
      </w:r>
      <w:proofErr w:type="spellEnd"/>
      <w:r w:rsidRPr="004A2733">
        <w:rPr>
          <w:sz w:val="20"/>
          <w:szCs w:val="20"/>
        </w:rPr>
        <w:t xml:space="preserve"> </w:t>
      </w:r>
      <w:proofErr w:type="spellStart"/>
      <w:r w:rsidRPr="004A2733">
        <w:rPr>
          <w:sz w:val="20"/>
          <w:szCs w:val="20"/>
        </w:rPr>
        <w:t>Panjehshahi</w:t>
      </w:r>
      <w:proofErr w:type="spellEnd"/>
      <w:r w:rsidRPr="004A2733">
        <w:rPr>
          <w:sz w:val="20"/>
          <w:szCs w:val="20"/>
        </w:rPr>
        <w:t xml:space="preserve"> (1387) studied compound shareholders effect on profit return for listed companies in Tehran Stock Exchange. The results showed companies which have</w:t>
      </w:r>
      <w:r w:rsidR="00151BCF" w:rsidRPr="004A2733">
        <w:rPr>
          <w:sz w:val="20"/>
          <w:szCs w:val="20"/>
        </w:rPr>
        <w:t xml:space="preserve"> </w:t>
      </w:r>
      <w:r w:rsidRPr="004A2733">
        <w:rPr>
          <w:sz w:val="20"/>
          <w:szCs w:val="20"/>
        </w:rPr>
        <w:t xml:space="preserve">greater percentage of the shares for legal owners, they are more proper for investment. Also it is not confirmed </w:t>
      </w:r>
      <w:r w:rsidRPr="004A2733">
        <w:rPr>
          <w:sz w:val="20"/>
          <w:szCs w:val="20"/>
        </w:rPr>
        <w:lastRenderedPageBreak/>
        <w:t>the amount of shareholder ownership effect and the amount of board ownership on liquidity status.</w:t>
      </w:r>
    </w:p>
    <w:p w:rsidR="004D27B1" w:rsidRPr="004A2733" w:rsidRDefault="00D53769" w:rsidP="004D27B1">
      <w:pPr>
        <w:suppressAutoHyphens w:val="0"/>
        <w:snapToGrid w:val="0"/>
        <w:ind w:firstLine="425"/>
        <w:jc w:val="both"/>
        <w:rPr>
          <w:sz w:val="20"/>
          <w:szCs w:val="20"/>
        </w:rPr>
      </w:pPr>
      <w:proofErr w:type="spellStart"/>
      <w:r w:rsidRPr="004A2733">
        <w:rPr>
          <w:sz w:val="20"/>
          <w:szCs w:val="20"/>
        </w:rPr>
        <w:t>Talebi</w:t>
      </w:r>
      <w:proofErr w:type="spellEnd"/>
      <w:r w:rsidRPr="004A2733">
        <w:rPr>
          <w:sz w:val="20"/>
          <w:szCs w:val="20"/>
        </w:rPr>
        <w:t xml:space="preserve"> (1377) concluded that the company's liquidity position is greatly influenced by the nature of corporate activity. He also stated that financial gain trends and return management have effects on company's liquidity position.</w:t>
      </w:r>
    </w:p>
    <w:p w:rsidR="004D27B1" w:rsidRPr="004A2733" w:rsidRDefault="00F657C4" w:rsidP="004D27B1">
      <w:pPr>
        <w:pStyle w:val="ListParagraph"/>
        <w:bidi w:val="0"/>
        <w:snapToGrid w:val="0"/>
        <w:spacing w:after="0" w:line="240" w:lineRule="auto"/>
        <w:ind w:left="0"/>
        <w:jc w:val="both"/>
        <w:rPr>
          <w:rFonts w:ascii="Times New Roman" w:hAnsi="Times New Roman" w:cs="Times New Roman"/>
          <w:b/>
          <w:bCs/>
          <w:sz w:val="20"/>
          <w:szCs w:val="20"/>
        </w:rPr>
      </w:pPr>
      <w:r w:rsidRPr="004A2733">
        <w:rPr>
          <w:rFonts w:ascii="Times New Roman" w:hAnsi="Times New Roman" w:cs="Times New Roman"/>
          <w:b/>
          <w:bCs/>
          <w:sz w:val="20"/>
          <w:szCs w:val="20"/>
        </w:rPr>
        <w:t xml:space="preserve">2.6 </w:t>
      </w:r>
      <w:r w:rsidR="00D53769" w:rsidRPr="004A2733">
        <w:rPr>
          <w:rFonts w:ascii="Times New Roman" w:hAnsi="Times New Roman" w:cs="Times New Roman"/>
          <w:b/>
          <w:bCs/>
          <w:sz w:val="20"/>
          <w:szCs w:val="20"/>
        </w:rPr>
        <w:t>The research hypotheses</w:t>
      </w:r>
    </w:p>
    <w:p w:rsidR="004D27B1" w:rsidRPr="004A2733" w:rsidRDefault="00D53769" w:rsidP="004D27B1">
      <w:pPr>
        <w:suppressAutoHyphens w:val="0"/>
        <w:snapToGrid w:val="0"/>
        <w:ind w:firstLine="425"/>
        <w:jc w:val="both"/>
        <w:rPr>
          <w:sz w:val="20"/>
          <w:szCs w:val="20"/>
        </w:rPr>
      </w:pPr>
      <w:r w:rsidRPr="004A2733">
        <w:rPr>
          <w:sz w:val="20"/>
          <w:szCs w:val="20"/>
        </w:rPr>
        <w:t>In this study we are looking for whether the corporate governance and ownership structure have an impact on corporate liquidity or not? In order to answer this question, four hypotheses were proposed as follow:</w:t>
      </w:r>
    </w:p>
    <w:p w:rsidR="004D27B1" w:rsidRPr="004A2733" w:rsidRDefault="00D53769" w:rsidP="004D27B1">
      <w:pPr>
        <w:suppressAutoHyphens w:val="0"/>
        <w:snapToGrid w:val="0"/>
        <w:ind w:firstLine="425"/>
        <w:jc w:val="both"/>
        <w:rPr>
          <w:sz w:val="20"/>
          <w:szCs w:val="20"/>
        </w:rPr>
      </w:pPr>
      <w:r w:rsidRPr="004A2733">
        <w:rPr>
          <w:sz w:val="20"/>
          <w:szCs w:val="20"/>
        </w:rPr>
        <w:t>The first hypothesis: There is a significant relationship between non-mandated board members of companies and liquidity ratios.</w:t>
      </w:r>
    </w:p>
    <w:p w:rsidR="004D27B1" w:rsidRPr="004A2733" w:rsidRDefault="00D53769" w:rsidP="004D27B1">
      <w:pPr>
        <w:suppressAutoHyphens w:val="0"/>
        <w:snapToGrid w:val="0"/>
        <w:ind w:firstLine="425"/>
        <w:jc w:val="both"/>
        <w:rPr>
          <w:sz w:val="20"/>
          <w:szCs w:val="20"/>
        </w:rPr>
      </w:pPr>
      <w:r w:rsidRPr="004A2733">
        <w:rPr>
          <w:sz w:val="20"/>
          <w:szCs w:val="20"/>
        </w:rPr>
        <w:t>The second hypothesis: There is a significant relationship between the number of board members of companies and liquidity.</w:t>
      </w:r>
    </w:p>
    <w:p w:rsidR="004D27B1" w:rsidRPr="004A2733" w:rsidRDefault="00D53769" w:rsidP="004D27B1">
      <w:pPr>
        <w:suppressAutoHyphens w:val="0"/>
        <w:snapToGrid w:val="0"/>
        <w:ind w:firstLine="425"/>
        <w:jc w:val="both"/>
        <w:rPr>
          <w:sz w:val="20"/>
          <w:szCs w:val="20"/>
        </w:rPr>
      </w:pPr>
      <w:r w:rsidRPr="004A2733">
        <w:rPr>
          <w:sz w:val="20"/>
          <w:szCs w:val="20"/>
        </w:rPr>
        <w:t>The third hypothesis: There is a significant relationship between block shareholders of companies and liquidity.</w:t>
      </w:r>
    </w:p>
    <w:p w:rsidR="004D27B1" w:rsidRPr="004A2733" w:rsidRDefault="00D53769" w:rsidP="004D27B1">
      <w:pPr>
        <w:suppressAutoHyphens w:val="0"/>
        <w:snapToGrid w:val="0"/>
        <w:ind w:firstLine="425"/>
        <w:jc w:val="both"/>
        <w:rPr>
          <w:sz w:val="20"/>
          <w:szCs w:val="20"/>
        </w:rPr>
      </w:pPr>
      <w:r w:rsidRPr="004A2733">
        <w:rPr>
          <w:sz w:val="20"/>
          <w:szCs w:val="20"/>
        </w:rPr>
        <w:t>The fourth hypothesis: There is a significant relationship between institutional shareholders of companies and liquidit</w:t>
      </w:r>
      <w:r w:rsidR="004D27B1" w:rsidRPr="004A2733">
        <w:rPr>
          <w:sz w:val="20"/>
          <w:szCs w:val="20"/>
        </w:rPr>
        <w:t>y.</w:t>
      </w:r>
    </w:p>
    <w:p w:rsidR="004D27B1" w:rsidRPr="004A2733" w:rsidRDefault="004D27B1" w:rsidP="004D27B1">
      <w:pPr>
        <w:suppressAutoHyphens w:val="0"/>
        <w:snapToGrid w:val="0"/>
        <w:ind w:firstLine="425"/>
        <w:jc w:val="both"/>
        <w:rPr>
          <w:sz w:val="20"/>
          <w:szCs w:val="20"/>
          <w:lang w:eastAsia="zh-CN"/>
        </w:rPr>
      </w:pPr>
    </w:p>
    <w:p w:rsidR="004D27B1" w:rsidRPr="004A2733" w:rsidRDefault="005637F5" w:rsidP="004D27B1">
      <w:pPr>
        <w:suppressAutoHyphens w:val="0"/>
        <w:snapToGrid w:val="0"/>
        <w:jc w:val="both"/>
        <w:rPr>
          <w:b/>
          <w:bCs/>
          <w:sz w:val="20"/>
          <w:szCs w:val="20"/>
        </w:rPr>
      </w:pPr>
      <w:r w:rsidRPr="004A2733">
        <w:rPr>
          <w:b/>
          <w:bCs/>
          <w:sz w:val="20"/>
          <w:szCs w:val="20"/>
        </w:rPr>
        <w:t xml:space="preserve">3. </w:t>
      </w:r>
      <w:r w:rsidR="00D53769" w:rsidRPr="004A2733">
        <w:rPr>
          <w:b/>
          <w:bCs/>
          <w:sz w:val="20"/>
          <w:szCs w:val="20"/>
        </w:rPr>
        <w:t>Methodology</w:t>
      </w:r>
    </w:p>
    <w:p w:rsidR="004D27B1" w:rsidRPr="004A2733" w:rsidRDefault="00D53769" w:rsidP="004D27B1">
      <w:pPr>
        <w:suppressAutoHyphens w:val="0"/>
        <w:snapToGrid w:val="0"/>
        <w:ind w:firstLine="425"/>
        <w:jc w:val="both"/>
        <w:rPr>
          <w:sz w:val="20"/>
          <w:szCs w:val="20"/>
        </w:rPr>
      </w:pPr>
      <w:r w:rsidRPr="004A2733">
        <w:rPr>
          <w:sz w:val="20"/>
          <w:szCs w:val="20"/>
        </w:rPr>
        <w:t>The present study sought to investigate this question: What is the role of corporate governance and ownership structure on liquidity of listed companies in Tehran Stock Exchange? So, methods which used in this study, is descriptive-correlation, thus the relationship between variables will be studied. Type of research is applied and uses the approach of the event.</w:t>
      </w:r>
    </w:p>
    <w:p w:rsidR="004D27B1" w:rsidRPr="004A2733" w:rsidRDefault="00D53769" w:rsidP="004D27B1">
      <w:pPr>
        <w:suppressAutoHyphens w:val="0"/>
        <w:snapToGrid w:val="0"/>
        <w:ind w:firstLine="425"/>
        <w:jc w:val="both"/>
        <w:rPr>
          <w:sz w:val="20"/>
          <w:szCs w:val="20"/>
          <w:lang w:eastAsia="zh-CN"/>
        </w:rPr>
      </w:pPr>
      <w:r w:rsidRPr="004A2733">
        <w:rPr>
          <w:sz w:val="20"/>
          <w:szCs w:val="20"/>
        </w:rPr>
        <w:t>The regression model is as follow:</w:t>
      </w:r>
    </w:p>
    <w:p w:rsidR="004D27B1" w:rsidRPr="004A2733" w:rsidRDefault="004D27B1" w:rsidP="004D27B1">
      <w:pPr>
        <w:suppressAutoHyphens w:val="0"/>
        <w:snapToGrid w:val="0"/>
        <w:ind w:firstLine="425"/>
        <w:jc w:val="both"/>
        <w:rPr>
          <w:sz w:val="20"/>
          <w:szCs w:val="20"/>
          <w:lang w:eastAsia="zh-CN"/>
        </w:rPr>
      </w:pPr>
    </w:p>
    <w:p w:rsidR="004D27B1" w:rsidRPr="004A2733" w:rsidRDefault="004A2733" w:rsidP="004D27B1">
      <w:pPr>
        <w:suppressAutoHyphens w:val="0"/>
        <w:snapToGrid w:val="0"/>
        <w:jc w:val="center"/>
        <w:rPr>
          <w:sz w:val="20"/>
          <w:szCs w:val="20"/>
          <w:lang w:eastAsia="zh-CN"/>
        </w:rPr>
      </w:pPr>
      <w:r w:rsidRPr="004A2733">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9.45pt">
            <v:imagedata r:id="rId12" o:title=""/>
          </v:shape>
        </w:pict>
      </w:r>
    </w:p>
    <w:p w:rsidR="004D27B1" w:rsidRPr="004A2733" w:rsidRDefault="004D27B1" w:rsidP="004D27B1">
      <w:pPr>
        <w:suppressAutoHyphens w:val="0"/>
        <w:snapToGrid w:val="0"/>
        <w:jc w:val="center"/>
        <w:rPr>
          <w:sz w:val="20"/>
          <w:szCs w:val="20"/>
          <w:lang w:eastAsia="zh-CN"/>
        </w:rPr>
      </w:pPr>
    </w:p>
    <w:p w:rsidR="004D27B1" w:rsidRPr="004A2733" w:rsidRDefault="000629A7" w:rsidP="004D27B1">
      <w:pPr>
        <w:suppressAutoHyphens w:val="0"/>
        <w:snapToGrid w:val="0"/>
        <w:ind w:firstLine="425"/>
        <w:jc w:val="both"/>
        <w:rPr>
          <w:sz w:val="20"/>
          <w:szCs w:val="20"/>
        </w:rPr>
      </w:pPr>
      <w:r w:rsidRPr="004A2733">
        <w:rPr>
          <w:sz w:val="20"/>
          <w:szCs w:val="20"/>
        </w:rPr>
        <w:t xml:space="preserve">In model above Y is dependent variable as Liquidity indicator. GOV and OWN are independent variables. GOV indicates corporate governance variables which in this study it uses non-mandated members (BORD) and the number of board members (BORDNUM) as the corporate governance variables. OWN denotes ownership structure and is used the percentage of shares available to institutional shareholders (INST) and block shareholders (BLOK) as the ownership structure variables. CONT indicates the control variables which is used in the study of financial leverage (LEV) and </w:t>
      </w:r>
      <w:proofErr w:type="spellStart"/>
      <w:r w:rsidRPr="004A2733">
        <w:rPr>
          <w:sz w:val="20"/>
          <w:szCs w:val="20"/>
        </w:rPr>
        <w:t>Qtobin</w:t>
      </w:r>
      <w:proofErr w:type="spellEnd"/>
      <w:r w:rsidRPr="004A2733">
        <w:rPr>
          <w:sz w:val="20"/>
          <w:szCs w:val="20"/>
        </w:rPr>
        <w:t xml:space="preserve"> (GROW) and company size (LNSIZE) as control variables.</w:t>
      </w:r>
    </w:p>
    <w:p w:rsidR="004D27B1" w:rsidRPr="004A2733" w:rsidRDefault="000629A7" w:rsidP="004D27B1">
      <w:pPr>
        <w:suppressAutoHyphens w:val="0"/>
        <w:snapToGrid w:val="0"/>
        <w:ind w:firstLine="425"/>
        <w:jc w:val="both"/>
        <w:rPr>
          <w:sz w:val="20"/>
          <w:szCs w:val="20"/>
        </w:rPr>
      </w:pPr>
      <w:r w:rsidRPr="004A2733">
        <w:rPr>
          <w:sz w:val="20"/>
          <w:szCs w:val="20"/>
        </w:rPr>
        <w:lastRenderedPageBreak/>
        <w:t xml:space="preserve">Liquidity is dependent variable in this study which is shown with CASH and is company year-end cash balance that has been extracted from the corporate balance sheet. </w:t>
      </w:r>
    </w:p>
    <w:p w:rsidR="004D27B1" w:rsidRPr="004A2733" w:rsidRDefault="000629A7" w:rsidP="004D27B1">
      <w:pPr>
        <w:suppressAutoHyphens w:val="0"/>
        <w:snapToGrid w:val="0"/>
        <w:ind w:firstLine="425"/>
        <w:jc w:val="both"/>
        <w:rPr>
          <w:sz w:val="20"/>
          <w:szCs w:val="20"/>
        </w:rPr>
      </w:pPr>
      <w:r w:rsidRPr="004A2733">
        <w:rPr>
          <w:sz w:val="20"/>
          <w:szCs w:val="20"/>
        </w:rPr>
        <w:t>Independent variables are calculated as follows:</w:t>
      </w:r>
    </w:p>
    <w:p w:rsidR="004D27B1" w:rsidRPr="004A2733" w:rsidRDefault="000629A7" w:rsidP="004D27B1">
      <w:pPr>
        <w:suppressAutoHyphens w:val="0"/>
        <w:snapToGrid w:val="0"/>
        <w:ind w:firstLine="425"/>
        <w:jc w:val="both"/>
        <w:rPr>
          <w:sz w:val="20"/>
          <w:szCs w:val="20"/>
        </w:rPr>
      </w:pPr>
      <w:r w:rsidRPr="004A2733">
        <w:rPr>
          <w:sz w:val="20"/>
          <w:szCs w:val="20"/>
        </w:rPr>
        <w:t>Non-duty members ratio which is shown by (BORD); is calculated by dividing</w:t>
      </w:r>
      <w:r w:rsidR="00151BCF" w:rsidRPr="004A2733">
        <w:rPr>
          <w:sz w:val="20"/>
          <w:szCs w:val="20"/>
        </w:rPr>
        <w:t xml:space="preserve"> </w:t>
      </w:r>
      <w:r w:rsidRPr="004A2733">
        <w:rPr>
          <w:sz w:val="20"/>
          <w:szCs w:val="20"/>
        </w:rPr>
        <w:t>the numbers of non-duty members on board members.</w:t>
      </w:r>
    </w:p>
    <w:p w:rsidR="004D27B1" w:rsidRPr="004A2733" w:rsidRDefault="000629A7" w:rsidP="004D27B1">
      <w:pPr>
        <w:suppressAutoHyphens w:val="0"/>
        <w:snapToGrid w:val="0"/>
        <w:ind w:firstLine="425"/>
        <w:jc w:val="both"/>
        <w:rPr>
          <w:sz w:val="20"/>
          <w:szCs w:val="20"/>
        </w:rPr>
      </w:pPr>
      <w:r w:rsidRPr="004A2733">
        <w:rPr>
          <w:sz w:val="20"/>
          <w:szCs w:val="20"/>
        </w:rPr>
        <w:t>Institutional shareholders (INST) suggestions, is calculated of total shares percentage held by institutions and investment companies, shares of government and semi-public agencies on company’s total issued shares.</w:t>
      </w:r>
    </w:p>
    <w:p w:rsidR="004D27B1" w:rsidRPr="004A2733" w:rsidRDefault="000629A7" w:rsidP="004D27B1">
      <w:pPr>
        <w:suppressAutoHyphens w:val="0"/>
        <w:snapToGrid w:val="0"/>
        <w:ind w:firstLine="425"/>
        <w:jc w:val="both"/>
        <w:rPr>
          <w:sz w:val="20"/>
          <w:szCs w:val="20"/>
        </w:rPr>
      </w:pPr>
      <w:r w:rsidRPr="004A2733">
        <w:rPr>
          <w:sz w:val="20"/>
          <w:szCs w:val="20"/>
        </w:rPr>
        <w:t>The number of board members (BORDNUM) is the number of members constituting the board of directors of the company.</w:t>
      </w:r>
    </w:p>
    <w:p w:rsidR="004D27B1" w:rsidRPr="004A2733" w:rsidRDefault="000629A7" w:rsidP="004D27B1">
      <w:pPr>
        <w:suppressAutoHyphens w:val="0"/>
        <w:snapToGrid w:val="0"/>
        <w:ind w:firstLine="425"/>
        <w:jc w:val="both"/>
        <w:rPr>
          <w:sz w:val="20"/>
          <w:szCs w:val="20"/>
        </w:rPr>
      </w:pPr>
      <w:r w:rsidRPr="004A2733">
        <w:rPr>
          <w:sz w:val="20"/>
          <w:szCs w:val="20"/>
        </w:rPr>
        <w:t>The block shareholder (BLOK) is the shares held by the largest shareholder of the Company from total issued shares of the company.</w:t>
      </w:r>
    </w:p>
    <w:p w:rsidR="004D27B1" w:rsidRPr="004A2733" w:rsidRDefault="000629A7" w:rsidP="004D27B1">
      <w:pPr>
        <w:suppressAutoHyphens w:val="0"/>
        <w:snapToGrid w:val="0"/>
        <w:ind w:firstLine="425"/>
        <w:jc w:val="both"/>
        <w:rPr>
          <w:sz w:val="20"/>
          <w:szCs w:val="20"/>
        </w:rPr>
      </w:pPr>
      <w:r w:rsidRPr="004A2733">
        <w:rPr>
          <w:sz w:val="20"/>
          <w:szCs w:val="20"/>
        </w:rPr>
        <w:t>Control variables we have used in this study are as follows:</w:t>
      </w:r>
    </w:p>
    <w:p w:rsidR="004D27B1" w:rsidRPr="004A2733" w:rsidRDefault="000629A7" w:rsidP="004D27B1">
      <w:pPr>
        <w:suppressAutoHyphens w:val="0"/>
        <w:snapToGrid w:val="0"/>
        <w:ind w:firstLine="425"/>
        <w:jc w:val="both"/>
        <w:rPr>
          <w:sz w:val="20"/>
          <w:szCs w:val="20"/>
        </w:rPr>
      </w:pPr>
      <w:r w:rsidRPr="004A2733">
        <w:rPr>
          <w:sz w:val="20"/>
          <w:szCs w:val="20"/>
        </w:rPr>
        <w:t>The financial leverage (LEV) is calculated by division of total debt to total company assets. The Q-Tobin (GROW) is obtained by division of the company's market value to book value.</w:t>
      </w:r>
    </w:p>
    <w:p w:rsidR="004D27B1" w:rsidRPr="004A2733" w:rsidRDefault="000629A7" w:rsidP="004D27B1">
      <w:pPr>
        <w:suppressAutoHyphens w:val="0"/>
        <w:snapToGrid w:val="0"/>
        <w:ind w:firstLine="425"/>
        <w:jc w:val="both"/>
        <w:rPr>
          <w:sz w:val="20"/>
          <w:szCs w:val="20"/>
        </w:rPr>
      </w:pPr>
      <w:r w:rsidRPr="004A2733">
        <w:rPr>
          <w:sz w:val="20"/>
          <w:szCs w:val="20"/>
        </w:rPr>
        <w:t>Firm size (LNSIZE) is calculated by the logarithm of total assets.</w:t>
      </w:r>
    </w:p>
    <w:p w:rsidR="004D27B1" w:rsidRPr="004A2733" w:rsidRDefault="000629A7" w:rsidP="004D27B1">
      <w:pPr>
        <w:suppressAutoHyphens w:val="0"/>
        <w:snapToGrid w:val="0"/>
        <w:jc w:val="both"/>
        <w:rPr>
          <w:sz w:val="20"/>
          <w:szCs w:val="20"/>
        </w:rPr>
      </w:pPr>
      <w:r w:rsidRPr="004A2733">
        <w:rPr>
          <w:b/>
          <w:bCs/>
          <w:sz w:val="20"/>
          <w:szCs w:val="20"/>
        </w:rPr>
        <w:t xml:space="preserve">3.1 Participants </w:t>
      </w:r>
    </w:p>
    <w:p w:rsidR="000629A7" w:rsidRPr="004A2733" w:rsidRDefault="000629A7" w:rsidP="004D27B1">
      <w:pPr>
        <w:suppressAutoHyphens w:val="0"/>
        <w:snapToGrid w:val="0"/>
        <w:ind w:firstLine="425"/>
        <w:jc w:val="both"/>
        <w:rPr>
          <w:sz w:val="20"/>
          <w:szCs w:val="20"/>
        </w:rPr>
      </w:pPr>
      <w:r w:rsidRPr="004A2733">
        <w:rPr>
          <w:sz w:val="20"/>
          <w:szCs w:val="20"/>
        </w:rPr>
        <w:t>The study population included all firms listed in Tehran Stock Exchange. Screening method is used to select samples. Some conditions are proposed in this study and companies which have the following conditions are contained in the sample:</w:t>
      </w:r>
    </w:p>
    <w:p w:rsidR="000629A7" w:rsidRPr="004A2733" w:rsidRDefault="000629A7" w:rsidP="004D27B1">
      <w:pPr>
        <w:numPr>
          <w:ilvl w:val="0"/>
          <w:numId w:val="9"/>
        </w:numPr>
        <w:suppressAutoHyphens w:val="0"/>
        <w:snapToGrid w:val="0"/>
        <w:ind w:left="0" w:firstLine="425"/>
        <w:jc w:val="both"/>
        <w:rPr>
          <w:sz w:val="20"/>
          <w:szCs w:val="20"/>
        </w:rPr>
      </w:pPr>
      <w:r w:rsidRPr="004A2733">
        <w:rPr>
          <w:sz w:val="20"/>
          <w:szCs w:val="20"/>
        </w:rPr>
        <w:t>Companies that are listed in Tehran Stock Exchange till the end of 1383.</w:t>
      </w:r>
    </w:p>
    <w:p w:rsidR="000629A7" w:rsidRPr="004A2733" w:rsidRDefault="000629A7" w:rsidP="004D27B1">
      <w:pPr>
        <w:numPr>
          <w:ilvl w:val="0"/>
          <w:numId w:val="9"/>
        </w:numPr>
        <w:suppressAutoHyphens w:val="0"/>
        <w:snapToGrid w:val="0"/>
        <w:ind w:left="0" w:firstLine="425"/>
        <w:jc w:val="both"/>
        <w:rPr>
          <w:sz w:val="20"/>
          <w:szCs w:val="20"/>
        </w:rPr>
      </w:pPr>
      <w:r w:rsidRPr="004A2733">
        <w:rPr>
          <w:sz w:val="20"/>
          <w:szCs w:val="20"/>
        </w:rPr>
        <w:t xml:space="preserve">The end of their fiscal year ends in </w:t>
      </w:r>
      <w:proofErr w:type="spellStart"/>
      <w:r w:rsidRPr="004A2733">
        <w:rPr>
          <w:sz w:val="20"/>
          <w:szCs w:val="20"/>
        </w:rPr>
        <w:t>Esfan</w:t>
      </w:r>
      <w:r w:rsidR="00151BCF" w:rsidRPr="004A2733">
        <w:rPr>
          <w:sz w:val="20"/>
          <w:szCs w:val="20"/>
        </w:rPr>
        <w:t>d</w:t>
      </w:r>
      <w:proofErr w:type="spellEnd"/>
      <w:r w:rsidR="00151BCF" w:rsidRPr="004A2733">
        <w:rPr>
          <w:sz w:val="20"/>
          <w:szCs w:val="20"/>
        </w:rPr>
        <w:t xml:space="preserve"> (</w:t>
      </w:r>
      <w:r w:rsidRPr="004A2733">
        <w:rPr>
          <w:sz w:val="20"/>
          <w:szCs w:val="20"/>
        </w:rPr>
        <w:t>March) and during the research, their fiscal year are not changed.</w:t>
      </w:r>
    </w:p>
    <w:p w:rsidR="000629A7" w:rsidRPr="004A2733" w:rsidRDefault="000629A7" w:rsidP="004D27B1">
      <w:pPr>
        <w:numPr>
          <w:ilvl w:val="0"/>
          <w:numId w:val="9"/>
        </w:numPr>
        <w:suppressAutoHyphens w:val="0"/>
        <w:snapToGrid w:val="0"/>
        <w:ind w:left="0" w:firstLine="425"/>
        <w:jc w:val="both"/>
        <w:rPr>
          <w:sz w:val="20"/>
          <w:szCs w:val="20"/>
        </w:rPr>
      </w:pPr>
      <w:r w:rsidRPr="004A2733">
        <w:rPr>
          <w:sz w:val="20"/>
          <w:szCs w:val="20"/>
        </w:rPr>
        <w:t>Companies should not be members of financial institutions, investment companies, financial intermediation, holding companies, insurers and banks.</w:t>
      </w:r>
    </w:p>
    <w:p w:rsidR="000629A7" w:rsidRPr="004A2733" w:rsidRDefault="000629A7" w:rsidP="004D27B1">
      <w:pPr>
        <w:numPr>
          <w:ilvl w:val="0"/>
          <w:numId w:val="9"/>
        </w:numPr>
        <w:suppressAutoHyphens w:val="0"/>
        <w:snapToGrid w:val="0"/>
        <w:ind w:left="0" w:firstLine="425"/>
        <w:jc w:val="both"/>
        <w:rPr>
          <w:sz w:val="20"/>
          <w:szCs w:val="20"/>
        </w:rPr>
      </w:pPr>
      <w:r w:rsidRPr="004A2733">
        <w:rPr>
          <w:sz w:val="20"/>
          <w:szCs w:val="20"/>
        </w:rPr>
        <w:t>They have not been removed from Tehran Stock Exchange board until the end of study period.</w:t>
      </w:r>
    </w:p>
    <w:p w:rsidR="000629A7" w:rsidRPr="004A2733" w:rsidRDefault="000629A7" w:rsidP="004D27B1">
      <w:pPr>
        <w:numPr>
          <w:ilvl w:val="0"/>
          <w:numId w:val="9"/>
        </w:numPr>
        <w:suppressAutoHyphens w:val="0"/>
        <w:snapToGrid w:val="0"/>
        <w:ind w:left="0" w:firstLine="425"/>
        <w:jc w:val="both"/>
        <w:rPr>
          <w:sz w:val="20"/>
          <w:szCs w:val="20"/>
        </w:rPr>
      </w:pPr>
      <w:r w:rsidRPr="004A2733">
        <w:rPr>
          <w:sz w:val="20"/>
          <w:szCs w:val="20"/>
        </w:rPr>
        <w:t>Data for this study should be presented completely in the entire study period.</w:t>
      </w:r>
    </w:p>
    <w:p w:rsidR="000629A7" w:rsidRPr="004A2733" w:rsidRDefault="000629A7" w:rsidP="004D27B1">
      <w:pPr>
        <w:suppressAutoHyphens w:val="0"/>
        <w:snapToGrid w:val="0"/>
        <w:ind w:firstLine="425"/>
        <w:jc w:val="both"/>
        <w:rPr>
          <w:sz w:val="20"/>
          <w:szCs w:val="20"/>
          <w:lang w:eastAsia="zh-CN"/>
        </w:rPr>
      </w:pPr>
      <w:r w:rsidRPr="004A2733">
        <w:rPr>
          <w:sz w:val="20"/>
          <w:szCs w:val="20"/>
        </w:rPr>
        <w:t>With regards to relevant considerations, the study statistical population was selected to test hypotheses with 78 companies.</w:t>
      </w:r>
    </w:p>
    <w:p w:rsidR="004D27B1" w:rsidRPr="004A2733" w:rsidRDefault="004D27B1" w:rsidP="004D27B1">
      <w:pPr>
        <w:suppressAutoHyphens w:val="0"/>
        <w:snapToGrid w:val="0"/>
        <w:ind w:firstLine="425"/>
        <w:jc w:val="both"/>
        <w:rPr>
          <w:sz w:val="20"/>
          <w:szCs w:val="20"/>
          <w:lang w:eastAsia="zh-CN"/>
        </w:rPr>
      </w:pPr>
    </w:p>
    <w:p w:rsidR="004E3D34" w:rsidRPr="004A2733" w:rsidRDefault="004E3D34" w:rsidP="004D27B1">
      <w:pPr>
        <w:suppressAutoHyphens w:val="0"/>
        <w:snapToGrid w:val="0"/>
        <w:jc w:val="both"/>
        <w:rPr>
          <w:b/>
          <w:bCs/>
          <w:sz w:val="20"/>
          <w:szCs w:val="20"/>
        </w:rPr>
      </w:pPr>
      <w:r w:rsidRPr="004A2733">
        <w:rPr>
          <w:b/>
          <w:bCs/>
          <w:sz w:val="20"/>
          <w:szCs w:val="20"/>
        </w:rPr>
        <w:t xml:space="preserve">4. </w:t>
      </w:r>
      <w:r w:rsidR="000629A7" w:rsidRPr="004A2733">
        <w:rPr>
          <w:b/>
          <w:bCs/>
          <w:sz w:val="20"/>
          <w:szCs w:val="20"/>
        </w:rPr>
        <w:t>Methods of data analysis</w:t>
      </w:r>
    </w:p>
    <w:p w:rsidR="000629A7" w:rsidRPr="004A2733" w:rsidRDefault="000629A7" w:rsidP="004D27B1">
      <w:pPr>
        <w:suppressAutoHyphens w:val="0"/>
        <w:snapToGrid w:val="0"/>
        <w:ind w:firstLine="425"/>
        <w:jc w:val="both"/>
        <w:rPr>
          <w:b/>
          <w:bCs/>
          <w:sz w:val="20"/>
          <w:szCs w:val="20"/>
        </w:rPr>
      </w:pPr>
      <w:r w:rsidRPr="004A2733">
        <w:rPr>
          <w:sz w:val="20"/>
          <w:szCs w:val="20"/>
        </w:rPr>
        <w:t>To test the research hypotheses and regression model performance, conducting statistical tests are used:</w:t>
      </w:r>
    </w:p>
    <w:p w:rsidR="00640D91" w:rsidRPr="004A2733" w:rsidRDefault="000629A7" w:rsidP="004D27B1">
      <w:pPr>
        <w:numPr>
          <w:ilvl w:val="0"/>
          <w:numId w:val="10"/>
        </w:numPr>
        <w:suppressAutoHyphens w:val="0"/>
        <w:snapToGrid w:val="0"/>
        <w:ind w:left="0" w:firstLine="425"/>
        <w:jc w:val="both"/>
        <w:rPr>
          <w:sz w:val="20"/>
          <w:szCs w:val="20"/>
        </w:rPr>
      </w:pPr>
      <w:proofErr w:type="spellStart"/>
      <w:r w:rsidRPr="004A2733">
        <w:rPr>
          <w:sz w:val="20"/>
          <w:szCs w:val="20"/>
        </w:rPr>
        <w:t>Dourbin</w:t>
      </w:r>
      <w:proofErr w:type="spellEnd"/>
      <w:r w:rsidRPr="004A2733">
        <w:rPr>
          <w:sz w:val="20"/>
          <w:szCs w:val="20"/>
        </w:rPr>
        <w:t>-Watson test</w:t>
      </w:r>
    </w:p>
    <w:p w:rsidR="000629A7" w:rsidRPr="004A2733" w:rsidRDefault="000629A7" w:rsidP="004D27B1">
      <w:pPr>
        <w:suppressAutoHyphens w:val="0"/>
        <w:snapToGrid w:val="0"/>
        <w:ind w:firstLine="425"/>
        <w:jc w:val="both"/>
        <w:rPr>
          <w:sz w:val="20"/>
          <w:szCs w:val="20"/>
        </w:rPr>
      </w:pPr>
      <w:r w:rsidRPr="004A2733">
        <w:rPr>
          <w:sz w:val="20"/>
          <w:szCs w:val="20"/>
        </w:rPr>
        <w:lastRenderedPageBreak/>
        <w:t xml:space="preserve">To investigate the correlation between errors existence, </w:t>
      </w:r>
      <w:proofErr w:type="spellStart"/>
      <w:r w:rsidRPr="004A2733">
        <w:rPr>
          <w:sz w:val="20"/>
          <w:szCs w:val="20"/>
        </w:rPr>
        <w:t>Dourbin</w:t>
      </w:r>
      <w:proofErr w:type="spellEnd"/>
      <w:r w:rsidRPr="004A2733">
        <w:rPr>
          <w:sz w:val="20"/>
          <w:szCs w:val="20"/>
        </w:rPr>
        <w:t>-Watson test is used. If the statistic is between 1.5 to 2.5, no correlation between errors is confirmed and regression model can be used (</w:t>
      </w:r>
      <w:proofErr w:type="spellStart"/>
      <w:r w:rsidRPr="004A2733">
        <w:rPr>
          <w:sz w:val="20"/>
          <w:szCs w:val="20"/>
        </w:rPr>
        <w:t>Momeni</w:t>
      </w:r>
      <w:proofErr w:type="spellEnd"/>
      <w:r w:rsidRPr="004A2733">
        <w:rPr>
          <w:sz w:val="20"/>
          <w:szCs w:val="20"/>
        </w:rPr>
        <w:t xml:space="preserve"> and Ghayoumi,86).</w:t>
      </w:r>
    </w:p>
    <w:p w:rsidR="00640D91" w:rsidRPr="004A2733" w:rsidRDefault="000629A7" w:rsidP="004D27B1">
      <w:pPr>
        <w:numPr>
          <w:ilvl w:val="0"/>
          <w:numId w:val="10"/>
        </w:numPr>
        <w:suppressAutoHyphens w:val="0"/>
        <w:snapToGrid w:val="0"/>
        <w:ind w:left="0" w:firstLine="425"/>
        <w:jc w:val="both"/>
        <w:rPr>
          <w:sz w:val="20"/>
          <w:szCs w:val="20"/>
        </w:rPr>
      </w:pPr>
      <w:r w:rsidRPr="004A2733">
        <w:rPr>
          <w:sz w:val="20"/>
          <w:szCs w:val="20"/>
        </w:rPr>
        <w:t>The linear test</w:t>
      </w:r>
    </w:p>
    <w:p w:rsidR="000629A7" w:rsidRPr="004A2733" w:rsidRDefault="000629A7" w:rsidP="004D27B1">
      <w:pPr>
        <w:suppressAutoHyphens w:val="0"/>
        <w:snapToGrid w:val="0"/>
        <w:ind w:firstLine="425"/>
        <w:jc w:val="both"/>
        <w:rPr>
          <w:sz w:val="20"/>
          <w:szCs w:val="20"/>
        </w:rPr>
      </w:pPr>
      <w:r w:rsidRPr="004A2733">
        <w:rPr>
          <w:sz w:val="20"/>
          <w:szCs w:val="20"/>
        </w:rPr>
        <w:t>Linear is a condition that indicates an independent variable is a linear function of other independent variables. If a linear in regression equation is high, it means there is high correlation between independent variables and in spite of high determination coefficient (R2), the model may not have a high credit. In other words, there seems to be a good model, the relationships between independent variables are more than their correlation with the dependent variable and causes the value of (R2) to come dow</w:t>
      </w:r>
      <w:r w:rsidR="00151BCF" w:rsidRPr="004A2733">
        <w:rPr>
          <w:sz w:val="20"/>
          <w:szCs w:val="20"/>
        </w:rPr>
        <w:t>n (</w:t>
      </w:r>
      <w:proofErr w:type="spellStart"/>
      <w:r w:rsidRPr="004A2733">
        <w:rPr>
          <w:sz w:val="20"/>
          <w:szCs w:val="20"/>
        </w:rPr>
        <w:t>Ghiyasvand</w:t>
      </w:r>
      <w:proofErr w:type="spellEnd"/>
      <w:r w:rsidRPr="004A2733">
        <w:rPr>
          <w:sz w:val="20"/>
          <w:szCs w:val="20"/>
        </w:rPr>
        <w:t xml:space="preserve"> 87).</w:t>
      </w:r>
    </w:p>
    <w:p w:rsidR="00FB1625" w:rsidRPr="004A2733" w:rsidRDefault="000629A7" w:rsidP="004D27B1">
      <w:pPr>
        <w:numPr>
          <w:ilvl w:val="0"/>
          <w:numId w:val="10"/>
        </w:numPr>
        <w:suppressAutoHyphens w:val="0"/>
        <w:snapToGrid w:val="0"/>
        <w:ind w:left="0" w:firstLine="425"/>
        <w:jc w:val="both"/>
        <w:rPr>
          <w:sz w:val="20"/>
          <w:szCs w:val="20"/>
        </w:rPr>
      </w:pPr>
      <w:r w:rsidRPr="004A2733">
        <w:rPr>
          <w:sz w:val="20"/>
          <w:szCs w:val="20"/>
        </w:rPr>
        <w:t>Normal Hypothesis</w:t>
      </w:r>
    </w:p>
    <w:p w:rsidR="00E76259" w:rsidRPr="004A2733" w:rsidRDefault="000629A7" w:rsidP="004D27B1">
      <w:pPr>
        <w:suppressAutoHyphens w:val="0"/>
        <w:snapToGrid w:val="0"/>
        <w:ind w:firstLine="425"/>
        <w:jc w:val="both"/>
        <w:rPr>
          <w:sz w:val="20"/>
          <w:szCs w:val="20"/>
        </w:rPr>
      </w:pPr>
      <w:r w:rsidRPr="004A2733">
        <w:rPr>
          <w:sz w:val="20"/>
          <w:szCs w:val="20"/>
        </w:rPr>
        <w:t>One of the assumptions that must be considered in the regression models, is the normal distribution of errors, otherwise, the regression can not be used</w:t>
      </w:r>
      <w:r w:rsidR="00151BCF" w:rsidRPr="004A2733">
        <w:rPr>
          <w:sz w:val="20"/>
          <w:szCs w:val="20"/>
        </w:rPr>
        <w:t>. (</w:t>
      </w:r>
      <w:proofErr w:type="spellStart"/>
      <w:r w:rsidRPr="004A2733">
        <w:rPr>
          <w:sz w:val="20"/>
          <w:szCs w:val="20"/>
        </w:rPr>
        <w:t>Momeni</w:t>
      </w:r>
      <w:proofErr w:type="spellEnd"/>
      <w:r w:rsidRPr="004A2733">
        <w:rPr>
          <w:sz w:val="20"/>
          <w:szCs w:val="20"/>
        </w:rPr>
        <w:t xml:space="preserve"> and </w:t>
      </w:r>
      <w:proofErr w:type="spellStart"/>
      <w:r w:rsidRPr="004A2733">
        <w:rPr>
          <w:sz w:val="20"/>
          <w:szCs w:val="20"/>
        </w:rPr>
        <w:t>Ghayoumi</w:t>
      </w:r>
      <w:proofErr w:type="spellEnd"/>
      <w:r w:rsidRPr="004A2733">
        <w:rPr>
          <w:sz w:val="20"/>
          <w:szCs w:val="20"/>
        </w:rPr>
        <w:t xml:space="preserve"> 86)</w:t>
      </w:r>
    </w:p>
    <w:p w:rsidR="00E76259" w:rsidRPr="004A2733" w:rsidRDefault="000629A7" w:rsidP="004D27B1">
      <w:pPr>
        <w:numPr>
          <w:ilvl w:val="0"/>
          <w:numId w:val="10"/>
        </w:numPr>
        <w:suppressAutoHyphens w:val="0"/>
        <w:snapToGrid w:val="0"/>
        <w:ind w:left="0" w:firstLine="425"/>
        <w:jc w:val="both"/>
        <w:rPr>
          <w:sz w:val="20"/>
          <w:szCs w:val="20"/>
        </w:rPr>
      </w:pPr>
      <w:r w:rsidRPr="004A2733">
        <w:rPr>
          <w:sz w:val="20"/>
          <w:szCs w:val="20"/>
        </w:rPr>
        <w:t>Meaningful model test</w:t>
      </w:r>
    </w:p>
    <w:p w:rsidR="000629A7" w:rsidRPr="004A2733" w:rsidRDefault="000629A7" w:rsidP="004D27B1">
      <w:pPr>
        <w:suppressAutoHyphens w:val="0"/>
        <w:snapToGrid w:val="0"/>
        <w:ind w:firstLine="425"/>
        <w:jc w:val="both"/>
        <w:rPr>
          <w:sz w:val="20"/>
          <w:szCs w:val="20"/>
        </w:rPr>
      </w:pPr>
      <w:r w:rsidRPr="004A2733">
        <w:rPr>
          <w:sz w:val="20"/>
          <w:szCs w:val="20"/>
        </w:rPr>
        <w:lastRenderedPageBreak/>
        <w:t>Meaningful is significant used by ANOVA table and statistics f.</w:t>
      </w:r>
    </w:p>
    <w:p w:rsidR="003431CA" w:rsidRPr="004A2733" w:rsidRDefault="000629A7" w:rsidP="004D27B1">
      <w:pPr>
        <w:numPr>
          <w:ilvl w:val="0"/>
          <w:numId w:val="10"/>
        </w:numPr>
        <w:suppressAutoHyphens w:val="0"/>
        <w:snapToGrid w:val="0"/>
        <w:ind w:left="0" w:firstLine="425"/>
        <w:jc w:val="both"/>
        <w:rPr>
          <w:sz w:val="20"/>
          <w:szCs w:val="20"/>
        </w:rPr>
      </w:pPr>
      <w:r w:rsidRPr="004A2733">
        <w:rPr>
          <w:sz w:val="20"/>
          <w:szCs w:val="20"/>
        </w:rPr>
        <w:t>Meaningful coefficients test</w:t>
      </w:r>
    </w:p>
    <w:p w:rsidR="00EF343F" w:rsidRPr="004A2733" w:rsidRDefault="000629A7" w:rsidP="004D27B1">
      <w:pPr>
        <w:suppressAutoHyphens w:val="0"/>
        <w:snapToGrid w:val="0"/>
        <w:ind w:firstLine="425"/>
        <w:jc w:val="both"/>
        <w:rPr>
          <w:sz w:val="20"/>
          <w:szCs w:val="20"/>
        </w:rPr>
      </w:pPr>
      <w:r w:rsidRPr="004A2733">
        <w:rPr>
          <w:sz w:val="20"/>
          <w:szCs w:val="20"/>
        </w:rPr>
        <w:t>Regression model variable coefficient is done by statistics t.</w:t>
      </w:r>
    </w:p>
    <w:p w:rsidR="00EF343F" w:rsidRPr="004A2733" w:rsidRDefault="000629A7" w:rsidP="004D27B1">
      <w:pPr>
        <w:numPr>
          <w:ilvl w:val="0"/>
          <w:numId w:val="10"/>
        </w:numPr>
        <w:suppressAutoHyphens w:val="0"/>
        <w:snapToGrid w:val="0"/>
        <w:ind w:left="0" w:firstLine="425"/>
        <w:jc w:val="both"/>
        <w:rPr>
          <w:sz w:val="20"/>
          <w:szCs w:val="20"/>
        </w:rPr>
      </w:pPr>
      <w:r w:rsidRPr="004A2733">
        <w:rPr>
          <w:sz w:val="20"/>
          <w:szCs w:val="20"/>
        </w:rPr>
        <w:t>Determine coefficient test</w:t>
      </w:r>
    </w:p>
    <w:p w:rsidR="000629A7" w:rsidRPr="004A2733" w:rsidRDefault="000629A7" w:rsidP="004D27B1">
      <w:pPr>
        <w:suppressAutoHyphens w:val="0"/>
        <w:snapToGrid w:val="0"/>
        <w:ind w:firstLine="425"/>
        <w:jc w:val="both"/>
        <w:rPr>
          <w:sz w:val="20"/>
          <w:szCs w:val="20"/>
        </w:rPr>
      </w:pPr>
      <w:r w:rsidRPr="004A2733">
        <w:rPr>
          <w:sz w:val="20"/>
          <w:szCs w:val="20"/>
        </w:rPr>
        <w:t>To investigate to what extent the independent variable is able to explain variability of the determination coefficient (squared multiple correlation) which coefficient ranges varies between zero and one.</w:t>
      </w:r>
    </w:p>
    <w:p w:rsidR="004F5E69" w:rsidRPr="004A2733" w:rsidRDefault="000629A7" w:rsidP="004D27B1">
      <w:pPr>
        <w:numPr>
          <w:ilvl w:val="0"/>
          <w:numId w:val="10"/>
        </w:numPr>
        <w:suppressAutoHyphens w:val="0"/>
        <w:snapToGrid w:val="0"/>
        <w:ind w:left="0" w:firstLine="425"/>
        <w:jc w:val="both"/>
        <w:rPr>
          <w:sz w:val="20"/>
          <w:szCs w:val="20"/>
        </w:rPr>
      </w:pPr>
      <w:proofErr w:type="spellStart"/>
      <w:r w:rsidRPr="004A2733">
        <w:rPr>
          <w:sz w:val="20"/>
          <w:szCs w:val="20"/>
        </w:rPr>
        <w:t>Kolmogorov</w:t>
      </w:r>
      <w:proofErr w:type="spellEnd"/>
      <w:r w:rsidRPr="004A2733">
        <w:rPr>
          <w:sz w:val="20"/>
          <w:szCs w:val="20"/>
        </w:rPr>
        <w:t>-Smirnov test (KS)</w:t>
      </w:r>
    </w:p>
    <w:p w:rsidR="000629A7" w:rsidRPr="004A2733" w:rsidRDefault="000629A7" w:rsidP="004D27B1">
      <w:pPr>
        <w:suppressAutoHyphens w:val="0"/>
        <w:snapToGrid w:val="0"/>
        <w:ind w:firstLine="425"/>
        <w:jc w:val="both"/>
        <w:rPr>
          <w:sz w:val="20"/>
          <w:szCs w:val="20"/>
          <w:lang w:eastAsia="zh-CN"/>
        </w:rPr>
      </w:pPr>
      <w:r w:rsidRPr="004A2733">
        <w:rPr>
          <w:sz w:val="20"/>
          <w:szCs w:val="20"/>
        </w:rPr>
        <w:t xml:space="preserve">To evaluate the coherence of the research variables </w:t>
      </w:r>
      <w:proofErr w:type="spellStart"/>
      <w:r w:rsidRPr="004A2733">
        <w:rPr>
          <w:sz w:val="20"/>
          <w:szCs w:val="20"/>
        </w:rPr>
        <w:t>Kolmogorov</w:t>
      </w:r>
      <w:proofErr w:type="spellEnd"/>
      <w:r w:rsidRPr="004A2733">
        <w:rPr>
          <w:sz w:val="20"/>
          <w:szCs w:val="20"/>
        </w:rPr>
        <w:t>-Smirnov test has been used. If obtained Sig from this test is more than 5 percent, it can be said that there is a good distribution for variables.</w:t>
      </w:r>
    </w:p>
    <w:p w:rsidR="004D27B1" w:rsidRPr="004A2733" w:rsidRDefault="004D27B1" w:rsidP="004D27B1">
      <w:pPr>
        <w:suppressAutoHyphens w:val="0"/>
        <w:snapToGrid w:val="0"/>
        <w:ind w:firstLine="425"/>
        <w:jc w:val="both"/>
        <w:rPr>
          <w:sz w:val="20"/>
          <w:szCs w:val="20"/>
          <w:lang w:eastAsia="zh-CN"/>
        </w:rPr>
      </w:pPr>
    </w:p>
    <w:p w:rsidR="000629A7" w:rsidRPr="004A2733" w:rsidRDefault="006D1565" w:rsidP="004D27B1">
      <w:pPr>
        <w:suppressAutoHyphens w:val="0"/>
        <w:snapToGrid w:val="0"/>
        <w:jc w:val="both"/>
        <w:rPr>
          <w:b/>
          <w:bCs/>
          <w:sz w:val="20"/>
          <w:szCs w:val="20"/>
        </w:rPr>
      </w:pPr>
      <w:r w:rsidRPr="004A2733">
        <w:rPr>
          <w:b/>
          <w:bCs/>
          <w:sz w:val="20"/>
          <w:szCs w:val="20"/>
        </w:rPr>
        <w:t xml:space="preserve">5. </w:t>
      </w:r>
      <w:r w:rsidR="000629A7" w:rsidRPr="004A2733">
        <w:rPr>
          <w:b/>
          <w:bCs/>
          <w:sz w:val="20"/>
          <w:szCs w:val="20"/>
        </w:rPr>
        <w:t>Research Findings</w:t>
      </w:r>
    </w:p>
    <w:p w:rsidR="000629A7" w:rsidRPr="004A2733" w:rsidRDefault="000629A7" w:rsidP="004D27B1">
      <w:pPr>
        <w:suppressAutoHyphens w:val="0"/>
        <w:snapToGrid w:val="0"/>
        <w:ind w:firstLine="425"/>
        <w:jc w:val="both"/>
        <w:rPr>
          <w:sz w:val="20"/>
          <w:szCs w:val="20"/>
        </w:rPr>
      </w:pPr>
      <w:r w:rsidRPr="004A2733">
        <w:rPr>
          <w:sz w:val="20"/>
          <w:szCs w:val="20"/>
        </w:rPr>
        <w:t>To sum up data for research, descriptive statistics were calculated at first. Table 1 reflects the statistical average, maximum, minimum and standard deviation of variables used in this study respectively.</w:t>
      </w:r>
    </w:p>
    <w:p w:rsidR="004D27B1" w:rsidRPr="004A2733" w:rsidRDefault="004D27B1" w:rsidP="004D27B1">
      <w:pPr>
        <w:suppressAutoHyphens w:val="0"/>
        <w:snapToGrid w:val="0"/>
        <w:ind w:firstLine="425"/>
        <w:jc w:val="both"/>
        <w:rPr>
          <w:sz w:val="20"/>
          <w:szCs w:val="20"/>
        </w:rPr>
        <w:sectPr w:rsidR="004D27B1" w:rsidRPr="004A2733" w:rsidSect="004D27B1">
          <w:footnotePr>
            <w:pos w:val="beneathText"/>
          </w:footnotePr>
          <w:type w:val="continuous"/>
          <w:pgSz w:w="12240" w:h="15840" w:code="1"/>
          <w:pgMar w:top="1440" w:right="1440" w:bottom="1440" w:left="1440" w:header="720" w:footer="720" w:gutter="0"/>
          <w:cols w:num="2" w:space="600"/>
          <w:docGrid w:linePitch="360"/>
        </w:sectPr>
      </w:pPr>
    </w:p>
    <w:p w:rsidR="00151BCF" w:rsidRPr="004A2733" w:rsidRDefault="00151BCF" w:rsidP="004D27B1">
      <w:pPr>
        <w:suppressAutoHyphens w:val="0"/>
        <w:snapToGrid w:val="0"/>
        <w:ind w:firstLine="425"/>
        <w:jc w:val="both"/>
        <w:rPr>
          <w:sz w:val="20"/>
          <w:szCs w:val="20"/>
        </w:rPr>
      </w:pPr>
    </w:p>
    <w:p w:rsidR="00A22BBB" w:rsidRPr="004A2733" w:rsidRDefault="00A22BBB" w:rsidP="004D27B1">
      <w:pPr>
        <w:suppressAutoHyphens w:val="0"/>
        <w:snapToGrid w:val="0"/>
        <w:jc w:val="center"/>
        <w:rPr>
          <w:sz w:val="20"/>
          <w:szCs w:val="20"/>
          <w:lang w:eastAsia="zh-CN"/>
        </w:rPr>
      </w:pPr>
    </w:p>
    <w:p w:rsidR="000629A7" w:rsidRPr="004A2733" w:rsidRDefault="000629A7" w:rsidP="004D27B1">
      <w:pPr>
        <w:suppressAutoHyphens w:val="0"/>
        <w:snapToGrid w:val="0"/>
        <w:jc w:val="center"/>
        <w:rPr>
          <w:sz w:val="20"/>
          <w:szCs w:val="20"/>
        </w:rPr>
      </w:pPr>
      <w:r w:rsidRPr="004A2733">
        <w:rPr>
          <w:sz w:val="20"/>
          <w:szCs w:val="20"/>
        </w:rPr>
        <w:t>Table 1: Descriptive statistics of variables used in the study</w:t>
      </w:r>
    </w:p>
    <w:tbl>
      <w:tblPr>
        <w:tblW w:w="5000" w:type="pct"/>
        <w:jc w:val="center"/>
        <w:tblBorders>
          <w:top w:val="single" w:sz="8" w:space="0" w:color="9BBB59"/>
          <w:bottom w:val="single" w:sz="8" w:space="0" w:color="9BBB59"/>
        </w:tblBorders>
        <w:tblCellMar>
          <w:left w:w="57" w:type="dxa"/>
          <w:right w:w="57" w:type="dxa"/>
        </w:tblCellMar>
        <w:tblLook w:val="04A0"/>
      </w:tblPr>
      <w:tblGrid>
        <w:gridCol w:w="4114"/>
        <w:gridCol w:w="1165"/>
        <w:gridCol w:w="1006"/>
        <w:gridCol w:w="974"/>
        <w:gridCol w:w="2215"/>
      </w:tblGrid>
      <w:tr w:rsidR="00D44AF2" w:rsidRPr="004A2733" w:rsidTr="004D27B1">
        <w:trPr>
          <w:jc w:val="center"/>
        </w:trPr>
        <w:tc>
          <w:tcPr>
            <w:tcW w:w="2171" w:type="pct"/>
            <w:tcBorders>
              <w:top w:val="single" w:sz="8" w:space="0" w:color="9BBB59"/>
              <w:bottom w:val="single" w:sz="8" w:space="0" w:color="9BBB59"/>
            </w:tcBorders>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Variable name</w:t>
            </w:r>
          </w:p>
        </w:tc>
        <w:tc>
          <w:tcPr>
            <w:tcW w:w="615" w:type="pct"/>
            <w:tcBorders>
              <w:top w:val="single" w:sz="8" w:space="0" w:color="9BBB59"/>
              <w:bottom w:val="single" w:sz="8" w:space="0" w:color="9BBB59"/>
            </w:tcBorders>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The average</w:t>
            </w:r>
          </w:p>
        </w:tc>
        <w:tc>
          <w:tcPr>
            <w:tcW w:w="531" w:type="pct"/>
            <w:tcBorders>
              <w:top w:val="single" w:sz="8" w:space="0" w:color="9BBB59"/>
              <w:bottom w:val="single" w:sz="8" w:space="0" w:color="9BBB59"/>
            </w:tcBorders>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Maximum</w:t>
            </w:r>
          </w:p>
        </w:tc>
        <w:tc>
          <w:tcPr>
            <w:tcW w:w="514" w:type="pct"/>
            <w:tcBorders>
              <w:top w:val="single" w:sz="8" w:space="0" w:color="9BBB59"/>
              <w:bottom w:val="single" w:sz="8" w:space="0" w:color="9BBB59"/>
            </w:tcBorders>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Minimum</w:t>
            </w:r>
          </w:p>
        </w:tc>
        <w:tc>
          <w:tcPr>
            <w:tcW w:w="1170" w:type="pct"/>
            <w:tcBorders>
              <w:top w:val="single" w:sz="8" w:space="0" w:color="9BBB59"/>
              <w:bottom w:val="single" w:sz="8" w:space="0" w:color="9BBB59"/>
            </w:tcBorders>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S</w:t>
            </w:r>
            <w:r w:rsidR="00151BCF" w:rsidRPr="004A2733">
              <w:rPr>
                <w:b/>
                <w:bCs/>
                <w:sz w:val="20"/>
                <w:szCs w:val="20"/>
              </w:rPr>
              <w:t>D (</w:t>
            </w:r>
            <w:r w:rsidRPr="004A2733">
              <w:rPr>
                <w:b/>
                <w:bCs/>
                <w:sz w:val="20"/>
                <w:szCs w:val="20"/>
              </w:rPr>
              <w:t>Standard Deviation)</w:t>
            </w:r>
          </w:p>
        </w:tc>
      </w:tr>
      <w:tr w:rsidR="00D44AF2" w:rsidRPr="004A2733" w:rsidTr="004D27B1">
        <w:trPr>
          <w:jc w:val="center"/>
        </w:trPr>
        <w:tc>
          <w:tcPr>
            <w:tcW w:w="2171" w:type="pct"/>
            <w:shd w:val="clear" w:color="auto" w:fill="E6EED5"/>
            <w:vAlign w:val="center"/>
          </w:tcPr>
          <w:p w:rsidR="00D44AF2" w:rsidRPr="004A2733" w:rsidRDefault="00D44AF2" w:rsidP="00A22BBB">
            <w:pPr>
              <w:suppressAutoHyphens w:val="0"/>
              <w:snapToGrid w:val="0"/>
              <w:rPr>
                <w:b/>
                <w:bCs/>
                <w:sz w:val="20"/>
                <w:szCs w:val="20"/>
              </w:rPr>
            </w:pPr>
            <w:r w:rsidRPr="004A2733">
              <w:rPr>
                <w:b/>
                <w:bCs/>
                <w:sz w:val="20"/>
                <w:szCs w:val="20"/>
              </w:rPr>
              <w:t>Liquidity</w:t>
            </w:r>
          </w:p>
        </w:tc>
        <w:tc>
          <w:tcPr>
            <w:tcW w:w="615"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48789.8500</w:t>
            </w:r>
          </w:p>
        </w:tc>
        <w:tc>
          <w:tcPr>
            <w:tcW w:w="531"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592130.60</w:t>
            </w:r>
          </w:p>
        </w:tc>
        <w:tc>
          <w:tcPr>
            <w:tcW w:w="514"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411.20</w:t>
            </w:r>
          </w:p>
        </w:tc>
        <w:tc>
          <w:tcPr>
            <w:tcW w:w="1170"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99358.03256</w:t>
            </w:r>
          </w:p>
        </w:tc>
      </w:tr>
      <w:tr w:rsidR="00D44AF2" w:rsidRPr="004A2733" w:rsidTr="004D27B1">
        <w:trPr>
          <w:jc w:val="center"/>
        </w:trPr>
        <w:tc>
          <w:tcPr>
            <w:tcW w:w="2171" w:type="pct"/>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liquidity Logarithm</w:t>
            </w:r>
          </w:p>
        </w:tc>
        <w:tc>
          <w:tcPr>
            <w:tcW w:w="615"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4.2289</w:t>
            </w:r>
          </w:p>
        </w:tc>
        <w:tc>
          <w:tcPr>
            <w:tcW w:w="531"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5.77</w:t>
            </w:r>
          </w:p>
        </w:tc>
        <w:tc>
          <w:tcPr>
            <w:tcW w:w="514"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2.61</w:t>
            </w:r>
          </w:p>
        </w:tc>
        <w:tc>
          <w:tcPr>
            <w:tcW w:w="1170"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0.58853</w:t>
            </w:r>
          </w:p>
        </w:tc>
      </w:tr>
      <w:tr w:rsidR="00D44AF2" w:rsidRPr="004A2733" w:rsidTr="004D27B1">
        <w:trPr>
          <w:jc w:val="center"/>
        </w:trPr>
        <w:tc>
          <w:tcPr>
            <w:tcW w:w="2171" w:type="pct"/>
            <w:shd w:val="clear" w:color="auto" w:fill="E6EED5"/>
            <w:vAlign w:val="center"/>
          </w:tcPr>
          <w:p w:rsidR="00D44AF2" w:rsidRPr="004A2733" w:rsidRDefault="00D44AF2" w:rsidP="00A22BBB">
            <w:pPr>
              <w:suppressAutoHyphens w:val="0"/>
              <w:snapToGrid w:val="0"/>
              <w:rPr>
                <w:b/>
                <w:bCs/>
                <w:sz w:val="20"/>
                <w:szCs w:val="20"/>
              </w:rPr>
            </w:pPr>
            <w:r w:rsidRPr="004A2733">
              <w:rPr>
                <w:b/>
                <w:bCs/>
                <w:sz w:val="20"/>
                <w:szCs w:val="20"/>
              </w:rPr>
              <w:t>non- mandated members ratio</w:t>
            </w:r>
          </w:p>
        </w:tc>
        <w:tc>
          <w:tcPr>
            <w:tcW w:w="615"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3.0173</w:t>
            </w:r>
          </w:p>
        </w:tc>
        <w:tc>
          <w:tcPr>
            <w:tcW w:w="531"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5.60</w:t>
            </w:r>
          </w:p>
        </w:tc>
        <w:tc>
          <w:tcPr>
            <w:tcW w:w="514"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1.00</w:t>
            </w:r>
          </w:p>
        </w:tc>
        <w:tc>
          <w:tcPr>
            <w:tcW w:w="1170"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0.90560</w:t>
            </w:r>
          </w:p>
        </w:tc>
      </w:tr>
      <w:tr w:rsidR="00D44AF2" w:rsidRPr="004A2733" w:rsidTr="004D27B1">
        <w:trPr>
          <w:jc w:val="center"/>
        </w:trPr>
        <w:tc>
          <w:tcPr>
            <w:tcW w:w="2171" w:type="pct"/>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number of board members</w:t>
            </w:r>
          </w:p>
        </w:tc>
        <w:tc>
          <w:tcPr>
            <w:tcW w:w="615"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5.1231</w:t>
            </w:r>
          </w:p>
        </w:tc>
        <w:tc>
          <w:tcPr>
            <w:tcW w:w="531"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6.60</w:t>
            </w:r>
          </w:p>
        </w:tc>
        <w:tc>
          <w:tcPr>
            <w:tcW w:w="514"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5.00</w:t>
            </w:r>
          </w:p>
        </w:tc>
        <w:tc>
          <w:tcPr>
            <w:tcW w:w="1170"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0.28691</w:t>
            </w:r>
          </w:p>
        </w:tc>
      </w:tr>
      <w:tr w:rsidR="00D44AF2" w:rsidRPr="004A2733" w:rsidTr="004D27B1">
        <w:trPr>
          <w:jc w:val="center"/>
        </w:trPr>
        <w:tc>
          <w:tcPr>
            <w:tcW w:w="2171" w:type="pct"/>
            <w:shd w:val="clear" w:color="auto" w:fill="E6EED5"/>
            <w:vAlign w:val="center"/>
          </w:tcPr>
          <w:p w:rsidR="00D44AF2" w:rsidRPr="004A2733" w:rsidRDefault="00D44AF2" w:rsidP="00A22BBB">
            <w:pPr>
              <w:suppressAutoHyphens w:val="0"/>
              <w:snapToGrid w:val="0"/>
              <w:rPr>
                <w:b/>
                <w:bCs/>
                <w:sz w:val="20"/>
                <w:szCs w:val="20"/>
              </w:rPr>
            </w:pPr>
            <w:r w:rsidRPr="004A2733">
              <w:rPr>
                <w:b/>
                <w:bCs/>
                <w:sz w:val="20"/>
                <w:szCs w:val="20"/>
              </w:rPr>
              <w:t>Shares of Block-shareholders percentage</w:t>
            </w:r>
          </w:p>
        </w:tc>
        <w:tc>
          <w:tcPr>
            <w:tcW w:w="615"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54.0280</w:t>
            </w:r>
          </w:p>
        </w:tc>
        <w:tc>
          <w:tcPr>
            <w:tcW w:w="531"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91.50</w:t>
            </w:r>
          </w:p>
        </w:tc>
        <w:tc>
          <w:tcPr>
            <w:tcW w:w="514"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17.66</w:t>
            </w:r>
          </w:p>
        </w:tc>
        <w:tc>
          <w:tcPr>
            <w:tcW w:w="1170"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16.63927</w:t>
            </w:r>
          </w:p>
        </w:tc>
      </w:tr>
      <w:tr w:rsidR="00D44AF2" w:rsidRPr="004A2733" w:rsidTr="004D27B1">
        <w:trPr>
          <w:jc w:val="center"/>
        </w:trPr>
        <w:tc>
          <w:tcPr>
            <w:tcW w:w="2171" w:type="pct"/>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Shares of institutional-shareholders percentage</w:t>
            </w:r>
          </w:p>
        </w:tc>
        <w:tc>
          <w:tcPr>
            <w:tcW w:w="615"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59.9651</w:t>
            </w:r>
          </w:p>
        </w:tc>
        <w:tc>
          <w:tcPr>
            <w:tcW w:w="531"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99.32</w:t>
            </w:r>
          </w:p>
        </w:tc>
        <w:tc>
          <w:tcPr>
            <w:tcW w:w="514"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3.18</w:t>
            </w:r>
          </w:p>
        </w:tc>
        <w:tc>
          <w:tcPr>
            <w:tcW w:w="1170"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30.99729</w:t>
            </w:r>
          </w:p>
        </w:tc>
      </w:tr>
      <w:tr w:rsidR="00D44AF2" w:rsidRPr="004A2733" w:rsidTr="004D27B1">
        <w:trPr>
          <w:jc w:val="center"/>
        </w:trPr>
        <w:tc>
          <w:tcPr>
            <w:tcW w:w="2171" w:type="pct"/>
            <w:shd w:val="clear" w:color="auto" w:fill="E6EED5"/>
            <w:vAlign w:val="center"/>
          </w:tcPr>
          <w:p w:rsidR="00D44AF2" w:rsidRPr="004A2733" w:rsidRDefault="00D44AF2" w:rsidP="00A22BBB">
            <w:pPr>
              <w:suppressAutoHyphens w:val="0"/>
              <w:snapToGrid w:val="0"/>
              <w:rPr>
                <w:b/>
                <w:bCs/>
                <w:sz w:val="20"/>
                <w:szCs w:val="20"/>
              </w:rPr>
            </w:pPr>
            <w:r w:rsidRPr="004A2733">
              <w:rPr>
                <w:b/>
                <w:bCs/>
                <w:sz w:val="20"/>
                <w:szCs w:val="20"/>
              </w:rPr>
              <w:t>A leverage</w:t>
            </w:r>
          </w:p>
        </w:tc>
        <w:tc>
          <w:tcPr>
            <w:tcW w:w="615"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2.6785</w:t>
            </w:r>
          </w:p>
        </w:tc>
        <w:tc>
          <w:tcPr>
            <w:tcW w:w="531"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15.60</w:t>
            </w:r>
          </w:p>
        </w:tc>
        <w:tc>
          <w:tcPr>
            <w:tcW w:w="514"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-9.29</w:t>
            </w:r>
          </w:p>
        </w:tc>
        <w:tc>
          <w:tcPr>
            <w:tcW w:w="1170"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3.63304</w:t>
            </w:r>
          </w:p>
        </w:tc>
      </w:tr>
      <w:tr w:rsidR="00D44AF2" w:rsidRPr="004A2733" w:rsidTr="004D27B1">
        <w:trPr>
          <w:jc w:val="center"/>
        </w:trPr>
        <w:tc>
          <w:tcPr>
            <w:tcW w:w="2171" w:type="pct"/>
            <w:shd w:val="clear" w:color="auto" w:fill="auto"/>
            <w:vAlign w:val="center"/>
          </w:tcPr>
          <w:p w:rsidR="00D44AF2" w:rsidRPr="004A2733" w:rsidRDefault="00D44AF2" w:rsidP="00A22BBB">
            <w:pPr>
              <w:suppressAutoHyphens w:val="0"/>
              <w:snapToGrid w:val="0"/>
              <w:rPr>
                <w:b/>
                <w:bCs/>
                <w:sz w:val="20"/>
                <w:szCs w:val="20"/>
              </w:rPr>
            </w:pPr>
            <w:r w:rsidRPr="004A2733">
              <w:rPr>
                <w:b/>
                <w:bCs/>
                <w:sz w:val="20"/>
                <w:szCs w:val="20"/>
              </w:rPr>
              <w:t>Growth rate</w:t>
            </w:r>
          </w:p>
        </w:tc>
        <w:tc>
          <w:tcPr>
            <w:tcW w:w="615"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0.6870</w:t>
            </w:r>
          </w:p>
        </w:tc>
        <w:tc>
          <w:tcPr>
            <w:tcW w:w="531"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2.06</w:t>
            </w:r>
          </w:p>
        </w:tc>
        <w:tc>
          <w:tcPr>
            <w:tcW w:w="514"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0.04</w:t>
            </w:r>
          </w:p>
        </w:tc>
        <w:tc>
          <w:tcPr>
            <w:tcW w:w="1170" w:type="pct"/>
            <w:shd w:val="clear" w:color="auto" w:fill="auto"/>
            <w:vAlign w:val="center"/>
          </w:tcPr>
          <w:p w:rsidR="00D44AF2" w:rsidRPr="004A2733" w:rsidRDefault="00D44AF2" w:rsidP="00A22BBB">
            <w:pPr>
              <w:suppressAutoHyphens w:val="0"/>
              <w:snapToGrid w:val="0"/>
              <w:rPr>
                <w:sz w:val="20"/>
                <w:szCs w:val="20"/>
              </w:rPr>
            </w:pPr>
            <w:r w:rsidRPr="004A2733">
              <w:rPr>
                <w:sz w:val="20"/>
                <w:szCs w:val="20"/>
              </w:rPr>
              <w:t>0.50854</w:t>
            </w:r>
          </w:p>
        </w:tc>
      </w:tr>
      <w:tr w:rsidR="00D44AF2" w:rsidRPr="004A2733" w:rsidTr="004D27B1">
        <w:trPr>
          <w:jc w:val="center"/>
        </w:trPr>
        <w:tc>
          <w:tcPr>
            <w:tcW w:w="2171" w:type="pct"/>
            <w:shd w:val="clear" w:color="auto" w:fill="E6EED5"/>
            <w:vAlign w:val="center"/>
          </w:tcPr>
          <w:p w:rsidR="00D44AF2" w:rsidRPr="004A2733" w:rsidRDefault="00D44AF2" w:rsidP="00A22BBB">
            <w:pPr>
              <w:suppressAutoHyphens w:val="0"/>
              <w:snapToGrid w:val="0"/>
              <w:rPr>
                <w:b/>
                <w:bCs/>
                <w:sz w:val="20"/>
                <w:szCs w:val="20"/>
              </w:rPr>
            </w:pPr>
            <w:r w:rsidRPr="004A2733">
              <w:rPr>
                <w:b/>
                <w:bCs/>
                <w:sz w:val="20"/>
                <w:szCs w:val="20"/>
              </w:rPr>
              <w:t>Natural logarithm of assets</w:t>
            </w:r>
          </w:p>
        </w:tc>
        <w:tc>
          <w:tcPr>
            <w:tcW w:w="615"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13.3195</w:t>
            </w:r>
          </w:p>
        </w:tc>
        <w:tc>
          <w:tcPr>
            <w:tcW w:w="531"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16.33</w:t>
            </w:r>
          </w:p>
        </w:tc>
        <w:tc>
          <w:tcPr>
            <w:tcW w:w="514" w:type="pct"/>
            <w:tcBorders>
              <w:left w:val="nil"/>
              <w:right w:val="nil"/>
            </w:tcBorders>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10.79</w:t>
            </w:r>
          </w:p>
        </w:tc>
        <w:tc>
          <w:tcPr>
            <w:tcW w:w="1170" w:type="pct"/>
            <w:shd w:val="clear" w:color="auto" w:fill="E6EED5"/>
            <w:vAlign w:val="center"/>
          </w:tcPr>
          <w:p w:rsidR="00D44AF2" w:rsidRPr="004A2733" w:rsidRDefault="00D44AF2" w:rsidP="00A22BBB">
            <w:pPr>
              <w:suppressAutoHyphens w:val="0"/>
              <w:snapToGrid w:val="0"/>
              <w:rPr>
                <w:sz w:val="20"/>
                <w:szCs w:val="20"/>
              </w:rPr>
            </w:pPr>
            <w:r w:rsidRPr="004A2733">
              <w:rPr>
                <w:sz w:val="20"/>
                <w:szCs w:val="20"/>
              </w:rPr>
              <w:t>1.21391</w:t>
            </w:r>
          </w:p>
        </w:tc>
      </w:tr>
    </w:tbl>
    <w:p w:rsidR="00151BCF" w:rsidRPr="004A2733" w:rsidRDefault="00151BCF" w:rsidP="004D27B1">
      <w:pPr>
        <w:suppressAutoHyphens w:val="0"/>
        <w:snapToGrid w:val="0"/>
        <w:jc w:val="both"/>
        <w:rPr>
          <w:b/>
          <w:sz w:val="20"/>
          <w:szCs w:val="20"/>
          <w:lang w:eastAsia="zh-CN"/>
        </w:rPr>
      </w:pPr>
    </w:p>
    <w:p w:rsidR="00A22BBB" w:rsidRPr="004A2733" w:rsidRDefault="00A22BBB" w:rsidP="004D27B1">
      <w:pPr>
        <w:suppressAutoHyphens w:val="0"/>
        <w:snapToGrid w:val="0"/>
        <w:jc w:val="both"/>
        <w:rPr>
          <w:b/>
          <w:sz w:val="20"/>
          <w:szCs w:val="20"/>
          <w:lang w:eastAsia="zh-CN"/>
        </w:rPr>
      </w:pPr>
    </w:p>
    <w:p w:rsidR="004D27B1" w:rsidRPr="004A2733" w:rsidRDefault="004D27B1" w:rsidP="004D27B1">
      <w:pPr>
        <w:suppressAutoHyphens w:val="0"/>
        <w:snapToGrid w:val="0"/>
        <w:ind w:firstLine="425"/>
        <w:jc w:val="both"/>
        <w:rPr>
          <w:b/>
          <w:sz w:val="20"/>
          <w:szCs w:val="20"/>
        </w:rPr>
        <w:sectPr w:rsidR="004D27B1" w:rsidRPr="004A2733" w:rsidSect="00151BCF">
          <w:footnotePr>
            <w:pos w:val="beneathText"/>
          </w:footnotePr>
          <w:type w:val="continuous"/>
          <w:pgSz w:w="12240" w:h="15840" w:code="1"/>
          <w:pgMar w:top="1440" w:right="1440" w:bottom="1440" w:left="1440" w:header="720" w:footer="720" w:gutter="0"/>
          <w:cols w:space="720"/>
          <w:docGrid w:linePitch="360"/>
        </w:sectPr>
      </w:pPr>
    </w:p>
    <w:p w:rsidR="00B05DCF" w:rsidRPr="004A2733" w:rsidRDefault="00B05DCF" w:rsidP="004D27B1">
      <w:pPr>
        <w:suppressAutoHyphens w:val="0"/>
        <w:snapToGrid w:val="0"/>
        <w:ind w:firstLine="425"/>
        <w:jc w:val="both"/>
        <w:rPr>
          <w:sz w:val="20"/>
          <w:szCs w:val="20"/>
        </w:rPr>
      </w:pPr>
      <w:r w:rsidRPr="004A2733">
        <w:rPr>
          <w:sz w:val="20"/>
          <w:szCs w:val="20"/>
        </w:rPr>
        <w:lastRenderedPageBreak/>
        <w:t>Hypothesis 1: It exists a significant relationship between non-duty members of the board of directors and liquidity.</w:t>
      </w:r>
    </w:p>
    <w:p w:rsidR="00B05DCF" w:rsidRPr="004A2733" w:rsidRDefault="00B05DCF" w:rsidP="004D27B1">
      <w:pPr>
        <w:suppressAutoHyphens w:val="0"/>
        <w:snapToGrid w:val="0"/>
        <w:ind w:firstLine="425"/>
        <w:jc w:val="both"/>
        <w:rPr>
          <w:sz w:val="20"/>
          <w:szCs w:val="20"/>
        </w:rPr>
      </w:pPr>
      <w:r w:rsidRPr="004A2733">
        <w:rPr>
          <w:sz w:val="20"/>
          <w:szCs w:val="20"/>
        </w:rPr>
        <w:t xml:space="preserve">In first hypothesis, non-duty members of the director board effect on company's liquidity were surveyed. By non-duty board members percentage increase, effective oversight of the company and cash reduction may increase which means there is no statistical meaningful relationship this variable and research dependant variable. It can be concluded that there is no statistically significant relationship </w:t>
      </w:r>
      <w:r w:rsidRPr="004A2733">
        <w:rPr>
          <w:sz w:val="20"/>
          <w:szCs w:val="20"/>
        </w:rPr>
        <w:lastRenderedPageBreak/>
        <w:t xml:space="preserve">between non-duty members ratio with the liquidity of companies in Tehran stock exchange. </w:t>
      </w:r>
    </w:p>
    <w:p w:rsidR="00B05DCF" w:rsidRPr="004A2733" w:rsidRDefault="00B05DCF" w:rsidP="004D27B1">
      <w:pPr>
        <w:suppressAutoHyphens w:val="0"/>
        <w:snapToGrid w:val="0"/>
        <w:ind w:firstLine="425"/>
        <w:jc w:val="both"/>
        <w:rPr>
          <w:sz w:val="20"/>
          <w:szCs w:val="20"/>
        </w:rPr>
      </w:pPr>
      <w:r w:rsidRPr="004A2733">
        <w:rPr>
          <w:sz w:val="20"/>
          <w:szCs w:val="20"/>
        </w:rPr>
        <w:t xml:space="preserve">The results of our study do not confirm with some researchers such as Lee (2009) and </w:t>
      </w:r>
      <w:proofErr w:type="spellStart"/>
      <w:r w:rsidRPr="004A2733">
        <w:rPr>
          <w:sz w:val="20"/>
          <w:szCs w:val="20"/>
        </w:rPr>
        <w:t>Resaeiyan</w:t>
      </w:r>
      <w:proofErr w:type="spellEnd"/>
      <w:r w:rsidRPr="004A2733">
        <w:rPr>
          <w:sz w:val="20"/>
          <w:szCs w:val="20"/>
        </w:rPr>
        <w:t xml:space="preserve"> and colleagues (1389) that they realized there is a relation between non-duty member ratio and liquidity. Also according to obtained adjusted determination coefficient from the model performance which is 0.784, it can be stated that all independent and control variables used in the model is able to cause about 78 percent of liquidity change, However, independent variable have no statistically significant relationship.</w:t>
      </w:r>
    </w:p>
    <w:p w:rsidR="004D27B1" w:rsidRPr="004A2733" w:rsidRDefault="004D27B1" w:rsidP="004D27B1">
      <w:pPr>
        <w:suppressAutoHyphens w:val="0"/>
        <w:snapToGrid w:val="0"/>
        <w:ind w:firstLine="425"/>
        <w:jc w:val="both"/>
        <w:rPr>
          <w:sz w:val="20"/>
          <w:szCs w:val="20"/>
        </w:rPr>
        <w:sectPr w:rsidR="004D27B1" w:rsidRPr="004A2733" w:rsidSect="004D27B1">
          <w:footnotePr>
            <w:pos w:val="beneathText"/>
          </w:footnotePr>
          <w:type w:val="continuous"/>
          <w:pgSz w:w="12240" w:h="15840" w:code="1"/>
          <w:pgMar w:top="1440" w:right="1440" w:bottom="1440" w:left="1440" w:header="720" w:footer="720" w:gutter="0"/>
          <w:cols w:num="2" w:space="600"/>
          <w:docGrid w:linePitch="360"/>
        </w:sectPr>
      </w:pPr>
    </w:p>
    <w:p w:rsidR="00970C7A" w:rsidRPr="004A2733" w:rsidRDefault="00970C7A" w:rsidP="004D27B1">
      <w:pPr>
        <w:suppressAutoHyphens w:val="0"/>
        <w:snapToGrid w:val="0"/>
        <w:jc w:val="center"/>
        <w:rPr>
          <w:sz w:val="20"/>
          <w:szCs w:val="20"/>
        </w:rPr>
      </w:pPr>
    </w:p>
    <w:p w:rsidR="00A22BBB" w:rsidRPr="004A2733" w:rsidRDefault="00A22BBB" w:rsidP="004D27B1">
      <w:pPr>
        <w:suppressAutoHyphens w:val="0"/>
        <w:snapToGrid w:val="0"/>
        <w:jc w:val="center"/>
        <w:rPr>
          <w:sz w:val="20"/>
          <w:szCs w:val="20"/>
          <w:lang w:eastAsia="zh-CN"/>
        </w:rPr>
      </w:pPr>
    </w:p>
    <w:p w:rsidR="00A22BBB" w:rsidRPr="004A2733" w:rsidRDefault="00A22BBB" w:rsidP="004D27B1">
      <w:pPr>
        <w:suppressAutoHyphens w:val="0"/>
        <w:snapToGrid w:val="0"/>
        <w:jc w:val="center"/>
        <w:rPr>
          <w:sz w:val="20"/>
          <w:szCs w:val="20"/>
          <w:lang w:eastAsia="zh-CN"/>
        </w:rPr>
      </w:pPr>
    </w:p>
    <w:p w:rsidR="00A22BBB" w:rsidRPr="004A2733" w:rsidRDefault="00A22BBB" w:rsidP="004D27B1">
      <w:pPr>
        <w:suppressAutoHyphens w:val="0"/>
        <w:snapToGrid w:val="0"/>
        <w:jc w:val="center"/>
        <w:rPr>
          <w:sz w:val="20"/>
          <w:szCs w:val="20"/>
          <w:lang w:eastAsia="zh-CN"/>
        </w:rPr>
      </w:pPr>
    </w:p>
    <w:p w:rsidR="00B05DCF" w:rsidRPr="004A2733" w:rsidRDefault="00B05DCF" w:rsidP="004D27B1">
      <w:pPr>
        <w:suppressAutoHyphens w:val="0"/>
        <w:snapToGrid w:val="0"/>
        <w:jc w:val="center"/>
        <w:rPr>
          <w:sz w:val="20"/>
          <w:szCs w:val="20"/>
        </w:rPr>
      </w:pPr>
      <w:r w:rsidRPr="004A2733">
        <w:rPr>
          <w:sz w:val="20"/>
          <w:szCs w:val="20"/>
        </w:rPr>
        <w:lastRenderedPageBreak/>
        <w:t>Table 2: Results of the hypothesis</w:t>
      </w:r>
    </w:p>
    <w:tbl>
      <w:tblPr>
        <w:tblW w:w="5000" w:type="pct"/>
        <w:jc w:val="center"/>
        <w:tblBorders>
          <w:top w:val="single" w:sz="8" w:space="0" w:color="8064A2"/>
          <w:bottom w:val="single" w:sz="8" w:space="0" w:color="8064A2"/>
        </w:tblBorders>
        <w:tblCellMar>
          <w:left w:w="57" w:type="dxa"/>
          <w:right w:w="57" w:type="dxa"/>
        </w:tblCellMar>
        <w:tblLook w:val="04A0"/>
      </w:tblPr>
      <w:tblGrid>
        <w:gridCol w:w="3454"/>
        <w:gridCol w:w="1876"/>
        <w:gridCol w:w="1268"/>
        <w:gridCol w:w="2876"/>
      </w:tblGrid>
      <w:tr w:rsidR="00B05DCF" w:rsidRPr="004A2733" w:rsidTr="00151BCF">
        <w:trPr>
          <w:jc w:val="center"/>
        </w:trPr>
        <w:tc>
          <w:tcPr>
            <w:tcW w:w="1823" w:type="pct"/>
            <w:tcBorders>
              <w:top w:val="single" w:sz="8" w:space="0" w:color="8064A2"/>
              <w:bottom w:val="single" w:sz="8" w:space="0" w:color="8064A2"/>
            </w:tcBorders>
            <w:shd w:val="clear" w:color="auto" w:fill="auto"/>
            <w:vAlign w:val="center"/>
          </w:tcPr>
          <w:p w:rsidR="00B05DCF" w:rsidRPr="004A2733" w:rsidRDefault="00B05DCF" w:rsidP="004D27B1">
            <w:pPr>
              <w:suppressAutoHyphens w:val="0"/>
              <w:snapToGrid w:val="0"/>
              <w:jc w:val="both"/>
              <w:rPr>
                <w:b/>
                <w:bCs/>
                <w:sz w:val="20"/>
                <w:szCs w:val="20"/>
              </w:rPr>
            </w:pPr>
            <w:r w:rsidRPr="004A2733">
              <w:rPr>
                <w:b/>
                <w:bCs/>
                <w:sz w:val="20"/>
                <w:szCs w:val="20"/>
              </w:rPr>
              <w:t>Variable name</w:t>
            </w:r>
          </w:p>
        </w:tc>
        <w:tc>
          <w:tcPr>
            <w:tcW w:w="990" w:type="pct"/>
            <w:tcBorders>
              <w:top w:val="single" w:sz="8" w:space="0" w:color="8064A2"/>
              <w:bottom w:val="single" w:sz="8" w:space="0" w:color="8064A2"/>
            </w:tcBorders>
            <w:shd w:val="clear" w:color="auto" w:fill="auto"/>
            <w:vAlign w:val="center"/>
          </w:tcPr>
          <w:p w:rsidR="00B05DCF" w:rsidRPr="004A2733" w:rsidRDefault="00B05DCF" w:rsidP="004D27B1">
            <w:pPr>
              <w:suppressAutoHyphens w:val="0"/>
              <w:snapToGrid w:val="0"/>
              <w:jc w:val="both"/>
              <w:rPr>
                <w:b/>
                <w:bCs/>
                <w:sz w:val="20"/>
                <w:szCs w:val="20"/>
              </w:rPr>
            </w:pPr>
            <w:r w:rsidRPr="004A2733">
              <w:rPr>
                <w:b/>
                <w:bCs/>
                <w:sz w:val="20"/>
                <w:szCs w:val="20"/>
              </w:rPr>
              <w:t>Significant level</w:t>
            </w:r>
          </w:p>
        </w:tc>
        <w:tc>
          <w:tcPr>
            <w:tcW w:w="669" w:type="pct"/>
            <w:tcBorders>
              <w:top w:val="single" w:sz="8" w:space="0" w:color="8064A2"/>
              <w:bottom w:val="single" w:sz="8" w:space="0" w:color="8064A2"/>
            </w:tcBorders>
            <w:shd w:val="clear" w:color="auto" w:fill="auto"/>
            <w:vAlign w:val="center"/>
          </w:tcPr>
          <w:p w:rsidR="00B05DCF" w:rsidRPr="004A2733" w:rsidRDefault="00B05DCF" w:rsidP="004D27B1">
            <w:pPr>
              <w:suppressAutoHyphens w:val="0"/>
              <w:snapToGrid w:val="0"/>
              <w:jc w:val="both"/>
              <w:rPr>
                <w:b/>
                <w:bCs/>
                <w:sz w:val="20"/>
                <w:szCs w:val="20"/>
              </w:rPr>
            </w:pPr>
            <w:r w:rsidRPr="004A2733">
              <w:rPr>
                <w:b/>
                <w:bCs/>
                <w:sz w:val="20"/>
                <w:szCs w:val="20"/>
              </w:rPr>
              <w:t>Statistics t</w:t>
            </w:r>
          </w:p>
        </w:tc>
        <w:tc>
          <w:tcPr>
            <w:tcW w:w="1518" w:type="pct"/>
            <w:tcBorders>
              <w:top w:val="single" w:sz="8" w:space="0" w:color="8064A2"/>
              <w:bottom w:val="single" w:sz="8" w:space="0" w:color="8064A2"/>
            </w:tcBorders>
            <w:shd w:val="clear" w:color="auto" w:fill="auto"/>
            <w:vAlign w:val="center"/>
          </w:tcPr>
          <w:p w:rsidR="00B05DCF" w:rsidRPr="004A2733" w:rsidRDefault="00B05DCF" w:rsidP="004D27B1">
            <w:pPr>
              <w:suppressAutoHyphens w:val="0"/>
              <w:snapToGrid w:val="0"/>
              <w:jc w:val="both"/>
              <w:rPr>
                <w:b/>
                <w:bCs/>
                <w:sz w:val="20"/>
                <w:szCs w:val="20"/>
              </w:rPr>
            </w:pPr>
            <w:r w:rsidRPr="004A2733">
              <w:rPr>
                <w:b/>
                <w:bCs/>
                <w:sz w:val="20"/>
                <w:szCs w:val="20"/>
              </w:rPr>
              <w:t>Standardized coefficients</w:t>
            </w:r>
          </w:p>
        </w:tc>
      </w:tr>
      <w:tr w:rsidR="00B05DCF" w:rsidRPr="004A2733" w:rsidTr="00151BCF">
        <w:trPr>
          <w:jc w:val="center"/>
        </w:trPr>
        <w:tc>
          <w:tcPr>
            <w:tcW w:w="1823" w:type="pct"/>
            <w:shd w:val="clear" w:color="auto" w:fill="DFD8E8"/>
            <w:vAlign w:val="center"/>
          </w:tcPr>
          <w:p w:rsidR="00B05DCF" w:rsidRPr="004A2733" w:rsidRDefault="00B05DCF" w:rsidP="004D27B1">
            <w:pPr>
              <w:suppressAutoHyphens w:val="0"/>
              <w:snapToGrid w:val="0"/>
              <w:jc w:val="both"/>
              <w:rPr>
                <w:b/>
                <w:bCs/>
                <w:sz w:val="20"/>
                <w:szCs w:val="20"/>
              </w:rPr>
            </w:pPr>
            <w:r w:rsidRPr="004A2733">
              <w:rPr>
                <w:b/>
                <w:bCs/>
                <w:sz w:val="20"/>
                <w:szCs w:val="20"/>
              </w:rPr>
              <w:t>Intercep</w:t>
            </w:r>
            <w:r w:rsidR="00151BCF" w:rsidRPr="004A2733">
              <w:rPr>
                <w:b/>
                <w:bCs/>
                <w:sz w:val="20"/>
                <w:szCs w:val="20"/>
              </w:rPr>
              <w:t>t (</w:t>
            </w:r>
            <w:r w:rsidRPr="004A2733">
              <w:rPr>
                <w:b/>
                <w:bCs/>
                <w:sz w:val="20"/>
                <w:szCs w:val="20"/>
              </w:rPr>
              <w:t>α)</w:t>
            </w:r>
          </w:p>
        </w:tc>
        <w:tc>
          <w:tcPr>
            <w:tcW w:w="990" w:type="pct"/>
            <w:tcBorders>
              <w:left w:val="nil"/>
              <w:right w:val="nil"/>
            </w:tcBorders>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0.000</w:t>
            </w:r>
          </w:p>
        </w:tc>
        <w:tc>
          <w:tcPr>
            <w:tcW w:w="669" w:type="pct"/>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-4.188</w:t>
            </w:r>
          </w:p>
        </w:tc>
        <w:tc>
          <w:tcPr>
            <w:tcW w:w="1518" w:type="pct"/>
            <w:tcBorders>
              <w:left w:val="nil"/>
              <w:right w:val="nil"/>
            </w:tcBorders>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w:t>
            </w:r>
          </w:p>
        </w:tc>
      </w:tr>
      <w:tr w:rsidR="00B05DCF" w:rsidRPr="004A2733" w:rsidTr="00151BCF">
        <w:trPr>
          <w:jc w:val="center"/>
        </w:trPr>
        <w:tc>
          <w:tcPr>
            <w:tcW w:w="1823" w:type="pct"/>
            <w:shd w:val="clear" w:color="auto" w:fill="auto"/>
            <w:vAlign w:val="center"/>
          </w:tcPr>
          <w:p w:rsidR="00B05DCF" w:rsidRPr="004A2733" w:rsidRDefault="00B05DCF" w:rsidP="004D27B1">
            <w:pPr>
              <w:suppressAutoHyphens w:val="0"/>
              <w:snapToGrid w:val="0"/>
              <w:jc w:val="both"/>
              <w:rPr>
                <w:b/>
                <w:bCs/>
                <w:sz w:val="20"/>
                <w:szCs w:val="20"/>
              </w:rPr>
            </w:pPr>
            <w:r w:rsidRPr="004A2733">
              <w:rPr>
                <w:b/>
                <w:bCs/>
                <w:sz w:val="20"/>
                <w:szCs w:val="20"/>
              </w:rPr>
              <w:t>non-duty members ratio</w:t>
            </w:r>
          </w:p>
        </w:tc>
        <w:tc>
          <w:tcPr>
            <w:tcW w:w="990" w:type="pct"/>
            <w:shd w:val="clear" w:color="auto" w:fill="auto"/>
            <w:vAlign w:val="center"/>
          </w:tcPr>
          <w:p w:rsidR="00B05DCF" w:rsidRPr="004A2733" w:rsidRDefault="00B05DCF" w:rsidP="004D27B1">
            <w:pPr>
              <w:suppressAutoHyphens w:val="0"/>
              <w:snapToGrid w:val="0"/>
              <w:jc w:val="both"/>
              <w:rPr>
                <w:sz w:val="20"/>
                <w:szCs w:val="20"/>
              </w:rPr>
            </w:pPr>
            <w:r w:rsidRPr="004A2733">
              <w:rPr>
                <w:sz w:val="20"/>
                <w:szCs w:val="20"/>
              </w:rPr>
              <w:t>0.979</w:t>
            </w:r>
          </w:p>
        </w:tc>
        <w:tc>
          <w:tcPr>
            <w:tcW w:w="669" w:type="pct"/>
            <w:shd w:val="clear" w:color="auto" w:fill="auto"/>
            <w:vAlign w:val="center"/>
          </w:tcPr>
          <w:p w:rsidR="00B05DCF" w:rsidRPr="004A2733" w:rsidRDefault="00B05DCF" w:rsidP="004D27B1">
            <w:pPr>
              <w:suppressAutoHyphens w:val="0"/>
              <w:snapToGrid w:val="0"/>
              <w:jc w:val="both"/>
              <w:rPr>
                <w:sz w:val="20"/>
                <w:szCs w:val="20"/>
              </w:rPr>
            </w:pPr>
            <w:r w:rsidRPr="004A2733">
              <w:rPr>
                <w:sz w:val="20"/>
                <w:szCs w:val="20"/>
              </w:rPr>
              <w:t>0.026</w:t>
            </w:r>
          </w:p>
        </w:tc>
        <w:tc>
          <w:tcPr>
            <w:tcW w:w="1518" w:type="pct"/>
            <w:shd w:val="clear" w:color="auto" w:fill="auto"/>
            <w:vAlign w:val="center"/>
          </w:tcPr>
          <w:p w:rsidR="00B05DCF" w:rsidRPr="004A2733" w:rsidRDefault="00B05DCF" w:rsidP="004D27B1">
            <w:pPr>
              <w:suppressAutoHyphens w:val="0"/>
              <w:snapToGrid w:val="0"/>
              <w:jc w:val="both"/>
              <w:rPr>
                <w:sz w:val="20"/>
                <w:szCs w:val="20"/>
              </w:rPr>
            </w:pPr>
            <w:r w:rsidRPr="004A2733">
              <w:rPr>
                <w:sz w:val="20"/>
                <w:szCs w:val="20"/>
              </w:rPr>
              <w:t>0.001</w:t>
            </w:r>
          </w:p>
        </w:tc>
      </w:tr>
      <w:tr w:rsidR="00B05DCF" w:rsidRPr="004A2733" w:rsidTr="00151BCF">
        <w:trPr>
          <w:jc w:val="center"/>
        </w:trPr>
        <w:tc>
          <w:tcPr>
            <w:tcW w:w="1823" w:type="pct"/>
            <w:shd w:val="clear" w:color="auto" w:fill="DFD8E8"/>
            <w:vAlign w:val="center"/>
          </w:tcPr>
          <w:p w:rsidR="00B05DCF" w:rsidRPr="004A2733" w:rsidRDefault="00B05DCF" w:rsidP="004D27B1">
            <w:pPr>
              <w:suppressAutoHyphens w:val="0"/>
              <w:snapToGrid w:val="0"/>
              <w:jc w:val="both"/>
              <w:rPr>
                <w:b/>
                <w:bCs/>
                <w:sz w:val="20"/>
                <w:szCs w:val="20"/>
              </w:rPr>
            </w:pPr>
            <w:r w:rsidRPr="004A2733">
              <w:rPr>
                <w:b/>
                <w:bCs/>
                <w:sz w:val="20"/>
                <w:szCs w:val="20"/>
              </w:rPr>
              <w:t>A leverag</w:t>
            </w:r>
            <w:r w:rsidR="00151BCF" w:rsidRPr="004A2733">
              <w:rPr>
                <w:b/>
                <w:bCs/>
                <w:sz w:val="20"/>
                <w:szCs w:val="20"/>
              </w:rPr>
              <w:t>e (</w:t>
            </w:r>
            <w:r w:rsidRPr="004A2733">
              <w:rPr>
                <w:b/>
                <w:bCs/>
                <w:sz w:val="20"/>
                <w:szCs w:val="20"/>
              </w:rPr>
              <w:t>debt to asset ratio)</w:t>
            </w:r>
          </w:p>
        </w:tc>
        <w:tc>
          <w:tcPr>
            <w:tcW w:w="990" w:type="pct"/>
            <w:tcBorders>
              <w:left w:val="nil"/>
              <w:right w:val="nil"/>
            </w:tcBorders>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0.024</w:t>
            </w:r>
          </w:p>
        </w:tc>
        <w:tc>
          <w:tcPr>
            <w:tcW w:w="669" w:type="pct"/>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2.306</w:t>
            </w:r>
          </w:p>
        </w:tc>
        <w:tc>
          <w:tcPr>
            <w:tcW w:w="1518" w:type="pct"/>
            <w:tcBorders>
              <w:left w:val="nil"/>
              <w:right w:val="nil"/>
            </w:tcBorders>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0.127</w:t>
            </w:r>
          </w:p>
        </w:tc>
      </w:tr>
      <w:tr w:rsidR="00B05DCF" w:rsidRPr="004A2733" w:rsidTr="00151BCF">
        <w:trPr>
          <w:jc w:val="center"/>
        </w:trPr>
        <w:tc>
          <w:tcPr>
            <w:tcW w:w="1823" w:type="pct"/>
            <w:shd w:val="clear" w:color="auto" w:fill="auto"/>
            <w:vAlign w:val="center"/>
          </w:tcPr>
          <w:p w:rsidR="00B05DCF" w:rsidRPr="004A2733" w:rsidRDefault="00B05DCF" w:rsidP="004D27B1">
            <w:pPr>
              <w:suppressAutoHyphens w:val="0"/>
              <w:snapToGrid w:val="0"/>
              <w:jc w:val="both"/>
              <w:rPr>
                <w:b/>
                <w:bCs/>
                <w:sz w:val="20"/>
                <w:szCs w:val="20"/>
              </w:rPr>
            </w:pPr>
            <w:r w:rsidRPr="004A2733">
              <w:rPr>
                <w:b/>
                <w:bCs/>
                <w:sz w:val="20"/>
                <w:szCs w:val="20"/>
              </w:rPr>
              <w:t>Growth rat</w:t>
            </w:r>
            <w:r w:rsidR="00151BCF" w:rsidRPr="004A2733">
              <w:rPr>
                <w:b/>
                <w:bCs/>
                <w:sz w:val="20"/>
                <w:szCs w:val="20"/>
              </w:rPr>
              <w:t>e (</w:t>
            </w:r>
            <w:proofErr w:type="spellStart"/>
            <w:r w:rsidRPr="004A2733">
              <w:rPr>
                <w:b/>
                <w:bCs/>
                <w:sz w:val="20"/>
                <w:szCs w:val="20"/>
              </w:rPr>
              <w:t>QToubin</w:t>
            </w:r>
            <w:proofErr w:type="spellEnd"/>
            <w:r w:rsidRPr="004A2733">
              <w:rPr>
                <w:b/>
                <w:bCs/>
                <w:sz w:val="20"/>
                <w:szCs w:val="20"/>
              </w:rPr>
              <w:t>)</w:t>
            </w:r>
          </w:p>
        </w:tc>
        <w:tc>
          <w:tcPr>
            <w:tcW w:w="990" w:type="pct"/>
            <w:shd w:val="clear" w:color="auto" w:fill="auto"/>
            <w:vAlign w:val="center"/>
          </w:tcPr>
          <w:p w:rsidR="00B05DCF" w:rsidRPr="004A2733" w:rsidRDefault="00B05DCF" w:rsidP="004D27B1">
            <w:pPr>
              <w:suppressAutoHyphens w:val="0"/>
              <w:snapToGrid w:val="0"/>
              <w:jc w:val="both"/>
              <w:rPr>
                <w:sz w:val="20"/>
                <w:szCs w:val="20"/>
              </w:rPr>
            </w:pPr>
            <w:r w:rsidRPr="004A2733">
              <w:rPr>
                <w:sz w:val="20"/>
                <w:szCs w:val="20"/>
              </w:rPr>
              <w:t>0.073</w:t>
            </w:r>
          </w:p>
        </w:tc>
        <w:tc>
          <w:tcPr>
            <w:tcW w:w="669" w:type="pct"/>
            <w:shd w:val="clear" w:color="auto" w:fill="auto"/>
            <w:vAlign w:val="center"/>
          </w:tcPr>
          <w:p w:rsidR="00B05DCF" w:rsidRPr="004A2733" w:rsidRDefault="00B05DCF" w:rsidP="004D27B1">
            <w:pPr>
              <w:suppressAutoHyphens w:val="0"/>
              <w:snapToGrid w:val="0"/>
              <w:jc w:val="both"/>
              <w:rPr>
                <w:sz w:val="20"/>
                <w:szCs w:val="20"/>
              </w:rPr>
            </w:pPr>
            <w:r w:rsidRPr="004A2733">
              <w:rPr>
                <w:sz w:val="20"/>
                <w:szCs w:val="20"/>
              </w:rPr>
              <w:t>1.818</w:t>
            </w:r>
          </w:p>
        </w:tc>
        <w:tc>
          <w:tcPr>
            <w:tcW w:w="1518" w:type="pct"/>
            <w:shd w:val="clear" w:color="auto" w:fill="auto"/>
            <w:vAlign w:val="center"/>
          </w:tcPr>
          <w:p w:rsidR="00B05DCF" w:rsidRPr="004A2733" w:rsidRDefault="00B05DCF" w:rsidP="004D27B1">
            <w:pPr>
              <w:suppressAutoHyphens w:val="0"/>
              <w:snapToGrid w:val="0"/>
              <w:jc w:val="both"/>
              <w:rPr>
                <w:sz w:val="20"/>
                <w:szCs w:val="20"/>
              </w:rPr>
            </w:pPr>
            <w:r w:rsidRPr="004A2733">
              <w:rPr>
                <w:sz w:val="20"/>
                <w:szCs w:val="20"/>
              </w:rPr>
              <w:t>0.103</w:t>
            </w:r>
          </w:p>
        </w:tc>
      </w:tr>
      <w:tr w:rsidR="00B05DCF" w:rsidRPr="004A2733" w:rsidTr="00151BCF">
        <w:trPr>
          <w:jc w:val="center"/>
        </w:trPr>
        <w:tc>
          <w:tcPr>
            <w:tcW w:w="1823" w:type="pct"/>
            <w:shd w:val="clear" w:color="auto" w:fill="DFD8E8"/>
            <w:vAlign w:val="center"/>
          </w:tcPr>
          <w:p w:rsidR="00B05DCF" w:rsidRPr="004A2733" w:rsidRDefault="00B05DCF" w:rsidP="004D27B1">
            <w:pPr>
              <w:suppressAutoHyphens w:val="0"/>
              <w:snapToGrid w:val="0"/>
              <w:jc w:val="both"/>
              <w:rPr>
                <w:b/>
                <w:bCs/>
                <w:sz w:val="20"/>
                <w:szCs w:val="20"/>
              </w:rPr>
            </w:pPr>
            <w:r w:rsidRPr="004A2733">
              <w:rPr>
                <w:b/>
                <w:bCs/>
                <w:sz w:val="20"/>
                <w:szCs w:val="20"/>
              </w:rPr>
              <w:t>Natural logarithm of assets</w:t>
            </w:r>
          </w:p>
        </w:tc>
        <w:tc>
          <w:tcPr>
            <w:tcW w:w="990" w:type="pct"/>
            <w:tcBorders>
              <w:left w:val="nil"/>
              <w:right w:val="nil"/>
            </w:tcBorders>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0.000</w:t>
            </w:r>
          </w:p>
        </w:tc>
        <w:tc>
          <w:tcPr>
            <w:tcW w:w="669" w:type="pct"/>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16.379</w:t>
            </w:r>
          </w:p>
        </w:tc>
        <w:tc>
          <w:tcPr>
            <w:tcW w:w="1518" w:type="pct"/>
            <w:tcBorders>
              <w:left w:val="nil"/>
              <w:right w:val="nil"/>
            </w:tcBorders>
            <w:shd w:val="clear" w:color="auto" w:fill="DFD8E8"/>
            <w:vAlign w:val="center"/>
          </w:tcPr>
          <w:p w:rsidR="00B05DCF" w:rsidRPr="004A2733" w:rsidRDefault="00B05DCF" w:rsidP="004D27B1">
            <w:pPr>
              <w:suppressAutoHyphens w:val="0"/>
              <w:snapToGrid w:val="0"/>
              <w:jc w:val="both"/>
              <w:rPr>
                <w:sz w:val="20"/>
                <w:szCs w:val="20"/>
              </w:rPr>
            </w:pPr>
            <w:r w:rsidRPr="004A2733">
              <w:rPr>
                <w:sz w:val="20"/>
                <w:szCs w:val="20"/>
              </w:rPr>
              <w:t>0.879</w:t>
            </w:r>
          </w:p>
        </w:tc>
      </w:tr>
      <w:tr w:rsidR="00B05DCF" w:rsidRPr="004A2733" w:rsidTr="00151BCF">
        <w:trPr>
          <w:jc w:val="center"/>
        </w:trPr>
        <w:tc>
          <w:tcPr>
            <w:tcW w:w="5000" w:type="pct"/>
            <w:gridSpan w:val="4"/>
            <w:shd w:val="clear" w:color="auto" w:fill="auto"/>
            <w:vAlign w:val="center"/>
          </w:tcPr>
          <w:p w:rsidR="00B05DCF" w:rsidRPr="004A2733" w:rsidRDefault="00B05DCF" w:rsidP="004D27B1">
            <w:pPr>
              <w:suppressAutoHyphens w:val="0"/>
              <w:snapToGrid w:val="0"/>
              <w:jc w:val="both"/>
              <w:rPr>
                <w:b/>
                <w:bCs/>
                <w:sz w:val="20"/>
                <w:szCs w:val="20"/>
              </w:rPr>
            </w:pPr>
            <w:r w:rsidRPr="004A2733">
              <w:rPr>
                <w:b/>
                <w:bCs/>
                <w:sz w:val="20"/>
                <w:szCs w:val="20"/>
              </w:rPr>
              <w:t>Meaningful model 0.000</w:t>
            </w:r>
            <w:r w:rsidR="00151BCF" w:rsidRPr="004A2733">
              <w:rPr>
                <w:b/>
                <w:bCs/>
                <w:sz w:val="20"/>
                <w:szCs w:val="20"/>
              </w:rPr>
              <w:t xml:space="preserve"> </w:t>
            </w:r>
            <w:r w:rsidRPr="004A2733">
              <w:rPr>
                <w:b/>
                <w:bCs/>
                <w:sz w:val="20"/>
                <w:szCs w:val="20"/>
              </w:rPr>
              <w:t>Statistics F 70.929</w:t>
            </w:r>
            <w:r w:rsidR="00151BCF" w:rsidRPr="004A2733">
              <w:rPr>
                <w:b/>
                <w:bCs/>
                <w:sz w:val="20"/>
                <w:szCs w:val="20"/>
              </w:rPr>
              <w:t xml:space="preserve"> </w:t>
            </w:r>
            <w:proofErr w:type="spellStart"/>
            <w:r w:rsidRPr="004A2733">
              <w:rPr>
                <w:b/>
                <w:bCs/>
                <w:sz w:val="20"/>
                <w:szCs w:val="20"/>
              </w:rPr>
              <w:t>Dourbin</w:t>
            </w:r>
            <w:proofErr w:type="spellEnd"/>
            <w:r w:rsidRPr="004A2733">
              <w:rPr>
                <w:b/>
                <w:bCs/>
                <w:sz w:val="20"/>
                <w:szCs w:val="20"/>
              </w:rPr>
              <w:t>-Aston 1.99</w:t>
            </w:r>
          </w:p>
          <w:p w:rsidR="00B05DCF" w:rsidRPr="004A2733" w:rsidRDefault="00B05DCF" w:rsidP="004D27B1">
            <w:pPr>
              <w:suppressAutoHyphens w:val="0"/>
              <w:snapToGrid w:val="0"/>
              <w:jc w:val="both"/>
              <w:rPr>
                <w:b/>
                <w:bCs/>
                <w:sz w:val="20"/>
                <w:szCs w:val="20"/>
              </w:rPr>
            </w:pPr>
            <w:r w:rsidRPr="004A2733">
              <w:rPr>
                <w:b/>
                <w:bCs/>
                <w:sz w:val="20"/>
                <w:szCs w:val="20"/>
              </w:rPr>
              <w:t>Determination Coefficien</w:t>
            </w:r>
            <w:r w:rsidR="00151BCF" w:rsidRPr="004A2733">
              <w:rPr>
                <w:b/>
                <w:bCs/>
                <w:sz w:val="20"/>
                <w:szCs w:val="20"/>
              </w:rPr>
              <w:t>t (</w:t>
            </w:r>
            <w:r w:rsidRPr="004A2733">
              <w:rPr>
                <w:b/>
                <w:bCs/>
                <w:sz w:val="20"/>
                <w:szCs w:val="20"/>
              </w:rPr>
              <w:t>R2) 0.795</w:t>
            </w:r>
            <w:r w:rsidR="00151BCF" w:rsidRPr="004A2733">
              <w:rPr>
                <w:b/>
                <w:bCs/>
                <w:sz w:val="20"/>
                <w:szCs w:val="20"/>
              </w:rPr>
              <w:t xml:space="preserve"> </w:t>
            </w:r>
            <w:r w:rsidRPr="004A2733">
              <w:rPr>
                <w:b/>
                <w:bCs/>
                <w:sz w:val="20"/>
                <w:szCs w:val="20"/>
              </w:rPr>
              <w:t>Adjusted determination coefficient 0.784</w:t>
            </w:r>
          </w:p>
        </w:tc>
      </w:tr>
    </w:tbl>
    <w:p w:rsidR="00A22BBB" w:rsidRPr="004A2733" w:rsidRDefault="00A22BBB" w:rsidP="004D27B1">
      <w:pPr>
        <w:suppressAutoHyphens w:val="0"/>
        <w:snapToGrid w:val="0"/>
        <w:ind w:firstLine="425"/>
        <w:jc w:val="both"/>
        <w:rPr>
          <w:sz w:val="20"/>
          <w:szCs w:val="20"/>
          <w:lang w:eastAsia="zh-CN"/>
        </w:rPr>
      </w:pPr>
    </w:p>
    <w:p w:rsidR="004D27B1" w:rsidRPr="004A2733" w:rsidRDefault="004D27B1" w:rsidP="004D27B1">
      <w:pPr>
        <w:suppressAutoHyphens w:val="0"/>
        <w:snapToGrid w:val="0"/>
        <w:ind w:firstLine="425"/>
        <w:jc w:val="both"/>
        <w:rPr>
          <w:b/>
          <w:sz w:val="20"/>
          <w:szCs w:val="20"/>
        </w:rPr>
        <w:sectPr w:rsidR="004D27B1" w:rsidRPr="004A2733" w:rsidSect="00151BCF">
          <w:footnotePr>
            <w:pos w:val="beneathText"/>
          </w:footnotePr>
          <w:type w:val="continuous"/>
          <w:pgSz w:w="12240" w:h="15840" w:code="1"/>
          <w:pgMar w:top="1440" w:right="1440" w:bottom="1440" w:left="1440" w:header="720" w:footer="720" w:gutter="0"/>
          <w:cols w:space="720"/>
          <w:docGrid w:linePitch="360"/>
        </w:sectPr>
      </w:pPr>
    </w:p>
    <w:p w:rsidR="003B7436" w:rsidRPr="004A2733" w:rsidRDefault="003B7436" w:rsidP="004D27B1">
      <w:pPr>
        <w:suppressAutoHyphens w:val="0"/>
        <w:snapToGrid w:val="0"/>
        <w:ind w:firstLine="425"/>
        <w:jc w:val="both"/>
        <w:rPr>
          <w:sz w:val="20"/>
          <w:szCs w:val="20"/>
        </w:rPr>
      </w:pPr>
      <w:r w:rsidRPr="004A2733">
        <w:rPr>
          <w:sz w:val="20"/>
          <w:szCs w:val="20"/>
        </w:rPr>
        <w:lastRenderedPageBreak/>
        <w:t>Hypothesis 2: There is a significant relationship between the number of board members of companies and liquidity.</w:t>
      </w:r>
    </w:p>
    <w:p w:rsidR="003B7436" w:rsidRPr="004A2733" w:rsidRDefault="003B7436" w:rsidP="004D27B1">
      <w:pPr>
        <w:suppressAutoHyphens w:val="0"/>
        <w:snapToGrid w:val="0"/>
        <w:ind w:firstLine="425"/>
        <w:jc w:val="both"/>
        <w:rPr>
          <w:sz w:val="20"/>
          <w:szCs w:val="20"/>
        </w:rPr>
      </w:pPr>
      <w:r w:rsidRPr="004A2733">
        <w:rPr>
          <w:sz w:val="20"/>
          <w:szCs w:val="20"/>
        </w:rPr>
        <w:t xml:space="preserve">In hypothesis 2, the relationship between the number of board members and the company's liquidity was examined and the obtained result shows that there is a statistically significant relationship. In addition, according to positive sign of the obtained coefficient we can conclude that there is a statistical significant positive relationship between the number of board members and liquidity in corporate. The result of our study does not confirm Harford and colleagues </w:t>
      </w:r>
      <w:r w:rsidRPr="004A2733">
        <w:rPr>
          <w:sz w:val="20"/>
          <w:szCs w:val="20"/>
        </w:rPr>
        <w:lastRenderedPageBreak/>
        <w:t>(2008), indicating that there is a negative relationship between liquidity and the number of board members. In results analyzing of this hypothesis it can be said the number of board members has a positive effect on liquidity volume of companies in Tehran Stock Exchange and companies may increase liquidity. Also according to the obtained adjusted determination coefficient from model execution which is 0.817, we can say that this variable with other variables (control variables) could affect on about 82 percent of the company's liquidity.</w:t>
      </w:r>
    </w:p>
    <w:p w:rsidR="004D27B1" w:rsidRPr="004A2733" w:rsidRDefault="004D27B1" w:rsidP="004D27B1">
      <w:pPr>
        <w:suppressAutoHyphens w:val="0"/>
        <w:snapToGrid w:val="0"/>
        <w:ind w:firstLine="425"/>
        <w:jc w:val="both"/>
        <w:rPr>
          <w:sz w:val="20"/>
          <w:szCs w:val="20"/>
        </w:rPr>
        <w:sectPr w:rsidR="004D27B1" w:rsidRPr="004A2733" w:rsidSect="004D27B1">
          <w:footnotePr>
            <w:pos w:val="beneathText"/>
          </w:footnotePr>
          <w:type w:val="continuous"/>
          <w:pgSz w:w="12240" w:h="15840" w:code="1"/>
          <w:pgMar w:top="1440" w:right="1440" w:bottom="1440" w:left="1440" w:header="720" w:footer="720" w:gutter="0"/>
          <w:cols w:num="2" w:space="600"/>
          <w:docGrid w:linePitch="360"/>
        </w:sectPr>
      </w:pPr>
    </w:p>
    <w:p w:rsidR="00151BCF" w:rsidRPr="004A2733" w:rsidRDefault="00151BCF" w:rsidP="004D27B1">
      <w:pPr>
        <w:suppressAutoHyphens w:val="0"/>
        <w:snapToGrid w:val="0"/>
        <w:ind w:firstLine="425"/>
        <w:jc w:val="both"/>
        <w:rPr>
          <w:sz w:val="20"/>
          <w:szCs w:val="20"/>
        </w:rPr>
      </w:pPr>
    </w:p>
    <w:p w:rsidR="00C9733A" w:rsidRPr="004A2733" w:rsidRDefault="00C9733A" w:rsidP="004D27B1">
      <w:pPr>
        <w:suppressAutoHyphens w:val="0"/>
        <w:snapToGrid w:val="0"/>
        <w:jc w:val="center"/>
        <w:rPr>
          <w:sz w:val="20"/>
          <w:szCs w:val="20"/>
        </w:rPr>
      </w:pPr>
      <w:r w:rsidRPr="004A2733">
        <w:rPr>
          <w:sz w:val="20"/>
          <w:szCs w:val="20"/>
        </w:rPr>
        <w:t>Table 3: Results of testing main hypotheses 2</w:t>
      </w:r>
    </w:p>
    <w:tbl>
      <w:tblPr>
        <w:tblW w:w="5000" w:type="pct"/>
        <w:jc w:val="center"/>
        <w:tblBorders>
          <w:top w:val="single" w:sz="8" w:space="0" w:color="4BACC6"/>
          <w:bottom w:val="single" w:sz="8" w:space="0" w:color="4BACC6"/>
        </w:tblBorders>
        <w:tblCellMar>
          <w:left w:w="57" w:type="dxa"/>
          <w:right w:w="57" w:type="dxa"/>
        </w:tblCellMar>
        <w:tblLook w:val="04A0"/>
      </w:tblPr>
      <w:tblGrid>
        <w:gridCol w:w="3454"/>
        <w:gridCol w:w="1876"/>
        <w:gridCol w:w="1268"/>
        <w:gridCol w:w="2876"/>
      </w:tblGrid>
      <w:tr w:rsidR="00C9733A" w:rsidRPr="004A2733" w:rsidTr="00151BCF">
        <w:trPr>
          <w:jc w:val="center"/>
        </w:trPr>
        <w:tc>
          <w:tcPr>
            <w:tcW w:w="1823" w:type="pct"/>
            <w:tcBorders>
              <w:top w:val="single" w:sz="8" w:space="0" w:color="4BACC6"/>
              <w:bottom w:val="single" w:sz="8" w:space="0" w:color="4BACC6"/>
            </w:tcBorders>
            <w:shd w:val="clear" w:color="auto" w:fill="auto"/>
            <w:vAlign w:val="center"/>
          </w:tcPr>
          <w:p w:rsidR="00C9733A" w:rsidRPr="004A2733" w:rsidRDefault="00C9733A" w:rsidP="004D27B1">
            <w:pPr>
              <w:suppressAutoHyphens w:val="0"/>
              <w:snapToGrid w:val="0"/>
              <w:jc w:val="both"/>
              <w:rPr>
                <w:b/>
                <w:bCs/>
                <w:sz w:val="20"/>
                <w:szCs w:val="20"/>
              </w:rPr>
            </w:pPr>
            <w:r w:rsidRPr="004A2733">
              <w:rPr>
                <w:b/>
                <w:bCs/>
                <w:sz w:val="20"/>
                <w:szCs w:val="20"/>
              </w:rPr>
              <w:t>Variable name</w:t>
            </w:r>
          </w:p>
        </w:tc>
        <w:tc>
          <w:tcPr>
            <w:tcW w:w="990" w:type="pct"/>
            <w:tcBorders>
              <w:top w:val="single" w:sz="8" w:space="0" w:color="4BACC6"/>
              <w:bottom w:val="single" w:sz="8" w:space="0" w:color="4BACC6"/>
            </w:tcBorders>
            <w:shd w:val="clear" w:color="auto" w:fill="auto"/>
            <w:vAlign w:val="center"/>
          </w:tcPr>
          <w:p w:rsidR="00C9733A" w:rsidRPr="004A2733" w:rsidRDefault="00C9733A" w:rsidP="004D27B1">
            <w:pPr>
              <w:suppressAutoHyphens w:val="0"/>
              <w:snapToGrid w:val="0"/>
              <w:jc w:val="both"/>
              <w:rPr>
                <w:b/>
                <w:bCs/>
                <w:sz w:val="20"/>
                <w:szCs w:val="20"/>
              </w:rPr>
            </w:pPr>
            <w:r w:rsidRPr="004A2733">
              <w:rPr>
                <w:b/>
                <w:bCs/>
                <w:sz w:val="20"/>
                <w:szCs w:val="20"/>
              </w:rPr>
              <w:t>Significant level</w:t>
            </w:r>
          </w:p>
        </w:tc>
        <w:tc>
          <w:tcPr>
            <w:tcW w:w="669" w:type="pct"/>
            <w:tcBorders>
              <w:top w:val="single" w:sz="8" w:space="0" w:color="4BACC6"/>
              <w:bottom w:val="single" w:sz="8" w:space="0" w:color="4BACC6"/>
            </w:tcBorders>
            <w:shd w:val="clear" w:color="auto" w:fill="auto"/>
            <w:vAlign w:val="center"/>
          </w:tcPr>
          <w:p w:rsidR="00C9733A" w:rsidRPr="004A2733" w:rsidRDefault="00C9733A" w:rsidP="004D27B1">
            <w:pPr>
              <w:suppressAutoHyphens w:val="0"/>
              <w:snapToGrid w:val="0"/>
              <w:jc w:val="both"/>
              <w:rPr>
                <w:b/>
                <w:bCs/>
                <w:sz w:val="20"/>
                <w:szCs w:val="20"/>
              </w:rPr>
            </w:pPr>
            <w:r w:rsidRPr="004A2733">
              <w:rPr>
                <w:b/>
                <w:bCs/>
                <w:sz w:val="20"/>
                <w:szCs w:val="20"/>
              </w:rPr>
              <w:t>Statistics t</w:t>
            </w:r>
          </w:p>
        </w:tc>
        <w:tc>
          <w:tcPr>
            <w:tcW w:w="1518" w:type="pct"/>
            <w:tcBorders>
              <w:top w:val="single" w:sz="8" w:space="0" w:color="4BACC6"/>
              <w:bottom w:val="single" w:sz="8" w:space="0" w:color="4BACC6"/>
            </w:tcBorders>
            <w:shd w:val="clear" w:color="auto" w:fill="auto"/>
            <w:vAlign w:val="center"/>
          </w:tcPr>
          <w:p w:rsidR="00C9733A" w:rsidRPr="004A2733" w:rsidRDefault="00C9733A" w:rsidP="004D27B1">
            <w:pPr>
              <w:suppressAutoHyphens w:val="0"/>
              <w:snapToGrid w:val="0"/>
              <w:jc w:val="both"/>
              <w:rPr>
                <w:b/>
                <w:bCs/>
                <w:sz w:val="20"/>
                <w:szCs w:val="20"/>
              </w:rPr>
            </w:pPr>
            <w:r w:rsidRPr="004A2733">
              <w:rPr>
                <w:b/>
                <w:bCs/>
                <w:sz w:val="20"/>
                <w:szCs w:val="20"/>
              </w:rPr>
              <w:t>Standardized coefficients</w:t>
            </w:r>
          </w:p>
        </w:tc>
      </w:tr>
      <w:tr w:rsidR="00C9733A" w:rsidRPr="004A2733" w:rsidTr="00151BCF">
        <w:trPr>
          <w:jc w:val="center"/>
        </w:trPr>
        <w:tc>
          <w:tcPr>
            <w:tcW w:w="1823" w:type="pct"/>
            <w:shd w:val="clear" w:color="auto" w:fill="D2EAF1"/>
            <w:vAlign w:val="center"/>
          </w:tcPr>
          <w:p w:rsidR="00C9733A" w:rsidRPr="004A2733" w:rsidRDefault="00C9733A" w:rsidP="004D27B1">
            <w:pPr>
              <w:suppressAutoHyphens w:val="0"/>
              <w:snapToGrid w:val="0"/>
              <w:jc w:val="both"/>
              <w:rPr>
                <w:b/>
                <w:bCs/>
                <w:sz w:val="20"/>
                <w:szCs w:val="20"/>
              </w:rPr>
            </w:pPr>
            <w:r w:rsidRPr="004A2733">
              <w:rPr>
                <w:b/>
                <w:bCs/>
                <w:sz w:val="20"/>
                <w:szCs w:val="20"/>
              </w:rPr>
              <w:t>Intercep</w:t>
            </w:r>
            <w:r w:rsidR="00151BCF" w:rsidRPr="004A2733">
              <w:rPr>
                <w:b/>
                <w:bCs/>
                <w:sz w:val="20"/>
                <w:szCs w:val="20"/>
              </w:rPr>
              <w:t>t (</w:t>
            </w:r>
            <w:r w:rsidRPr="004A2733">
              <w:rPr>
                <w:b/>
                <w:bCs/>
                <w:sz w:val="20"/>
                <w:szCs w:val="20"/>
              </w:rPr>
              <w:t>α)</w:t>
            </w:r>
          </w:p>
        </w:tc>
        <w:tc>
          <w:tcPr>
            <w:tcW w:w="990" w:type="pct"/>
            <w:tcBorders>
              <w:left w:val="nil"/>
              <w:right w:val="nil"/>
            </w:tcBorders>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0.000</w:t>
            </w:r>
          </w:p>
        </w:tc>
        <w:tc>
          <w:tcPr>
            <w:tcW w:w="669" w:type="pct"/>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-4.417</w:t>
            </w:r>
          </w:p>
        </w:tc>
        <w:tc>
          <w:tcPr>
            <w:tcW w:w="1518" w:type="pct"/>
            <w:tcBorders>
              <w:left w:val="nil"/>
              <w:right w:val="nil"/>
            </w:tcBorders>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w:t>
            </w:r>
          </w:p>
        </w:tc>
      </w:tr>
      <w:tr w:rsidR="00C9733A" w:rsidRPr="004A2733" w:rsidTr="00151BCF">
        <w:trPr>
          <w:jc w:val="center"/>
        </w:trPr>
        <w:tc>
          <w:tcPr>
            <w:tcW w:w="1823" w:type="pct"/>
            <w:shd w:val="clear" w:color="auto" w:fill="auto"/>
            <w:vAlign w:val="center"/>
          </w:tcPr>
          <w:p w:rsidR="00C9733A" w:rsidRPr="004A2733" w:rsidRDefault="00C9733A" w:rsidP="004D27B1">
            <w:pPr>
              <w:suppressAutoHyphens w:val="0"/>
              <w:snapToGrid w:val="0"/>
              <w:jc w:val="both"/>
              <w:rPr>
                <w:b/>
                <w:bCs/>
                <w:sz w:val="20"/>
                <w:szCs w:val="20"/>
              </w:rPr>
            </w:pPr>
            <w:r w:rsidRPr="004A2733">
              <w:rPr>
                <w:b/>
                <w:bCs/>
                <w:sz w:val="20"/>
                <w:szCs w:val="20"/>
              </w:rPr>
              <w:t>non-duty members ratio</w:t>
            </w:r>
          </w:p>
        </w:tc>
        <w:tc>
          <w:tcPr>
            <w:tcW w:w="990" w:type="pct"/>
            <w:shd w:val="clear" w:color="auto" w:fill="auto"/>
            <w:vAlign w:val="center"/>
          </w:tcPr>
          <w:p w:rsidR="00C9733A" w:rsidRPr="004A2733" w:rsidRDefault="00C9733A" w:rsidP="004D27B1">
            <w:pPr>
              <w:suppressAutoHyphens w:val="0"/>
              <w:snapToGrid w:val="0"/>
              <w:jc w:val="both"/>
              <w:rPr>
                <w:sz w:val="20"/>
                <w:szCs w:val="20"/>
              </w:rPr>
            </w:pPr>
            <w:r w:rsidRPr="004A2733">
              <w:rPr>
                <w:sz w:val="20"/>
                <w:szCs w:val="20"/>
              </w:rPr>
              <w:t>0.057</w:t>
            </w:r>
          </w:p>
        </w:tc>
        <w:tc>
          <w:tcPr>
            <w:tcW w:w="669" w:type="pct"/>
            <w:shd w:val="clear" w:color="auto" w:fill="auto"/>
            <w:vAlign w:val="center"/>
          </w:tcPr>
          <w:p w:rsidR="00C9733A" w:rsidRPr="004A2733" w:rsidRDefault="00C9733A" w:rsidP="004D27B1">
            <w:pPr>
              <w:suppressAutoHyphens w:val="0"/>
              <w:snapToGrid w:val="0"/>
              <w:jc w:val="both"/>
              <w:rPr>
                <w:sz w:val="20"/>
                <w:szCs w:val="20"/>
              </w:rPr>
            </w:pPr>
            <w:r w:rsidRPr="004A2733">
              <w:rPr>
                <w:sz w:val="20"/>
                <w:szCs w:val="20"/>
              </w:rPr>
              <w:t>1.934</w:t>
            </w:r>
          </w:p>
        </w:tc>
        <w:tc>
          <w:tcPr>
            <w:tcW w:w="1518" w:type="pct"/>
            <w:shd w:val="clear" w:color="auto" w:fill="auto"/>
            <w:vAlign w:val="center"/>
          </w:tcPr>
          <w:p w:rsidR="00C9733A" w:rsidRPr="004A2733" w:rsidRDefault="00C9733A" w:rsidP="004D27B1">
            <w:pPr>
              <w:suppressAutoHyphens w:val="0"/>
              <w:snapToGrid w:val="0"/>
              <w:jc w:val="both"/>
              <w:rPr>
                <w:sz w:val="20"/>
                <w:szCs w:val="20"/>
              </w:rPr>
            </w:pPr>
            <w:r w:rsidRPr="004A2733">
              <w:rPr>
                <w:sz w:val="20"/>
                <w:szCs w:val="20"/>
              </w:rPr>
              <w:t>0.095</w:t>
            </w:r>
          </w:p>
        </w:tc>
      </w:tr>
      <w:tr w:rsidR="00C9733A" w:rsidRPr="004A2733" w:rsidTr="00151BCF">
        <w:trPr>
          <w:jc w:val="center"/>
        </w:trPr>
        <w:tc>
          <w:tcPr>
            <w:tcW w:w="1823" w:type="pct"/>
            <w:shd w:val="clear" w:color="auto" w:fill="D2EAF1"/>
            <w:vAlign w:val="center"/>
          </w:tcPr>
          <w:p w:rsidR="00C9733A" w:rsidRPr="004A2733" w:rsidRDefault="00C9733A" w:rsidP="004D27B1">
            <w:pPr>
              <w:suppressAutoHyphens w:val="0"/>
              <w:snapToGrid w:val="0"/>
              <w:jc w:val="both"/>
              <w:rPr>
                <w:b/>
                <w:bCs/>
                <w:sz w:val="20"/>
                <w:szCs w:val="20"/>
              </w:rPr>
            </w:pPr>
            <w:r w:rsidRPr="004A2733">
              <w:rPr>
                <w:b/>
                <w:bCs/>
                <w:sz w:val="20"/>
                <w:szCs w:val="20"/>
              </w:rPr>
              <w:t>A leverag</w:t>
            </w:r>
            <w:r w:rsidR="00151BCF" w:rsidRPr="004A2733">
              <w:rPr>
                <w:b/>
                <w:bCs/>
                <w:sz w:val="20"/>
                <w:szCs w:val="20"/>
              </w:rPr>
              <w:t>e (</w:t>
            </w:r>
            <w:r w:rsidRPr="004A2733">
              <w:rPr>
                <w:b/>
                <w:bCs/>
                <w:sz w:val="20"/>
                <w:szCs w:val="20"/>
              </w:rPr>
              <w:t>debt to asset ratio)</w:t>
            </w:r>
          </w:p>
        </w:tc>
        <w:tc>
          <w:tcPr>
            <w:tcW w:w="990" w:type="pct"/>
            <w:tcBorders>
              <w:left w:val="nil"/>
              <w:right w:val="nil"/>
            </w:tcBorders>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0.007</w:t>
            </w:r>
          </w:p>
        </w:tc>
        <w:tc>
          <w:tcPr>
            <w:tcW w:w="669" w:type="pct"/>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2.769</w:t>
            </w:r>
          </w:p>
        </w:tc>
        <w:tc>
          <w:tcPr>
            <w:tcW w:w="1518" w:type="pct"/>
            <w:tcBorders>
              <w:left w:val="nil"/>
              <w:right w:val="nil"/>
            </w:tcBorders>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0.141</w:t>
            </w:r>
          </w:p>
        </w:tc>
      </w:tr>
      <w:tr w:rsidR="00C9733A" w:rsidRPr="004A2733" w:rsidTr="00151BCF">
        <w:trPr>
          <w:jc w:val="center"/>
        </w:trPr>
        <w:tc>
          <w:tcPr>
            <w:tcW w:w="1823" w:type="pct"/>
            <w:shd w:val="clear" w:color="auto" w:fill="auto"/>
            <w:vAlign w:val="center"/>
          </w:tcPr>
          <w:p w:rsidR="00C9733A" w:rsidRPr="004A2733" w:rsidRDefault="00C9733A" w:rsidP="004D27B1">
            <w:pPr>
              <w:suppressAutoHyphens w:val="0"/>
              <w:snapToGrid w:val="0"/>
              <w:jc w:val="both"/>
              <w:rPr>
                <w:b/>
                <w:bCs/>
                <w:sz w:val="20"/>
                <w:szCs w:val="20"/>
              </w:rPr>
            </w:pPr>
            <w:r w:rsidRPr="004A2733">
              <w:rPr>
                <w:b/>
                <w:bCs/>
                <w:sz w:val="20"/>
                <w:szCs w:val="20"/>
              </w:rPr>
              <w:t>Growth rat</w:t>
            </w:r>
            <w:r w:rsidR="00151BCF" w:rsidRPr="004A2733">
              <w:rPr>
                <w:b/>
                <w:bCs/>
                <w:sz w:val="20"/>
                <w:szCs w:val="20"/>
              </w:rPr>
              <w:t>e (</w:t>
            </w:r>
            <w:proofErr w:type="spellStart"/>
            <w:r w:rsidRPr="004A2733">
              <w:rPr>
                <w:b/>
                <w:bCs/>
                <w:sz w:val="20"/>
                <w:szCs w:val="20"/>
              </w:rPr>
              <w:t>QToubin</w:t>
            </w:r>
            <w:proofErr w:type="spellEnd"/>
            <w:r w:rsidRPr="004A2733">
              <w:rPr>
                <w:b/>
                <w:bCs/>
                <w:sz w:val="20"/>
                <w:szCs w:val="20"/>
              </w:rPr>
              <w:t>)</w:t>
            </w:r>
          </w:p>
        </w:tc>
        <w:tc>
          <w:tcPr>
            <w:tcW w:w="990" w:type="pct"/>
            <w:shd w:val="clear" w:color="auto" w:fill="auto"/>
            <w:vAlign w:val="center"/>
          </w:tcPr>
          <w:p w:rsidR="00C9733A" w:rsidRPr="004A2733" w:rsidRDefault="00C9733A" w:rsidP="004D27B1">
            <w:pPr>
              <w:suppressAutoHyphens w:val="0"/>
              <w:snapToGrid w:val="0"/>
              <w:jc w:val="both"/>
              <w:rPr>
                <w:sz w:val="20"/>
                <w:szCs w:val="20"/>
              </w:rPr>
            </w:pPr>
            <w:r w:rsidRPr="004A2733">
              <w:rPr>
                <w:sz w:val="20"/>
                <w:szCs w:val="20"/>
              </w:rPr>
              <w:t>0.030</w:t>
            </w:r>
          </w:p>
        </w:tc>
        <w:tc>
          <w:tcPr>
            <w:tcW w:w="669" w:type="pct"/>
            <w:shd w:val="clear" w:color="auto" w:fill="auto"/>
            <w:vAlign w:val="center"/>
          </w:tcPr>
          <w:p w:rsidR="00C9733A" w:rsidRPr="004A2733" w:rsidRDefault="00C9733A" w:rsidP="004D27B1">
            <w:pPr>
              <w:suppressAutoHyphens w:val="0"/>
              <w:snapToGrid w:val="0"/>
              <w:jc w:val="both"/>
              <w:rPr>
                <w:sz w:val="20"/>
                <w:szCs w:val="20"/>
              </w:rPr>
            </w:pPr>
            <w:r w:rsidRPr="004A2733">
              <w:rPr>
                <w:sz w:val="20"/>
                <w:szCs w:val="20"/>
              </w:rPr>
              <w:t>2.215</w:t>
            </w:r>
          </w:p>
        </w:tc>
        <w:tc>
          <w:tcPr>
            <w:tcW w:w="1518" w:type="pct"/>
            <w:shd w:val="clear" w:color="auto" w:fill="auto"/>
            <w:vAlign w:val="center"/>
          </w:tcPr>
          <w:p w:rsidR="00C9733A" w:rsidRPr="004A2733" w:rsidRDefault="00C9733A" w:rsidP="004D27B1">
            <w:pPr>
              <w:suppressAutoHyphens w:val="0"/>
              <w:snapToGrid w:val="0"/>
              <w:jc w:val="both"/>
              <w:rPr>
                <w:sz w:val="20"/>
                <w:szCs w:val="20"/>
              </w:rPr>
            </w:pPr>
            <w:r w:rsidRPr="004A2733">
              <w:rPr>
                <w:sz w:val="20"/>
                <w:szCs w:val="20"/>
              </w:rPr>
              <w:t>0.113</w:t>
            </w:r>
          </w:p>
        </w:tc>
      </w:tr>
      <w:tr w:rsidR="00C9733A" w:rsidRPr="004A2733" w:rsidTr="00151BCF">
        <w:trPr>
          <w:jc w:val="center"/>
        </w:trPr>
        <w:tc>
          <w:tcPr>
            <w:tcW w:w="1823" w:type="pct"/>
            <w:shd w:val="clear" w:color="auto" w:fill="D2EAF1"/>
            <w:vAlign w:val="center"/>
          </w:tcPr>
          <w:p w:rsidR="00C9733A" w:rsidRPr="004A2733" w:rsidRDefault="00C9733A" w:rsidP="004D27B1">
            <w:pPr>
              <w:suppressAutoHyphens w:val="0"/>
              <w:snapToGrid w:val="0"/>
              <w:jc w:val="both"/>
              <w:rPr>
                <w:b/>
                <w:bCs/>
                <w:sz w:val="20"/>
                <w:szCs w:val="20"/>
              </w:rPr>
            </w:pPr>
            <w:r w:rsidRPr="004A2733">
              <w:rPr>
                <w:b/>
                <w:bCs/>
                <w:sz w:val="20"/>
                <w:szCs w:val="20"/>
              </w:rPr>
              <w:t>Natural logarithm of assets</w:t>
            </w:r>
          </w:p>
        </w:tc>
        <w:tc>
          <w:tcPr>
            <w:tcW w:w="990" w:type="pct"/>
            <w:tcBorders>
              <w:left w:val="nil"/>
              <w:right w:val="nil"/>
            </w:tcBorders>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0.000</w:t>
            </w:r>
          </w:p>
        </w:tc>
        <w:tc>
          <w:tcPr>
            <w:tcW w:w="669" w:type="pct"/>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18.169</w:t>
            </w:r>
          </w:p>
        </w:tc>
        <w:tc>
          <w:tcPr>
            <w:tcW w:w="1518" w:type="pct"/>
            <w:tcBorders>
              <w:left w:val="nil"/>
              <w:right w:val="nil"/>
            </w:tcBorders>
            <w:shd w:val="clear" w:color="auto" w:fill="D2EAF1"/>
            <w:vAlign w:val="center"/>
          </w:tcPr>
          <w:p w:rsidR="00C9733A" w:rsidRPr="004A2733" w:rsidRDefault="00C9733A" w:rsidP="004D27B1">
            <w:pPr>
              <w:suppressAutoHyphens w:val="0"/>
              <w:snapToGrid w:val="0"/>
              <w:jc w:val="both"/>
              <w:rPr>
                <w:sz w:val="20"/>
                <w:szCs w:val="20"/>
              </w:rPr>
            </w:pPr>
            <w:r w:rsidRPr="004A2733">
              <w:rPr>
                <w:sz w:val="20"/>
                <w:szCs w:val="20"/>
              </w:rPr>
              <w:t>0.895</w:t>
            </w:r>
          </w:p>
        </w:tc>
      </w:tr>
      <w:tr w:rsidR="00C9733A" w:rsidRPr="004A2733" w:rsidTr="00151BCF">
        <w:trPr>
          <w:jc w:val="center"/>
        </w:trPr>
        <w:tc>
          <w:tcPr>
            <w:tcW w:w="5000" w:type="pct"/>
            <w:gridSpan w:val="4"/>
            <w:shd w:val="clear" w:color="auto" w:fill="auto"/>
            <w:vAlign w:val="center"/>
          </w:tcPr>
          <w:p w:rsidR="00C9733A" w:rsidRPr="004A2733" w:rsidRDefault="00C9733A" w:rsidP="004D27B1">
            <w:pPr>
              <w:suppressAutoHyphens w:val="0"/>
              <w:snapToGrid w:val="0"/>
              <w:jc w:val="both"/>
              <w:rPr>
                <w:b/>
                <w:bCs/>
                <w:sz w:val="20"/>
                <w:szCs w:val="20"/>
              </w:rPr>
            </w:pPr>
            <w:r w:rsidRPr="004A2733">
              <w:rPr>
                <w:b/>
                <w:bCs/>
                <w:sz w:val="20"/>
                <w:szCs w:val="20"/>
              </w:rPr>
              <w:t>Meaningful model 0.000</w:t>
            </w:r>
            <w:r w:rsidR="00151BCF" w:rsidRPr="004A2733">
              <w:rPr>
                <w:b/>
                <w:bCs/>
                <w:sz w:val="20"/>
                <w:szCs w:val="20"/>
              </w:rPr>
              <w:t xml:space="preserve"> </w:t>
            </w:r>
            <w:r w:rsidRPr="004A2733">
              <w:rPr>
                <w:b/>
                <w:bCs/>
                <w:sz w:val="20"/>
                <w:szCs w:val="20"/>
              </w:rPr>
              <w:t>Statistics F 85.974</w:t>
            </w:r>
            <w:r w:rsidR="00151BCF" w:rsidRPr="004A2733">
              <w:rPr>
                <w:b/>
                <w:bCs/>
                <w:sz w:val="20"/>
                <w:szCs w:val="20"/>
              </w:rPr>
              <w:t xml:space="preserve"> </w:t>
            </w:r>
            <w:proofErr w:type="spellStart"/>
            <w:r w:rsidRPr="004A2733">
              <w:rPr>
                <w:b/>
                <w:bCs/>
                <w:sz w:val="20"/>
                <w:szCs w:val="20"/>
              </w:rPr>
              <w:t>Dourbin</w:t>
            </w:r>
            <w:proofErr w:type="spellEnd"/>
            <w:r w:rsidRPr="004A2733">
              <w:rPr>
                <w:b/>
                <w:bCs/>
                <w:sz w:val="20"/>
                <w:szCs w:val="20"/>
              </w:rPr>
              <w:t>-Aston 1.863</w:t>
            </w:r>
          </w:p>
          <w:p w:rsidR="00C9733A" w:rsidRPr="004A2733" w:rsidRDefault="00C9733A" w:rsidP="004D27B1">
            <w:pPr>
              <w:suppressAutoHyphens w:val="0"/>
              <w:snapToGrid w:val="0"/>
              <w:jc w:val="both"/>
              <w:rPr>
                <w:b/>
                <w:bCs/>
                <w:sz w:val="20"/>
                <w:szCs w:val="20"/>
              </w:rPr>
            </w:pPr>
            <w:r w:rsidRPr="004A2733">
              <w:rPr>
                <w:b/>
                <w:bCs/>
                <w:sz w:val="20"/>
                <w:szCs w:val="20"/>
              </w:rPr>
              <w:t>Determination Coefficien</w:t>
            </w:r>
            <w:r w:rsidR="00151BCF" w:rsidRPr="004A2733">
              <w:rPr>
                <w:b/>
                <w:bCs/>
                <w:sz w:val="20"/>
                <w:szCs w:val="20"/>
              </w:rPr>
              <w:t>t (</w:t>
            </w:r>
            <w:r w:rsidRPr="004A2733">
              <w:rPr>
                <w:b/>
                <w:bCs/>
                <w:sz w:val="20"/>
                <w:szCs w:val="20"/>
              </w:rPr>
              <w:t>R2) 0.827</w:t>
            </w:r>
            <w:r w:rsidR="00151BCF" w:rsidRPr="004A2733">
              <w:rPr>
                <w:b/>
                <w:bCs/>
                <w:sz w:val="20"/>
                <w:szCs w:val="20"/>
              </w:rPr>
              <w:t xml:space="preserve"> </w:t>
            </w:r>
            <w:r w:rsidRPr="004A2733">
              <w:rPr>
                <w:b/>
                <w:bCs/>
                <w:sz w:val="20"/>
                <w:szCs w:val="20"/>
              </w:rPr>
              <w:t>Adjusted determination coefficient 0.817</w:t>
            </w:r>
          </w:p>
        </w:tc>
      </w:tr>
    </w:tbl>
    <w:p w:rsidR="00151BCF" w:rsidRPr="004A2733" w:rsidRDefault="00151BCF" w:rsidP="004D27B1">
      <w:pPr>
        <w:suppressAutoHyphens w:val="0"/>
        <w:snapToGrid w:val="0"/>
        <w:ind w:firstLine="425"/>
        <w:jc w:val="both"/>
        <w:rPr>
          <w:sz w:val="20"/>
          <w:szCs w:val="20"/>
        </w:rPr>
      </w:pPr>
    </w:p>
    <w:p w:rsidR="004D27B1" w:rsidRPr="004A2733" w:rsidRDefault="004D27B1" w:rsidP="004D27B1">
      <w:pPr>
        <w:suppressAutoHyphens w:val="0"/>
        <w:snapToGrid w:val="0"/>
        <w:ind w:firstLine="425"/>
        <w:jc w:val="both"/>
        <w:rPr>
          <w:sz w:val="20"/>
          <w:szCs w:val="20"/>
        </w:rPr>
        <w:sectPr w:rsidR="004D27B1" w:rsidRPr="004A2733" w:rsidSect="00151BCF">
          <w:footnotePr>
            <w:pos w:val="beneathText"/>
          </w:footnotePr>
          <w:type w:val="continuous"/>
          <w:pgSz w:w="12240" w:h="15840" w:code="1"/>
          <w:pgMar w:top="1440" w:right="1440" w:bottom="1440" w:left="1440" w:header="720" w:footer="720" w:gutter="0"/>
          <w:cols w:space="720"/>
          <w:docGrid w:linePitch="360"/>
        </w:sectPr>
      </w:pPr>
    </w:p>
    <w:p w:rsidR="00935CDE" w:rsidRPr="004A2733" w:rsidRDefault="00935CDE" w:rsidP="004D27B1">
      <w:pPr>
        <w:suppressAutoHyphens w:val="0"/>
        <w:snapToGrid w:val="0"/>
        <w:ind w:firstLine="425"/>
        <w:jc w:val="both"/>
        <w:rPr>
          <w:sz w:val="20"/>
          <w:szCs w:val="20"/>
        </w:rPr>
      </w:pPr>
      <w:r w:rsidRPr="004A2733">
        <w:rPr>
          <w:sz w:val="20"/>
          <w:szCs w:val="20"/>
        </w:rPr>
        <w:lastRenderedPageBreak/>
        <w:t>Hypothesis 3: There is a meaningful relationship between companies block shareholders and liquidity.</w:t>
      </w:r>
    </w:p>
    <w:p w:rsidR="007A4800" w:rsidRPr="004A2733" w:rsidRDefault="00935CDE" w:rsidP="004D27B1">
      <w:pPr>
        <w:suppressAutoHyphens w:val="0"/>
        <w:snapToGrid w:val="0"/>
        <w:ind w:firstLine="425"/>
        <w:jc w:val="both"/>
        <w:rPr>
          <w:sz w:val="20"/>
          <w:szCs w:val="20"/>
        </w:rPr>
      </w:pPr>
      <w:r w:rsidRPr="004A2733">
        <w:rPr>
          <w:sz w:val="20"/>
          <w:szCs w:val="20"/>
        </w:rPr>
        <w:t xml:space="preserve">In the third hypothesis, the relationship between companies block shareholders and liquidity is examined and the results suggest that there is a significant relationship between corporate block shareholders and liquidity. Also according to negative sign of obtained coefficient it can be concluded that this relationship is reversed and it seems that the major shareholders have a significant impact on the volume of corporate liquidity. Our research results do </w:t>
      </w:r>
      <w:r w:rsidRPr="004A2733">
        <w:rPr>
          <w:sz w:val="20"/>
          <w:szCs w:val="20"/>
        </w:rPr>
        <w:lastRenderedPageBreak/>
        <w:t xml:space="preserve">not confirm with the results of other researchers, including </w:t>
      </w:r>
      <w:proofErr w:type="spellStart"/>
      <w:r w:rsidRPr="004A2733">
        <w:rPr>
          <w:sz w:val="20"/>
          <w:szCs w:val="20"/>
        </w:rPr>
        <w:t>Kapoyolis</w:t>
      </w:r>
      <w:proofErr w:type="spellEnd"/>
      <w:r w:rsidRPr="004A2733">
        <w:rPr>
          <w:sz w:val="20"/>
          <w:szCs w:val="20"/>
        </w:rPr>
        <w:t xml:space="preserve"> and </w:t>
      </w:r>
      <w:proofErr w:type="spellStart"/>
      <w:r w:rsidRPr="004A2733">
        <w:rPr>
          <w:sz w:val="20"/>
          <w:szCs w:val="20"/>
        </w:rPr>
        <w:t>Lazarito</w:t>
      </w:r>
      <w:proofErr w:type="spellEnd"/>
      <w:r w:rsidRPr="004A2733">
        <w:rPr>
          <w:sz w:val="20"/>
          <w:szCs w:val="20"/>
        </w:rPr>
        <w:t xml:space="preserve"> (2007), </w:t>
      </w:r>
      <w:proofErr w:type="spellStart"/>
      <w:r w:rsidRPr="004A2733">
        <w:rPr>
          <w:sz w:val="20"/>
          <w:szCs w:val="20"/>
        </w:rPr>
        <w:t>Atik</w:t>
      </w:r>
      <w:proofErr w:type="spellEnd"/>
      <w:r w:rsidRPr="004A2733">
        <w:rPr>
          <w:sz w:val="20"/>
          <w:szCs w:val="20"/>
        </w:rPr>
        <w:t xml:space="preserve"> and colleagues (2009) who found a positive relationship between block shareholders and liquidity. Also the adjusted coefficient of determination in implementing the model for Hypothesis 3 is about 0.806 which suggests that the entire right side variables (variable percent equity stake in the block shareholder and control variables) are caused about 80 percent of the variation in the dependent variable (liquidity).</w:t>
      </w:r>
    </w:p>
    <w:p w:rsidR="004D27B1" w:rsidRPr="004A2733" w:rsidRDefault="004D27B1" w:rsidP="004D27B1">
      <w:pPr>
        <w:suppressAutoHyphens w:val="0"/>
        <w:snapToGrid w:val="0"/>
        <w:jc w:val="center"/>
        <w:rPr>
          <w:sz w:val="20"/>
          <w:szCs w:val="20"/>
        </w:rPr>
        <w:sectPr w:rsidR="004D27B1" w:rsidRPr="004A2733" w:rsidSect="004D27B1">
          <w:footnotePr>
            <w:pos w:val="beneathText"/>
          </w:footnotePr>
          <w:type w:val="continuous"/>
          <w:pgSz w:w="12240" w:h="15840" w:code="1"/>
          <w:pgMar w:top="1440" w:right="1440" w:bottom="1440" w:left="1440" w:header="720" w:footer="720" w:gutter="0"/>
          <w:cols w:num="2" w:space="600"/>
          <w:docGrid w:linePitch="360"/>
        </w:sectPr>
      </w:pPr>
    </w:p>
    <w:p w:rsidR="00CF71BC" w:rsidRPr="004A2733" w:rsidRDefault="00CF71BC" w:rsidP="004D27B1">
      <w:pPr>
        <w:suppressAutoHyphens w:val="0"/>
        <w:snapToGrid w:val="0"/>
        <w:jc w:val="center"/>
        <w:rPr>
          <w:sz w:val="20"/>
          <w:szCs w:val="20"/>
        </w:rPr>
      </w:pPr>
    </w:p>
    <w:p w:rsidR="007A4800" w:rsidRPr="004A2733" w:rsidRDefault="007A4800" w:rsidP="004D27B1">
      <w:pPr>
        <w:suppressAutoHyphens w:val="0"/>
        <w:snapToGrid w:val="0"/>
        <w:jc w:val="center"/>
        <w:rPr>
          <w:sz w:val="20"/>
          <w:szCs w:val="20"/>
        </w:rPr>
      </w:pPr>
      <w:r w:rsidRPr="004A2733">
        <w:rPr>
          <w:sz w:val="20"/>
          <w:szCs w:val="20"/>
        </w:rPr>
        <w:t>Table 4: Results of testing main hypotheses 3</w:t>
      </w:r>
    </w:p>
    <w:tbl>
      <w:tblPr>
        <w:tblW w:w="5000" w:type="pct"/>
        <w:jc w:val="center"/>
        <w:tblBorders>
          <w:top w:val="single" w:sz="8" w:space="0" w:color="C0504D"/>
          <w:bottom w:val="single" w:sz="8" w:space="0" w:color="C0504D"/>
        </w:tblBorders>
        <w:tblCellMar>
          <w:left w:w="57" w:type="dxa"/>
          <w:right w:w="57" w:type="dxa"/>
        </w:tblCellMar>
        <w:tblLook w:val="04A0"/>
      </w:tblPr>
      <w:tblGrid>
        <w:gridCol w:w="3454"/>
        <w:gridCol w:w="1876"/>
        <w:gridCol w:w="1268"/>
        <w:gridCol w:w="2876"/>
      </w:tblGrid>
      <w:tr w:rsidR="007A4800" w:rsidRPr="004A2733" w:rsidTr="00151BCF">
        <w:trPr>
          <w:jc w:val="center"/>
        </w:trPr>
        <w:tc>
          <w:tcPr>
            <w:tcW w:w="1823" w:type="pct"/>
            <w:tcBorders>
              <w:top w:val="single" w:sz="8" w:space="0" w:color="C0504D"/>
              <w:bottom w:val="single" w:sz="8" w:space="0" w:color="C0504D"/>
            </w:tcBorders>
            <w:shd w:val="clear" w:color="auto" w:fill="auto"/>
            <w:vAlign w:val="center"/>
          </w:tcPr>
          <w:p w:rsidR="007A4800" w:rsidRPr="004A2733" w:rsidRDefault="007A4800" w:rsidP="004D27B1">
            <w:pPr>
              <w:suppressAutoHyphens w:val="0"/>
              <w:snapToGrid w:val="0"/>
              <w:jc w:val="both"/>
              <w:rPr>
                <w:b/>
                <w:bCs/>
                <w:sz w:val="20"/>
                <w:szCs w:val="20"/>
              </w:rPr>
            </w:pPr>
            <w:r w:rsidRPr="004A2733">
              <w:rPr>
                <w:b/>
                <w:bCs/>
                <w:sz w:val="20"/>
                <w:szCs w:val="20"/>
              </w:rPr>
              <w:t>Variable name</w:t>
            </w:r>
          </w:p>
        </w:tc>
        <w:tc>
          <w:tcPr>
            <w:tcW w:w="990" w:type="pct"/>
            <w:tcBorders>
              <w:top w:val="single" w:sz="8" w:space="0" w:color="C0504D"/>
              <w:bottom w:val="single" w:sz="8" w:space="0" w:color="C0504D"/>
            </w:tcBorders>
            <w:shd w:val="clear" w:color="auto" w:fill="auto"/>
            <w:vAlign w:val="center"/>
          </w:tcPr>
          <w:p w:rsidR="007A4800" w:rsidRPr="004A2733" w:rsidRDefault="007A4800" w:rsidP="004D27B1">
            <w:pPr>
              <w:suppressAutoHyphens w:val="0"/>
              <w:snapToGrid w:val="0"/>
              <w:jc w:val="both"/>
              <w:rPr>
                <w:b/>
                <w:bCs/>
                <w:sz w:val="20"/>
                <w:szCs w:val="20"/>
              </w:rPr>
            </w:pPr>
            <w:r w:rsidRPr="004A2733">
              <w:rPr>
                <w:b/>
                <w:bCs/>
                <w:sz w:val="20"/>
                <w:szCs w:val="20"/>
              </w:rPr>
              <w:t>Significant level</w:t>
            </w:r>
          </w:p>
        </w:tc>
        <w:tc>
          <w:tcPr>
            <w:tcW w:w="669" w:type="pct"/>
            <w:tcBorders>
              <w:top w:val="single" w:sz="8" w:space="0" w:color="C0504D"/>
              <w:bottom w:val="single" w:sz="8" w:space="0" w:color="C0504D"/>
            </w:tcBorders>
            <w:shd w:val="clear" w:color="auto" w:fill="auto"/>
            <w:vAlign w:val="center"/>
          </w:tcPr>
          <w:p w:rsidR="007A4800" w:rsidRPr="004A2733" w:rsidRDefault="007A4800" w:rsidP="004D27B1">
            <w:pPr>
              <w:suppressAutoHyphens w:val="0"/>
              <w:snapToGrid w:val="0"/>
              <w:jc w:val="both"/>
              <w:rPr>
                <w:b/>
                <w:bCs/>
                <w:sz w:val="20"/>
                <w:szCs w:val="20"/>
              </w:rPr>
            </w:pPr>
            <w:r w:rsidRPr="004A2733">
              <w:rPr>
                <w:b/>
                <w:bCs/>
                <w:sz w:val="20"/>
                <w:szCs w:val="20"/>
              </w:rPr>
              <w:t>Statistics t</w:t>
            </w:r>
          </w:p>
        </w:tc>
        <w:tc>
          <w:tcPr>
            <w:tcW w:w="1518" w:type="pct"/>
            <w:tcBorders>
              <w:top w:val="single" w:sz="8" w:space="0" w:color="C0504D"/>
              <w:bottom w:val="single" w:sz="8" w:space="0" w:color="C0504D"/>
            </w:tcBorders>
            <w:shd w:val="clear" w:color="auto" w:fill="auto"/>
            <w:vAlign w:val="center"/>
          </w:tcPr>
          <w:p w:rsidR="007A4800" w:rsidRPr="004A2733" w:rsidRDefault="007A4800" w:rsidP="004D27B1">
            <w:pPr>
              <w:suppressAutoHyphens w:val="0"/>
              <w:snapToGrid w:val="0"/>
              <w:jc w:val="both"/>
              <w:rPr>
                <w:b/>
                <w:bCs/>
                <w:sz w:val="20"/>
                <w:szCs w:val="20"/>
              </w:rPr>
            </w:pPr>
            <w:r w:rsidRPr="004A2733">
              <w:rPr>
                <w:b/>
                <w:bCs/>
                <w:sz w:val="20"/>
                <w:szCs w:val="20"/>
              </w:rPr>
              <w:t>Standardized coefficients</w:t>
            </w:r>
          </w:p>
        </w:tc>
      </w:tr>
      <w:tr w:rsidR="007A4800" w:rsidRPr="004A2733" w:rsidTr="00151BCF">
        <w:trPr>
          <w:jc w:val="center"/>
        </w:trPr>
        <w:tc>
          <w:tcPr>
            <w:tcW w:w="1823" w:type="pct"/>
            <w:shd w:val="clear" w:color="auto" w:fill="EFD3D2"/>
            <w:vAlign w:val="center"/>
          </w:tcPr>
          <w:p w:rsidR="007A4800" w:rsidRPr="004A2733" w:rsidRDefault="007A4800" w:rsidP="004D27B1">
            <w:pPr>
              <w:suppressAutoHyphens w:val="0"/>
              <w:snapToGrid w:val="0"/>
              <w:jc w:val="both"/>
              <w:rPr>
                <w:b/>
                <w:bCs/>
                <w:sz w:val="20"/>
                <w:szCs w:val="20"/>
              </w:rPr>
            </w:pPr>
            <w:r w:rsidRPr="004A2733">
              <w:rPr>
                <w:b/>
                <w:bCs/>
                <w:sz w:val="20"/>
                <w:szCs w:val="20"/>
              </w:rPr>
              <w:t>Intercep</w:t>
            </w:r>
            <w:r w:rsidR="00151BCF" w:rsidRPr="004A2733">
              <w:rPr>
                <w:b/>
                <w:bCs/>
                <w:sz w:val="20"/>
                <w:szCs w:val="20"/>
              </w:rPr>
              <w:t>t (</w:t>
            </w:r>
            <w:r w:rsidRPr="004A2733">
              <w:rPr>
                <w:b/>
                <w:bCs/>
                <w:sz w:val="20"/>
                <w:szCs w:val="20"/>
              </w:rPr>
              <w:t>α)</w:t>
            </w:r>
          </w:p>
        </w:tc>
        <w:tc>
          <w:tcPr>
            <w:tcW w:w="990" w:type="pct"/>
            <w:tcBorders>
              <w:left w:val="nil"/>
              <w:right w:val="nil"/>
            </w:tcBorders>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0.000</w:t>
            </w:r>
          </w:p>
        </w:tc>
        <w:tc>
          <w:tcPr>
            <w:tcW w:w="669" w:type="pct"/>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-3.454</w:t>
            </w:r>
          </w:p>
        </w:tc>
        <w:tc>
          <w:tcPr>
            <w:tcW w:w="1518" w:type="pct"/>
            <w:tcBorders>
              <w:left w:val="nil"/>
              <w:right w:val="nil"/>
            </w:tcBorders>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w:t>
            </w:r>
          </w:p>
        </w:tc>
      </w:tr>
      <w:tr w:rsidR="007A4800" w:rsidRPr="004A2733" w:rsidTr="00151BCF">
        <w:trPr>
          <w:jc w:val="center"/>
        </w:trPr>
        <w:tc>
          <w:tcPr>
            <w:tcW w:w="1823" w:type="pct"/>
            <w:shd w:val="clear" w:color="auto" w:fill="auto"/>
            <w:vAlign w:val="center"/>
          </w:tcPr>
          <w:p w:rsidR="007A4800" w:rsidRPr="004A2733" w:rsidRDefault="007A4800" w:rsidP="004D27B1">
            <w:pPr>
              <w:suppressAutoHyphens w:val="0"/>
              <w:snapToGrid w:val="0"/>
              <w:jc w:val="both"/>
              <w:rPr>
                <w:b/>
                <w:bCs/>
                <w:sz w:val="20"/>
                <w:szCs w:val="20"/>
              </w:rPr>
            </w:pPr>
            <w:r w:rsidRPr="004A2733">
              <w:rPr>
                <w:b/>
                <w:bCs/>
                <w:sz w:val="20"/>
                <w:szCs w:val="20"/>
              </w:rPr>
              <w:t>non-duty members ratio</w:t>
            </w:r>
          </w:p>
        </w:tc>
        <w:tc>
          <w:tcPr>
            <w:tcW w:w="990" w:type="pct"/>
            <w:shd w:val="clear" w:color="auto" w:fill="auto"/>
            <w:vAlign w:val="center"/>
          </w:tcPr>
          <w:p w:rsidR="007A4800" w:rsidRPr="004A2733" w:rsidRDefault="007A4800" w:rsidP="004D27B1">
            <w:pPr>
              <w:suppressAutoHyphens w:val="0"/>
              <w:snapToGrid w:val="0"/>
              <w:jc w:val="both"/>
              <w:rPr>
                <w:sz w:val="20"/>
                <w:szCs w:val="20"/>
              </w:rPr>
            </w:pPr>
            <w:r w:rsidRPr="004A2733">
              <w:rPr>
                <w:sz w:val="20"/>
                <w:szCs w:val="20"/>
              </w:rPr>
              <w:t>0.005</w:t>
            </w:r>
          </w:p>
        </w:tc>
        <w:tc>
          <w:tcPr>
            <w:tcW w:w="669" w:type="pct"/>
            <w:shd w:val="clear" w:color="auto" w:fill="auto"/>
            <w:vAlign w:val="center"/>
          </w:tcPr>
          <w:p w:rsidR="007A4800" w:rsidRPr="004A2733" w:rsidRDefault="007A4800" w:rsidP="004D27B1">
            <w:pPr>
              <w:suppressAutoHyphens w:val="0"/>
              <w:snapToGrid w:val="0"/>
              <w:jc w:val="both"/>
              <w:rPr>
                <w:sz w:val="20"/>
                <w:szCs w:val="20"/>
              </w:rPr>
            </w:pPr>
            <w:r w:rsidRPr="004A2733">
              <w:rPr>
                <w:sz w:val="20"/>
                <w:szCs w:val="20"/>
              </w:rPr>
              <w:t>-2.885</w:t>
            </w:r>
          </w:p>
        </w:tc>
        <w:tc>
          <w:tcPr>
            <w:tcW w:w="1518" w:type="pct"/>
            <w:shd w:val="clear" w:color="auto" w:fill="auto"/>
            <w:vAlign w:val="center"/>
          </w:tcPr>
          <w:p w:rsidR="007A4800" w:rsidRPr="004A2733" w:rsidRDefault="007A4800" w:rsidP="004D27B1">
            <w:pPr>
              <w:suppressAutoHyphens w:val="0"/>
              <w:snapToGrid w:val="0"/>
              <w:jc w:val="both"/>
              <w:rPr>
                <w:sz w:val="20"/>
                <w:szCs w:val="20"/>
              </w:rPr>
            </w:pPr>
            <w:r w:rsidRPr="004A2733">
              <w:rPr>
                <w:sz w:val="20"/>
                <w:szCs w:val="20"/>
              </w:rPr>
              <w:t>-0.147</w:t>
            </w:r>
          </w:p>
        </w:tc>
      </w:tr>
      <w:tr w:rsidR="007A4800" w:rsidRPr="004A2733" w:rsidTr="00151BCF">
        <w:trPr>
          <w:jc w:val="center"/>
        </w:trPr>
        <w:tc>
          <w:tcPr>
            <w:tcW w:w="1823" w:type="pct"/>
            <w:shd w:val="clear" w:color="auto" w:fill="EFD3D2"/>
            <w:vAlign w:val="center"/>
          </w:tcPr>
          <w:p w:rsidR="007A4800" w:rsidRPr="004A2733" w:rsidRDefault="007A4800" w:rsidP="004D27B1">
            <w:pPr>
              <w:suppressAutoHyphens w:val="0"/>
              <w:snapToGrid w:val="0"/>
              <w:jc w:val="both"/>
              <w:rPr>
                <w:b/>
                <w:bCs/>
                <w:sz w:val="20"/>
                <w:szCs w:val="20"/>
              </w:rPr>
            </w:pPr>
            <w:r w:rsidRPr="004A2733">
              <w:rPr>
                <w:b/>
                <w:bCs/>
                <w:sz w:val="20"/>
                <w:szCs w:val="20"/>
              </w:rPr>
              <w:t>A leverag</w:t>
            </w:r>
            <w:r w:rsidR="00151BCF" w:rsidRPr="004A2733">
              <w:rPr>
                <w:b/>
                <w:bCs/>
                <w:sz w:val="20"/>
                <w:szCs w:val="20"/>
              </w:rPr>
              <w:t>e (</w:t>
            </w:r>
            <w:r w:rsidRPr="004A2733">
              <w:rPr>
                <w:b/>
                <w:bCs/>
                <w:sz w:val="20"/>
                <w:szCs w:val="20"/>
              </w:rPr>
              <w:t>debt to asset ratio)</w:t>
            </w:r>
          </w:p>
        </w:tc>
        <w:tc>
          <w:tcPr>
            <w:tcW w:w="990" w:type="pct"/>
            <w:tcBorders>
              <w:left w:val="nil"/>
              <w:right w:val="nil"/>
            </w:tcBorders>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0.006</w:t>
            </w:r>
          </w:p>
        </w:tc>
        <w:tc>
          <w:tcPr>
            <w:tcW w:w="669" w:type="pct"/>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2.853</w:t>
            </w:r>
          </w:p>
        </w:tc>
        <w:tc>
          <w:tcPr>
            <w:tcW w:w="1518" w:type="pct"/>
            <w:tcBorders>
              <w:left w:val="nil"/>
              <w:right w:val="nil"/>
            </w:tcBorders>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0.151</w:t>
            </w:r>
          </w:p>
        </w:tc>
      </w:tr>
      <w:tr w:rsidR="007A4800" w:rsidRPr="004A2733" w:rsidTr="00151BCF">
        <w:trPr>
          <w:jc w:val="center"/>
        </w:trPr>
        <w:tc>
          <w:tcPr>
            <w:tcW w:w="1823" w:type="pct"/>
            <w:shd w:val="clear" w:color="auto" w:fill="auto"/>
            <w:vAlign w:val="center"/>
          </w:tcPr>
          <w:p w:rsidR="007A4800" w:rsidRPr="004A2733" w:rsidRDefault="007A4800" w:rsidP="004D27B1">
            <w:pPr>
              <w:suppressAutoHyphens w:val="0"/>
              <w:snapToGrid w:val="0"/>
              <w:jc w:val="both"/>
              <w:rPr>
                <w:b/>
                <w:bCs/>
                <w:sz w:val="20"/>
                <w:szCs w:val="20"/>
              </w:rPr>
            </w:pPr>
            <w:r w:rsidRPr="004A2733">
              <w:rPr>
                <w:b/>
                <w:bCs/>
                <w:sz w:val="20"/>
                <w:szCs w:val="20"/>
              </w:rPr>
              <w:t>Growth rat</w:t>
            </w:r>
            <w:r w:rsidR="00151BCF" w:rsidRPr="004A2733">
              <w:rPr>
                <w:b/>
                <w:bCs/>
                <w:sz w:val="20"/>
                <w:szCs w:val="20"/>
              </w:rPr>
              <w:t>e (</w:t>
            </w:r>
            <w:proofErr w:type="spellStart"/>
            <w:r w:rsidRPr="004A2733">
              <w:rPr>
                <w:b/>
                <w:bCs/>
                <w:sz w:val="20"/>
                <w:szCs w:val="20"/>
              </w:rPr>
              <w:t>QToubin</w:t>
            </w:r>
            <w:proofErr w:type="spellEnd"/>
            <w:r w:rsidRPr="004A2733">
              <w:rPr>
                <w:b/>
                <w:bCs/>
                <w:sz w:val="20"/>
                <w:szCs w:val="20"/>
              </w:rPr>
              <w:t>)</w:t>
            </w:r>
          </w:p>
        </w:tc>
        <w:tc>
          <w:tcPr>
            <w:tcW w:w="990" w:type="pct"/>
            <w:shd w:val="clear" w:color="auto" w:fill="auto"/>
            <w:vAlign w:val="center"/>
          </w:tcPr>
          <w:p w:rsidR="007A4800" w:rsidRPr="004A2733" w:rsidRDefault="007A4800" w:rsidP="004D27B1">
            <w:pPr>
              <w:suppressAutoHyphens w:val="0"/>
              <w:snapToGrid w:val="0"/>
              <w:jc w:val="both"/>
              <w:rPr>
                <w:sz w:val="20"/>
                <w:szCs w:val="20"/>
              </w:rPr>
            </w:pPr>
            <w:r w:rsidRPr="004A2733">
              <w:rPr>
                <w:sz w:val="20"/>
                <w:szCs w:val="20"/>
              </w:rPr>
              <w:t>0.055</w:t>
            </w:r>
          </w:p>
        </w:tc>
        <w:tc>
          <w:tcPr>
            <w:tcW w:w="669" w:type="pct"/>
            <w:shd w:val="clear" w:color="auto" w:fill="auto"/>
            <w:vAlign w:val="center"/>
          </w:tcPr>
          <w:p w:rsidR="007A4800" w:rsidRPr="004A2733" w:rsidRDefault="007A4800" w:rsidP="004D27B1">
            <w:pPr>
              <w:suppressAutoHyphens w:val="0"/>
              <w:snapToGrid w:val="0"/>
              <w:jc w:val="both"/>
              <w:rPr>
                <w:sz w:val="20"/>
                <w:szCs w:val="20"/>
              </w:rPr>
            </w:pPr>
            <w:r w:rsidRPr="004A2733">
              <w:rPr>
                <w:sz w:val="20"/>
                <w:szCs w:val="20"/>
              </w:rPr>
              <w:t>1.946</w:t>
            </w:r>
          </w:p>
        </w:tc>
        <w:tc>
          <w:tcPr>
            <w:tcW w:w="1518" w:type="pct"/>
            <w:shd w:val="clear" w:color="auto" w:fill="auto"/>
            <w:vAlign w:val="center"/>
          </w:tcPr>
          <w:p w:rsidR="007A4800" w:rsidRPr="004A2733" w:rsidRDefault="007A4800" w:rsidP="004D27B1">
            <w:pPr>
              <w:suppressAutoHyphens w:val="0"/>
              <w:snapToGrid w:val="0"/>
              <w:jc w:val="both"/>
              <w:rPr>
                <w:sz w:val="20"/>
                <w:szCs w:val="20"/>
              </w:rPr>
            </w:pPr>
            <w:r w:rsidRPr="004A2733">
              <w:rPr>
                <w:sz w:val="20"/>
                <w:szCs w:val="20"/>
              </w:rPr>
              <w:t>0.101</w:t>
            </w:r>
          </w:p>
        </w:tc>
      </w:tr>
      <w:tr w:rsidR="007A4800" w:rsidRPr="004A2733" w:rsidTr="00151BCF">
        <w:trPr>
          <w:jc w:val="center"/>
        </w:trPr>
        <w:tc>
          <w:tcPr>
            <w:tcW w:w="1823" w:type="pct"/>
            <w:shd w:val="clear" w:color="auto" w:fill="EFD3D2"/>
            <w:vAlign w:val="center"/>
          </w:tcPr>
          <w:p w:rsidR="007A4800" w:rsidRPr="004A2733" w:rsidRDefault="007A4800" w:rsidP="004D27B1">
            <w:pPr>
              <w:suppressAutoHyphens w:val="0"/>
              <w:snapToGrid w:val="0"/>
              <w:jc w:val="both"/>
              <w:rPr>
                <w:b/>
                <w:bCs/>
                <w:sz w:val="20"/>
                <w:szCs w:val="20"/>
              </w:rPr>
            </w:pPr>
            <w:r w:rsidRPr="004A2733">
              <w:rPr>
                <w:b/>
                <w:bCs/>
                <w:sz w:val="20"/>
                <w:szCs w:val="20"/>
              </w:rPr>
              <w:t>Natural logarithm of assets</w:t>
            </w:r>
          </w:p>
        </w:tc>
        <w:tc>
          <w:tcPr>
            <w:tcW w:w="990" w:type="pct"/>
            <w:tcBorders>
              <w:left w:val="nil"/>
              <w:right w:val="nil"/>
            </w:tcBorders>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0.000</w:t>
            </w:r>
          </w:p>
        </w:tc>
        <w:tc>
          <w:tcPr>
            <w:tcW w:w="669" w:type="pct"/>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17.113</w:t>
            </w:r>
          </w:p>
        </w:tc>
        <w:tc>
          <w:tcPr>
            <w:tcW w:w="1518" w:type="pct"/>
            <w:tcBorders>
              <w:left w:val="nil"/>
              <w:right w:val="nil"/>
            </w:tcBorders>
            <w:shd w:val="clear" w:color="auto" w:fill="EFD3D2"/>
            <w:vAlign w:val="center"/>
          </w:tcPr>
          <w:p w:rsidR="007A4800" w:rsidRPr="004A2733" w:rsidRDefault="007A4800" w:rsidP="004D27B1">
            <w:pPr>
              <w:suppressAutoHyphens w:val="0"/>
              <w:snapToGrid w:val="0"/>
              <w:jc w:val="both"/>
              <w:rPr>
                <w:sz w:val="20"/>
                <w:szCs w:val="20"/>
              </w:rPr>
            </w:pPr>
            <w:r w:rsidRPr="004A2733">
              <w:rPr>
                <w:sz w:val="20"/>
                <w:szCs w:val="20"/>
              </w:rPr>
              <w:t>0.866</w:t>
            </w:r>
          </w:p>
        </w:tc>
      </w:tr>
      <w:tr w:rsidR="007A4800" w:rsidRPr="004A2733" w:rsidTr="00151BCF">
        <w:trPr>
          <w:jc w:val="center"/>
        </w:trPr>
        <w:tc>
          <w:tcPr>
            <w:tcW w:w="5000" w:type="pct"/>
            <w:gridSpan w:val="4"/>
            <w:shd w:val="clear" w:color="auto" w:fill="auto"/>
            <w:vAlign w:val="center"/>
          </w:tcPr>
          <w:p w:rsidR="007A4800" w:rsidRPr="004A2733" w:rsidRDefault="007A4800" w:rsidP="004D27B1">
            <w:pPr>
              <w:suppressAutoHyphens w:val="0"/>
              <w:snapToGrid w:val="0"/>
              <w:jc w:val="both"/>
              <w:rPr>
                <w:b/>
                <w:bCs/>
                <w:sz w:val="20"/>
                <w:szCs w:val="20"/>
              </w:rPr>
            </w:pPr>
            <w:r w:rsidRPr="004A2733">
              <w:rPr>
                <w:b/>
                <w:bCs/>
                <w:sz w:val="20"/>
                <w:szCs w:val="20"/>
              </w:rPr>
              <w:t>Meaningful model 0.000</w:t>
            </w:r>
            <w:r w:rsidR="00151BCF" w:rsidRPr="004A2733">
              <w:rPr>
                <w:b/>
                <w:bCs/>
                <w:sz w:val="20"/>
                <w:szCs w:val="20"/>
              </w:rPr>
              <w:t xml:space="preserve"> </w:t>
            </w:r>
            <w:r w:rsidRPr="004A2733">
              <w:rPr>
                <w:b/>
                <w:bCs/>
                <w:sz w:val="20"/>
                <w:szCs w:val="20"/>
              </w:rPr>
              <w:t>Statistics F 81.095</w:t>
            </w:r>
            <w:r w:rsidR="00151BCF" w:rsidRPr="004A2733">
              <w:rPr>
                <w:b/>
                <w:bCs/>
                <w:sz w:val="20"/>
                <w:szCs w:val="20"/>
              </w:rPr>
              <w:t xml:space="preserve"> </w:t>
            </w:r>
            <w:proofErr w:type="spellStart"/>
            <w:r w:rsidRPr="004A2733">
              <w:rPr>
                <w:b/>
                <w:bCs/>
                <w:sz w:val="20"/>
                <w:szCs w:val="20"/>
              </w:rPr>
              <w:t>Dourbin</w:t>
            </w:r>
            <w:proofErr w:type="spellEnd"/>
            <w:r w:rsidRPr="004A2733">
              <w:rPr>
                <w:b/>
                <w:bCs/>
                <w:sz w:val="20"/>
                <w:szCs w:val="20"/>
              </w:rPr>
              <w:t>-Aston 2.078</w:t>
            </w:r>
          </w:p>
          <w:p w:rsidR="007A4800" w:rsidRPr="004A2733" w:rsidRDefault="007A4800" w:rsidP="004D27B1">
            <w:pPr>
              <w:suppressAutoHyphens w:val="0"/>
              <w:snapToGrid w:val="0"/>
              <w:jc w:val="both"/>
              <w:rPr>
                <w:b/>
                <w:bCs/>
                <w:sz w:val="20"/>
                <w:szCs w:val="20"/>
              </w:rPr>
            </w:pPr>
            <w:r w:rsidRPr="004A2733">
              <w:rPr>
                <w:b/>
                <w:bCs/>
                <w:sz w:val="20"/>
                <w:szCs w:val="20"/>
              </w:rPr>
              <w:t>Determination Coefficien</w:t>
            </w:r>
            <w:r w:rsidR="00151BCF" w:rsidRPr="004A2733">
              <w:rPr>
                <w:b/>
                <w:bCs/>
                <w:sz w:val="20"/>
                <w:szCs w:val="20"/>
              </w:rPr>
              <w:t>t (</w:t>
            </w:r>
            <w:r w:rsidRPr="004A2733">
              <w:rPr>
                <w:b/>
                <w:bCs/>
                <w:sz w:val="20"/>
                <w:szCs w:val="20"/>
              </w:rPr>
              <w:t>R2) 0.816</w:t>
            </w:r>
            <w:r w:rsidR="00151BCF" w:rsidRPr="004A2733">
              <w:rPr>
                <w:b/>
                <w:bCs/>
                <w:sz w:val="20"/>
                <w:szCs w:val="20"/>
              </w:rPr>
              <w:t xml:space="preserve"> </w:t>
            </w:r>
            <w:r w:rsidRPr="004A2733">
              <w:rPr>
                <w:b/>
                <w:bCs/>
                <w:sz w:val="20"/>
                <w:szCs w:val="20"/>
              </w:rPr>
              <w:t>Adjusted determination coefficient 0.806</w:t>
            </w:r>
          </w:p>
        </w:tc>
      </w:tr>
    </w:tbl>
    <w:p w:rsidR="00151BCF" w:rsidRPr="004A2733" w:rsidRDefault="00151BCF" w:rsidP="004D27B1">
      <w:pPr>
        <w:suppressAutoHyphens w:val="0"/>
        <w:snapToGrid w:val="0"/>
        <w:ind w:firstLine="425"/>
        <w:jc w:val="both"/>
        <w:rPr>
          <w:sz w:val="20"/>
          <w:szCs w:val="20"/>
        </w:rPr>
      </w:pPr>
    </w:p>
    <w:p w:rsidR="004D27B1" w:rsidRPr="004A2733" w:rsidRDefault="004D27B1" w:rsidP="004D27B1">
      <w:pPr>
        <w:suppressAutoHyphens w:val="0"/>
        <w:snapToGrid w:val="0"/>
        <w:ind w:firstLine="425"/>
        <w:jc w:val="both"/>
        <w:rPr>
          <w:sz w:val="20"/>
          <w:szCs w:val="20"/>
        </w:rPr>
        <w:sectPr w:rsidR="004D27B1" w:rsidRPr="004A2733" w:rsidSect="00151BCF">
          <w:footnotePr>
            <w:pos w:val="beneathText"/>
          </w:footnotePr>
          <w:type w:val="continuous"/>
          <w:pgSz w:w="12240" w:h="15840" w:code="1"/>
          <w:pgMar w:top="1440" w:right="1440" w:bottom="1440" w:left="1440" w:header="720" w:footer="720" w:gutter="0"/>
          <w:cols w:space="720"/>
          <w:docGrid w:linePitch="360"/>
        </w:sectPr>
      </w:pPr>
    </w:p>
    <w:p w:rsidR="0014474A" w:rsidRPr="004A2733" w:rsidRDefault="0014474A" w:rsidP="004D27B1">
      <w:pPr>
        <w:suppressAutoHyphens w:val="0"/>
        <w:snapToGrid w:val="0"/>
        <w:ind w:firstLine="425"/>
        <w:jc w:val="both"/>
        <w:rPr>
          <w:sz w:val="20"/>
          <w:szCs w:val="20"/>
        </w:rPr>
      </w:pPr>
      <w:r w:rsidRPr="004A2733">
        <w:rPr>
          <w:sz w:val="20"/>
          <w:szCs w:val="20"/>
        </w:rPr>
        <w:lastRenderedPageBreak/>
        <w:t>Hypothesis 4: There is a meaningful relationship between company institutional shareholders and liquidity.</w:t>
      </w:r>
    </w:p>
    <w:p w:rsidR="0014474A" w:rsidRPr="004A2733" w:rsidRDefault="0014474A" w:rsidP="004D27B1">
      <w:pPr>
        <w:suppressAutoHyphens w:val="0"/>
        <w:snapToGrid w:val="0"/>
        <w:ind w:firstLine="425"/>
        <w:jc w:val="both"/>
        <w:rPr>
          <w:sz w:val="20"/>
          <w:szCs w:val="20"/>
        </w:rPr>
      </w:pPr>
      <w:r w:rsidRPr="004A2733">
        <w:rPr>
          <w:sz w:val="20"/>
          <w:szCs w:val="20"/>
        </w:rPr>
        <w:t xml:space="preserve">In hypothesis 4 the relationship between company institutional shareholders and liquidity was examined. According to existing theories, institutional investors could prevent the accumulation of cash into the company with their efficient monitoring and without efficient control, kept cash will increase. Results of this theory show that there is no significant relationship between corporate liquidity and institutional shareholders. The change in institutional investor ownership percentage is not the justifier of changes in the level of cash retention for listed companies in Tehran Stock Exchange. The result of our research does not confirm results with other </w:t>
      </w:r>
      <w:r w:rsidRPr="004A2733">
        <w:rPr>
          <w:sz w:val="20"/>
          <w:szCs w:val="20"/>
        </w:rPr>
        <w:lastRenderedPageBreak/>
        <w:t xml:space="preserve">researchers, including </w:t>
      </w:r>
      <w:proofErr w:type="spellStart"/>
      <w:r w:rsidRPr="004A2733">
        <w:rPr>
          <w:sz w:val="20"/>
          <w:szCs w:val="20"/>
        </w:rPr>
        <w:t>Haraford</w:t>
      </w:r>
      <w:proofErr w:type="spellEnd"/>
      <w:r w:rsidRPr="004A2733">
        <w:rPr>
          <w:sz w:val="20"/>
          <w:szCs w:val="20"/>
        </w:rPr>
        <w:t xml:space="preserve"> and colleagues (2008) who have realized the relationship between institutional shareholders and liquidity.</w:t>
      </w:r>
    </w:p>
    <w:p w:rsidR="0014474A" w:rsidRPr="004A2733" w:rsidRDefault="0014474A" w:rsidP="004D27B1">
      <w:pPr>
        <w:suppressAutoHyphens w:val="0"/>
        <w:snapToGrid w:val="0"/>
        <w:ind w:firstLine="425"/>
        <w:jc w:val="both"/>
        <w:rPr>
          <w:sz w:val="20"/>
          <w:szCs w:val="20"/>
        </w:rPr>
      </w:pPr>
      <w:r w:rsidRPr="004A2733">
        <w:rPr>
          <w:sz w:val="20"/>
          <w:szCs w:val="20"/>
        </w:rPr>
        <w:t xml:space="preserve">But it confirms with the results of other researchers, including </w:t>
      </w:r>
      <w:proofErr w:type="spellStart"/>
      <w:r w:rsidRPr="004A2733">
        <w:rPr>
          <w:sz w:val="20"/>
          <w:szCs w:val="20"/>
        </w:rPr>
        <w:t>Rsaeiyan</w:t>
      </w:r>
      <w:proofErr w:type="spellEnd"/>
      <w:r w:rsidRPr="004A2733">
        <w:rPr>
          <w:sz w:val="20"/>
          <w:szCs w:val="20"/>
        </w:rPr>
        <w:t xml:space="preserve"> and colleagues (1389) who have admitted there is no relationship between institutional shareholders and keeping cash levels. Thus we can conclude that institutional shareholders have been unable to have a significant effect on volume of liquidity for companies in Tehran Stock Exchange. Also the adjusted determination coefficient resulting from the implementation model for hypothesis 4 suggests that about 78 percent of the liquidity variation is explained by the variables used in the right.</w:t>
      </w:r>
    </w:p>
    <w:p w:rsidR="004D27B1" w:rsidRPr="004A2733" w:rsidRDefault="004D27B1" w:rsidP="004D27B1">
      <w:pPr>
        <w:suppressAutoHyphens w:val="0"/>
        <w:snapToGrid w:val="0"/>
        <w:jc w:val="center"/>
        <w:rPr>
          <w:sz w:val="20"/>
          <w:szCs w:val="20"/>
        </w:rPr>
        <w:sectPr w:rsidR="004D27B1" w:rsidRPr="004A2733" w:rsidSect="004D27B1">
          <w:footnotePr>
            <w:pos w:val="beneathText"/>
          </w:footnotePr>
          <w:type w:val="continuous"/>
          <w:pgSz w:w="12240" w:h="15840" w:code="1"/>
          <w:pgMar w:top="1440" w:right="1440" w:bottom="1440" w:left="1440" w:header="720" w:footer="720" w:gutter="0"/>
          <w:cols w:num="2" w:space="600"/>
          <w:docGrid w:linePitch="360"/>
        </w:sectPr>
      </w:pPr>
    </w:p>
    <w:p w:rsidR="00870272" w:rsidRPr="004A2733" w:rsidRDefault="00870272" w:rsidP="004D27B1">
      <w:pPr>
        <w:suppressAutoHyphens w:val="0"/>
        <w:snapToGrid w:val="0"/>
        <w:jc w:val="center"/>
        <w:rPr>
          <w:sz w:val="20"/>
          <w:szCs w:val="20"/>
        </w:rPr>
      </w:pPr>
    </w:p>
    <w:p w:rsidR="00870272" w:rsidRPr="004A2733" w:rsidRDefault="00870272" w:rsidP="004D27B1">
      <w:pPr>
        <w:suppressAutoHyphens w:val="0"/>
        <w:snapToGrid w:val="0"/>
        <w:jc w:val="center"/>
        <w:rPr>
          <w:sz w:val="20"/>
          <w:szCs w:val="20"/>
        </w:rPr>
      </w:pPr>
      <w:r w:rsidRPr="004A2733">
        <w:rPr>
          <w:sz w:val="20"/>
          <w:szCs w:val="20"/>
        </w:rPr>
        <w:t>Table 5: Results of testing main hypotheses 4</w:t>
      </w:r>
    </w:p>
    <w:tbl>
      <w:tblPr>
        <w:tblW w:w="5000" w:type="pct"/>
        <w:jc w:val="center"/>
        <w:tblBorders>
          <w:top w:val="single" w:sz="8" w:space="0" w:color="B3CC82"/>
          <w:left w:val="single" w:sz="8" w:space="0" w:color="B3CC82"/>
          <w:bottom w:val="single" w:sz="8" w:space="0" w:color="B3CC82"/>
          <w:right w:val="single" w:sz="8" w:space="0" w:color="B3CC82"/>
          <w:insideH w:val="single" w:sz="8" w:space="0" w:color="B3CC82"/>
        </w:tblBorders>
        <w:tblCellMar>
          <w:left w:w="57" w:type="dxa"/>
          <w:right w:w="57" w:type="dxa"/>
        </w:tblCellMar>
        <w:tblLook w:val="04A0"/>
      </w:tblPr>
      <w:tblGrid>
        <w:gridCol w:w="3454"/>
        <w:gridCol w:w="1876"/>
        <w:gridCol w:w="1268"/>
        <w:gridCol w:w="2876"/>
      </w:tblGrid>
      <w:tr w:rsidR="00870272" w:rsidRPr="004A2733" w:rsidTr="00151BCF">
        <w:trPr>
          <w:jc w:val="center"/>
        </w:trPr>
        <w:tc>
          <w:tcPr>
            <w:tcW w:w="1823" w:type="pct"/>
            <w:tcBorders>
              <w:top w:val="single" w:sz="8" w:space="0" w:color="B3CC82"/>
              <w:left w:val="single" w:sz="8" w:space="0" w:color="B3CC82"/>
              <w:bottom w:val="single" w:sz="8" w:space="0" w:color="B3CC82"/>
            </w:tcBorders>
            <w:shd w:val="clear" w:color="auto" w:fill="9BBB59"/>
            <w:vAlign w:val="center"/>
          </w:tcPr>
          <w:p w:rsidR="00870272" w:rsidRPr="004A2733" w:rsidRDefault="00870272" w:rsidP="004D27B1">
            <w:pPr>
              <w:suppressAutoHyphens w:val="0"/>
              <w:snapToGrid w:val="0"/>
              <w:jc w:val="both"/>
              <w:rPr>
                <w:b/>
                <w:bCs/>
                <w:sz w:val="20"/>
                <w:szCs w:val="20"/>
              </w:rPr>
            </w:pPr>
            <w:r w:rsidRPr="004A2733">
              <w:rPr>
                <w:b/>
                <w:bCs/>
                <w:sz w:val="20"/>
                <w:szCs w:val="20"/>
              </w:rPr>
              <w:t>Variable name</w:t>
            </w:r>
          </w:p>
        </w:tc>
        <w:tc>
          <w:tcPr>
            <w:tcW w:w="990" w:type="pct"/>
            <w:tcBorders>
              <w:top w:val="single" w:sz="8" w:space="0" w:color="B3CC82"/>
              <w:bottom w:val="single" w:sz="8" w:space="0" w:color="B3CC82"/>
            </w:tcBorders>
            <w:shd w:val="clear" w:color="auto" w:fill="9BBB59"/>
            <w:vAlign w:val="center"/>
          </w:tcPr>
          <w:p w:rsidR="00870272" w:rsidRPr="004A2733" w:rsidRDefault="00870272" w:rsidP="004D27B1">
            <w:pPr>
              <w:suppressAutoHyphens w:val="0"/>
              <w:snapToGrid w:val="0"/>
              <w:jc w:val="both"/>
              <w:rPr>
                <w:b/>
                <w:bCs/>
                <w:sz w:val="20"/>
                <w:szCs w:val="20"/>
              </w:rPr>
            </w:pPr>
            <w:r w:rsidRPr="004A2733">
              <w:rPr>
                <w:b/>
                <w:bCs/>
                <w:sz w:val="20"/>
                <w:szCs w:val="20"/>
              </w:rPr>
              <w:t>Significant level</w:t>
            </w:r>
          </w:p>
        </w:tc>
        <w:tc>
          <w:tcPr>
            <w:tcW w:w="669" w:type="pct"/>
            <w:tcBorders>
              <w:top w:val="single" w:sz="8" w:space="0" w:color="B3CC82"/>
              <w:bottom w:val="single" w:sz="8" w:space="0" w:color="B3CC82"/>
            </w:tcBorders>
            <w:shd w:val="clear" w:color="auto" w:fill="9BBB59"/>
            <w:vAlign w:val="center"/>
          </w:tcPr>
          <w:p w:rsidR="00870272" w:rsidRPr="004A2733" w:rsidRDefault="00870272" w:rsidP="004D27B1">
            <w:pPr>
              <w:suppressAutoHyphens w:val="0"/>
              <w:snapToGrid w:val="0"/>
              <w:jc w:val="both"/>
              <w:rPr>
                <w:b/>
                <w:bCs/>
                <w:sz w:val="20"/>
                <w:szCs w:val="20"/>
              </w:rPr>
            </w:pPr>
            <w:r w:rsidRPr="004A2733">
              <w:rPr>
                <w:b/>
                <w:bCs/>
                <w:sz w:val="20"/>
                <w:szCs w:val="20"/>
              </w:rPr>
              <w:t>Statistics t</w:t>
            </w:r>
          </w:p>
        </w:tc>
        <w:tc>
          <w:tcPr>
            <w:tcW w:w="1518" w:type="pct"/>
            <w:tcBorders>
              <w:top w:val="single" w:sz="8" w:space="0" w:color="B3CC82"/>
              <w:bottom w:val="single" w:sz="8" w:space="0" w:color="B3CC82"/>
              <w:right w:val="single" w:sz="8" w:space="0" w:color="B3CC82"/>
            </w:tcBorders>
            <w:shd w:val="clear" w:color="auto" w:fill="9BBB59"/>
            <w:vAlign w:val="center"/>
          </w:tcPr>
          <w:p w:rsidR="00870272" w:rsidRPr="004A2733" w:rsidRDefault="00870272" w:rsidP="004D27B1">
            <w:pPr>
              <w:suppressAutoHyphens w:val="0"/>
              <w:snapToGrid w:val="0"/>
              <w:jc w:val="both"/>
              <w:rPr>
                <w:b/>
                <w:bCs/>
                <w:sz w:val="20"/>
                <w:szCs w:val="20"/>
              </w:rPr>
            </w:pPr>
            <w:r w:rsidRPr="004A2733">
              <w:rPr>
                <w:b/>
                <w:bCs/>
                <w:sz w:val="20"/>
                <w:szCs w:val="20"/>
              </w:rPr>
              <w:t>Standardized coefficients</w:t>
            </w:r>
          </w:p>
        </w:tc>
      </w:tr>
      <w:tr w:rsidR="00870272" w:rsidRPr="004A2733" w:rsidTr="00151BCF">
        <w:trPr>
          <w:jc w:val="center"/>
        </w:trPr>
        <w:tc>
          <w:tcPr>
            <w:tcW w:w="1823" w:type="pct"/>
            <w:shd w:val="clear" w:color="auto" w:fill="E6EED5"/>
            <w:vAlign w:val="center"/>
          </w:tcPr>
          <w:p w:rsidR="00870272" w:rsidRPr="004A2733" w:rsidRDefault="00870272" w:rsidP="004D27B1">
            <w:pPr>
              <w:suppressAutoHyphens w:val="0"/>
              <w:snapToGrid w:val="0"/>
              <w:jc w:val="both"/>
              <w:rPr>
                <w:b/>
                <w:bCs/>
                <w:sz w:val="20"/>
                <w:szCs w:val="20"/>
              </w:rPr>
            </w:pPr>
            <w:r w:rsidRPr="004A2733">
              <w:rPr>
                <w:b/>
                <w:bCs/>
                <w:sz w:val="20"/>
                <w:szCs w:val="20"/>
              </w:rPr>
              <w:t>Intercep</w:t>
            </w:r>
            <w:r w:rsidR="00151BCF" w:rsidRPr="004A2733">
              <w:rPr>
                <w:b/>
                <w:bCs/>
                <w:sz w:val="20"/>
                <w:szCs w:val="20"/>
              </w:rPr>
              <w:t>t (</w:t>
            </w:r>
            <w:r w:rsidRPr="004A2733">
              <w:rPr>
                <w:b/>
                <w:bCs/>
                <w:sz w:val="20"/>
                <w:szCs w:val="20"/>
              </w:rPr>
              <w:t>α)</w:t>
            </w:r>
          </w:p>
        </w:tc>
        <w:tc>
          <w:tcPr>
            <w:tcW w:w="990"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0.000</w:t>
            </w:r>
          </w:p>
        </w:tc>
        <w:tc>
          <w:tcPr>
            <w:tcW w:w="669"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-4.612</w:t>
            </w:r>
          </w:p>
        </w:tc>
        <w:tc>
          <w:tcPr>
            <w:tcW w:w="1518"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w:t>
            </w:r>
          </w:p>
        </w:tc>
      </w:tr>
      <w:tr w:rsidR="00870272" w:rsidRPr="004A2733" w:rsidTr="00151BCF">
        <w:trPr>
          <w:jc w:val="center"/>
        </w:trPr>
        <w:tc>
          <w:tcPr>
            <w:tcW w:w="1823" w:type="pct"/>
            <w:tcBorders>
              <w:right w:val="nil"/>
            </w:tcBorders>
            <w:shd w:val="clear" w:color="auto" w:fill="auto"/>
            <w:vAlign w:val="center"/>
          </w:tcPr>
          <w:p w:rsidR="00870272" w:rsidRPr="004A2733" w:rsidRDefault="00870272" w:rsidP="004D27B1">
            <w:pPr>
              <w:suppressAutoHyphens w:val="0"/>
              <w:snapToGrid w:val="0"/>
              <w:jc w:val="both"/>
              <w:rPr>
                <w:b/>
                <w:bCs/>
                <w:sz w:val="20"/>
                <w:szCs w:val="20"/>
              </w:rPr>
            </w:pPr>
            <w:r w:rsidRPr="004A2733">
              <w:rPr>
                <w:b/>
                <w:bCs/>
                <w:sz w:val="20"/>
                <w:szCs w:val="20"/>
              </w:rPr>
              <w:t>non-duty members ratio</w:t>
            </w:r>
          </w:p>
        </w:tc>
        <w:tc>
          <w:tcPr>
            <w:tcW w:w="990" w:type="pct"/>
            <w:tcBorders>
              <w:left w:val="nil"/>
              <w:right w:val="nil"/>
            </w:tcBorders>
            <w:shd w:val="clear" w:color="auto" w:fill="auto"/>
            <w:vAlign w:val="center"/>
          </w:tcPr>
          <w:p w:rsidR="00870272" w:rsidRPr="004A2733" w:rsidRDefault="00870272" w:rsidP="004D27B1">
            <w:pPr>
              <w:suppressAutoHyphens w:val="0"/>
              <w:snapToGrid w:val="0"/>
              <w:jc w:val="both"/>
              <w:rPr>
                <w:sz w:val="20"/>
                <w:szCs w:val="20"/>
              </w:rPr>
            </w:pPr>
            <w:r w:rsidRPr="004A2733">
              <w:rPr>
                <w:sz w:val="20"/>
                <w:szCs w:val="20"/>
              </w:rPr>
              <w:t>0.357</w:t>
            </w:r>
          </w:p>
        </w:tc>
        <w:tc>
          <w:tcPr>
            <w:tcW w:w="669" w:type="pct"/>
            <w:tcBorders>
              <w:left w:val="nil"/>
              <w:right w:val="nil"/>
            </w:tcBorders>
            <w:shd w:val="clear" w:color="auto" w:fill="auto"/>
            <w:vAlign w:val="center"/>
          </w:tcPr>
          <w:p w:rsidR="00870272" w:rsidRPr="004A2733" w:rsidRDefault="00870272" w:rsidP="004D27B1">
            <w:pPr>
              <w:suppressAutoHyphens w:val="0"/>
              <w:snapToGrid w:val="0"/>
              <w:jc w:val="both"/>
              <w:rPr>
                <w:sz w:val="20"/>
                <w:szCs w:val="20"/>
              </w:rPr>
            </w:pPr>
            <w:r w:rsidRPr="004A2733">
              <w:rPr>
                <w:sz w:val="20"/>
                <w:szCs w:val="20"/>
              </w:rPr>
              <w:t>-0.926</w:t>
            </w:r>
          </w:p>
        </w:tc>
        <w:tc>
          <w:tcPr>
            <w:tcW w:w="1518" w:type="pct"/>
            <w:tcBorders>
              <w:left w:val="nil"/>
            </w:tcBorders>
            <w:shd w:val="clear" w:color="auto" w:fill="auto"/>
            <w:vAlign w:val="center"/>
          </w:tcPr>
          <w:p w:rsidR="00870272" w:rsidRPr="004A2733" w:rsidRDefault="00870272" w:rsidP="004D27B1">
            <w:pPr>
              <w:suppressAutoHyphens w:val="0"/>
              <w:snapToGrid w:val="0"/>
              <w:jc w:val="both"/>
              <w:rPr>
                <w:sz w:val="20"/>
                <w:szCs w:val="20"/>
              </w:rPr>
            </w:pPr>
            <w:r w:rsidRPr="004A2733">
              <w:rPr>
                <w:sz w:val="20"/>
                <w:szCs w:val="20"/>
              </w:rPr>
              <w:t>-0.051</w:t>
            </w:r>
          </w:p>
        </w:tc>
      </w:tr>
      <w:tr w:rsidR="00870272" w:rsidRPr="004A2733" w:rsidTr="00151BCF">
        <w:trPr>
          <w:jc w:val="center"/>
        </w:trPr>
        <w:tc>
          <w:tcPr>
            <w:tcW w:w="1823" w:type="pct"/>
            <w:shd w:val="clear" w:color="auto" w:fill="E6EED5"/>
            <w:vAlign w:val="center"/>
          </w:tcPr>
          <w:p w:rsidR="00870272" w:rsidRPr="004A2733" w:rsidRDefault="00870272" w:rsidP="004D27B1">
            <w:pPr>
              <w:suppressAutoHyphens w:val="0"/>
              <w:snapToGrid w:val="0"/>
              <w:jc w:val="both"/>
              <w:rPr>
                <w:b/>
                <w:bCs/>
                <w:sz w:val="20"/>
                <w:szCs w:val="20"/>
              </w:rPr>
            </w:pPr>
            <w:r w:rsidRPr="004A2733">
              <w:rPr>
                <w:b/>
                <w:bCs/>
                <w:sz w:val="20"/>
                <w:szCs w:val="20"/>
              </w:rPr>
              <w:t>A leverag</w:t>
            </w:r>
            <w:r w:rsidR="00151BCF" w:rsidRPr="004A2733">
              <w:rPr>
                <w:b/>
                <w:bCs/>
                <w:sz w:val="20"/>
                <w:szCs w:val="20"/>
              </w:rPr>
              <w:t>e (</w:t>
            </w:r>
            <w:r w:rsidRPr="004A2733">
              <w:rPr>
                <w:b/>
                <w:bCs/>
                <w:sz w:val="20"/>
                <w:szCs w:val="20"/>
              </w:rPr>
              <w:t>debt to asset ratio)</w:t>
            </w:r>
          </w:p>
        </w:tc>
        <w:tc>
          <w:tcPr>
            <w:tcW w:w="990"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0.019</w:t>
            </w:r>
          </w:p>
        </w:tc>
        <w:tc>
          <w:tcPr>
            <w:tcW w:w="669"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2.407</w:t>
            </w:r>
          </w:p>
        </w:tc>
        <w:tc>
          <w:tcPr>
            <w:tcW w:w="1518"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0.132</w:t>
            </w:r>
          </w:p>
        </w:tc>
      </w:tr>
      <w:tr w:rsidR="00870272" w:rsidRPr="004A2733" w:rsidTr="00151BCF">
        <w:trPr>
          <w:jc w:val="center"/>
        </w:trPr>
        <w:tc>
          <w:tcPr>
            <w:tcW w:w="1823" w:type="pct"/>
            <w:tcBorders>
              <w:right w:val="nil"/>
            </w:tcBorders>
            <w:shd w:val="clear" w:color="auto" w:fill="auto"/>
            <w:vAlign w:val="center"/>
          </w:tcPr>
          <w:p w:rsidR="00870272" w:rsidRPr="004A2733" w:rsidRDefault="00870272" w:rsidP="004D27B1">
            <w:pPr>
              <w:suppressAutoHyphens w:val="0"/>
              <w:snapToGrid w:val="0"/>
              <w:jc w:val="both"/>
              <w:rPr>
                <w:b/>
                <w:bCs/>
                <w:sz w:val="20"/>
                <w:szCs w:val="20"/>
              </w:rPr>
            </w:pPr>
            <w:r w:rsidRPr="004A2733">
              <w:rPr>
                <w:b/>
                <w:bCs/>
                <w:sz w:val="20"/>
                <w:szCs w:val="20"/>
              </w:rPr>
              <w:t>Growth rat</w:t>
            </w:r>
            <w:r w:rsidR="00151BCF" w:rsidRPr="004A2733">
              <w:rPr>
                <w:b/>
                <w:bCs/>
                <w:sz w:val="20"/>
                <w:szCs w:val="20"/>
              </w:rPr>
              <w:t>e (</w:t>
            </w:r>
            <w:proofErr w:type="spellStart"/>
            <w:r w:rsidRPr="004A2733">
              <w:rPr>
                <w:b/>
                <w:bCs/>
                <w:sz w:val="20"/>
                <w:szCs w:val="20"/>
              </w:rPr>
              <w:t>QToubin</w:t>
            </w:r>
            <w:proofErr w:type="spellEnd"/>
            <w:r w:rsidRPr="004A2733">
              <w:rPr>
                <w:b/>
                <w:bCs/>
                <w:sz w:val="20"/>
                <w:szCs w:val="20"/>
              </w:rPr>
              <w:t>)</w:t>
            </w:r>
          </w:p>
        </w:tc>
        <w:tc>
          <w:tcPr>
            <w:tcW w:w="990" w:type="pct"/>
            <w:tcBorders>
              <w:left w:val="nil"/>
              <w:right w:val="nil"/>
            </w:tcBorders>
            <w:shd w:val="clear" w:color="auto" w:fill="auto"/>
            <w:vAlign w:val="center"/>
          </w:tcPr>
          <w:p w:rsidR="00870272" w:rsidRPr="004A2733" w:rsidRDefault="00870272" w:rsidP="004D27B1">
            <w:pPr>
              <w:suppressAutoHyphens w:val="0"/>
              <w:snapToGrid w:val="0"/>
              <w:jc w:val="both"/>
              <w:rPr>
                <w:sz w:val="20"/>
                <w:szCs w:val="20"/>
              </w:rPr>
            </w:pPr>
            <w:r w:rsidRPr="004A2733">
              <w:rPr>
                <w:sz w:val="20"/>
                <w:szCs w:val="20"/>
              </w:rPr>
              <w:t>0.043</w:t>
            </w:r>
          </w:p>
        </w:tc>
        <w:tc>
          <w:tcPr>
            <w:tcW w:w="669" w:type="pct"/>
            <w:tcBorders>
              <w:left w:val="nil"/>
              <w:right w:val="nil"/>
            </w:tcBorders>
            <w:shd w:val="clear" w:color="auto" w:fill="auto"/>
            <w:vAlign w:val="center"/>
          </w:tcPr>
          <w:p w:rsidR="00870272" w:rsidRPr="004A2733" w:rsidRDefault="00870272" w:rsidP="004D27B1">
            <w:pPr>
              <w:suppressAutoHyphens w:val="0"/>
              <w:snapToGrid w:val="0"/>
              <w:jc w:val="both"/>
              <w:rPr>
                <w:sz w:val="20"/>
                <w:szCs w:val="20"/>
              </w:rPr>
            </w:pPr>
            <w:r w:rsidRPr="004A2733">
              <w:rPr>
                <w:sz w:val="20"/>
                <w:szCs w:val="20"/>
              </w:rPr>
              <w:t>2.060</w:t>
            </w:r>
          </w:p>
        </w:tc>
        <w:tc>
          <w:tcPr>
            <w:tcW w:w="1518" w:type="pct"/>
            <w:tcBorders>
              <w:left w:val="nil"/>
            </w:tcBorders>
            <w:shd w:val="clear" w:color="auto" w:fill="auto"/>
            <w:vAlign w:val="center"/>
          </w:tcPr>
          <w:p w:rsidR="00870272" w:rsidRPr="004A2733" w:rsidRDefault="00870272" w:rsidP="004D27B1">
            <w:pPr>
              <w:suppressAutoHyphens w:val="0"/>
              <w:snapToGrid w:val="0"/>
              <w:jc w:val="both"/>
              <w:rPr>
                <w:sz w:val="20"/>
                <w:szCs w:val="20"/>
              </w:rPr>
            </w:pPr>
            <w:r w:rsidRPr="004A2733">
              <w:rPr>
                <w:sz w:val="20"/>
                <w:szCs w:val="20"/>
              </w:rPr>
              <w:t>0.116</w:t>
            </w:r>
          </w:p>
        </w:tc>
      </w:tr>
      <w:tr w:rsidR="00870272" w:rsidRPr="004A2733" w:rsidTr="00151BCF">
        <w:trPr>
          <w:jc w:val="center"/>
        </w:trPr>
        <w:tc>
          <w:tcPr>
            <w:tcW w:w="1823" w:type="pct"/>
            <w:shd w:val="clear" w:color="auto" w:fill="E6EED5"/>
            <w:vAlign w:val="center"/>
          </w:tcPr>
          <w:p w:rsidR="00870272" w:rsidRPr="004A2733" w:rsidRDefault="00870272" w:rsidP="004D27B1">
            <w:pPr>
              <w:suppressAutoHyphens w:val="0"/>
              <w:snapToGrid w:val="0"/>
              <w:jc w:val="both"/>
              <w:rPr>
                <w:b/>
                <w:bCs/>
                <w:sz w:val="20"/>
                <w:szCs w:val="20"/>
              </w:rPr>
            </w:pPr>
            <w:r w:rsidRPr="004A2733">
              <w:rPr>
                <w:b/>
                <w:bCs/>
                <w:sz w:val="20"/>
                <w:szCs w:val="20"/>
              </w:rPr>
              <w:t>Natural logarithm of assets</w:t>
            </w:r>
          </w:p>
        </w:tc>
        <w:tc>
          <w:tcPr>
            <w:tcW w:w="990"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0.000</w:t>
            </w:r>
          </w:p>
        </w:tc>
        <w:tc>
          <w:tcPr>
            <w:tcW w:w="669"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16.393</w:t>
            </w:r>
          </w:p>
        </w:tc>
        <w:tc>
          <w:tcPr>
            <w:tcW w:w="1518" w:type="pct"/>
            <w:shd w:val="clear" w:color="auto" w:fill="E6EED5"/>
            <w:vAlign w:val="center"/>
          </w:tcPr>
          <w:p w:rsidR="00870272" w:rsidRPr="004A2733" w:rsidRDefault="00870272" w:rsidP="004D27B1">
            <w:pPr>
              <w:suppressAutoHyphens w:val="0"/>
              <w:snapToGrid w:val="0"/>
              <w:jc w:val="both"/>
              <w:rPr>
                <w:sz w:val="20"/>
                <w:szCs w:val="20"/>
              </w:rPr>
            </w:pPr>
            <w:r w:rsidRPr="004A2733">
              <w:rPr>
                <w:sz w:val="20"/>
                <w:szCs w:val="20"/>
              </w:rPr>
              <w:t>0.891</w:t>
            </w:r>
          </w:p>
        </w:tc>
      </w:tr>
      <w:tr w:rsidR="00870272" w:rsidRPr="004A2733" w:rsidTr="00151BCF">
        <w:trPr>
          <w:jc w:val="center"/>
        </w:trPr>
        <w:tc>
          <w:tcPr>
            <w:tcW w:w="5000" w:type="pct"/>
            <w:gridSpan w:val="4"/>
            <w:shd w:val="clear" w:color="auto" w:fill="auto"/>
            <w:vAlign w:val="center"/>
          </w:tcPr>
          <w:p w:rsidR="00870272" w:rsidRPr="004A2733" w:rsidRDefault="00870272" w:rsidP="004D27B1">
            <w:pPr>
              <w:suppressAutoHyphens w:val="0"/>
              <w:snapToGrid w:val="0"/>
              <w:jc w:val="both"/>
              <w:rPr>
                <w:b/>
                <w:bCs/>
                <w:sz w:val="20"/>
                <w:szCs w:val="20"/>
              </w:rPr>
            </w:pPr>
            <w:r w:rsidRPr="004A2733">
              <w:rPr>
                <w:b/>
                <w:bCs/>
                <w:sz w:val="20"/>
                <w:szCs w:val="20"/>
              </w:rPr>
              <w:t>Meaningful model 0.000</w:t>
            </w:r>
            <w:r w:rsidR="00151BCF" w:rsidRPr="004A2733">
              <w:rPr>
                <w:b/>
                <w:bCs/>
                <w:sz w:val="20"/>
                <w:szCs w:val="20"/>
              </w:rPr>
              <w:t xml:space="preserve"> </w:t>
            </w:r>
            <w:r w:rsidR="00151BCF" w:rsidRPr="004A2733">
              <w:rPr>
                <w:rFonts w:hint="eastAsia"/>
                <w:b/>
                <w:bCs/>
                <w:sz w:val="20"/>
                <w:szCs w:val="20"/>
                <w:lang w:eastAsia="zh-CN"/>
              </w:rPr>
              <w:tab/>
            </w:r>
            <w:r w:rsidR="00151BCF" w:rsidRPr="004A2733">
              <w:rPr>
                <w:b/>
                <w:bCs/>
                <w:sz w:val="20"/>
                <w:szCs w:val="20"/>
              </w:rPr>
              <w:t xml:space="preserve"> </w:t>
            </w:r>
            <w:r w:rsidRPr="004A2733">
              <w:rPr>
                <w:b/>
                <w:bCs/>
                <w:sz w:val="20"/>
                <w:szCs w:val="20"/>
              </w:rPr>
              <w:t>Statistics F 71.977</w:t>
            </w:r>
            <w:r w:rsidR="00151BCF" w:rsidRPr="004A2733">
              <w:rPr>
                <w:b/>
                <w:bCs/>
                <w:sz w:val="20"/>
                <w:szCs w:val="20"/>
              </w:rPr>
              <w:t xml:space="preserve"> </w:t>
            </w:r>
            <w:r w:rsidR="00151BCF" w:rsidRPr="004A2733">
              <w:rPr>
                <w:rFonts w:hint="eastAsia"/>
                <w:b/>
                <w:bCs/>
                <w:sz w:val="20"/>
                <w:szCs w:val="20"/>
                <w:lang w:eastAsia="zh-CN"/>
              </w:rPr>
              <w:tab/>
            </w:r>
            <w:r w:rsidR="00151BCF" w:rsidRPr="004A2733">
              <w:rPr>
                <w:b/>
                <w:bCs/>
                <w:sz w:val="20"/>
                <w:szCs w:val="20"/>
              </w:rPr>
              <w:t xml:space="preserve"> </w:t>
            </w:r>
            <w:proofErr w:type="spellStart"/>
            <w:r w:rsidRPr="004A2733">
              <w:rPr>
                <w:b/>
                <w:bCs/>
                <w:sz w:val="20"/>
                <w:szCs w:val="20"/>
              </w:rPr>
              <w:t>Dourbin</w:t>
            </w:r>
            <w:proofErr w:type="spellEnd"/>
            <w:r w:rsidRPr="004A2733">
              <w:rPr>
                <w:b/>
                <w:bCs/>
                <w:sz w:val="20"/>
                <w:szCs w:val="20"/>
              </w:rPr>
              <w:t>-Aston 2.017</w:t>
            </w:r>
          </w:p>
          <w:p w:rsidR="00870272" w:rsidRPr="004A2733" w:rsidRDefault="00870272" w:rsidP="004D27B1">
            <w:pPr>
              <w:suppressAutoHyphens w:val="0"/>
              <w:snapToGrid w:val="0"/>
              <w:jc w:val="both"/>
              <w:rPr>
                <w:b/>
                <w:bCs/>
                <w:sz w:val="20"/>
                <w:szCs w:val="20"/>
              </w:rPr>
            </w:pPr>
            <w:r w:rsidRPr="004A2733">
              <w:rPr>
                <w:b/>
                <w:bCs/>
                <w:sz w:val="20"/>
                <w:szCs w:val="20"/>
              </w:rPr>
              <w:t>Determination Coefficien</w:t>
            </w:r>
            <w:r w:rsidR="00151BCF" w:rsidRPr="004A2733">
              <w:rPr>
                <w:b/>
                <w:bCs/>
                <w:sz w:val="20"/>
                <w:szCs w:val="20"/>
              </w:rPr>
              <w:t>t (</w:t>
            </w:r>
            <w:r w:rsidRPr="004A2733">
              <w:rPr>
                <w:b/>
                <w:bCs/>
                <w:sz w:val="20"/>
                <w:szCs w:val="20"/>
              </w:rPr>
              <w:t>R2) 0.798</w:t>
            </w:r>
            <w:r w:rsidR="00151BCF" w:rsidRPr="004A2733">
              <w:rPr>
                <w:b/>
                <w:bCs/>
                <w:sz w:val="20"/>
                <w:szCs w:val="20"/>
              </w:rPr>
              <w:t xml:space="preserve"> </w:t>
            </w:r>
            <w:r w:rsidR="00151BCF" w:rsidRPr="004A2733">
              <w:rPr>
                <w:rFonts w:hint="eastAsia"/>
                <w:b/>
                <w:bCs/>
                <w:sz w:val="20"/>
                <w:szCs w:val="20"/>
                <w:lang w:eastAsia="zh-CN"/>
              </w:rPr>
              <w:tab/>
            </w:r>
            <w:r w:rsidR="00151BCF" w:rsidRPr="004A2733">
              <w:rPr>
                <w:b/>
                <w:bCs/>
                <w:sz w:val="20"/>
                <w:szCs w:val="20"/>
              </w:rPr>
              <w:t xml:space="preserve"> </w:t>
            </w:r>
            <w:r w:rsidRPr="004A2733">
              <w:rPr>
                <w:b/>
                <w:bCs/>
                <w:sz w:val="20"/>
                <w:szCs w:val="20"/>
              </w:rPr>
              <w:t>Adjusted determination coefficient 0.787</w:t>
            </w:r>
          </w:p>
        </w:tc>
      </w:tr>
    </w:tbl>
    <w:p w:rsidR="004D27B1" w:rsidRPr="004A2733" w:rsidRDefault="00151BCF" w:rsidP="004D27B1">
      <w:pPr>
        <w:suppressAutoHyphens w:val="0"/>
        <w:snapToGrid w:val="0"/>
        <w:jc w:val="both"/>
        <w:rPr>
          <w:b/>
          <w:bCs/>
          <w:sz w:val="20"/>
          <w:szCs w:val="20"/>
        </w:rPr>
        <w:sectPr w:rsidR="004D27B1" w:rsidRPr="004A2733" w:rsidSect="00151BCF">
          <w:footnotePr>
            <w:pos w:val="beneathText"/>
          </w:footnotePr>
          <w:type w:val="continuous"/>
          <w:pgSz w:w="12240" w:h="15840" w:code="1"/>
          <w:pgMar w:top="1440" w:right="1440" w:bottom="1440" w:left="1440" w:header="720" w:footer="720" w:gutter="0"/>
          <w:cols w:space="720"/>
          <w:docGrid w:linePitch="360"/>
        </w:sectPr>
      </w:pPr>
      <w:r w:rsidRPr="004A2733">
        <w:rPr>
          <w:b/>
          <w:bCs/>
          <w:sz w:val="20"/>
          <w:szCs w:val="20"/>
        </w:rPr>
        <w:cr/>
      </w:r>
    </w:p>
    <w:p w:rsidR="00DA3E31" w:rsidRPr="004A2733" w:rsidRDefault="00DA3E31" w:rsidP="004D27B1">
      <w:pPr>
        <w:suppressAutoHyphens w:val="0"/>
        <w:snapToGrid w:val="0"/>
        <w:jc w:val="both"/>
        <w:rPr>
          <w:b/>
          <w:bCs/>
          <w:sz w:val="20"/>
          <w:szCs w:val="20"/>
        </w:rPr>
      </w:pPr>
      <w:r w:rsidRPr="004A2733">
        <w:rPr>
          <w:b/>
          <w:bCs/>
          <w:sz w:val="20"/>
          <w:szCs w:val="20"/>
        </w:rPr>
        <w:lastRenderedPageBreak/>
        <w:t>6. Limitations of the study</w:t>
      </w:r>
    </w:p>
    <w:p w:rsidR="00A525C8" w:rsidRPr="004A2733" w:rsidRDefault="00DA3E31" w:rsidP="004D27B1">
      <w:pPr>
        <w:suppressAutoHyphens w:val="0"/>
        <w:snapToGrid w:val="0"/>
        <w:ind w:firstLine="425"/>
        <w:jc w:val="both"/>
        <w:rPr>
          <w:b/>
          <w:bCs/>
          <w:sz w:val="20"/>
          <w:szCs w:val="20"/>
        </w:rPr>
      </w:pPr>
      <w:r w:rsidRPr="004A2733">
        <w:rPr>
          <w:sz w:val="20"/>
          <w:szCs w:val="20"/>
        </w:rPr>
        <w:t>Like most researches, this study has some limitations and the results are obtained due to these limitations and most of them are as follows</w:t>
      </w:r>
      <w:r w:rsidR="00151BCF" w:rsidRPr="004A2733">
        <w:rPr>
          <w:sz w:val="20"/>
          <w:szCs w:val="20"/>
        </w:rPr>
        <w:t>:</w:t>
      </w:r>
    </w:p>
    <w:p w:rsidR="00DA3E31" w:rsidRPr="004A2733" w:rsidRDefault="00DA3E31" w:rsidP="004D27B1">
      <w:pPr>
        <w:numPr>
          <w:ilvl w:val="0"/>
          <w:numId w:val="11"/>
        </w:numPr>
        <w:suppressAutoHyphens w:val="0"/>
        <w:snapToGrid w:val="0"/>
        <w:ind w:left="0" w:firstLine="425"/>
        <w:jc w:val="both"/>
        <w:rPr>
          <w:b/>
          <w:bCs/>
          <w:sz w:val="20"/>
          <w:szCs w:val="20"/>
        </w:rPr>
      </w:pPr>
      <w:r w:rsidRPr="004A2733">
        <w:rPr>
          <w:sz w:val="20"/>
          <w:szCs w:val="20"/>
        </w:rPr>
        <w:t>Considering the population of this study, companies are listed in Tehran Stock Exchange, the ability to generalize the results to the out-stock companies will face limitations.</w:t>
      </w:r>
    </w:p>
    <w:p w:rsidR="00DA3E31" w:rsidRPr="004A2733" w:rsidRDefault="00DA3E31" w:rsidP="004D27B1">
      <w:pPr>
        <w:numPr>
          <w:ilvl w:val="0"/>
          <w:numId w:val="11"/>
        </w:numPr>
        <w:suppressAutoHyphens w:val="0"/>
        <w:snapToGrid w:val="0"/>
        <w:ind w:left="0" w:firstLine="425"/>
        <w:jc w:val="both"/>
        <w:rPr>
          <w:sz w:val="20"/>
          <w:szCs w:val="20"/>
        </w:rPr>
      </w:pPr>
      <w:r w:rsidRPr="004A2733">
        <w:rPr>
          <w:sz w:val="20"/>
          <w:szCs w:val="20"/>
        </w:rPr>
        <w:t>Obtained results in this study refer to the period 1384 to 1388 and studied over the selected samples. In case of samples or time periods or used methods change, results may change. The ability to generalize results to all firms listed in Tehran Stock Exchange will be faced with limitations.</w:t>
      </w:r>
    </w:p>
    <w:p w:rsidR="00DA3E31" w:rsidRPr="004A2733" w:rsidRDefault="00DA3E31" w:rsidP="004D27B1">
      <w:pPr>
        <w:numPr>
          <w:ilvl w:val="0"/>
          <w:numId w:val="11"/>
        </w:numPr>
        <w:suppressAutoHyphens w:val="0"/>
        <w:snapToGrid w:val="0"/>
        <w:ind w:left="0" w:firstLine="425"/>
        <w:jc w:val="both"/>
        <w:rPr>
          <w:sz w:val="20"/>
          <w:szCs w:val="20"/>
        </w:rPr>
      </w:pPr>
      <w:r w:rsidRPr="004A2733">
        <w:rPr>
          <w:sz w:val="20"/>
          <w:szCs w:val="20"/>
        </w:rPr>
        <w:t>Due to political factors and the macroeconomic variables do not considered in this study and they were out of control, these factors could also be affecting the results.</w:t>
      </w:r>
    </w:p>
    <w:p w:rsidR="00A771DC" w:rsidRPr="004A2733" w:rsidRDefault="00A771DC" w:rsidP="004D27B1">
      <w:pPr>
        <w:suppressAutoHyphens w:val="0"/>
        <w:snapToGrid w:val="0"/>
        <w:jc w:val="both"/>
        <w:rPr>
          <w:b/>
          <w:bCs/>
          <w:sz w:val="20"/>
          <w:szCs w:val="20"/>
        </w:rPr>
      </w:pPr>
    </w:p>
    <w:p w:rsidR="00DA3E31" w:rsidRPr="004A2733" w:rsidRDefault="00A771DC" w:rsidP="004D27B1">
      <w:pPr>
        <w:suppressAutoHyphens w:val="0"/>
        <w:snapToGrid w:val="0"/>
        <w:jc w:val="both"/>
        <w:rPr>
          <w:b/>
          <w:bCs/>
          <w:sz w:val="20"/>
          <w:szCs w:val="20"/>
        </w:rPr>
      </w:pPr>
      <w:r w:rsidRPr="004A2733">
        <w:rPr>
          <w:b/>
          <w:bCs/>
          <w:sz w:val="20"/>
          <w:szCs w:val="20"/>
        </w:rPr>
        <w:t xml:space="preserve">7. </w:t>
      </w:r>
      <w:r w:rsidR="00DA3E31" w:rsidRPr="004A2733">
        <w:rPr>
          <w:b/>
          <w:bCs/>
          <w:sz w:val="20"/>
          <w:szCs w:val="20"/>
        </w:rPr>
        <w:t>Conclusion</w:t>
      </w:r>
    </w:p>
    <w:p w:rsidR="00DA3E31" w:rsidRPr="004A2733" w:rsidRDefault="00DA3E31" w:rsidP="004D27B1">
      <w:pPr>
        <w:suppressAutoHyphens w:val="0"/>
        <w:snapToGrid w:val="0"/>
        <w:ind w:firstLine="425"/>
        <w:jc w:val="both"/>
        <w:rPr>
          <w:sz w:val="20"/>
          <w:szCs w:val="20"/>
        </w:rPr>
      </w:pPr>
      <w:r w:rsidRPr="004A2733">
        <w:rPr>
          <w:sz w:val="20"/>
          <w:szCs w:val="20"/>
        </w:rPr>
        <w:t xml:space="preserve">In this study, four hypotheses were tested experimentally. The first hypothesis was about the effect of non-duty members of the board of directors on the company's liquidity ratio. Results of hypothesis test showed that there is no statistically significant relationship between the proportion of non-duty members with the liquidity of companies in Tehran stock exchange. The results of our study do not </w:t>
      </w:r>
      <w:r w:rsidRPr="004A2733">
        <w:rPr>
          <w:sz w:val="20"/>
          <w:szCs w:val="20"/>
        </w:rPr>
        <w:lastRenderedPageBreak/>
        <w:t xml:space="preserve">confirm with some researchers such as Lee (2009) and </w:t>
      </w:r>
      <w:proofErr w:type="spellStart"/>
      <w:r w:rsidRPr="004A2733">
        <w:rPr>
          <w:sz w:val="20"/>
          <w:szCs w:val="20"/>
        </w:rPr>
        <w:t>Rasaeiyan</w:t>
      </w:r>
      <w:proofErr w:type="spellEnd"/>
      <w:r w:rsidRPr="004A2733">
        <w:rPr>
          <w:sz w:val="20"/>
          <w:szCs w:val="20"/>
        </w:rPr>
        <w:t xml:space="preserve"> and colleagues (1389) who realized there is a relation between the non-duty member ratio and liquidity. Also in the second hypothesis the effect of the number of board members on the company's liquidity were surveyed. Hypothesis test results show there is a positive and significant relation between the number of board members and liquidity. So it can be concluded that the number of board members of companies has a positive effect on liquidity which the results of our study do not confirm </w:t>
      </w:r>
      <w:proofErr w:type="spellStart"/>
      <w:r w:rsidRPr="004A2733">
        <w:rPr>
          <w:sz w:val="20"/>
          <w:szCs w:val="20"/>
        </w:rPr>
        <w:t>Haraford</w:t>
      </w:r>
      <w:proofErr w:type="spellEnd"/>
      <w:r w:rsidRPr="004A2733">
        <w:rPr>
          <w:sz w:val="20"/>
          <w:szCs w:val="20"/>
        </w:rPr>
        <w:t xml:space="preserve"> and colleagues (2008)</w:t>
      </w:r>
      <w:r w:rsidR="00151BCF" w:rsidRPr="004A2733">
        <w:rPr>
          <w:sz w:val="20"/>
          <w:szCs w:val="20"/>
        </w:rPr>
        <w:t>,</w:t>
      </w:r>
      <w:r w:rsidRPr="004A2733">
        <w:rPr>
          <w:sz w:val="20"/>
          <w:szCs w:val="20"/>
        </w:rPr>
        <w:t xml:space="preserve"> who indicate a negative relationship between liquidity and the number of board members. In the third hypothesis the effect of corporate block shareholders were examined on liquidity. The test results, show the hypothesis of a significant negative correlation between the number of block shareholders and liquidity. Therefore, companies block shareholders have a negative effect on liquidity. So our research results do not match with results of other researchers, including </w:t>
      </w:r>
      <w:proofErr w:type="spellStart"/>
      <w:r w:rsidRPr="004A2733">
        <w:rPr>
          <w:sz w:val="20"/>
          <w:szCs w:val="20"/>
        </w:rPr>
        <w:t>Kapoyolis</w:t>
      </w:r>
      <w:proofErr w:type="spellEnd"/>
      <w:r w:rsidRPr="004A2733">
        <w:rPr>
          <w:sz w:val="20"/>
          <w:szCs w:val="20"/>
        </w:rPr>
        <w:t xml:space="preserve"> and </w:t>
      </w:r>
      <w:proofErr w:type="spellStart"/>
      <w:r w:rsidRPr="004A2733">
        <w:rPr>
          <w:sz w:val="20"/>
          <w:szCs w:val="20"/>
        </w:rPr>
        <w:t>Lazarito</w:t>
      </w:r>
      <w:proofErr w:type="spellEnd"/>
      <w:r w:rsidRPr="004A2733">
        <w:rPr>
          <w:sz w:val="20"/>
          <w:szCs w:val="20"/>
        </w:rPr>
        <w:t xml:space="preserve"> (2007) and </w:t>
      </w:r>
      <w:proofErr w:type="spellStart"/>
      <w:r w:rsidRPr="004A2733">
        <w:rPr>
          <w:sz w:val="20"/>
          <w:szCs w:val="20"/>
        </w:rPr>
        <w:t>Atik</w:t>
      </w:r>
      <w:proofErr w:type="spellEnd"/>
      <w:r w:rsidRPr="004A2733">
        <w:rPr>
          <w:sz w:val="20"/>
          <w:szCs w:val="20"/>
        </w:rPr>
        <w:t xml:space="preserve"> and colleagues (2009) who realized the relationship between block shareholders and liquidity. It was surveyed the effect of institutional shareholders on liquidity in fourth hypothesis. Results of hypothesis test showed that there is no statistically significant relationship between the institutional shareholders with the </w:t>
      </w:r>
      <w:r w:rsidRPr="004A2733">
        <w:rPr>
          <w:sz w:val="20"/>
          <w:szCs w:val="20"/>
        </w:rPr>
        <w:lastRenderedPageBreak/>
        <w:t xml:space="preserve">liquidity of companies in Tehran stock exchange. The results of our research do not confirm with other researchers, including </w:t>
      </w:r>
      <w:proofErr w:type="spellStart"/>
      <w:r w:rsidRPr="004A2733">
        <w:rPr>
          <w:sz w:val="20"/>
          <w:szCs w:val="20"/>
        </w:rPr>
        <w:t>Haraford</w:t>
      </w:r>
      <w:proofErr w:type="spellEnd"/>
      <w:r w:rsidRPr="004A2733">
        <w:rPr>
          <w:sz w:val="20"/>
          <w:szCs w:val="20"/>
        </w:rPr>
        <w:t xml:space="preserve"> and colleagues (2008) who realized the relationship between institutional shareholders and liquidity. But with the results of other researchers are consistent, including </w:t>
      </w:r>
      <w:proofErr w:type="spellStart"/>
      <w:r w:rsidRPr="004A2733">
        <w:rPr>
          <w:sz w:val="20"/>
          <w:szCs w:val="20"/>
        </w:rPr>
        <w:t>Rsaeiyan</w:t>
      </w:r>
      <w:proofErr w:type="spellEnd"/>
      <w:r w:rsidRPr="004A2733">
        <w:rPr>
          <w:sz w:val="20"/>
          <w:szCs w:val="20"/>
        </w:rPr>
        <w:t xml:space="preserve"> and colleagues (1389) who admit there is no relationship between institutional shareholders and keeping cash levels. Thus we can conclude that institutional shareholders have been unable to affect on liquidity volume in companies in Tehran Stock Exchange.</w:t>
      </w:r>
    </w:p>
    <w:p w:rsidR="00DA3E31" w:rsidRPr="004A2733" w:rsidRDefault="00A771DC" w:rsidP="004D27B1">
      <w:pPr>
        <w:pStyle w:val="ListParagraph"/>
        <w:bidi w:val="0"/>
        <w:snapToGrid w:val="0"/>
        <w:spacing w:after="0" w:line="240" w:lineRule="auto"/>
        <w:ind w:left="0"/>
        <w:jc w:val="both"/>
        <w:rPr>
          <w:rFonts w:ascii="Times New Roman" w:hAnsi="Times New Roman" w:cs="Times New Roman"/>
          <w:b/>
          <w:bCs/>
          <w:sz w:val="20"/>
          <w:szCs w:val="20"/>
        </w:rPr>
      </w:pPr>
      <w:r w:rsidRPr="004A2733">
        <w:rPr>
          <w:rFonts w:ascii="Times New Roman" w:hAnsi="Times New Roman" w:cs="Times New Roman"/>
          <w:b/>
          <w:bCs/>
          <w:sz w:val="20"/>
          <w:szCs w:val="20"/>
        </w:rPr>
        <w:t xml:space="preserve">7.1 </w:t>
      </w:r>
      <w:r w:rsidR="00DA3E31" w:rsidRPr="004A2733">
        <w:rPr>
          <w:rFonts w:ascii="Times New Roman" w:hAnsi="Times New Roman" w:cs="Times New Roman"/>
          <w:b/>
          <w:bCs/>
          <w:sz w:val="20"/>
          <w:szCs w:val="20"/>
        </w:rPr>
        <w:t>Recommendations from the research results</w:t>
      </w:r>
    </w:p>
    <w:p w:rsidR="00DA3E31" w:rsidRPr="004A2733" w:rsidRDefault="00DA3E31" w:rsidP="004D27B1">
      <w:pPr>
        <w:suppressAutoHyphens w:val="0"/>
        <w:snapToGrid w:val="0"/>
        <w:ind w:firstLine="425"/>
        <w:jc w:val="both"/>
        <w:rPr>
          <w:sz w:val="20"/>
          <w:szCs w:val="20"/>
        </w:rPr>
      </w:pPr>
      <w:r w:rsidRPr="004A2733">
        <w:rPr>
          <w:sz w:val="20"/>
          <w:szCs w:val="20"/>
        </w:rPr>
        <w:t>According to stakeholder theory, companies are responsible for shareholders and owners and other stakeholders and also the larger interest which is called the community and ensure accountability for companies playing in front of the community and stakeholders, there should be an effective monitoring and effective monitoring requires appropriate mechanisms that includes the construction works, design and implementation of appropriate corporate governance system and according to research conducted in relation to the impact of corporate governance and ownership structure on corporate liquidity volume, regulations can result in the completion of corporate governance principles in Tehran Stock Exchange.</w:t>
      </w:r>
    </w:p>
    <w:p w:rsidR="00DA3E31" w:rsidRPr="004A2733" w:rsidRDefault="00DA3E31" w:rsidP="004D27B1">
      <w:pPr>
        <w:suppressAutoHyphens w:val="0"/>
        <w:snapToGrid w:val="0"/>
        <w:ind w:firstLine="425"/>
        <w:jc w:val="both"/>
        <w:rPr>
          <w:sz w:val="20"/>
          <w:szCs w:val="20"/>
        </w:rPr>
      </w:pPr>
      <w:r w:rsidRPr="004A2733">
        <w:rPr>
          <w:sz w:val="20"/>
          <w:szCs w:val="20"/>
        </w:rPr>
        <w:t>Since liquidity is an important measure for companies' survival, potential investors are recommended to buy shares in companies with consideration to the amount of cash as a major influencing factor and to purchase stocks, elect that companies which their liquidity position is desirable.</w:t>
      </w:r>
    </w:p>
    <w:p w:rsidR="00DA3E31" w:rsidRPr="004A2733" w:rsidRDefault="00DA3E31" w:rsidP="004D27B1">
      <w:pPr>
        <w:suppressAutoHyphens w:val="0"/>
        <w:snapToGrid w:val="0"/>
        <w:ind w:firstLine="425"/>
        <w:jc w:val="both"/>
        <w:rPr>
          <w:sz w:val="20"/>
          <w:szCs w:val="20"/>
        </w:rPr>
      </w:pPr>
      <w:r w:rsidRPr="004A2733">
        <w:rPr>
          <w:sz w:val="20"/>
          <w:szCs w:val="20"/>
        </w:rPr>
        <w:t>The results of Hypothesis 2 and 3 express the board members number has a positive relationship and stakes percentage of major shareholder has a negative relationship with liquidity in listed companies in Tehran Stock Exchange. Therefore, customers and investors are recommended to consider above mentions and assume the number of board members as a positive factor and a major shareholder of the shares as a negative factor and considering the percentage of shares and the shareholder is a negative factor, companies should adopt a proper sovereign state to percent more shares of stock not assigned to any particular person or entity.</w:t>
      </w:r>
    </w:p>
    <w:p w:rsidR="00DA3E31" w:rsidRPr="004A2733" w:rsidRDefault="00A771DC" w:rsidP="004D27B1">
      <w:pPr>
        <w:pStyle w:val="ListParagraph"/>
        <w:bidi w:val="0"/>
        <w:snapToGrid w:val="0"/>
        <w:spacing w:after="0" w:line="240" w:lineRule="auto"/>
        <w:ind w:left="0"/>
        <w:jc w:val="both"/>
        <w:rPr>
          <w:rFonts w:ascii="Times New Roman" w:hAnsi="Times New Roman" w:cs="Times New Roman"/>
          <w:b/>
          <w:bCs/>
          <w:sz w:val="20"/>
          <w:szCs w:val="20"/>
        </w:rPr>
      </w:pPr>
      <w:r w:rsidRPr="004A2733">
        <w:rPr>
          <w:rFonts w:ascii="Times New Roman" w:hAnsi="Times New Roman" w:cs="Times New Roman"/>
          <w:b/>
          <w:bCs/>
          <w:sz w:val="20"/>
          <w:szCs w:val="20"/>
        </w:rPr>
        <w:t xml:space="preserve">7.2 </w:t>
      </w:r>
      <w:r w:rsidR="00DA3E31" w:rsidRPr="004A2733">
        <w:rPr>
          <w:rFonts w:ascii="Times New Roman" w:hAnsi="Times New Roman" w:cs="Times New Roman"/>
          <w:b/>
          <w:bCs/>
          <w:sz w:val="20"/>
          <w:szCs w:val="20"/>
        </w:rPr>
        <w:t>Suggestions for future research</w:t>
      </w:r>
    </w:p>
    <w:p w:rsidR="00DA3E31" w:rsidRPr="004A2733" w:rsidRDefault="00DA3E31" w:rsidP="004D27B1">
      <w:pPr>
        <w:suppressAutoHyphens w:val="0"/>
        <w:snapToGrid w:val="0"/>
        <w:ind w:firstLine="425"/>
        <w:jc w:val="both"/>
        <w:rPr>
          <w:sz w:val="20"/>
          <w:szCs w:val="20"/>
        </w:rPr>
      </w:pPr>
      <w:r w:rsidRPr="004A2733">
        <w:rPr>
          <w:sz w:val="20"/>
          <w:szCs w:val="20"/>
        </w:rPr>
        <w:t>The researchers are recommended to pay more attention to the followings for further using the results and help to clarify the effect of corporate governance and ownership structure on the volume of liquidity for companies:</w:t>
      </w:r>
    </w:p>
    <w:p w:rsidR="00DA3E31" w:rsidRPr="004A2733" w:rsidRDefault="00DA3E31" w:rsidP="004D27B1">
      <w:pPr>
        <w:numPr>
          <w:ilvl w:val="0"/>
          <w:numId w:val="12"/>
        </w:numPr>
        <w:suppressAutoHyphens w:val="0"/>
        <w:snapToGrid w:val="0"/>
        <w:ind w:left="0" w:firstLine="425"/>
        <w:jc w:val="both"/>
        <w:rPr>
          <w:sz w:val="20"/>
          <w:szCs w:val="20"/>
        </w:rPr>
      </w:pPr>
      <w:r w:rsidRPr="004A2733">
        <w:rPr>
          <w:sz w:val="20"/>
          <w:szCs w:val="20"/>
        </w:rPr>
        <w:t xml:space="preserve">Survey of corporate governance and ownership structure effect on the volume of liquidity of companies with regard to industry type and also to </w:t>
      </w:r>
      <w:r w:rsidRPr="004A2733">
        <w:rPr>
          <w:sz w:val="20"/>
          <w:szCs w:val="20"/>
        </w:rPr>
        <w:lastRenderedPageBreak/>
        <w:t>consider the investment companies, banks, credit and financial institutions, insurance and</w:t>
      </w:r>
      <w:r w:rsidR="00151BCF" w:rsidRPr="004A2733">
        <w:rPr>
          <w:sz w:val="20"/>
          <w:szCs w:val="20"/>
        </w:rPr>
        <w:t>.</w:t>
      </w:r>
      <w:r w:rsidRPr="004A2733">
        <w:rPr>
          <w:sz w:val="20"/>
          <w:szCs w:val="20"/>
        </w:rPr>
        <w:t>..</w:t>
      </w:r>
    </w:p>
    <w:p w:rsidR="00DA3E31" w:rsidRPr="004A2733" w:rsidRDefault="00DA3E31" w:rsidP="004D27B1">
      <w:pPr>
        <w:numPr>
          <w:ilvl w:val="0"/>
          <w:numId w:val="12"/>
        </w:numPr>
        <w:suppressAutoHyphens w:val="0"/>
        <w:snapToGrid w:val="0"/>
        <w:ind w:left="0" w:firstLine="425"/>
        <w:jc w:val="both"/>
        <w:rPr>
          <w:sz w:val="20"/>
          <w:szCs w:val="20"/>
        </w:rPr>
      </w:pPr>
      <w:r w:rsidRPr="004A2733">
        <w:rPr>
          <w:sz w:val="20"/>
          <w:szCs w:val="20"/>
        </w:rPr>
        <w:t>Study on effects of corporate governance and ownership structure of on volume of liquidity in companies outside the Tehran Stock Exchange.</w:t>
      </w:r>
    </w:p>
    <w:p w:rsidR="00DA3E31" w:rsidRPr="004A2733" w:rsidRDefault="00DA3E31" w:rsidP="004D27B1">
      <w:pPr>
        <w:numPr>
          <w:ilvl w:val="0"/>
          <w:numId w:val="12"/>
        </w:numPr>
        <w:suppressAutoHyphens w:val="0"/>
        <w:snapToGrid w:val="0"/>
        <w:ind w:left="0" w:firstLine="425"/>
        <w:jc w:val="both"/>
        <w:rPr>
          <w:sz w:val="20"/>
          <w:szCs w:val="20"/>
        </w:rPr>
      </w:pPr>
      <w:r w:rsidRPr="004A2733">
        <w:rPr>
          <w:sz w:val="20"/>
          <w:szCs w:val="20"/>
        </w:rPr>
        <w:t>Study on effect of other corporate governance mechanisms on corporate liquidity volume.</w:t>
      </w:r>
    </w:p>
    <w:p w:rsidR="00DA3E31" w:rsidRPr="004A2733" w:rsidRDefault="00DA3E31" w:rsidP="004D27B1">
      <w:pPr>
        <w:numPr>
          <w:ilvl w:val="0"/>
          <w:numId w:val="12"/>
        </w:numPr>
        <w:suppressAutoHyphens w:val="0"/>
        <w:snapToGrid w:val="0"/>
        <w:ind w:left="0" w:firstLine="425"/>
        <w:jc w:val="both"/>
        <w:rPr>
          <w:sz w:val="20"/>
          <w:szCs w:val="20"/>
        </w:rPr>
      </w:pPr>
      <w:r w:rsidRPr="004A2733">
        <w:rPr>
          <w:sz w:val="20"/>
          <w:szCs w:val="20"/>
        </w:rPr>
        <w:t>Survey on the relationship between different aspects of corporate governance and liquidity volume with emphasis on macroeconomic variables (inflation ratio, interest rates, etc.).</w:t>
      </w:r>
    </w:p>
    <w:p w:rsidR="00DA3E31" w:rsidRPr="004A2733" w:rsidRDefault="00DA3E31" w:rsidP="004D27B1">
      <w:pPr>
        <w:numPr>
          <w:ilvl w:val="0"/>
          <w:numId w:val="12"/>
        </w:numPr>
        <w:suppressAutoHyphens w:val="0"/>
        <w:snapToGrid w:val="0"/>
        <w:ind w:left="0" w:firstLine="425"/>
        <w:jc w:val="both"/>
        <w:rPr>
          <w:sz w:val="20"/>
          <w:szCs w:val="20"/>
        </w:rPr>
      </w:pPr>
      <w:r w:rsidRPr="004A2733">
        <w:rPr>
          <w:sz w:val="20"/>
          <w:szCs w:val="20"/>
        </w:rPr>
        <w:t>Considering other factors that influence the non-required supervisory directors (members of the board of directors of several companies at the same time, expertise, education, etc.).</w:t>
      </w:r>
    </w:p>
    <w:p w:rsidR="00DA3E31" w:rsidRPr="004A2733" w:rsidRDefault="00DA3E31" w:rsidP="004D27B1">
      <w:pPr>
        <w:numPr>
          <w:ilvl w:val="0"/>
          <w:numId w:val="12"/>
        </w:numPr>
        <w:suppressAutoHyphens w:val="0"/>
        <w:snapToGrid w:val="0"/>
        <w:ind w:left="0" w:firstLine="425"/>
        <w:jc w:val="both"/>
        <w:rPr>
          <w:sz w:val="20"/>
          <w:szCs w:val="20"/>
        </w:rPr>
      </w:pPr>
      <w:r w:rsidRPr="004A2733">
        <w:rPr>
          <w:sz w:val="20"/>
          <w:szCs w:val="20"/>
        </w:rPr>
        <w:t>The survey on the effect of corporate governance and ownership structure on the volume of liquidity of companies with regard to company size.</w:t>
      </w:r>
    </w:p>
    <w:p w:rsidR="00471E57" w:rsidRPr="004A2733" w:rsidRDefault="00471E57" w:rsidP="004D27B1">
      <w:pPr>
        <w:suppressAutoHyphens w:val="0"/>
        <w:snapToGrid w:val="0"/>
        <w:ind w:firstLine="425"/>
        <w:jc w:val="both"/>
        <w:rPr>
          <w:sz w:val="20"/>
          <w:szCs w:val="20"/>
        </w:rPr>
      </w:pPr>
    </w:p>
    <w:p w:rsidR="00471E57" w:rsidRPr="004A2733" w:rsidRDefault="00471E57" w:rsidP="004D27B1">
      <w:pPr>
        <w:suppressAutoHyphens w:val="0"/>
        <w:snapToGrid w:val="0"/>
        <w:jc w:val="both"/>
        <w:rPr>
          <w:b/>
          <w:sz w:val="20"/>
          <w:szCs w:val="20"/>
        </w:rPr>
      </w:pPr>
      <w:r w:rsidRPr="004A2733">
        <w:rPr>
          <w:b/>
          <w:sz w:val="20"/>
          <w:szCs w:val="20"/>
        </w:rPr>
        <w:t>References</w:t>
      </w:r>
    </w:p>
    <w:p w:rsidR="0049770E"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Mohamma</w:t>
      </w:r>
      <w:r w:rsidR="004D27B1" w:rsidRPr="004A2733">
        <w:rPr>
          <w:sz w:val="20"/>
          <w:szCs w:val="20"/>
        </w:rPr>
        <w:t>d A</w:t>
      </w:r>
      <w:r w:rsidRPr="004A2733">
        <w:rPr>
          <w:sz w:val="20"/>
          <w:szCs w:val="20"/>
        </w:rPr>
        <w:t>li</w:t>
      </w:r>
      <w:r w:rsidR="00151BCF" w:rsidRPr="004A2733">
        <w:rPr>
          <w:sz w:val="20"/>
          <w:szCs w:val="20"/>
        </w:rPr>
        <w:t xml:space="preserve"> </w:t>
      </w:r>
      <w:proofErr w:type="spellStart"/>
      <w:r w:rsidRPr="004A2733">
        <w:rPr>
          <w:sz w:val="20"/>
          <w:szCs w:val="20"/>
        </w:rPr>
        <w:t>Aghayi</w:t>
      </w:r>
      <w:proofErr w:type="spellEnd"/>
      <w:r w:rsidRPr="004A2733">
        <w:rPr>
          <w:sz w:val="20"/>
          <w:szCs w:val="20"/>
        </w:rPr>
        <w:t>.</w:t>
      </w:r>
      <w:r w:rsidR="00151BCF" w:rsidRPr="004A2733">
        <w:rPr>
          <w:sz w:val="20"/>
          <w:szCs w:val="20"/>
        </w:rPr>
        <w:t xml:space="preserve"> </w:t>
      </w:r>
      <w:r w:rsidRPr="004A2733">
        <w:rPr>
          <w:sz w:val="20"/>
          <w:szCs w:val="20"/>
        </w:rPr>
        <w:t>Ahma</w:t>
      </w:r>
      <w:r w:rsidR="004D27B1" w:rsidRPr="004A2733">
        <w:rPr>
          <w:sz w:val="20"/>
          <w:szCs w:val="20"/>
        </w:rPr>
        <w:t>d R</w:t>
      </w:r>
      <w:r w:rsidRPr="004A2733">
        <w:rPr>
          <w:sz w:val="20"/>
          <w:szCs w:val="20"/>
        </w:rPr>
        <w:t>eza</w:t>
      </w:r>
      <w:r w:rsidR="00151BCF" w:rsidRPr="004A2733">
        <w:rPr>
          <w:sz w:val="20"/>
          <w:szCs w:val="20"/>
        </w:rPr>
        <w:t xml:space="preserve"> </w:t>
      </w:r>
      <w:proofErr w:type="spellStart"/>
      <w:r w:rsidRPr="004A2733">
        <w:rPr>
          <w:sz w:val="20"/>
          <w:szCs w:val="20"/>
        </w:rPr>
        <w:t>Nezafat</w:t>
      </w:r>
      <w:proofErr w:type="spellEnd"/>
      <w:r w:rsidRPr="004A2733">
        <w:rPr>
          <w:sz w:val="20"/>
          <w:szCs w:val="20"/>
        </w:rPr>
        <w:t>,</w:t>
      </w:r>
      <w:r w:rsidR="00151BCF" w:rsidRPr="004A2733">
        <w:rPr>
          <w:sz w:val="20"/>
          <w:szCs w:val="20"/>
        </w:rPr>
        <w:t xml:space="preserve"> </w:t>
      </w:r>
      <w:proofErr w:type="spellStart"/>
      <w:r w:rsidRPr="004A2733">
        <w:rPr>
          <w:sz w:val="20"/>
          <w:szCs w:val="20"/>
        </w:rPr>
        <w:t>Mehdi</w:t>
      </w:r>
      <w:proofErr w:type="spellEnd"/>
      <w:r w:rsidR="00151BCF" w:rsidRPr="004A2733">
        <w:rPr>
          <w:sz w:val="20"/>
          <w:szCs w:val="20"/>
        </w:rPr>
        <w:t xml:space="preserve"> </w:t>
      </w:r>
      <w:proofErr w:type="spellStart"/>
      <w:r w:rsidRPr="004A2733">
        <w:rPr>
          <w:sz w:val="20"/>
          <w:szCs w:val="20"/>
        </w:rPr>
        <w:t>Nazemi</w:t>
      </w:r>
      <w:proofErr w:type="spellEnd"/>
      <w:r w:rsidR="00151BCF" w:rsidRPr="004A2733">
        <w:rPr>
          <w:sz w:val="20"/>
          <w:szCs w:val="20"/>
        </w:rPr>
        <w:t xml:space="preserve"> </w:t>
      </w:r>
      <w:proofErr w:type="spellStart"/>
      <w:r w:rsidRPr="004A2733">
        <w:rPr>
          <w:sz w:val="20"/>
          <w:szCs w:val="20"/>
        </w:rPr>
        <w:t>Ardekani</w:t>
      </w:r>
      <w:proofErr w:type="spellEnd"/>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Al</w:t>
      </w:r>
      <w:r w:rsidR="004D27B1" w:rsidRPr="004A2733">
        <w:rPr>
          <w:sz w:val="20"/>
          <w:szCs w:val="20"/>
        </w:rPr>
        <w:t>i A</w:t>
      </w:r>
      <w:r w:rsidRPr="004A2733">
        <w:rPr>
          <w:sz w:val="20"/>
          <w:szCs w:val="20"/>
        </w:rPr>
        <w:t>kbar</w:t>
      </w:r>
      <w:r w:rsidR="00151BCF" w:rsidRPr="004A2733">
        <w:rPr>
          <w:sz w:val="20"/>
          <w:szCs w:val="20"/>
        </w:rPr>
        <w:t xml:space="preserve"> </w:t>
      </w:r>
      <w:proofErr w:type="spellStart"/>
      <w:r w:rsidRPr="004A2733">
        <w:rPr>
          <w:sz w:val="20"/>
          <w:szCs w:val="20"/>
        </w:rPr>
        <w:t>Javan</w:t>
      </w:r>
      <w:proofErr w:type="spellEnd"/>
      <w:r w:rsidR="00151BCF" w:rsidRPr="004A2733">
        <w:rPr>
          <w:sz w:val="20"/>
          <w:szCs w:val="20"/>
        </w:rPr>
        <w:t xml:space="preserve"> </w:t>
      </w:r>
      <w:r w:rsidRPr="004A2733">
        <w:rPr>
          <w:sz w:val="20"/>
          <w:szCs w:val="20"/>
        </w:rPr>
        <w:t>(1388).</w:t>
      </w:r>
      <w:r w:rsidR="00151BCF" w:rsidRPr="004A2733">
        <w:rPr>
          <w:sz w:val="20"/>
          <w:szCs w:val="20"/>
        </w:rPr>
        <w:t xml:space="preserve"> </w:t>
      </w:r>
      <w:r w:rsidRPr="004A2733">
        <w:rPr>
          <w:sz w:val="20"/>
          <w:szCs w:val="20"/>
        </w:rPr>
        <w:t>“Effective</w:t>
      </w:r>
      <w:r w:rsidR="00151BCF" w:rsidRPr="004A2733">
        <w:rPr>
          <w:sz w:val="20"/>
          <w:szCs w:val="20"/>
        </w:rPr>
        <w:t xml:space="preserve"> </w:t>
      </w:r>
      <w:r w:rsidRPr="004A2733">
        <w:rPr>
          <w:sz w:val="20"/>
          <w:szCs w:val="20"/>
        </w:rPr>
        <w:t>maintenance</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existence</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listed</w:t>
      </w:r>
      <w:r w:rsidR="00151BCF" w:rsidRPr="004A2733">
        <w:rPr>
          <w:sz w:val="20"/>
          <w:szCs w:val="20"/>
        </w:rPr>
        <w:t xml:space="preserve"> </w:t>
      </w:r>
      <w:r w:rsidRPr="004A2733">
        <w:rPr>
          <w:sz w:val="20"/>
          <w:szCs w:val="20"/>
        </w:rPr>
        <w:t>companies</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Stock</w:t>
      </w:r>
      <w:r w:rsidR="00151BCF" w:rsidRPr="004A2733">
        <w:rPr>
          <w:sz w:val="20"/>
          <w:szCs w:val="20"/>
        </w:rPr>
        <w:t xml:space="preserve"> </w:t>
      </w:r>
      <w:r w:rsidRPr="004A2733">
        <w:rPr>
          <w:sz w:val="20"/>
          <w:szCs w:val="20"/>
        </w:rPr>
        <w:t>Exchange</w:t>
      </w:r>
      <w:r w:rsidR="00151BCF" w:rsidRPr="004A2733">
        <w:rPr>
          <w:sz w:val="20"/>
          <w:szCs w:val="20"/>
        </w:rPr>
        <w:t xml:space="preserve"> </w:t>
      </w:r>
      <w:r w:rsidRPr="004A2733">
        <w:rPr>
          <w:sz w:val="20"/>
          <w:szCs w:val="20"/>
        </w:rPr>
        <w:t>Survey”,</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accounting</w:t>
      </w:r>
      <w:r w:rsidR="00151BCF" w:rsidRPr="004A2733">
        <w:rPr>
          <w:sz w:val="20"/>
          <w:szCs w:val="20"/>
        </w:rPr>
        <w:t xml:space="preserve"> </w:t>
      </w:r>
      <w:r w:rsidRPr="004A2733">
        <w:rPr>
          <w:sz w:val="20"/>
          <w:szCs w:val="20"/>
        </w:rPr>
        <w:t>research,</w:t>
      </w:r>
      <w:r w:rsidR="00151BCF" w:rsidRPr="004A2733">
        <w:rPr>
          <w:sz w:val="20"/>
          <w:szCs w:val="20"/>
        </w:rPr>
        <w:t xml:space="preserve"> </w:t>
      </w:r>
      <w:r w:rsidRPr="004A2733">
        <w:rPr>
          <w:sz w:val="20"/>
          <w:szCs w:val="20"/>
        </w:rPr>
        <w:t>First</w:t>
      </w:r>
      <w:r w:rsidR="00151BCF" w:rsidRPr="004A2733">
        <w:rPr>
          <w:sz w:val="20"/>
          <w:szCs w:val="20"/>
        </w:rPr>
        <w:t xml:space="preserve"> </w:t>
      </w:r>
      <w:r w:rsidRPr="004A2733">
        <w:rPr>
          <w:sz w:val="20"/>
          <w:szCs w:val="20"/>
        </w:rPr>
        <w:t>year,</w:t>
      </w:r>
      <w:r w:rsidR="00151BCF" w:rsidRPr="004A2733">
        <w:rPr>
          <w:sz w:val="20"/>
          <w:szCs w:val="20"/>
        </w:rPr>
        <w:t xml:space="preserve"> </w:t>
      </w:r>
      <w:r w:rsidRPr="004A2733">
        <w:rPr>
          <w:sz w:val="20"/>
          <w:szCs w:val="20"/>
        </w:rPr>
        <w:t>first</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second</w:t>
      </w:r>
      <w:r w:rsidR="00151BCF" w:rsidRPr="004A2733">
        <w:rPr>
          <w:sz w:val="20"/>
          <w:szCs w:val="20"/>
        </w:rPr>
        <w:t xml:space="preserve"> </w:t>
      </w:r>
      <w:r w:rsidRPr="004A2733">
        <w:rPr>
          <w:sz w:val="20"/>
          <w:szCs w:val="20"/>
        </w:rPr>
        <w:t>Number,</w:t>
      </w:r>
      <w:r w:rsidR="00151BCF" w:rsidRPr="004A2733">
        <w:rPr>
          <w:sz w:val="20"/>
          <w:szCs w:val="20"/>
        </w:rPr>
        <w:t xml:space="preserve"> </w:t>
      </w:r>
      <w:r w:rsidRPr="004A2733">
        <w:rPr>
          <w:sz w:val="20"/>
          <w:szCs w:val="20"/>
        </w:rPr>
        <w:t>pages</w:t>
      </w:r>
      <w:r w:rsidR="00151BCF" w:rsidRPr="004A2733">
        <w:rPr>
          <w:sz w:val="20"/>
          <w:szCs w:val="20"/>
        </w:rPr>
        <w:t xml:space="preserve"> </w:t>
      </w:r>
      <w:r w:rsidRPr="004A2733">
        <w:rPr>
          <w:sz w:val="20"/>
          <w:szCs w:val="20"/>
        </w:rPr>
        <w:t>53</w:t>
      </w:r>
      <w:r w:rsidR="00151BCF" w:rsidRPr="004A2733">
        <w:rPr>
          <w:sz w:val="20"/>
          <w:szCs w:val="20"/>
        </w:rPr>
        <w:t xml:space="preserve"> </w:t>
      </w:r>
      <w:r w:rsidRPr="004A2733">
        <w:rPr>
          <w:sz w:val="20"/>
          <w:szCs w:val="20"/>
        </w:rPr>
        <w:t>to</w:t>
      </w:r>
      <w:r w:rsidR="00151BCF" w:rsidRPr="004A2733">
        <w:rPr>
          <w:sz w:val="20"/>
          <w:szCs w:val="20"/>
        </w:rPr>
        <w:t xml:space="preserve"> </w:t>
      </w:r>
      <w:r w:rsidRPr="004A2733">
        <w:rPr>
          <w:sz w:val="20"/>
          <w:szCs w:val="20"/>
        </w:rPr>
        <w:t>70.</w:t>
      </w:r>
      <w:r w:rsidR="00151BCF" w:rsidRPr="004A2733">
        <w:rPr>
          <w:sz w:val="20"/>
          <w:szCs w:val="20"/>
        </w:rPr>
        <w:t xml:space="preserve"> </w:t>
      </w:r>
    </w:p>
    <w:p w:rsidR="0049770E"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Babayi</w:t>
      </w:r>
      <w:proofErr w:type="spellEnd"/>
      <w:r w:rsidRPr="004A2733">
        <w:rPr>
          <w:sz w:val="20"/>
          <w:szCs w:val="20"/>
        </w:rPr>
        <w:t>,</w:t>
      </w:r>
      <w:r w:rsidR="00151BCF" w:rsidRPr="004A2733">
        <w:rPr>
          <w:sz w:val="20"/>
          <w:szCs w:val="20"/>
        </w:rPr>
        <w:t xml:space="preserve"> </w:t>
      </w:r>
      <w:r w:rsidRPr="004A2733">
        <w:rPr>
          <w:sz w:val="20"/>
          <w:szCs w:val="20"/>
        </w:rPr>
        <w:t>M.A.;</w:t>
      </w:r>
      <w:r w:rsidR="00151BCF" w:rsidRPr="004A2733">
        <w:rPr>
          <w:sz w:val="20"/>
          <w:szCs w:val="20"/>
        </w:rPr>
        <w:t xml:space="preserve"> </w:t>
      </w:r>
      <w:proofErr w:type="spellStart"/>
      <w:r w:rsidRPr="004A2733">
        <w:rPr>
          <w:sz w:val="20"/>
          <w:szCs w:val="20"/>
        </w:rPr>
        <w:t>Ahmadvand</w:t>
      </w:r>
      <w:proofErr w:type="spellEnd"/>
      <w:r w:rsidRPr="004A2733">
        <w:rPr>
          <w:sz w:val="20"/>
          <w:szCs w:val="20"/>
        </w:rPr>
        <w:t>,</w:t>
      </w:r>
      <w:r w:rsidR="00151BCF" w:rsidRPr="004A2733">
        <w:rPr>
          <w:sz w:val="20"/>
          <w:szCs w:val="20"/>
        </w:rPr>
        <w:t xml:space="preserve"> </w:t>
      </w:r>
      <w:r w:rsidRPr="004A2733">
        <w:rPr>
          <w:sz w:val="20"/>
          <w:szCs w:val="20"/>
        </w:rPr>
        <w:t>Z.;</w:t>
      </w:r>
      <w:r w:rsidR="00151BCF" w:rsidRPr="004A2733">
        <w:rPr>
          <w:sz w:val="20"/>
          <w:szCs w:val="20"/>
        </w:rPr>
        <w:t xml:space="preserve"> &amp; </w:t>
      </w:r>
      <w:proofErr w:type="spellStart"/>
      <w:r w:rsidRPr="004A2733">
        <w:rPr>
          <w:sz w:val="20"/>
          <w:szCs w:val="20"/>
        </w:rPr>
        <w:t>Ahmadvand</w:t>
      </w:r>
      <w:proofErr w:type="spellEnd"/>
      <w:r w:rsidRPr="004A2733">
        <w:rPr>
          <w:sz w:val="20"/>
          <w:szCs w:val="20"/>
        </w:rPr>
        <w:t>,</w:t>
      </w:r>
      <w:r w:rsidR="00151BCF" w:rsidRPr="004A2733">
        <w:rPr>
          <w:sz w:val="20"/>
          <w:szCs w:val="20"/>
        </w:rPr>
        <w:t xml:space="preserve"> </w:t>
      </w:r>
      <w:proofErr w:type="spellStart"/>
      <w:r w:rsidRPr="004A2733">
        <w:rPr>
          <w:sz w:val="20"/>
          <w:szCs w:val="20"/>
        </w:rPr>
        <w:t>Zh</w:t>
      </w:r>
      <w:proofErr w:type="spellEnd"/>
      <w:r w:rsidRPr="004A2733">
        <w:rPr>
          <w:sz w:val="20"/>
          <w:szCs w:val="20"/>
        </w:rPr>
        <w:t>.</w:t>
      </w:r>
      <w:r w:rsidR="00151BCF" w:rsidRPr="004A2733">
        <w:rPr>
          <w:sz w:val="20"/>
          <w:szCs w:val="20"/>
        </w:rPr>
        <w:t xml:space="preserve"> </w:t>
      </w:r>
      <w:r w:rsidRPr="004A2733">
        <w:rPr>
          <w:sz w:val="20"/>
          <w:szCs w:val="20"/>
        </w:rPr>
        <w:t>(2008).</w:t>
      </w:r>
      <w:r w:rsidR="00151BCF" w:rsidRPr="004A2733">
        <w:rPr>
          <w:sz w:val="20"/>
          <w:szCs w:val="20"/>
        </w:rPr>
        <w:t xml:space="preserve"> </w:t>
      </w:r>
      <w:r w:rsidRPr="004A2733">
        <w:rPr>
          <w:sz w:val="20"/>
          <w:szCs w:val="20"/>
        </w:rPr>
        <w:t>“Survey</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Ownership</w:t>
      </w:r>
      <w:r w:rsidR="00151BCF" w:rsidRPr="004A2733">
        <w:rPr>
          <w:sz w:val="20"/>
          <w:szCs w:val="20"/>
        </w:rPr>
        <w:t xml:space="preserve"> </w:t>
      </w:r>
      <w:r w:rsidRPr="004A2733">
        <w:rPr>
          <w:sz w:val="20"/>
          <w:szCs w:val="20"/>
        </w:rPr>
        <w:t>structure</w:t>
      </w:r>
      <w:r w:rsidR="00151BCF" w:rsidRPr="004A2733">
        <w:rPr>
          <w:sz w:val="20"/>
          <w:szCs w:val="20"/>
        </w:rPr>
        <w:t xml:space="preserve"> </w:t>
      </w:r>
      <w:r w:rsidRPr="004A2733">
        <w:rPr>
          <w:sz w:val="20"/>
          <w:szCs w:val="20"/>
        </w:rPr>
        <w:t>effect</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companies’</w:t>
      </w:r>
      <w:r w:rsidR="00151BCF" w:rsidRPr="004A2733">
        <w:rPr>
          <w:sz w:val="20"/>
          <w:szCs w:val="20"/>
        </w:rPr>
        <w:t xml:space="preserve"> </w:t>
      </w:r>
      <w:r w:rsidRPr="004A2733">
        <w:rPr>
          <w:sz w:val="20"/>
          <w:szCs w:val="20"/>
        </w:rPr>
        <w:t>performance</w:t>
      </w:r>
      <w:r w:rsidR="00151BCF" w:rsidRPr="004A2733">
        <w:rPr>
          <w:sz w:val="20"/>
          <w:szCs w:val="20"/>
        </w:rPr>
        <w:t xml:space="preserve"> </w:t>
      </w:r>
      <w:r w:rsidRPr="004A2733">
        <w:rPr>
          <w:sz w:val="20"/>
          <w:szCs w:val="20"/>
        </w:rPr>
        <w:t>which</w:t>
      </w:r>
      <w:r w:rsidR="00151BCF" w:rsidRPr="004A2733">
        <w:rPr>
          <w:sz w:val="20"/>
          <w:szCs w:val="20"/>
        </w:rPr>
        <w:t xml:space="preserve"> </w:t>
      </w:r>
      <w:r w:rsidRPr="004A2733">
        <w:rPr>
          <w:sz w:val="20"/>
          <w:szCs w:val="20"/>
        </w:rPr>
        <w:t>are</w:t>
      </w:r>
      <w:r w:rsidR="00151BCF" w:rsidRPr="004A2733">
        <w:rPr>
          <w:sz w:val="20"/>
          <w:szCs w:val="20"/>
        </w:rPr>
        <w:t xml:space="preserve"> </w:t>
      </w:r>
      <w:r w:rsidRPr="004A2733">
        <w:rPr>
          <w:sz w:val="20"/>
          <w:szCs w:val="20"/>
        </w:rPr>
        <w:t>listed</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Stock</w:t>
      </w:r>
      <w:r w:rsidR="00151BCF" w:rsidRPr="004A2733">
        <w:rPr>
          <w:sz w:val="20"/>
          <w:szCs w:val="20"/>
        </w:rPr>
        <w:t xml:space="preserve"> </w:t>
      </w:r>
      <w:r w:rsidRPr="004A2733">
        <w:rPr>
          <w:sz w:val="20"/>
          <w:szCs w:val="20"/>
        </w:rPr>
        <w:t>Exchange”.</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Research,</w:t>
      </w:r>
      <w:r w:rsidR="00151BCF" w:rsidRPr="004A2733">
        <w:rPr>
          <w:sz w:val="20"/>
          <w:szCs w:val="20"/>
        </w:rPr>
        <w:t xml:space="preserve"> </w:t>
      </w:r>
      <w:r w:rsidRPr="004A2733">
        <w:rPr>
          <w:sz w:val="20"/>
          <w:szCs w:val="20"/>
        </w:rPr>
        <w:t>10</w:t>
      </w:r>
      <w:r w:rsidR="00151BCF" w:rsidRPr="004A2733">
        <w:rPr>
          <w:sz w:val="20"/>
          <w:szCs w:val="20"/>
        </w:rPr>
        <w:t xml:space="preserve"> </w:t>
      </w:r>
      <w:r w:rsidRPr="004A2733">
        <w:rPr>
          <w:sz w:val="20"/>
          <w:szCs w:val="20"/>
        </w:rPr>
        <w:t>(26),</w:t>
      </w:r>
      <w:r w:rsidR="00151BCF" w:rsidRPr="004A2733">
        <w:rPr>
          <w:sz w:val="20"/>
          <w:szCs w:val="20"/>
        </w:rPr>
        <w:t xml:space="preserve"> </w:t>
      </w:r>
      <w:r w:rsidRPr="004A2733">
        <w:rPr>
          <w:sz w:val="20"/>
          <w:szCs w:val="20"/>
        </w:rPr>
        <w:t>41-60.</w:t>
      </w:r>
    </w:p>
    <w:p w:rsidR="0049770E"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Pou</w:t>
      </w:r>
      <w:r w:rsidR="004D27B1" w:rsidRPr="004A2733">
        <w:rPr>
          <w:sz w:val="20"/>
          <w:szCs w:val="20"/>
        </w:rPr>
        <w:t xml:space="preserve">r </w:t>
      </w:r>
      <w:proofErr w:type="spellStart"/>
      <w:r w:rsidR="004D27B1" w:rsidRPr="004A2733">
        <w:rPr>
          <w:sz w:val="20"/>
          <w:szCs w:val="20"/>
        </w:rPr>
        <w:t>H</w:t>
      </w:r>
      <w:r w:rsidRPr="004A2733">
        <w:rPr>
          <w:sz w:val="20"/>
          <w:szCs w:val="20"/>
        </w:rPr>
        <w:t>eydari</w:t>
      </w:r>
      <w:proofErr w:type="spellEnd"/>
      <w:r w:rsidRPr="004A2733">
        <w:rPr>
          <w:sz w:val="20"/>
          <w:szCs w:val="20"/>
        </w:rPr>
        <w:t>,</w:t>
      </w:r>
      <w:r w:rsidR="00151BCF" w:rsidRPr="004A2733">
        <w:rPr>
          <w:sz w:val="20"/>
          <w:szCs w:val="20"/>
        </w:rPr>
        <w:t xml:space="preserve"> </w:t>
      </w:r>
      <w:r w:rsidRPr="004A2733">
        <w:rPr>
          <w:sz w:val="20"/>
          <w:szCs w:val="20"/>
        </w:rPr>
        <w:t>O.</w:t>
      </w:r>
      <w:r w:rsidR="00151BCF" w:rsidRPr="004A2733">
        <w:rPr>
          <w:sz w:val="20"/>
          <w:szCs w:val="20"/>
        </w:rPr>
        <w:t xml:space="preserve"> &amp; </w:t>
      </w:r>
      <w:proofErr w:type="spellStart"/>
      <w:r w:rsidRPr="004A2733">
        <w:rPr>
          <w:sz w:val="20"/>
          <w:szCs w:val="20"/>
        </w:rPr>
        <w:t>Hmmati</w:t>
      </w:r>
      <w:proofErr w:type="spellEnd"/>
      <w:r w:rsidRPr="004A2733">
        <w:rPr>
          <w:sz w:val="20"/>
          <w:szCs w:val="20"/>
        </w:rPr>
        <w:t>,</w:t>
      </w:r>
      <w:r w:rsidR="00151BCF" w:rsidRPr="004A2733">
        <w:rPr>
          <w:sz w:val="20"/>
          <w:szCs w:val="20"/>
        </w:rPr>
        <w:t xml:space="preserve"> </w:t>
      </w:r>
      <w:r w:rsidRPr="004A2733">
        <w:rPr>
          <w:sz w:val="20"/>
          <w:szCs w:val="20"/>
        </w:rPr>
        <w:t>D.</w:t>
      </w:r>
      <w:r w:rsidR="00151BCF" w:rsidRPr="004A2733">
        <w:rPr>
          <w:sz w:val="20"/>
          <w:szCs w:val="20"/>
        </w:rPr>
        <w:t xml:space="preserve"> </w:t>
      </w:r>
      <w:r w:rsidRPr="004A2733">
        <w:rPr>
          <w:sz w:val="20"/>
          <w:szCs w:val="20"/>
        </w:rPr>
        <w:t>(2004).</w:t>
      </w:r>
      <w:r w:rsidR="00151BCF" w:rsidRPr="004A2733">
        <w:rPr>
          <w:sz w:val="20"/>
          <w:szCs w:val="20"/>
        </w:rPr>
        <w:t xml:space="preserve"> </w:t>
      </w:r>
      <w:r w:rsidRPr="004A2733">
        <w:rPr>
          <w:sz w:val="20"/>
          <w:szCs w:val="20"/>
        </w:rPr>
        <w:t>“Survey</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effect</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debt</w:t>
      </w:r>
      <w:r w:rsidR="00151BCF" w:rsidRPr="004A2733">
        <w:rPr>
          <w:sz w:val="20"/>
          <w:szCs w:val="20"/>
        </w:rPr>
        <w:t xml:space="preserve"> </w:t>
      </w:r>
      <w:r w:rsidRPr="004A2733">
        <w:rPr>
          <w:sz w:val="20"/>
          <w:szCs w:val="20"/>
        </w:rPr>
        <w:t>contracts,</w:t>
      </w:r>
      <w:r w:rsidR="00151BCF" w:rsidRPr="004A2733">
        <w:rPr>
          <w:sz w:val="20"/>
          <w:szCs w:val="20"/>
        </w:rPr>
        <w:t xml:space="preserve"> </w:t>
      </w:r>
      <w:r w:rsidRPr="004A2733">
        <w:rPr>
          <w:sz w:val="20"/>
          <w:szCs w:val="20"/>
        </w:rPr>
        <w:t>political</w:t>
      </w:r>
      <w:r w:rsidR="00151BCF" w:rsidRPr="004A2733">
        <w:rPr>
          <w:sz w:val="20"/>
          <w:szCs w:val="20"/>
        </w:rPr>
        <w:t xml:space="preserve"> </w:t>
      </w:r>
      <w:r w:rsidRPr="004A2733">
        <w:rPr>
          <w:sz w:val="20"/>
          <w:szCs w:val="20"/>
        </w:rPr>
        <w:t>costs,</w:t>
      </w:r>
      <w:r w:rsidR="00151BCF" w:rsidRPr="004A2733">
        <w:rPr>
          <w:sz w:val="20"/>
          <w:szCs w:val="20"/>
        </w:rPr>
        <w:t xml:space="preserve"> </w:t>
      </w:r>
      <w:r w:rsidRPr="004A2733">
        <w:rPr>
          <w:sz w:val="20"/>
          <w:szCs w:val="20"/>
        </w:rPr>
        <w:t>reward</w:t>
      </w:r>
      <w:r w:rsidR="00151BCF" w:rsidRPr="004A2733">
        <w:rPr>
          <w:sz w:val="20"/>
          <w:szCs w:val="20"/>
        </w:rPr>
        <w:t xml:space="preserve"> </w:t>
      </w:r>
      <w:r w:rsidRPr="004A2733">
        <w:rPr>
          <w:sz w:val="20"/>
          <w:szCs w:val="20"/>
        </w:rPr>
        <w:t>plans</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ownership</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earnings</w:t>
      </w:r>
      <w:r w:rsidR="00151BCF" w:rsidRPr="004A2733">
        <w:rPr>
          <w:sz w:val="20"/>
          <w:szCs w:val="20"/>
        </w:rPr>
        <w:t xml:space="preserve"> </w:t>
      </w:r>
      <w:r w:rsidRPr="004A2733">
        <w:rPr>
          <w:sz w:val="20"/>
          <w:szCs w:val="20"/>
        </w:rPr>
        <w:t>management</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firms</w:t>
      </w:r>
      <w:r w:rsidR="00151BCF" w:rsidRPr="004A2733">
        <w:rPr>
          <w:sz w:val="20"/>
          <w:szCs w:val="20"/>
        </w:rPr>
        <w:t xml:space="preserve"> </w:t>
      </w:r>
      <w:r w:rsidRPr="004A2733">
        <w:rPr>
          <w:sz w:val="20"/>
          <w:szCs w:val="20"/>
        </w:rPr>
        <w:t>listed</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Stock</w:t>
      </w:r>
      <w:r w:rsidR="00151BCF" w:rsidRPr="004A2733">
        <w:rPr>
          <w:sz w:val="20"/>
          <w:szCs w:val="20"/>
        </w:rPr>
        <w:t xml:space="preserve"> </w:t>
      </w:r>
      <w:r w:rsidRPr="004A2733">
        <w:rPr>
          <w:sz w:val="20"/>
          <w:szCs w:val="20"/>
        </w:rPr>
        <w:t>Exchange”.</w:t>
      </w:r>
      <w:r w:rsidR="00151BCF" w:rsidRPr="004A2733">
        <w:rPr>
          <w:sz w:val="20"/>
          <w:szCs w:val="20"/>
        </w:rPr>
        <w:t xml:space="preserve"> </w:t>
      </w:r>
      <w:r w:rsidRPr="004A2733">
        <w:rPr>
          <w:sz w:val="20"/>
          <w:szCs w:val="20"/>
        </w:rPr>
        <w:t>Accounting</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Auditing</w:t>
      </w:r>
      <w:r w:rsidR="00151BCF" w:rsidRPr="004A2733">
        <w:rPr>
          <w:sz w:val="20"/>
          <w:szCs w:val="20"/>
        </w:rPr>
        <w:t xml:space="preserve"> </w:t>
      </w:r>
      <w:r w:rsidRPr="004A2733">
        <w:rPr>
          <w:sz w:val="20"/>
          <w:szCs w:val="20"/>
        </w:rPr>
        <w:t>Survey,</w:t>
      </w:r>
      <w:r w:rsidR="00151BCF" w:rsidRPr="004A2733">
        <w:rPr>
          <w:sz w:val="20"/>
          <w:szCs w:val="20"/>
        </w:rPr>
        <w:t xml:space="preserve"> </w:t>
      </w:r>
      <w:r w:rsidRPr="004A2733">
        <w:rPr>
          <w:sz w:val="20"/>
          <w:szCs w:val="20"/>
        </w:rPr>
        <w:t>36,</w:t>
      </w:r>
      <w:r w:rsidR="00151BCF" w:rsidRPr="004A2733">
        <w:rPr>
          <w:sz w:val="20"/>
          <w:szCs w:val="20"/>
        </w:rPr>
        <w:t xml:space="preserve"> </w:t>
      </w:r>
      <w:r w:rsidRPr="004A2733">
        <w:rPr>
          <w:sz w:val="20"/>
          <w:szCs w:val="20"/>
        </w:rPr>
        <w:t>47-63.</w:t>
      </w:r>
    </w:p>
    <w:p w:rsidR="0049770E"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Hoseini</w:t>
      </w:r>
      <w:proofErr w:type="spellEnd"/>
      <w:r w:rsidRPr="004A2733">
        <w:rPr>
          <w:sz w:val="20"/>
          <w:szCs w:val="20"/>
        </w:rPr>
        <w:t>,</w:t>
      </w:r>
      <w:r w:rsidR="00151BCF" w:rsidRPr="004A2733">
        <w:rPr>
          <w:sz w:val="20"/>
          <w:szCs w:val="20"/>
        </w:rPr>
        <w:t xml:space="preserve"> </w:t>
      </w:r>
      <w:r w:rsidRPr="004A2733">
        <w:rPr>
          <w:sz w:val="20"/>
          <w:szCs w:val="20"/>
        </w:rPr>
        <w:t>S.</w:t>
      </w:r>
      <w:r w:rsidR="00151BCF" w:rsidRPr="004A2733">
        <w:rPr>
          <w:sz w:val="20"/>
          <w:szCs w:val="20"/>
        </w:rPr>
        <w:t xml:space="preserve"> </w:t>
      </w:r>
      <w:r w:rsidRPr="004A2733">
        <w:rPr>
          <w:sz w:val="20"/>
          <w:szCs w:val="20"/>
        </w:rPr>
        <w:t>M.</w:t>
      </w:r>
      <w:r w:rsidR="00151BCF" w:rsidRPr="004A2733">
        <w:rPr>
          <w:sz w:val="20"/>
          <w:szCs w:val="20"/>
        </w:rPr>
        <w:t xml:space="preserve"> </w:t>
      </w:r>
      <w:r w:rsidRPr="004A2733">
        <w:rPr>
          <w:sz w:val="20"/>
          <w:szCs w:val="20"/>
        </w:rPr>
        <w:t>(2207).</w:t>
      </w:r>
      <w:r w:rsidR="00151BCF" w:rsidRPr="004A2733">
        <w:rPr>
          <w:sz w:val="20"/>
          <w:szCs w:val="20"/>
        </w:rPr>
        <w:t xml:space="preserve"> </w:t>
      </w:r>
      <w:r w:rsidRPr="004A2733">
        <w:rPr>
          <w:sz w:val="20"/>
          <w:szCs w:val="20"/>
        </w:rPr>
        <w:t>“Survey</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effect</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institutional</w:t>
      </w:r>
      <w:r w:rsidR="00151BCF" w:rsidRPr="004A2733">
        <w:rPr>
          <w:sz w:val="20"/>
          <w:szCs w:val="20"/>
        </w:rPr>
        <w:t xml:space="preserve"> </w:t>
      </w:r>
      <w:r w:rsidRPr="004A2733">
        <w:rPr>
          <w:sz w:val="20"/>
          <w:szCs w:val="20"/>
        </w:rPr>
        <w:t>shareholders</w:t>
      </w:r>
      <w:r w:rsidR="00151BCF" w:rsidRPr="004A2733">
        <w:rPr>
          <w:sz w:val="20"/>
          <w:szCs w:val="20"/>
        </w:rPr>
        <w:t xml:space="preserve"> </w:t>
      </w:r>
      <w:r w:rsidRPr="004A2733">
        <w:rPr>
          <w:sz w:val="20"/>
          <w:szCs w:val="20"/>
        </w:rPr>
        <w:t>as</w:t>
      </w:r>
      <w:r w:rsidR="00151BCF" w:rsidRPr="004A2733">
        <w:rPr>
          <w:sz w:val="20"/>
          <w:szCs w:val="20"/>
        </w:rPr>
        <w:t xml:space="preserve"> </w:t>
      </w:r>
      <w:r w:rsidRPr="004A2733">
        <w:rPr>
          <w:sz w:val="20"/>
          <w:szCs w:val="20"/>
        </w:rPr>
        <w:t>one</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standards</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listed</w:t>
      </w:r>
      <w:r w:rsidR="00151BCF" w:rsidRPr="004A2733">
        <w:rPr>
          <w:sz w:val="20"/>
          <w:szCs w:val="20"/>
        </w:rPr>
        <w:t xml:space="preserve"> </w:t>
      </w:r>
      <w:r w:rsidRPr="004A2733">
        <w:rPr>
          <w:sz w:val="20"/>
          <w:szCs w:val="20"/>
        </w:rPr>
        <w:t>companies</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shareholders</w:t>
      </w:r>
      <w:r w:rsidR="00151BCF" w:rsidRPr="004A2733">
        <w:rPr>
          <w:sz w:val="20"/>
          <w:szCs w:val="20"/>
        </w:rPr>
        <w:t xml:space="preserve"> </w:t>
      </w:r>
      <w:r w:rsidRPr="004A2733">
        <w:rPr>
          <w:sz w:val="20"/>
          <w:szCs w:val="20"/>
        </w:rPr>
        <w:t>returns</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Stock</w:t>
      </w:r>
      <w:r w:rsidR="00151BCF" w:rsidRPr="004A2733">
        <w:rPr>
          <w:sz w:val="20"/>
          <w:szCs w:val="20"/>
        </w:rPr>
        <w:t xml:space="preserve"> </w:t>
      </w:r>
      <w:r w:rsidRPr="004A2733">
        <w:rPr>
          <w:sz w:val="20"/>
          <w:szCs w:val="20"/>
        </w:rPr>
        <w:t>Exchange”.</w:t>
      </w:r>
      <w:r w:rsidR="00151BCF" w:rsidRPr="004A2733">
        <w:rPr>
          <w:sz w:val="20"/>
          <w:szCs w:val="20"/>
        </w:rPr>
        <w:t xml:space="preserve"> </w:t>
      </w:r>
      <w:r w:rsidRPr="004A2733">
        <w:rPr>
          <w:sz w:val="20"/>
          <w:szCs w:val="20"/>
        </w:rPr>
        <w:t>Mather’s</w:t>
      </w:r>
      <w:r w:rsidR="00151BCF" w:rsidRPr="004A2733">
        <w:rPr>
          <w:sz w:val="20"/>
          <w:szCs w:val="20"/>
        </w:rPr>
        <w:t xml:space="preserve"> </w:t>
      </w:r>
      <w:r w:rsidRPr="004A2733">
        <w:rPr>
          <w:sz w:val="20"/>
          <w:szCs w:val="20"/>
        </w:rPr>
        <w:t>thesis,</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University,</w:t>
      </w:r>
      <w:r w:rsidR="00151BCF" w:rsidRPr="004A2733">
        <w:rPr>
          <w:sz w:val="20"/>
          <w:szCs w:val="20"/>
        </w:rPr>
        <w:t xml:space="preserve"> </w:t>
      </w:r>
      <w:r w:rsidRPr="004A2733">
        <w:rPr>
          <w:sz w:val="20"/>
          <w:szCs w:val="20"/>
        </w:rPr>
        <w:t>School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Management.</w:t>
      </w:r>
    </w:p>
    <w:p w:rsidR="0049770E"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Rasaeeyan</w:t>
      </w:r>
      <w:proofErr w:type="spellEnd"/>
      <w:r w:rsidRPr="004A2733">
        <w:rPr>
          <w:sz w:val="20"/>
          <w:szCs w:val="20"/>
        </w:rPr>
        <w:t>,</w:t>
      </w:r>
      <w:r w:rsidR="00151BCF" w:rsidRPr="004A2733">
        <w:rPr>
          <w:sz w:val="20"/>
          <w:szCs w:val="20"/>
        </w:rPr>
        <w:t xml:space="preserve"> </w:t>
      </w:r>
      <w:r w:rsidRPr="004A2733">
        <w:rPr>
          <w:sz w:val="20"/>
          <w:szCs w:val="20"/>
        </w:rPr>
        <w:t>A.</w:t>
      </w:r>
      <w:r w:rsidR="00151BCF" w:rsidRPr="004A2733">
        <w:rPr>
          <w:sz w:val="20"/>
          <w:szCs w:val="20"/>
        </w:rPr>
        <w:t xml:space="preserve"> </w:t>
      </w:r>
      <w:proofErr w:type="spellStart"/>
      <w:r w:rsidRPr="004A2733">
        <w:rPr>
          <w:sz w:val="20"/>
          <w:szCs w:val="20"/>
        </w:rPr>
        <w:t>Rahimi</w:t>
      </w:r>
      <w:proofErr w:type="spellEnd"/>
      <w:r w:rsidRPr="004A2733">
        <w:rPr>
          <w:sz w:val="20"/>
          <w:szCs w:val="20"/>
        </w:rPr>
        <w:t>,</w:t>
      </w:r>
      <w:r w:rsidR="00151BCF" w:rsidRPr="004A2733">
        <w:rPr>
          <w:sz w:val="20"/>
          <w:szCs w:val="20"/>
        </w:rPr>
        <w:t xml:space="preserve"> </w:t>
      </w:r>
      <w:r w:rsidRPr="004A2733">
        <w:rPr>
          <w:sz w:val="20"/>
          <w:szCs w:val="20"/>
        </w:rPr>
        <w:t>F.</w:t>
      </w:r>
      <w:r w:rsidR="00151BCF" w:rsidRPr="004A2733">
        <w:rPr>
          <w:sz w:val="20"/>
          <w:szCs w:val="20"/>
        </w:rPr>
        <w:t xml:space="preserve"> &amp; </w:t>
      </w:r>
      <w:proofErr w:type="spellStart"/>
      <w:r w:rsidRPr="004A2733">
        <w:rPr>
          <w:sz w:val="20"/>
          <w:szCs w:val="20"/>
        </w:rPr>
        <w:t>Hanjari</w:t>
      </w:r>
      <w:proofErr w:type="spellEnd"/>
      <w:r w:rsidRPr="004A2733">
        <w:rPr>
          <w:sz w:val="20"/>
          <w:szCs w:val="20"/>
        </w:rPr>
        <w:t>,</w:t>
      </w:r>
      <w:r w:rsidR="00151BCF" w:rsidRPr="004A2733">
        <w:rPr>
          <w:sz w:val="20"/>
          <w:szCs w:val="20"/>
        </w:rPr>
        <w:t xml:space="preserve"> </w:t>
      </w:r>
      <w:r w:rsidRPr="004A2733">
        <w:rPr>
          <w:sz w:val="20"/>
          <w:szCs w:val="20"/>
        </w:rPr>
        <w:t>S.</w:t>
      </w:r>
      <w:r w:rsidR="00151BCF" w:rsidRPr="004A2733">
        <w:rPr>
          <w:sz w:val="20"/>
          <w:szCs w:val="20"/>
        </w:rPr>
        <w:t xml:space="preserve"> </w:t>
      </w:r>
      <w:r w:rsidRPr="004A2733">
        <w:rPr>
          <w:sz w:val="20"/>
          <w:szCs w:val="20"/>
        </w:rPr>
        <w:t>(2010).</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impact</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inter-organizational</w:t>
      </w:r>
      <w:r w:rsidR="00151BCF" w:rsidRPr="004A2733">
        <w:rPr>
          <w:sz w:val="20"/>
          <w:szCs w:val="20"/>
        </w:rPr>
        <w:t xml:space="preserve"> </w:t>
      </w:r>
      <w:r w:rsidRPr="004A2733">
        <w:rPr>
          <w:sz w:val="20"/>
          <w:szCs w:val="20"/>
        </w:rPr>
        <w:t>regulatory</w:t>
      </w:r>
      <w:r w:rsidR="00151BCF" w:rsidRPr="004A2733">
        <w:rPr>
          <w:sz w:val="20"/>
          <w:szCs w:val="20"/>
        </w:rPr>
        <w:t xml:space="preserve"> </w:t>
      </w:r>
      <w:r w:rsidRPr="004A2733">
        <w:rPr>
          <w:sz w:val="20"/>
          <w:szCs w:val="20"/>
        </w:rPr>
        <w:t>mechanisms</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maintenance</w:t>
      </w:r>
      <w:r w:rsidR="00151BCF" w:rsidRPr="004A2733">
        <w:rPr>
          <w:sz w:val="20"/>
          <w:szCs w:val="20"/>
        </w:rPr>
        <w:t xml:space="preserve"> </w:t>
      </w:r>
      <w:r w:rsidRPr="004A2733">
        <w:rPr>
          <w:sz w:val="20"/>
          <w:szCs w:val="20"/>
        </w:rPr>
        <w:t>level</w:t>
      </w:r>
      <w:r w:rsidR="00151BCF" w:rsidRPr="004A2733">
        <w:rPr>
          <w:sz w:val="20"/>
          <w:szCs w:val="20"/>
        </w:rPr>
        <w:t xml:space="preserve"> </w:t>
      </w:r>
      <w:r w:rsidRPr="004A2733">
        <w:rPr>
          <w:sz w:val="20"/>
          <w:szCs w:val="20"/>
        </w:rPr>
        <w:t>at</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Stock</w:t>
      </w:r>
      <w:r w:rsidR="00151BCF" w:rsidRPr="004A2733">
        <w:rPr>
          <w:sz w:val="20"/>
          <w:szCs w:val="20"/>
        </w:rPr>
        <w:t xml:space="preserve"> </w:t>
      </w:r>
      <w:r w:rsidRPr="004A2733">
        <w:rPr>
          <w:sz w:val="20"/>
          <w:szCs w:val="20"/>
        </w:rPr>
        <w:t>Exchange”.</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Accounting</w:t>
      </w:r>
      <w:r w:rsidR="00151BCF" w:rsidRPr="004A2733">
        <w:rPr>
          <w:sz w:val="20"/>
          <w:szCs w:val="20"/>
        </w:rPr>
        <w:t xml:space="preserve"> </w:t>
      </w:r>
      <w:r w:rsidRPr="004A2733">
        <w:rPr>
          <w:sz w:val="20"/>
          <w:szCs w:val="20"/>
        </w:rPr>
        <w:t>Research</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IV,</w:t>
      </w:r>
      <w:r w:rsidR="00151BCF" w:rsidRPr="004A2733">
        <w:rPr>
          <w:sz w:val="20"/>
          <w:szCs w:val="20"/>
        </w:rPr>
        <w:t xml:space="preserve"> </w:t>
      </w:r>
      <w:r w:rsidRPr="004A2733">
        <w:rPr>
          <w:sz w:val="20"/>
          <w:szCs w:val="20"/>
        </w:rPr>
        <w:t>125</w:t>
      </w:r>
      <w:r w:rsidR="00151BCF" w:rsidRPr="004A2733">
        <w:rPr>
          <w:sz w:val="20"/>
          <w:szCs w:val="20"/>
        </w:rPr>
        <w:t xml:space="preserve"> </w:t>
      </w:r>
      <w:r w:rsidRPr="004A2733">
        <w:rPr>
          <w:sz w:val="20"/>
          <w:szCs w:val="20"/>
        </w:rPr>
        <w:t>-144.</w:t>
      </w:r>
    </w:p>
    <w:p w:rsidR="0049770E"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Sadeghi</w:t>
      </w:r>
      <w:proofErr w:type="spellEnd"/>
      <w:r w:rsidRPr="004A2733">
        <w:rPr>
          <w:sz w:val="20"/>
          <w:szCs w:val="20"/>
        </w:rPr>
        <w:t>,</w:t>
      </w:r>
      <w:r w:rsidR="00151BCF" w:rsidRPr="004A2733">
        <w:rPr>
          <w:sz w:val="20"/>
          <w:szCs w:val="20"/>
        </w:rPr>
        <w:t xml:space="preserve"> </w:t>
      </w:r>
      <w:r w:rsidRPr="004A2733">
        <w:rPr>
          <w:sz w:val="20"/>
          <w:szCs w:val="20"/>
        </w:rPr>
        <w:t>S.</w:t>
      </w:r>
      <w:r w:rsidR="00151BCF" w:rsidRPr="004A2733">
        <w:rPr>
          <w:sz w:val="20"/>
          <w:szCs w:val="20"/>
        </w:rPr>
        <w:t xml:space="preserve"> </w:t>
      </w:r>
      <w:r w:rsidRPr="004A2733">
        <w:rPr>
          <w:sz w:val="20"/>
          <w:szCs w:val="20"/>
        </w:rPr>
        <w:t>J.,</w:t>
      </w:r>
      <w:r w:rsidR="00151BCF" w:rsidRPr="004A2733">
        <w:rPr>
          <w:sz w:val="20"/>
          <w:szCs w:val="20"/>
        </w:rPr>
        <w:t xml:space="preserve"> </w:t>
      </w:r>
      <w:proofErr w:type="spellStart"/>
      <w:r w:rsidRPr="004A2733">
        <w:rPr>
          <w:sz w:val="20"/>
          <w:szCs w:val="20"/>
        </w:rPr>
        <w:t>Kaffash</w:t>
      </w:r>
      <w:proofErr w:type="spellEnd"/>
      <w:r w:rsidR="00151BCF" w:rsidRPr="004A2733">
        <w:rPr>
          <w:sz w:val="20"/>
          <w:szCs w:val="20"/>
        </w:rPr>
        <w:t xml:space="preserve"> </w:t>
      </w:r>
      <w:proofErr w:type="spellStart"/>
      <w:r w:rsidRPr="004A2733">
        <w:rPr>
          <w:sz w:val="20"/>
          <w:szCs w:val="20"/>
        </w:rPr>
        <w:t>Panj</w:t>
      </w:r>
      <w:r w:rsidR="004D27B1" w:rsidRPr="004A2733">
        <w:rPr>
          <w:sz w:val="20"/>
          <w:szCs w:val="20"/>
        </w:rPr>
        <w:t>e</w:t>
      </w:r>
      <w:proofErr w:type="spellEnd"/>
      <w:r w:rsidR="004D27B1" w:rsidRPr="004A2733">
        <w:rPr>
          <w:sz w:val="20"/>
          <w:szCs w:val="20"/>
        </w:rPr>
        <w:t xml:space="preserve"> </w:t>
      </w:r>
      <w:proofErr w:type="spellStart"/>
      <w:r w:rsidR="004D27B1" w:rsidRPr="004A2733">
        <w:rPr>
          <w:sz w:val="20"/>
          <w:szCs w:val="20"/>
        </w:rPr>
        <w:t>S</w:t>
      </w:r>
      <w:r w:rsidRPr="004A2733">
        <w:rPr>
          <w:sz w:val="20"/>
          <w:szCs w:val="20"/>
        </w:rPr>
        <w:t>hahi</w:t>
      </w:r>
      <w:proofErr w:type="spellEnd"/>
      <w:r w:rsidRPr="004A2733">
        <w:rPr>
          <w:sz w:val="20"/>
          <w:szCs w:val="20"/>
        </w:rPr>
        <w:t>,</w:t>
      </w:r>
      <w:r w:rsidR="00151BCF" w:rsidRPr="004A2733">
        <w:rPr>
          <w:sz w:val="20"/>
          <w:szCs w:val="20"/>
        </w:rPr>
        <w:t xml:space="preserve"> </w:t>
      </w:r>
      <w:r w:rsidRPr="004A2733">
        <w:rPr>
          <w:sz w:val="20"/>
          <w:szCs w:val="20"/>
        </w:rPr>
        <w:t>Sh.;</w:t>
      </w:r>
      <w:r w:rsidR="00151BCF" w:rsidRPr="004A2733">
        <w:rPr>
          <w:sz w:val="20"/>
          <w:szCs w:val="20"/>
        </w:rPr>
        <w:t xml:space="preserve"> &amp; </w:t>
      </w:r>
      <w:proofErr w:type="spellStart"/>
      <w:r w:rsidRPr="004A2733">
        <w:rPr>
          <w:sz w:val="20"/>
          <w:szCs w:val="20"/>
        </w:rPr>
        <w:t>Kaffash</w:t>
      </w:r>
      <w:proofErr w:type="spellEnd"/>
      <w:r w:rsidR="00151BCF" w:rsidRPr="004A2733">
        <w:rPr>
          <w:sz w:val="20"/>
          <w:szCs w:val="20"/>
        </w:rPr>
        <w:t xml:space="preserve"> </w:t>
      </w:r>
      <w:proofErr w:type="spellStart"/>
      <w:r w:rsidRPr="004A2733">
        <w:rPr>
          <w:sz w:val="20"/>
          <w:szCs w:val="20"/>
        </w:rPr>
        <w:t>Panj</w:t>
      </w:r>
      <w:r w:rsidR="004D27B1" w:rsidRPr="004A2733">
        <w:rPr>
          <w:sz w:val="20"/>
          <w:szCs w:val="20"/>
        </w:rPr>
        <w:t>e</w:t>
      </w:r>
      <w:proofErr w:type="spellEnd"/>
      <w:r w:rsidR="004D27B1" w:rsidRPr="004A2733">
        <w:rPr>
          <w:sz w:val="20"/>
          <w:szCs w:val="20"/>
        </w:rPr>
        <w:t xml:space="preserve"> </w:t>
      </w:r>
      <w:proofErr w:type="spellStart"/>
      <w:r w:rsidR="004D27B1" w:rsidRPr="004A2733">
        <w:rPr>
          <w:sz w:val="20"/>
          <w:szCs w:val="20"/>
        </w:rPr>
        <w:t>S</w:t>
      </w:r>
      <w:r w:rsidRPr="004A2733">
        <w:rPr>
          <w:sz w:val="20"/>
          <w:szCs w:val="20"/>
        </w:rPr>
        <w:t>hahi</w:t>
      </w:r>
      <w:proofErr w:type="spellEnd"/>
      <w:r w:rsidRPr="004A2733">
        <w:rPr>
          <w:sz w:val="20"/>
          <w:szCs w:val="20"/>
        </w:rPr>
        <w:t>,</w:t>
      </w:r>
      <w:r w:rsidR="00151BCF" w:rsidRPr="004A2733">
        <w:rPr>
          <w:sz w:val="20"/>
          <w:szCs w:val="20"/>
        </w:rPr>
        <w:t xml:space="preserve"> </w:t>
      </w:r>
      <w:r w:rsidRPr="004A2733">
        <w:rPr>
          <w:sz w:val="20"/>
          <w:szCs w:val="20"/>
        </w:rPr>
        <w:t>M.</w:t>
      </w:r>
      <w:r w:rsidR="00151BCF" w:rsidRPr="004A2733">
        <w:rPr>
          <w:sz w:val="20"/>
          <w:szCs w:val="20"/>
        </w:rPr>
        <w:t xml:space="preserve"> </w:t>
      </w:r>
      <w:r w:rsidRPr="004A2733">
        <w:rPr>
          <w:sz w:val="20"/>
          <w:szCs w:val="20"/>
        </w:rPr>
        <w:t>(2009).</w:t>
      </w:r>
      <w:r w:rsidR="00151BCF" w:rsidRPr="004A2733">
        <w:rPr>
          <w:sz w:val="20"/>
          <w:szCs w:val="20"/>
        </w:rPr>
        <w:t xml:space="preserve"> </w:t>
      </w:r>
      <w:r w:rsidRPr="004A2733">
        <w:rPr>
          <w:sz w:val="20"/>
          <w:szCs w:val="20"/>
        </w:rPr>
        <w:t>“Shareholders</w:t>
      </w:r>
      <w:r w:rsidR="00151BCF" w:rsidRPr="004A2733">
        <w:rPr>
          <w:sz w:val="20"/>
          <w:szCs w:val="20"/>
        </w:rPr>
        <w:t xml:space="preserve"> </w:t>
      </w:r>
      <w:r w:rsidRPr="004A2733">
        <w:rPr>
          <w:sz w:val="20"/>
          <w:szCs w:val="20"/>
        </w:rPr>
        <w:t>compound</w:t>
      </w:r>
      <w:r w:rsidR="00151BCF" w:rsidRPr="004A2733">
        <w:rPr>
          <w:sz w:val="20"/>
          <w:szCs w:val="20"/>
        </w:rPr>
        <w:t xml:space="preserve"> </w:t>
      </w:r>
      <w:r w:rsidRPr="004A2733">
        <w:rPr>
          <w:sz w:val="20"/>
          <w:szCs w:val="20"/>
        </w:rPr>
        <w:t>Effect</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efficiency</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listed</w:t>
      </w:r>
      <w:r w:rsidR="00151BCF" w:rsidRPr="004A2733">
        <w:rPr>
          <w:sz w:val="20"/>
          <w:szCs w:val="20"/>
        </w:rPr>
        <w:t xml:space="preserve"> </w:t>
      </w:r>
      <w:r w:rsidRPr="004A2733">
        <w:rPr>
          <w:sz w:val="20"/>
          <w:szCs w:val="20"/>
        </w:rPr>
        <w:t>companies</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Stock</w:t>
      </w:r>
      <w:r w:rsidR="00151BCF" w:rsidRPr="004A2733">
        <w:rPr>
          <w:sz w:val="20"/>
          <w:szCs w:val="20"/>
        </w:rPr>
        <w:t xml:space="preserve"> </w:t>
      </w:r>
      <w:r w:rsidRPr="004A2733">
        <w:rPr>
          <w:sz w:val="20"/>
          <w:szCs w:val="20"/>
        </w:rPr>
        <w:t>Exchange”.</w:t>
      </w:r>
      <w:r w:rsidR="00151BCF" w:rsidRPr="004A2733">
        <w:rPr>
          <w:sz w:val="20"/>
          <w:szCs w:val="20"/>
        </w:rPr>
        <w:t xml:space="preserve"> </w:t>
      </w:r>
      <w:r w:rsidRPr="004A2733">
        <w:rPr>
          <w:sz w:val="20"/>
          <w:szCs w:val="20"/>
        </w:rPr>
        <w:lastRenderedPageBreak/>
        <w:t>Accounting</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Auditing</w:t>
      </w:r>
      <w:r w:rsidR="00151BCF" w:rsidRPr="004A2733">
        <w:rPr>
          <w:sz w:val="20"/>
          <w:szCs w:val="20"/>
        </w:rPr>
        <w:t xml:space="preserve"> </w:t>
      </w:r>
      <w:r w:rsidRPr="004A2733">
        <w:rPr>
          <w:sz w:val="20"/>
          <w:szCs w:val="20"/>
        </w:rPr>
        <w:t>Studies,</w:t>
      </w:r>
      <w:r w:rsidR="00151BCF" w:rsidRPr="004A2733">
        <w:rPr>
          <w:sz w:val="20"/>
          <w:szCs w:val="20"/>
        </w:rPr>
        <w:t xml:space="preserve"> </w:t>
      </w:r>
      <w:r w:rsidRPr="004A2733">
        <w:rPr>
          <w:sz w:val="20"/>
          <w:szCs w:val="20"/>
        </w:rPr>
        <w:t>16</w:t>
      </w:r>
      <w:r w:rsidR="00151BCF" w:rsidRPr="004A2733">
        <w:rPr>
          <w:sz w:val="20"/>
          <w:szCs w:val="20"/>
        </w:rPr>
        <w:t xml:space="preserve"> </w:t>
      </w:r>
      <w:r w:rsidRPr="004A2733">
        <w:rPr>
          <w:sz w:val="20"/>
          <w:szCs w:val="20"/>
        </w:rPr>
        <w:t>(55),</w:t>
      </w:r>
      <w:r w:rsidR="00151BCF" w:rsidRPr="004A2733">
        <w:rPr>
          <w:sz w:val="20"/>
          <w:szCs w:val="20"/>
        </w:rPr>
        <w:t xml:space="preserve"> </w:t>
      </w:r>
      <w:r w:rsidRPr="004A2733">
        <w:rPr>
          <w:sz w:val="20"/>
          <w:szCs w:val="20"/>
        </w:rPr>
        <w:t>51-66.</w:t>
      </w:r>
    </w:p>
    <w:p w:rsidR="0049770E"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Talebi</w:t>
      </w:r>
      <w:proofErr w:type="spellEnd"/>
      <w:r w:rsidRPr="004A2733">
        <w:rPr>
          <w:sz w:val="20"/>
          <w:szCs w:val="20"/>
        </w:rPr>
        <w:t>,</w:t>
      </w:r>
      <w:r w:rsidR="00151BCF" w:rsidRPr="004A2733">
        <w:rPr>
          <w:sz w:val="20"/>
          <w:szCs w:val="20"/>
        </w:rPr>
        <w:t xml:space="preserve"> </w:t>
      </w:r>
      <w:r w:rsidRPr="004A2733">
        <w:rPr>
          <w:sz w:val="20"/>
          <w:szCs w:val="20"/>
        </w:rPr>
        <w:t>M.</w:t>
      </w:r>
      <w:r w:rsidR="00151BCF" w:rsidRPr="004A2733">
        <w:rPr>
          <w:sz w:val="20"/>
          <w:szCs w:val="20"/>
        </w:rPr>
        <w:t xml:space="preserve"> </w:t>
      </w:r>
      <w:r w:rsidRPr="004A2733">
        <w:rPr>
          <w:sz w:val="20"/>
          <w:szCs w:val="20"/>
        </w:rPr>
        <w:t>(1996).</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management</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liquidity</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Research,</w:t>
      </w:r>
      <w:r w:rsidR="00151BCF" w:rsidRPr="004A2733">
        <w:rPr>
          <w:sz w:val="20"/>
          <w:szCs w:val="20"/>
        </w:rPr>
        <w:t xml:space="preserve"> </w:t>
      </w:r>
      <w:r w:rsidRPr="004A2733">
        <w:rPr>
          <w:sz w:val="20"/>
          <w:szCs w:val="20"/>
        </w:rPr>
        <w:t>Third</w:t>
      </w:r>
      <w:r w:rsidR="00151BCF" w:rsidRPr="004A2733">
        <w:rPr>
          <w:sz w:val="20"/>
          <w:szCs w:val="20"/>
        </w:rPr>
        <w:t xml:space="preserve"> </w:t>
      </w:r>
      <w:r w:rsidRPr="004A2733">
        <w:rPr>
          <w:sz w:val="20"/>
          <w:szCs w:val="20"/>
        </w:rPr>
        <w:t>Year,</w:t>
      </w:r>
      <w:r w:rsidR="00151BCF" w:rsidRPr="004A2733">
        <w:rPr>
          <w:sz w:val="20"/>
          <w:szCs w:val="20"/>
        </w:rPr>
        <w:t xml:space="preserve"> </w:t>
      </w:r>
      <w:r w:rsidRPr="004A2733">
        <w:rPr>
          <w:sz w:val="20"/>
          <w:szCs w:val="20"/>
        </w:rPr>
        <w:t>(12</w:t>
      </w:r>
      <w:r w:rsidR="00151BCF" w:rsidRPr="004A2733">
        <w:rPr>
          <w:sz w:val="20"/>
          <w:szCs w:val="20"/>
        </w:rPr>
        <w:t xml:space="preserve"> &amp; </w:t>
      </w:r>
      <w:r w:rsidRPr="004A2733">
        <w:rPr>
          <w:sz w:val="20"/>
          <w:szCs w:val="20"/>
        </w:rPr>
        <w:t>13),</w:t>
      </w:r>
      <w:r w:rsidR="00151BCF" w:rsidRPr="004A2733">
        <w:rPr>
          <w:sz w:val="20"/>
          <w:szCs w:val="20"/>
        </w:rPr>
        <w:t xml:space="preserve"> </w:t>
      </w:r>
      <w:r w:rsidRPr="004A2733">
        <w:rPr>
          <w:sz w:val="20"/>
          <w:szCs w:val="20"/>
        </w:rPr>
        <w:t>110-126.</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Talebi</w:t>
      </w:r>
      <w:proofErr w:type="spellEnd"/>
      <w:r w:rsidRPr="004A2733">
        <w:rPr>
          <w:sz w:val="20"/>
          <w:szCs w:val="20"/>
        </w:rPr>
        <w:t>,</w:t>
      </w:r>
      <w:r w:rsidR="00151BCF" w:rsidRPr="004A2733">
        <w:rPr>
          <w:sz w:val="20"/>
          <w:szCs w:val="20"/>
        </w:rPr>
        <w:t xml:space="preserve"> </w:t>
      </w:r>
      <w:r w:rsidRPr="004A2733">
        <w:rPr>
          <w:sz w:val="20"/>
          <w:szCs w:val="20"/>
        </w:rPr>
        <w:t>M.</w:t>
      </w:r>
      <w:r w:rsidR="00151BCF" w:rsidRPr="004A2733">
        <w:rPr>
          <w:sz w:val="20"/>
          <w:szCs w:val="20"/>
        </w:rPr>
        <w:t xml:space="preserve"> </w:t>
      </w:r>
      <w:r w:rsidRPr="004A2733">
        <w:rPr>
          <w:sz w:val="20"/>
          <w:szCs w:val="20"/>
        </w:rPr>
        <w:t>(1998).</w:t>
      </w:r>
      <w:r w:rsidR="00151BCF" w:rsidRPr="004A2733">
        <w:rPr>
          <w:sz w:val="20"/>
          <w:szCs w:val="20"/>
        </w:rPr>
        <w:t xml:space="preserve"> </w:t>
      </w:r>
      <w:r w:rsidRPr="004A2733">
        <w:rPr>
          <w:sz w:val="20"/>
          <w:szCs w:val="20"/>
        </w:rPr>
        <w:t>“Evaluate</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working</w:t>
      </w:r>
      <w:r w:rsidR="00151BCF" w:rsidRPr="004A2733">
        <w:rPr>
          <w:sz w:val="20"/>
          <w:szCs w:val="20"/>
        </w:rPr>
        <w:t xml:space="preserve"> </w:t>
      </w:r>
      <w:r w:rsidRPr="004A2733">
        <w:rPr>
          <w:sz w:val="20"/>
          <w:szCs w:val="20"/>
        </w:rPr>
        <w:t>capital</w:t>
      </w:r>
      <w:r w:rsidR="00151BCF" w:rsidRPr="004A2733">
        <w:rPr>
          <w:sz w:val="20"/>
          <w:szCs w:val="20"/>
        </w:rPr>
        <w:t xml:space="preserve"> </w:t>
      </w:r>
      <w:r w:rsidRPr="004A2733">
        <w:rPr>
          <w:sz w:val="20"/>
          <w:szCs w:val="20"/>
        </w:rPr>
        <w:t>management</w:t>
      </w:r>
      <w:r w:rsidR="00151BCF" w:rsidRPr="004A2733">
        <w:rPr>
          <w:sz w:val="20"/>
          <w:szCs w:val="20"/>
        </w:rPr>
        <w:t xml:space="preserve"> </w:t>
      </w:r>
      <w:r w:rsidRPr="004A2733">
        <w:rPr>
          <w:sz w:val="20"/>
          <w:szCs w:val="20"/>
        </w:rPr>
        <w:t>present</w:t>
      </w:r>
      <w:r w:rsidR="00151BCF" w:rsidRPr="004A2733">
        <w:rPr>
          <w:sz w:val="20"/>
          <w:szCs w:val="20"/>
        </w:rPr>
        <w:t xml:space="preserve"> </w:t>
      </w:r>
      <w:r w:rsidRPr="004A2733">
        <w:rPr>
          <w:sz w:val="20"/>
          <w:szCs w:val="20"/>
        </w:rPr>
        <w:t>status</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Iranian</w:t>
      </w:r>
      <w:r w:rsidR="00151BCF" w:rsidRPr="004A2733">
        <w:rPr>
          <w:sz w:val="20"/>
          <w:szCs w:val="20"/>
        </w:rPr>
        <w:t xml:space="preserve"> </w:t>
      </w:r>
      <w:r w:rsidRPr="004A2733">
        <w:rPr>
          <w:sz w:val="20"/>
          <w:szCs w:val="20"/>
        </w:rPr>
        <w:t>firms”.</w:t>
      </w:r>
      <w:r w:rsidR="00151BCF" w:rsidRPr="004A2733">
        <w:rPr>
          <w:sz w:val="20"/>
          <w:szCs w:val="20"/>
        </w:rPr>
        <w:t xml:space="preserve"> </w:t>
      </w:r>
      <w:r w:rsidRPr="004A2733">
        <w:rPr>
          <w:sz w:val="20"/>
          <w:szCs w:val="20"/>
        </w:rPr>
        <w:t>PhD</w:t>
      </w:r>
      <w:r w:rsidR="00151BCF" w:rsidRPr="004A2733">
        <w:rPr>
          <w:sz w:val="20"/>
          <w:szCs w:val="20"/>
        </w:rPr>
        <w:t xml:space="preserve"> </w:t>
      </w:r>
      <w:r w:rsidRPr="004A2733">
        <w:rPr>
          <w:sz w:val="20"/>
          <w:szCs w:val="20"/>
        </w:rPr>
        <w:t>Dissertation,</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University,</w:t>
      </w:r>
      <w:r w:rsidR="00151BCF" w:rsidRPr="004A2733">
        <w:rPr>
          <w:sz w:val="20"/>
          <w:szCs w:val="20"/>
        </w:rPr>
        <w:t xml:space="preserve"> </w:t>
      </w:r>
      <w:r w:rsidRPr="004A2733">
        <w:rPr>
          <w:sz w:val="20"/>
          <w:szCs w:val="20"/>
        </w:rPr>
        <w:t>School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Management.</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Ghiyasvand</w:t>
      </w:r>
      <w:proofErr w:type="spellEnd"/>
      <w:r w:rsidRPr="004A2733">
        <w:rPr>
          <w:sz w:val="20"/>
          <w:szCs w:val="20"/>
        </w:rPr>
        <w:t>,</w:t>
      </w:r>
      <w:r w:rsidR="00151BCF" w:rsidRPr="004A2733">
        <w:rPr>
          <w:sz w:val="20"/>
          <w:szCs w:val="20"/>
        </w:rPr>
        <w:t xml:space="preserve"> </w:t>
      </w:r>
      <w:r w:rsidRPr="004A2733">
        <w:rPr>
          <w:sz w:val="20"/>
          <w:szCs w:val="20"/>
        </w:rPr>
        <w:t>A.</w:t>
      </w:r>
      <w:r w:rsidR="00151BCF" w:rsidRPr="004A2733">
        <w:rPr>
          <w:sz w:val="20"/>
          <w:szCs w:val="20"/>
        </w:rPr>
        <w:t xml:space="preserve"> </w:t>
      </w:r>
      <w:r w:rsidRPr="004A2733">
        <w:rPr>
          <w:sz w:val="20"/>
          <w:szCs w:val="20"/>
        </w:rPr>
        <w:t>(2008).</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application</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statistics</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SPSS</w:t>
      </w:r>
      <w:r w:rsidR="00151BCF" w:rsidRPr="004A2733">
        <w:rPr>
          <w:sz w:val="20"/>
          <w:szCs w:val="20"/>
        </w:rPr>
        <w:t xml:space="preserve"> </w:t>
      </w:r>
      <w:r w:rsidRPr="004A2733">
        <w:rPr>
          <w:sz w:val="20"/>
          <w:szCs w:val="20"/>
        </w:rPr>
        <w:t>software</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data</w:t>
      </w:r>
      <w:r w:rsidR="00151BCF" w:rsidRPr="004A2733">
        <w:rPr>
          <w:sz w:val="20"/>
          <w:szCs w:val="20"/>
        </w:rPr>
        <w:t xml:space="preserve"> </w:t>
      </w:r>
      <w:r w:rsidRPr="004A2733">
        <w:rPr>
          <w:sz w:val="20"/>
          <w:szCs w:val="20"/>
        </w:rPr>
        <w:t>analysis”.</w:t>
      </w:r>
      <w:r w:rsidR="00151BCF" w:rsidRPr="004A2733">
        <w:rPr>
          <w:sz w:val="20"/>
          <w:szCs w:val="20"/>
        </w:rPr>
        <w:t xml:space="preserve"> </w:t>
      </w:r>
      <w:r w:rsidRPr="004A2733">
        <w:rPr>
          <w:sz w:val="20"/>
          <w:szCs w:val="20"/>
        </w:rPr>
        <w:t>Comprehensive</w:t>
      </w:r>
      <w:r w:rsidR="00151BCF" w:rsidRPr="004A2733">
        <w:rPr>
          <w:sz w:val="20"/>
          <w:szCs w:val="20"/>
        </w:rPr>
        <w:t xml:space="preserve"> </w:t>
      </w:r>
      <w:r w:rsidRPr="004A2733">
        <w:rPr>
          <w:sz w:val="20"/>
          <w:szCs w:val="20"/>
        </w:rPr>
        <w:t>training</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SPSS</w:t>
      </w:r>
      <w:r w:rsidR="00151BCF" w:rsidRPr="004A2733">
        <w:rPr>
          <w:sz w:val="20"/>
          <w:szCs w:val="20"/>
        </w:rPr>
        <w:t xml:space="preserve"> </w:t>
      </w:r>
      <w:r w:rsidRPr="004A2733">
        <w:rPr>
          <w:sz w:val="20"/>
          <w:szCs w:val="20"/>
        </w:rPr>
        <w:t>Software,</w:t>
      </w:r>
      <w:r w:rsidR="00151BCF" w:rsidRPr="004A2733">
        <w:rPr>
          <w:sz w:val="20"/>
          <w:szCs w:val="20"/>
        </w:rPr>
        <w:t xml:space="preserve"> </w:t>
      </w:r>
      <w:r w:rsidRPr="004A2733">
        <w:rPr>
          <w:sz w:val="20"/>
          <w:szCs w:val="20"/>
        </w:rPr>
        <w:t>Tehran,</w:t>
      </w:r>
      <w:r w:rsidR="00151BCF" w:rsidRPr="004A2733">
        <w:rPr>
          <w:sz w:val="20"/>
          <w:szCs w:val="20"/>
        </w:rPr>
        <w:t xml:space="preserve"> </w:t>
      </w:r>
      <w:proofErr w:type="spellStart"/>
      <w:r w:rsidRPr="004A2733">
        <w:rPr>
          <w:sz w:val="20"/>
          <w:szCs w:val="20"/>
        </w:rPr>
        <w:t>Louyeh</w:t>
      </w:r>
      <w:proofErr w:type="spellEnd"/>
      <w:r w:rsidR="00151BCF" w:rsidRPr="004A2733">
        <w:rPr>
          <w:sz w:val="20"/>
          <w:szCs w:val="20"/>
        </w:rPr>
        <w:t xml:space="preserve"> </w:t>
      </w:r>
      <w:r w:rsidRPr="004A2733">
        <w:rPr>
          <w:sz w:val="20"/>
          <w:szCs w:val="20"/>
        </w:rPr>
        <w:t>Publishing.</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Forghandoust</w:t>
      </w:r>
      <w:proofErr w:type="spellEnd"/>
      <w:r w:rsidR="00151BCF" w:rsidRPr="004A2733">
        <w:rPr>
          <w:sz w:val="20"/>
          <w:szCs w:val="20"/>
        </w:rPr>
        <w:t xml:space="preserve"> </w:t>
      </w:r>
      <w:proofErr w:type="spellStart"/>
      <w:r w:rsidRPr="004A2733">
        <w:rPr>
          <w:sz w:val="20"/>
          <w:szCs w:val="20"/>
        </w:rPr>
        <w:t>Haghighi</w:t>
      </w:r>
      <w:proofErr w:type="spellEnd"/>
      <w:r w:rsidRPr="004A2733">
        <w:rPr>
          <w:sz w:val="20"/>
          <w:szCs w:val="20"/>
        </w:rPr>
        <w:t>,</w:t>
      </w:r>
      <w:r w:rsidR="00151BCF" w:rsidRPr="004A2733">
        <w:rPr>
          <w:sz w:val="20"/>
          <w:szCs w:val="20"/>
        </w:rPr>
        <w:t xml:space="preserve"> </w:t>
      </w:r>
      <w:r w:rsidRPr="004A2733">
        <w:rPr>
          <w:sz w:val="20"/>
          <w:szCs w:val="20"/>
        </w:rPr>
        <w:t>K.</w:t>
      </w:r>
      <w:r w:rsidR="00151BCF" w:rsidRPr="004A2733">
        <w:rPr>
          <w:sz w:val="20"/>
          <w:szCs w:val="20"/>
        </w:rPr>
        <w:t xml:space="preserve"> &amp; </w:t>
      </w:r>
      <w:proofErr w:type="spellStart"/>
      <w:r w:rsidRPr="004A2733">
        <w:rPr>
          <w:sz w:val="20"/>
          <w:szCs w:val="20"/>
        </w:rPr>
        <w:t>Vafadar</w:t>
      </w:r>
      <w:proofErr w:type="spellEnd"/>
      <w:r w:rsidRPr="004A2733">
        <w:rPr>
          <w:sz w:val="20"/>
          <w:szCs w:val="20"/>
        </w:rPr>
        <w:t>,</w:t>
      </w:r>
      <w:r w:rsidR="00151BCF" w:rsidRPr="004A2733">
        <w:rPr>
          <w:sz w:val="20"/>
          <w:szCs w:val="20"/>
        </w:rPr>
        <w:t xml:space="preserve"> </w:t>
      </w:r>
      <w:r w:rsidRPr="004A2733">
        <w:rPr>
          <w:sz w:val="20"/>
          <w:szCs w:val="20"/>
        </w:rPr>
        <w:t>A.</w:t>
      </w:r>
      <w:r w:rsidR="00151BCF" w:rsidRPr="004A2733">
        <w:rPr>
          <w:sz w:val="20"/>
          <w:szCs w:val="20"/>
        </w:rPr>
        <w:t xml:space="preserve"> </w:t>
      </w:r>
      <w:r w:rsidRPr="004A2733">
        <w:rPr>
          <w:sz w:val="20"/>
          <w:szCs w:val="20"/>
        </w:rPr>
        <w:t>(1997).</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flows</w:t>
      </w:r>
      <w:r w:rsidR="00151BCF" w:rsidRPr="004A2733">
        <w:rPr>
          <w:sz w:val="20"/>
          <w:szCs w:val="20"/>
        </w:rPr>
        <w:t xml:space="preserve"> </w:t>
      </w:r>
      <w:r w:rsidRPr="004A2733">
        <w:rPr>
          <w:sz w:val="20"/>
          <w:szCs w:val="20"/>
        </w:rPr>
        <w:t>from</w:t>
      </w:r>
      <w:r w:rsidR="00151BCF" w:rsidRPr="004A2733">
        <w:rPr>
          <w:sz w:val="20"/>
          <w:szCs w:val="20"/>
        </w:rPr>
        <w:t xml:space="preserve"> </w:t>
      </w:r>
      <w:r w:rsidRPr="004A2733">
        <w:rPr>
          <w:sz w:val="20"/>
          <w:szCs w:val="20"/>
        </w:rPr>
        <w:t>a</w:t>
      </w:r>
      <w:r w:rsidR="00151BCF" w:rsidRPr="004A2733">
        <w:rPr>
          <w:sz w:val="20"/>
          <w:szCs w:val="20"/>
        </w:rPr>
        <w:t xml:space="preserve"> </w:t>
      </w:r>
      <w:r w:rsidRPr="004A2733">
        <w:rPr>
          <w:sz w:val="20"/>
          <w:szCs w:val="20"/>
        </w:rPr>
        <w:t>theoretical</w:t>
      </w:r>
      <w:r w:rsidR="00151BCF" w:rsidRPr="004A2733">
        <w:rPr>
          <w:sz w:val="20"/>
          <w:szCs w:val="20"/>
        </w:rPr>
        <w:t xml:space="preserve"> </w:t>
      </w:r>
      <w:r w:rsidRPr="004A2733">
        <w:rPr>
          <w:sz w:val="20"/>
          <w:szCs w:val="20"/>
        </w:rPr>
        <w:t>perspective”,</w:t>
      </w:r>
      <w:r w:rsidR="00151BCF" w:rsidRPr="004A2733">
        <w:rPr>
          <w:sz w:val="20"/>
          <w:szCs w:val="20"/>
        </w:rPr>
        <w:t xml:space="preserve"> </w:t>
      </w:r>
      <w:r w:rsidRPr="004A2733">
        <w:rPr>
          <w:sz w:val="20"/>
          <w:szCs w:val="20"/>
        </w:rPr>
        <w:t>Studies</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Accounting</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Auditing,</w:t>
      </w:r>
      <w:r w:rsidR="00151BCF" w:rsidRPr="004A2733">
        <w:rPr>
          <w:sz w:val="20"/>
          <w:szCs w:val="20"/>
        </w:rPr>
        <w:t xml:space="preserve"> </w:t>
      </w:r>
      <w:r w:rsidRPr="004A2733">
        <w:rPr>
          <w:sz w:val="20"/>
          <w:szCs w:val="20"/>
        </w:rPr>
        <w:t>Year</w:t>
      </w:r>
      <w:r w:rsidR="00151BCF" w:rsidRPr="004A2733">
        <w:rPr>
          <w:sz w:val="20"/>
          <w:szCs w:val="20"/>
        </w:rPr>
        <w:t xml:space="preserve"> </w:t>
      </w:r>
      <w:r w:rsidRPr="004A2733">
        <w:rPr>
          <w:sz w:val="20"/>
          <w:szCs w:val="20"/>
        </w:rPr>
        <w:t>V</w:t>
      </w:r>
      <w:r w:rsidR="00151BCF" w:rsidRPr="004A2733">
        <w:rPr>
          <w:sz w:val="20"/>
          <w:szCs w:val="20"/>
        </w:rPr>
        <w:t xml:space="preserve"> </w:t>
      </w:r>
      <w:r w:rsidRPr="004A2733">
        <w:rPr>
          <w:sz w:val="20"/>
          <w:szCs w:val="20"/>
        </w:rPr>
        <w:t>(20</w:t>
      </w:r>
      <w:r w:rsidR="00151BCF" w:rsidRPr="004A2733">
        <w:rPr>
          <w:sz w:val="20"/>
          <w:szCs w:val="20"/>
        </w:rPr>
        <w:t xml:space="preserve"> &amp; </w:t>
      </w:r>
      <w:r w:rsidRPr="004A2733">
        <w:rPr>
          <w:sz w:val="20"/>
          <w:szCs w:val="20"/>
        </w:rPr>
        <w:t>21).</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Feli</w:t>
      </w:r>
      <w:proofErr w:type="spellEnd"/>
      <w:r w:rsidRPr="004A2733">
        <w:rPr>
          <w:sz w:val="20"/>
          <w:szCs w:val="20"/>
        </w:rPr>
        <w:t>,</w:t>
      </w:r>
      <w:r w:rsidR="00151BCF" w:rsidRPr="004A2733">
        <w:rPr>
          <w:sz w:val="20"/>
          <w:szCs w:val="20"/>
        </w:rPr>
        <w:t xml:space="preserve"> </w:t>
      </w:r>
      <w:r w:rsidRPr="004A2733">
        <w:rPr>
          <w:sz w:val="20"/>
          <w:szCs w:val="20"/>
        </w:rPr>
        <w:t>M.</w:t>
      </w:r>
      <w:r w:rsidR="00151BCF" w:rsidRPr="004A2733">
        <w:rPr>
          <w:sz w:val="20"/>
          <w:szCs w:val="20"/>
        </w:rPr>
        <w:t xml:space="preserve"> </w:t>
      </w:r>
      <w:r w:rsidRPr="004A2733">
        <w:rPr>
          <w:sz w:val="20"/>
          <w:szCs w:val="20"/>
        </w:rPr>
        <w:t>(2008).</w:t>
      </w:r>
      <w:r w:rsidR="00151BCF" w:rsidRPr="004A2733">
        <w:rPr>
          <w:sz w:val="20"/>
          <w:szCs w:val="20"/>
        </w:rPr>
        <w:t xml:space="preserve"> </w:t>
      </w:r>
      <w:r w:rsidRPr="004A2733">
        <w:rPr>
          <w:sz w:val="20"/>
          <w:szCs w:val="20"/>
        </w:rPr>
        <w:t>“examine</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relationship</w:t>
      </w:r>
      <w:r w:rsidR="00151BCF" w:rsidRPr="004A2733">
        <w:rPr>
          <w:sz w:val="20"/>
          <w:szCs w:val="20"/>
        </w:rPr>
        <w:t xml:space="preserve"> </w:t>
      </w:r>
      <w:r w:rsidRPr="004A2733">
        <w:rPr>
          <w:sz w:val="20"/>
          <w:szCs w:val="20"/>
        </w:rPr>
        <w:t>between</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firm</w:t>
      </w:r>
      <w:r w:rsidR="00151BCF" w:rsidRPr="004A2733">
        <w:rPr>
          <w:sz w:val="20"/>
          <w:szCs w:val="20"/>
        </w:rPr>
        <w:t xml:space="preserve"> </w:t>
      </w:r>
      <w:r w:rsidRPr="004A2733">
        <w:rPr>
          <w:sz w:val="20"/>
          <w:szCs w:val="20"/>
        </w:rPr>
        <w:t>value”,</w:t>
      </w:r>
      <w:r w:rsidR="00151BCF" w:rsidRPr="004A2733">
        <w:rPr>
          <w:sz w:val="20"/>
          <w:szCs w:val="20"/>
        </w:rPr>
        <w:t xml:space="preserve"> </w:t>
      </w:r>
      <w:r w:rsidRPr="004A2733">
        <w:rPr>
          <w:sz w:val="20"/>
          <w:szCs w:val="20"/>
        </w:rPr>
        <w:t>Master</w:t>
      </w:r>
      <w:r w:rsidR="00151BCF" w:rsidRPr="004A2733">
        <w:rPr>
          <w:sz w:val="20"/>
          <w:szCs w:val="20"/>
        </w:rPr>
        <w:t xml:space="preserve"> </w:t>
      </w:r>
      <w:r w:rsidRPr="004A2733">
        <w:rPr>
          <w:sz w:val="20"/>
          <w:szCs w:val="20"/>
        </w:rPr>
        <w:t>Thesis,</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University,</w:t>
      </w:r>
      <w:r w:rsidR="00151BCF" w:rsidRPr="004A2733">
        <w:rPr>
          <w:sz w:val="20"/>
          <w:szCs w:val="20"/>
        </w:rPr>
        <w:t xml:space="preserve"> </w:t>
      </w:r>
      <w:r w:rsidRPr="004A2733">
        <w:rPr>
          <w:sz w:val="20"/>
          <w:szCs w:val="20"/>
        </w:rPr>
        <w:t>School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Management.</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Sina</w:t>
      </w:r>
      <w:proofErr w:type="spellEnd"/>
      <w:r w:rsidR="00151BCF" w:rsidRPr="004A2733">
        <w:rPr>
          <w:sz w:val="20"/>
          <w:szCs w:val="20"/>
        </w:rPr>
        <w:t xml:space="preserve"> </w:t>
      </w:r>
      <w:proofErr w:type="spellStart"/>
      <w:r w:rsidRPr="004A2733">
        <w:rPr>
          <w:sz w:val="20"/>
          <w:szCs w:val="20"/>
        </w:rPr>
        <w:t>Ghods</w:t>
      </w:r>
      <w:proofErr w:type="spellEnd"/>
      <w:r w:rsidRPr="004A2733">
        <w:rPr>
          <w:sz w:val="20"/>
          <w:szCs w:val="20"/>
        </w:rPr>
        <w:t>,</w:t>
      </w:r>
      <w:r w:rsidR="00151BCF" w:rsidRPr="004A2733">
        <w:rPr>
          <w:sz w:val="20"/>
          <w:szCs w:val="20"/>
        </w:rPr>
        <w:t xml:space="preserve"> </w:t>
      </w:r>
      <w:r w:rsidRPr="004A2733">
        <w:rPr>
          <w:sz w:val="20"/>
          <w:szCs w:val="20"/>
        </w:rPr>
        <w:t>A.</w:t>
      </w:r>
      <w:r w:rsidR="00151BCF" w:rsidRPr="004A2733">
        <w:rPr>
          <w:sz w:val="20"/>
          <w:szCs w:val="20"/>
        </w:rPr>
        <w:t xml:space="preserve"> </w:t>
      </w:r>
      <w:r w:rsidRPr="004A2733">
        <w:rPr>
          <w:sz w:val="20"/>
          <w:szCs w:val="20"/>
        </w:rPr>
        <w:t>(1387).</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board</w:t>
      </w:r>
      <w:r w:rsidR="00151BCF" w:rsidRPr="004A2733">
        <w:rPr>
          <w:sz w:val="20"/>
          <w:szCs w:val="20"/>
        </w:rPr>
        <w:t xml:space="preserve"> </w:t>
      </w:r>
      <w:r w:rsidRPr="004A2733">
        <w:rPr>
          <w:sz w:val="20"/>
          <w:szCs w:val="20"/>
        </w:rPr>
        <w:t>structure</w:t>
      </w:r>
      <w:r w:rsidR="00151BCF" w:rsidRPr="004A2733">
        <w:rPr>
          <w:sz w:val="20"/>
          <w:szCs w:val="20"/>
        </w:rPr>
        <w:t xml:space="preserve"> </w:t>
      </w:r>
      <w:r w:rsidRPr="004A2733">
        <w:rPr>
          <w:sz w:val="20"/>
          <w:szCs w:val="20"/>
        </w:rPr>
        <w:t>revision”.</w:t>
      </w:r>
      <w:r w:rsidR="00151BCF" w:rsidRPr="004A2733">
        <w:rPr>
          <w:sz w:val="20"/>
          <w:szCs w:val="20"/>
        </w:rPr>
        <w:t xml:space="preserve"> </w:t>
      </w:r>
      <w:proofErr w:type="spellStart"/>
      <w:r w:rsidRPr="004A2733">
        <w:rPr>
          <w:sz w:val="20"/>
          <w:szCs w:val="20"/>
        </w:rPr>
        <w:t>Tadbir</w:t>
      </w:r>
      <w:proofErr w:type="spellEnd"/>
      <w:r w:rsidR="00151BCF" w:rsidRPr="004A2733">
        <w:rPr>
          <w:sz w:val="20"/>
          <w:szCs w:val="20"/>
        </w:rPr>
        <w:t xml:space="preserve"> </w:t>
      </w:r>
      <w:r w:rsidRPr="004A2733">
        <w:rPr>
          <w:sz w:val="20"/>
          <w:szCs w:val="20"/>
        </w:rPr>
        <w:t>Magazine,</w:t>
      </w:r>
      <w:r w:rsidR="00151BCF" w:rsidRPr="004A2733">
        <w:rPr>
          <w:sz w:val="20"/>
          <w:szCs w:val="20"/>
        </w:rPr>
        <w:t xml:space="preserve"> </w:t>
      </w:r>
      <w:r w:rsidRPr="004A2733">
        <w:rPr>
          <w:sz w:val="20"/>
          <w:szCs w:val="20"/>
        </w:rPr>
        <w:t>195,</w:t>
      </w:r>
      <w:r w:rsidR="00151BCF" w:rsidRPr="004A2733">
        <w:rPr>
          <w:sz w:val="20"/>
          <w:szCs w:val="20"/>
        </w:rPr>
        <w:t xml:space="preserve"> </w:t>
      </w:r>
      <w:r w:rsidRPr="004A2733">
        <w:rPr>
          <w:sz w:val="20"/>
          <w:szCs w:val="20"/>
        </w:rPr>
        <w:t>49-52.</w:t>
      </w:r>
    </w:p>
    <w:p w:rsidR="004D27B1"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Momeni</w:t>
      </w:r>
      <w:proofErr w:type="spellEnd"/>
      <w:r w:rsidRPr="004A2733">
        <w:rPr>
          <w:sz w:val="20"/>
          <w:szCs w:val="20"/>
        </w:rPr>
        <w:t>,</w:t>
      </w:r>
      <w:r w:rsidR="00151BCF" w:rsidRPr="004A2733">
        <w:rPr>
          <w:sz w:val="20"/>
          <w:szCs w:val="20"/>
        </w:rPr>
        <w:t xml:space="preserve"> </w:t>
      </w:r>
      <w:r w:rsidRPr="004A2733">
        <w:rPr>
          <w:sz w:val="20"/>
          <w:szCs w:val="20"/>
        </w:rPr>
        <w:t>M.</w:t>
      </w:r>
      <w:r w:rsidR="00151BCF" w:rsidRPr="004A2733">
        <w:rPr>
          <w:sz w:val="20"/>
          <w:szCs w:val="20"/>
        </w:rPr>
        <w:t xml:space="preserve"> &amp; </w:t>
      </w:r>
      <w:proofErr w:type="spellStart"/>
      <w:r w:rsidRPr="004A2733">
        <w:rPr>
          <w:sz w:val="20"/>
          <w:szCs w:val="20"/>
        </w:rPr>
        <w:t>Fa’al</w:t>
      </w:r>
      <w:proofErr w:type="spellEnd"/>
      <w:r w:rsidR="00151BCF" w:rsidRPr="004A2733">
        <w:rPr>
          <w:sz w:val="20"/>
          <w:szCs w:val="20"/>
        </w:rPr>
        <w:t xml:space="preserve"> </w:t>
      </w:r>
      <w:proofErr w:type="spellStart"/>
      <w:r w:rsidRPr="004A2733">
        <w:rPr>
          <w:sz w:val="20"/>
          <w:szCs w:val="20"/>
        </w:rPr>
        <w:t>Ghayoumi</w:t>
      </w:r>
      <w:proofErr w:type="spellEnd"/>
      <w:r w:rsidRPr="004A2733">
        <w:rPr>
          <w:sz w:val="20"/>
          <w:szCs w:val="20"/>
        </w:rPr>
        <w:t>,</w:t>
      </w:r>
      <w:r w:rsidR="00151BCF" w:rsidRPr="004A2733">
        <w:rPr>
          <w:sz w:val="20"/>
          <w:szCs w:val="20"/>
        </w:rPr>
        <w:t xml:space="preserve"> </w:t>
      </w:r>
      <w:r w:rsidRPr="004A2733">
        <w:rPr>
          <w:sz w:val="20"/>
          <w:szCs w:val="20"/>
        </w:rPr>
        <w:t>A.</w:t>
      </w:r>
      <w:r w:rsidR="00151BCF" w:rsidRPr="004A2733">
        <w:rPr>
          <w:sz w:val="20"/>
          <w:szCs w:val="20"/>
        </w:rPr>
        <w:t xml:space="preserve"> </w:t>
      </w:r>
      <w:r w:rsidRPr="004A2733">
        <w:rPr>
          <w:sz w:val="20"/>
          <w:szCs w:val="20"/>
        </w:rPr>
        <w:t>(1386).</w:t>
      </w:r>
      <w:r w:rsidR="00151BCF" w:rsidRPr="004A2733">
        <w:rPr>
          <w:sz w:val="20"/>
          <w:szCs w:val="20"/>
        </w:rPr>
        <w:t xml:space="preserve"> </w:t>
      </w:r>
      <w:r w:rsidRPr="004A2733">
        <w:rPr>
          <w:sz w:val="20"/>
          <w:szCs w:val="20"/>
        </w:rPr>
        <w:t>“statistical</w:t>
      </w:r>
      <w:r w:rsidR="00151BCF" w:rsidRPr="004A2733">
        <w:rPr>
          <w:sz w:val="20"/>
          <w:szCs w:val="20"/>
        </w:rPr>
        <w:t xml:space="preserve"> </w:t>
      </w:r>
      <w:r w:rsidRPr="004A2733">
        <w:rPr>
          <w:sz w:val="20"/>
          <w:szCs w:val="20"/>
        </w:rPr>
        <w:t>analysis</w:t>
      </w:r>
      <w:r w:rsidR="00151BCF" w:rsidRPr="004A2733">
        <w:rPr>
          <w:sz w:val="20"/>
          <w:szCs w:val="20"/>
        </w:rPr>
        <w:t xml:space="preserve"> </w:t>
      </w:r>
      <w:r w:rsidRPr="004A2733">
        <w:rPr>
          <w:sz w:val="20"/>
          <w:szCs w:val="20"/>
        </w:rPr>
        <w:t>using</w:t>
      </w:r>
      <w:r w:rsidR="00151BCF" w:rsidRPr="004A2733">
        <w:rPr>
          <w:sz w:val="20"/>
          <w:szCs w:val="20"/>
        </w:rPr>
        <w:t xml:space="preserve"> </w:t>
      </w:r>
      <w:r w:rsidRPr="004A2733">
        <w:rPr>
          <w:sz w:val="20"/>
          <w:szCs w:val="20"/>
        </w:rPr>
        <w:t>SPSS”.</w:t>
      </w:r>
      <w:r w:rsidR="00151BCF" w:rsidRPr="004A2733">
        <w:rPr>
          <w:sz w:val="20"/>
          <w:szCs w:val="20"/>
        </w:rPr>
        <w:t xml:space="preserve"> </w:t>
      </w:r>
      <w:r w:rsidRPr="004A2733">
        <w:rPr>
          <w:sz w:val="20"/>
          <w:szCs w:val="20"/>
        </w:rPr>
        <w:t>Tehran,</w:t>
      </w:r>
      <w:r w:rsidR="00151BCF" w:rsidRPr="004A2733">
        <w:rPr>
          <w:sz w:val="20"/>
          <w:szCs w:val="20"/>
        </w:rPr>
        <w:t xml:space="preserve"> </w:t>
      </w:r>
      <w:proofErr w:type="spellStart"/>
      <w:r w:rsidRPr="004A2733">
        <w:rPr>
          <w:sz w:val="20"/>
          <w:szCs w:val="20"/>
        </w:rPr>
        <w:t>Ketabe</w:t>
      </w:r>
      <w:proofErr w:type="spellEnd"/>
      <w:r w:rsidR="00151BCF" w:rsidRPr="004A2733">
        <w:rPr>
          <w:sz w:val="20"/>
          <w:szCs w:val="20"/>
        </w:rPr>
        <w:t xml:space="preserve"> </w:t>
      </w:r>
      <w:r w:rsidRPr="004A2733">
        <w:rPr>
          <w:sz w:val="20"/>
          <w:szCs w:val="20"/>
        </w:rPr>
        <w:t>No</w:t>
      </w:r>
      <w:r w:rsidR="00151BCF" w:rsidRPr="004A2733">
        <w:rPr>
          <w:sz w:val="20"/>
          <w:szCs w:val="20"/>
        </w:rPr>
        <w:t xml:space="preserve"> </w:t>
      </w:r>
      <w:proofErr w:type="spellStart"/>
      <w:r w:rsidRPr="004A2733">
        <w:rPr>
          <w:sz w:val="20"/>
          <w:szCs w:val="20"/>
        </w:rPr>
        <w:t>Plishin</w:t>
      </w:r>
      <w:r w:rsidR="004D27B1" w:rsidRPr="004A2733">
        <w:rPr>
          <w:sz w:val="20"/>
          <w:szCs w:val="20"/>
        </w:rPr>
        <w:t>g</w:t>
      </w:r>
      <w:proofErr w:type="spellEnd"/>
      <w:r w:rsidR="004D27B1" w:rsidRPr="004A2733">
        <w:rPr>
          <w:sz w:val="20"/>
          <w:szCs w:val="20"/>
        </w:rPr>
        <w:t>.</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Namazi</w:t>
      </w:r>
      <w:proofErr w:type="spellEnd"/>
      <w:r w:rsidR="00151BCF" w:rsidRPr="004A2733">
        <w:rPr>
          <w:sz w:val="20"/>
          <w:szCs w:val="20"/>
        </w:rPr>
        <w:t xml:space="preserve"> </w:t>
      </w:r>
      <w:r w:rsidRPr="004A2733">
        <w:rPr>
          <w:sz w:val="20"/>
          <w:szCs w:val="20"/>
        </w:rPr>
        <w:t>M.,</w:t>
      </w:r>
      <w:r w:rsidR="00151BCF" w:rsidRPr="004A2733">
        <w:rPr>
          <w:sz w:val="20"/>
          <w:szCs w:val="20"/>
        </w:rPr>
        <w:t xml:space="preserve"> </w:t>
      </w:r>
      <w:proofErr w:type="spellStart"/>
      <w:r w:rsidRPr="004A2733">
        <w:rPr>
          <w:sz w:val="20"/>
          <w:szCs w:val="20"/>
        </w:rPr>
        <w:t>Hallaj</w:t>
      </w:r>
      <w:proofErr w:type="spellEnd"/>
      <w:r w:rsidRPr="004A2733">
        <w:rPr>
          <w:sz w:val="20"/>
          <w:szCs w:val="20"/>
        </w:rPr>
        <w:t>,</w:t>
      </w:r>
      <w:r w:rsidR="00151BCF" w:rsidRPr="004A2733">
        <w:rPr>
          <w:sz w:val="20"/>
          <w:szCs w:val="20"/>
        </w:rPr>
        <w:t xml:space="preserve"> </w:t>
      </w:r>
      <w:r w:rsidRPr="004A2733">
        <w:rPr>
          <w:sz w:val="20"/>
          <w:szCs w:val="20"/>
        </w:rPr>
        <w:t>M.</w:t>
      </w:r>
      <w:r w:rsidR="00151BCF" w:rsidRPr="004A2733">
        <w:rPr>
          <w:sz w:val="20"/>
          <w:szCs w:val="20"/>
        </w:rPr>
        <w:t xml:space="preserve"> &amp; </w:t>
      </w:r>
      <w:proofErr w:type="spellStart"/>
      <w:r w:rsidRPr="004A2733">
        <w:rPr>
          <w:sz w:val="20"/>
          <w:szCs w:val="20"/>
        </w:rPr>
        <w:t>Ebrahimi</w:t>
      </w:r>
      <w:proofErr w:type="spellEnd"/>
      <w:r w:rsidRPr="004A2733">
        <w:rPr>
          <w:sz w:val="20"/>
          <w:szCs w:val="20"/>
        </w:rPr>
        <w:t>,</w:t>
      </w:r>
      <w:r w:rsidR="00151BCF" w:rsidRPr="004A2733">
        <w:rPr>
          <w:sz w:val="20"/>
          <w:szCs w:val="20"/>
        </w:rPr>
        <w:t xml:space="preserve"> </w:t>
      </w:r>
      <w:r w:rsidRPr="004A2733">
        <w:rPr>
          <w:sz w:val="20"/>
          <w:szCs w:val="20"/>
        </w:rPr>
        <w:t>Sh.</w:t>
      </w:r>
      <w:r w:rsidR="00151BCF" w:rsidRPr="004A2733">
        <w:rPr>
          <w:sz w:val="20"/>
          <w:szCs w:val="20"/>
        </w:rPr>
        <w:t xml:space="preserve"> </w:t>
      </w:r>
      <w:r w:rsidRPr="004A2733">
        <w:rPr>
          <w:sz w:val="20"/>
          <w:szCs w:val="20"/>
        </w:rPr>
        <w:t>(1388).</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effect</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institutional</w:t>
      </w:r>
      <w:r w:rsidR="00151BCF" w:rsidRPr="004A2733">
        <w:rPr>
          <w:sz w:val="20"/>
          <w:szCs w:val="20"/>
        </w:rPr>
        <w:t xml:space="preserve"> </w:t>
      </w:r>
      <w:r w:rsidRPr="004A2733">
        <w:rPr>
          <w:sz w:val="20"/>
          <w:szCs w:val="20"/>
        </w:rPr>
        <w:t>ownership</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past</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future</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performance</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listed</w:t>
      </w:r>
      <w:r w:rsidR="00151BCF" w:rsidRPr="004A2733">
        <w:rPr>
          <w:sz w:val="20"/>
          <w:szCs w:val="20"/>
        </w:rPr>
        <w:t xml:space="preserve"> </w:t>
      </w:r>
      <w:r w:rsidRPr="004A2733">
        <w:rPr>
          <w:sz w:val="20"/>
          <w:szCs w:val="20"/>
        </w:rPr>
        <w:t>companies</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Tehran</w:t>
      </w:r>
      <w:r w:rsidR="00151BCF" w:rsidRPr="004A2733">
        <w:rPr>
          <w:sz w:val="20"/>
          <w:szCs w:val="20"/>
        </w:rPr>
        <w:t xml:space="preserve"> </w:t>
      </w:r>
      <w:r w:rsidRPr="004A2733">
        <w:rPr>
          <w:sz w:val="20"/>
          <w:szCs w:val="20"/>
        </w:rPr>
        <w:t>stock</w:t>
      </w:r>
      <w:r w:rsidR="00151BCF" w:rsidRPr="004A2733">
        <w:rPr>
          <w:sz w:val="20"/>
          <w:szCs w:val="20"/>
        </w:rPr>
        <w:t xml:space="preserve"> </w:t>
      </w:r>
      <w:r w:rsidRPr="004A2733">
        <w:rPr>
          <w:sz w:val="20"/>
          <w:szCs w:val="20"/>
        </w:rPr>
        <w:t>exchange”.</w:t>
      </w:r>
      <w:r w:rsidR="00151BCF" w:rsidRPr="004A2733">
        <w:rPr>
          <w:sz w:val="20"/>
          <w:szCs w:val="20"/>
        </w:rPr>
        <w:t xml:space="preserve"> </w:t>
      </w:r>
      <w:r w:rsidRPr="004A2733">
        <w:rPr>
          <w:sz w:val="20"/>
          <w:szCs w:val="20"/>
        </w:rPr>
        <w:t>Accounting</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Auditing</w:t>
      </w:r>
      <w:r w:rsidR="00151BCF" w:rsidRPr="004A2733">
        <w:rPr>
          <w:sz w:val="20"/>
          <w:szCs w:val="20"/>
        </w:rPr>
        <w:t xml:space="preserve"> </w:t>
      </w:r>
      <w:r w:rsidRPr="004A2733">
        <w:rPr>
          <w:sz w:val="20"/>
          <w:szCs w:val="20"/>
        </w:rPr>
        <w:t>Studies,</w:t>
      </w:r>
      <w:r w:rsidR="00151BCF" w:rsidRPr="004A2733">
        <w:rPr>
          <w:sz w:val="20"/>
          <w:szCs w:val="20"/>
        </w:rPr>
        <w:t xml:space="preserve"> </w:t>
      </w:r>
      <w:r w:rsidRPr="004A2733">
        <w:rPr>
          <w:sz w:val="20"/>
          <w:szCs w:val="20"/>
        </w:rPr>
        <w:t>51,</w:t>
      </w:r>
      <w:r w:rsidR="00151BCF" w:rsidRPr="004A2733">
        <w:rPr>
          <w:sz w:val="20"/>
          <w:szCs w:val="20"/>
        </w:rPr>
        <w:t xml:space="preserve"> </w:t>
      </w:r>
      <w:r w:rsidRPr="004A2733">
        <w:rPr>
          <w:sz w:val="20"/>
          <w:szCs w:val="20"/>
        </w:rPr>
        <w:t>113-130.</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Abu-</w:t>
      </w:r>
      <w:proofErr w:type="spellStart"/>
      <w:r w:rsidRPr="004A2733">
        <w:rPr>
          <w:sz w:val="20"/>
          <w:szCs w:val="20"/>
        </w:rPr>
        <w:t>Tapanjeh</w:t>
      </w:r>
      <w:proofErr w:type="spellEnd"/>
      <w:r w:rsidR="004D27B1" w:rsidRPr="004A2733">
        <w:rPr>
          <w:sz w:val="20"/>
          <w:szCs w:val="20"/>
        </w:rPr>
        <w:t>, A. M</w:t>
      </w:r>
      <w:r w:rsidR="00151BCF" w:rsidRPr="004A2733">
        <w:rPr>
          <w:sz w:val="20"/>
          <w:szCs w:val="20"/>
        </w:rPr>
        <w:t>. (</w:t>
      </w:r>
      <w:r w:rsidRPr="004A2733">
        <w:rPr>
          <w:sz w:val="20"/>
          <w:szCs w:val="20"/>
        </w:rPr>
        <w:t>2009)."Corporate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from</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Islamic</w:t>
      </w:r>
      <w:r w:rsidR="00151BCF" w:rsidRPr="004A2733">
        <w:rPr>
          <w:sz w:val="20"/>
          <w:szCs w:val="20"/>
        </w:rPr>
        <w:t xml:space="preserve"> </w:t>
      </w:r>
      <w:r w:rsidRPr="004A2733">
        <w:rPr>
          <w:sz w:val="20"/>
          <w:szCs w:val="20"/>
        </w:rPr>
        <w:t>perspective:</w:t>
      </w:r>
      <w:r w:rsidR="00151BCF" w:rsidRPr="004A2733">
        <w:rPr>
          <w:sz w:val="20"/>
          <w:szCs w:val="20"/>
        </w:rPr>
        <w:t xml:space="preserve"> </w:t>
      </w:r>
      <w:r w:rsidRPr="004A2733">
        <w:rPr>
          <w:sz w:val="20"/>
          <w:szCs w:val="20"/>
        </w:rPr>
        <w:t>A</w:t>
      </w:r>
      <w:r w:rsidR="00151BCF" w:rsidRPr="004A2733">
        <w:rPr>
          <w:sz w:val="20"/>
          <w:szCs w:val="20"/>
        </w:rPr>
        <w:t xml:space="preserve"> </w:t>
      </w:r>
      <w:r w:rsidRPr="004A2733">
        <w:rPr>
          <w:sz w:val="20"/>
          <w:szCs w:val="20"/>
        </w:rPr>
        <w:t>comparative</w:t>
      </w:r>
      <w:r w:rsidR="00151BCF" w:rsidRPr="004A2733">
        <w:rPr>
          <w:sz w:val="20"/>
          <w:szCs w:val="20"/>
        </w:rPr>
        <w:t xml:space="preserve"> </w:t>
      </w:r>
      <w:r w:rsidRPr="004A2733">
        <w:rPr>
          <w:sz w:val="20"/>
          <w:szCs w:val="20"/>
        </w:rPr>
        <w:t>analysis</w:t>
      </w:r>
      <w:r w:rsidR="00151BCF" w:rsidRPr="004A2733">
        <w:rPr>
          <w:sz w:val="20"/>
          <w:szCs w:val="20"/>
        </w:rPr>
        <w:t xml:space="preserve"> </w:t>
      </w:r>
      <w:r w:rsidRPr="004A2733">
        <w:rPr>
          <w:sz w:val="20"/>
          <w:szCs w:val="20"/>
        </w:rPr>
        <w:t>with</w:t>
      </w:r>
      <w:r w:rsidR="00151BCF" w:rsidRPr="004A2733">
        <w:rPr>
          <w:sz w:val="20"/>
          <w:szCs w:val="20"/>
        </w:rPr>
        <w:t xml:space="preserve"> </w:t>
      </w:r>
      <w:r w:rsidRPr="004A2733">
        <w:rPr>
          <w:sz w:val="20"/>
          <w:szCs w:val="20"/>
        </w:rPr>
        <w:t>OECD</w:t>
      </w:r>
      <w:r w:rsidR="00151BCF" w:rsidRPr="004A2733">
        <w:rPr>
          <w:sz w:val="20"/>
          <w:szCs w:val="20"/>
        </w:rPr>
        <w:t xml:space="preserve"> </w:t>
      </w:r>
      <w:r w:rsidRPr="004A2733">
        <w:rPr>
          <w:sz w:val="20"/>
          <w:szCs w:val="20"/>
        </w:rPr>
        <w:t>principles".</w:t>
      </w:r>
      <w:r w:rsidR="00151BCF" w:rsidRPr="004A2733">
        <w:rPr>
          <w:sz w:val="20"/>
          <w:szCs w:val="20"/>
        </w:rPr>
        <w:t xml:space="preserve"> </w:t>
      </w:r>
      <w:r w:rsidRPr="004A2733">
        <w:rPr>
          <w:sz w:val="20"/>
          <w:szCs w:val="20"/>
        </w:rPr>
        <w:t>Critical</w:t>
      </w:r>
      <w:r w:rsidR="00151BCF" w:rsidRPr="004A2733">
        <w:rPr>
          <w:sz w:val="20"/>
          <w:szCs w:val="20"/>
        </w:rPr>
        <w:t xml:space="preserve"> </w:t>
      </w:r>
      <w:r w:rsidRPr="004A2733">
        <w:rPr>
          <w:sz w:val="20"/>
          <w:szCs w:val="20"/>
        </w:rPr>
        <w:t>perspectives</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Accounting</w:t>
      </w:r>
      <w:r w:rsidR="00151BCF" w:rsidRPr="004A2733">
        <w:rPr>
          <w:sz w:val="20"/>
          <w:szCs w:val="20"/>
        </w:rPr>
        <w:t xml:space="preserve"> </w:t>
      </w:r>
      <w:r w:rsidRPr="004A2733">
        <w:rPr>
          <w:sz w:val="20"/>
          <w:szCs w:val="20"/>
        </w:rPr>
        <w:t>20(5),</w:t>
      </w:r>
      <w:r w:rsidR="00151BCF" w:rsidRPr="004A2733">
        <w:rPr>
          <w:sz w:val="20"/>
          <w:szCs w:val="20"/>
        </w:rPr>
        <w:t xml:space="preserve"> </w:t>
      </w:r>
      <w:r w:rsidRPr="004A2733">
        <w:rPr>
          <w:sz w:val="20"/>
          <w:szCs w:val="20"/>
        </w:rPr>
        <w:t>556-567.</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Adaoglu</w:t>
      </w:r>
      <w:proofErr w:type="spellEnd"/>
      <w:r w:rsidR="00151BCF" w:rsidRPr="004A2733">
        <w:rPr>
          <w:sz w:val="20"/>
          <w:szCs w:val="20"/>
        </w:rPr>
        <w:t xml:space="preserve"> </w:t>
      </w:r>
      <w:proofErr w:type="spellStart"/>
      <w:r w:rsidRPr="004A2733">
        <w:rPr>
          <w:sz w:val="20"/>
          <w:szCs w:val="20"/>
        </w:rPr>
        <w:t>Cahit</w:t>
      </w:r>
      <w:proofErr w:type="spellEnd"/>
      <w:r w:rsidRPr="004A2733">
        <w:rPr>
          <w:sz w:val="20"/>
          <w:szCs w:val="20"/>
        </w:rPr>
        <w:t>.</w:t>
      </w:r>
      <w:r w:rsidR="00151BCF" w:rsidRPr="004A2733">
        <w:rPr>
          <w:sz w:val="20"/>
          <w:szCs w:val="20"/>
        </w:rPr>
        <w:t xml:space="preserve"> </w:t>
      </w:r>
      <w:r w:rsidRPr="004A2733">
        <w:rPr>
          <w:sz w:val="20"/>
          <w:szCs w:val="20"/>
        </w:rPr>
        <w:t>(2000).</w:t>
      </w:r>
      <w:r w:rsidR="00151BCF" w:rsidRPr="004A2733">
        <w:rPr>
          <w:sz w:val="20"/>
          <w:szCs w:val="20"/>
        </w:rPr>
        <w:t xml:space="preserve"> </w:t>
      </w:r>
      <w:r w:rsidRPr="004A2733">
        <w:rPr>
          <w:sz w:val="20"/>
          <w:szCs w:val="20"/>
        </w:rPr>
        <w:t>"Instability</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dividend</w:t>
      </w:r>
      <w:r w:rsidR="00151BCF" w:rsidRPr="004A2733">
        <w:rPr>
          <w:sz w:val="20"/>
          <w:szCs w:val="20"/>
        </w:rPr>
        <w:t xml:space="preserve"> </w:t>
      </w:r>
      <w:r w:rsidRPr="004A2733">
        <w:rPr>
          <w:sz w:val="20"/>
          <w:szCs w:val="20"/>
        </w:rPr>
        <w:t>policy</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Istanbul</w:t>
      </w:r>
      <w:r w:rsidR="00151BCF" w:rsidRPr="004A2733">
        <w:rPr>
          <w:sz w:val="20"/>
          <w:szCs w:val="20"/>
        </w:rPr>
        <w:t xml:space="preserve"> </w:t>
      </w:r>
      <w:r w:rsidRPr="004A2733">
        <w:rPr>
          <w:sz w:val="20"/>
          <w:szCs w:val="20"/>
        </w:rPr>
        <w:t>Stock</w:t>
      </w:r>
      <w:r w:rsidR="00151BCF" w:rsidRPr="004A2733">
        <w:rPr>
          <w:sz w:val="20"/>
          <w:szCs w:val="20"/>
        </w:rPr>
        <w:t xml:space="preserve"> </w:t>
      </w:r>
      <w:r w:rsidRPr="004A2733">
        <w:rPr>
          <w:sz w:val="20"/>
          <w:szCs w:val="20"/>
        </w:rPr>
        <w:t>Exchange".</w:t>
      </w:r>
      <w:r w:rsidR="00151BCF" w:rsidRPr="004A2733">
        <w:rPr>
          <w:sz w:val="20"/>
          <w:szCs w:val="20"/>
        </w:rPr>
        <w:t xml:space="preserve"> </w:t>
      </w:r>
      <w:r w:rsidRPr="004A2733">
        <w:rPr>
          <w:sz w:val="20"/>
          <w:szCs w:val="20"/>
        </w:rPr>
        <w:t>ISE/corporations</w:t>
      </w:r>
      <w:r w:rsidR="00151BCF" w:rsidRPr="004A2733">
        <w:rPr>
          <w:sz w:val="20"/>
          <w:szCs w:val="20"/>
        </w:rPr>
        <w:t xml:space="preserve">: </w:t>
      </w:r>
      <w:r w:rsidRPr="004A2733">
        <w:rPr>
          <w:sz w:val="20"/>
          <w:szCs w:val="20"/>
        </w:rPr>
        <w:t>evidence</w:t>
      </w:r>
      <w:r w:rsidR="00151BCF" w:rsidRPr="004A2733">
        <w:rPr>
          <w:sz w:val="20"/>
          <w:szCs w:val="20"/>
        </w:rPr>
        <w:t xml:space="preserve"> </w:t>
      </w:r>
      <w:r w:rsidRPr="004A2733">
        <w:rPr>
          <w:sz w:val="20"/>
          <w:szCs w:val="20"/>
        </w:rPr>
        <w:t>from</w:t>
      </w:r>
      <w:r w:rsidR="00151BCF" w:rsidRPr="004A2733">
        <w:rPr>
          <w:sz w:val="20"/>
          <w:szCs w:val="20"/>
        </w:rPr>
        <w:t xml:space="preserve"> </w:t>
      </w:r>
      <w:r w:rsidRPr="004A2733">
        <w:rPr>
          <w:sz w:val="20"/>
          <w:szCs w:val="20"/>
        </w:rPr>
        <w:t>an</w:t>
      </w:r>
      <w:r w:rsidR="00151BCF" w:rsidRPr="004A2733">
        <w:rPr>
          <w:sz w:val="20"/>
          <w:szCs w:val="20"/>
        </w:rPr>
        <w:t xml:space="preserve"> </w:t>
      </w:r>
      <w:r w:rsidRPr="004A2733">
        <w:rPr>
          <w:sz w:val="20"/>
          <w:szCs w:val="20"/>
        </w:rPr>
        <w:t>emerging</w:t>
      </w:r>
      <w:r w:rsidR="00151BCF" w:rsidRPr="004A2733">
        <w:rPr>
          <w:sz w:val="20"/>
          <w:szCs w:val="20"/>
        </w:rPr>
        <w:t xml:space="preserve"> </w:t>
      </w:r>
      <w:r w:rsidRPr="004A2733">
        <w:rPr>
          <w:sz w:val="20"/>
          <w:szCs w:val="20"/>
        </w:rPr>
        <w:t>market,</w:t>
      </w:r>
      <w:r w:rsidR="00151BCF" w:rsidRPr="004A2733">
        <w:rPr>
          <w:sz w:val="20"/>
          <w:szCs w:val="20"/>
        </w:rPr>
        <w:t xml:space="preserve"> </w:t>
      </w:r>
      <w:r w:rsidRPr="004A2733">
        <w:rPr>
          <w:sz w:val="20"/>
          <w:szCs w:val="20"/>
        </w:rPr>
        <w:t>Emerging</w:t>
      </w:r>
      <w:r w:rsidR="00151BCF" w:rsidRPr="004A2733">
        <w:rPr>
          <w:sz w:val="20"/>
          <w:szCs w:val="20"/>
        </w:rPr>
        <w:t xml:space="preserve"> </w:t>
      </w:r>
      <w:r w:rsidRPr="004A2733">
        <w:rPr>
          <w:sz w:val="20"/>
          <w:szCs w:val="20"/>
        </w:rPr>
        <w:t>Markets</w:t>
      </w:r>
      <w:r w:rsidR="00151BCF" w:rsidRPr="004A2733">
        <w:rPr>
          <w:sz w:val="20"/>
          <w:szCs w:val="20"/>
        </w:rPr>
        <w:t xml:space="preserve"> </w:t>
      </w:r>
      <w:r w:rsidRPr="004A2733">
        <w:rPr>
          <w:sz w:val="20"/>
          <w:szCs w:val="20"/>
        </w:rPr>
        <w:t>Review;1:</w:t>
      </w:r>
      <w:r w:rsidR="00151BCF" w:rsidRPr="004A2733">
        <w:rPr>
          <w:sz w:val="20"/>
          <w:szCs w:val="20"/>
        </w:rPr>
        <w:t xml:space="preserve"> </w:t>
      </w:r>
      <w:r w:rsidRPr="004A2733">
        <w:rPr>
          <w:sz w:val="20"/>
          <w:szCs w:val="20"/>
        </w:rPr>
        <w:t>252-270.</w:t>
      </w:r>
    </w:p>
    <w:p w:rsidR="001C4E73"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Amidu</w:t>
      </w:r>
      <w:proofErr w:type="spellEnd"/>
      <w:r w:rsidR="00151BCF" w:rsidRPr="004A2733">
        <w:rPr>
          <w:sz w:val="20"/>
          <w:szCs w:val="20"/>
        </w:rPr>
        <w:t xml:space="preserve"> </w:t>
      </w:r>
      <w:r w:rsidRPr="004A2733">
        <w:rPr>
          <w:sz w:val="20"/>
          <w:szCs w:val="20"/>
        </w:rPr>
        <w:t>Mohammad</w:t>
      </w:r>
      <w:r w:rsidR="00151BCF" w:rsidRPr="004A2733">
        <w:rPr>
          <w:sz w:val="20"/>
          <w:szCs w:val="20"/>
        </w:rPr>
        <w:t xml:space="preserve"> </w:t>
      </w:r>
      <w:r w:rsidRPr="004A2733">
        <w:rPr>
          <w:sz w:val="20"/>
          <w:szCs w:val="20"/>
        </w:rPr>
        <w:t>and</w:t>
      </w:r>
      <w:r w:rsidR="00151BCF" w:rsidRPr="004A2733">
        <w:rPr>
          <w:sz w:val="20"/>
          <w:szCs w:val="20"/>
        </w:rPr>
        <w:t xml:space="preserve"> </w:t>
      </w:r>
      <w:proofErr w:type="spellStart"/>
      <w:r w:rsidRPr="004A2733">
        <w:rPr>
          <w:sz w:val="20"/>
          <w:szCs w:val="20"/>
        </w:rPr>
        <w:t>Abor</w:t>
      </w:r>
      <w:proofErr w:type="spellEnd"/>
      <w:r w:rsidR="00151BCF" w:rsidRPr="004A2733">
        <w:rPr>
          <w:sz w:val="20"/>
          <w:szCs w:val="20"/>
        </w:rPr>
        <w:t xml:space="preserve"> </w:t>
      </w:r>
      <w:proofErr w:type="spellStart"/>
      <w:r w:rsidRPr="004A2733">
        <w:rPr>
          <w:sz w:val="20"/>
          <w:szCs w:val="20"/>
        </w:rPr>
        <w:t>Joshuo</w:t>
      </w:r>
      <w:proofErr w:type="spellEnd"/>
      <w:r w:rsidR="00151BCF" w:rsidRPr="004A2733">
        <w:rPr>
          <w:sz w:val="20"/>
          <w:szCs w:val="20"/>
        </w:rPr>
        <w:t>. (</w:t>
      </w:r>
      <w:r w:rsidRPr="004A2733">
        <w:rPr>
          <w:sz w:val="20"/>
          <w:szCs w:val="20"/>
        </w:rPr>
        <w:t>2006).</w:t>
      </w:r>
      <w:r w:rsidR="00151BCF" w:rsidRPr="004A2733">
        <w:rPr>
          <w:sz w:val="20"/>
          <w:szCs w:val="20"/>
        </w:rPr>
        <w:t xml:space="preserve"> </w:t>
      </w:r>
      <w:r w:rsidRPr="004A2733">
        <w:rPr>
          <w:sz w:val="20"/>
          <w:szCs w:val="20"/>
        </w:rPr>
        <w:t>"Determinants</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Dividend</w:t>
      </w:r>
      <w:r w:rsidR="00151BCF" w:rsidRPr="004A2733">
        <w:rPr>
          <w:sz w:val="20"/>
          <w:szCs w:val="20"/>
        </w:rPr>
        <w:t xml:space="preserve"> </w:t>
      </w:r>
      <w:r w:rsidRPr="004A2733">
        <w:rPr>
          <w:sz w:val="20"/>
          <w:szCs w:val="20"/>
        </w:rPr>
        <w:t>Payout</w:t>
      </w:r>
      <w:r w:rsidR="00151BCF" w:rsidRPr="004A2733">
        <w:rPr>
          <w:sz w:val="20"/>
          <w:szCs w:val="20"/>
        </w:rPr>
        <w:t xml:space="preserve"> </w:t>
      </w:r>
      <w:r w:rsidRPr="004A2733">
        <w:rPr>
          <w:sz w:val="20"/>
          <w:szCs w:val="20"/>
        </w:rPr>
        <w:t>Ratios</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Ghana",</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Risk</w:t>
      </w:r>
      <w:r w:rsidR="00151BCF" w:rsidRPr="004A2733">
        <w:rPr>
          <w:sz w:val="20"/>
          <w:szCs w:val="20"/>
        </w:rPr>
        <w:t xml:space="preserve"> </w:t>
      </w:r>
      <w:r w:rsidRPr="004A2733">
        <w:rPr>
          <w:sz w:val="20"/>
          <w:szCs w:val="20"/>
        </w:rPr>
        <w:t>Finance,</w:t>
      </w:r>
      <w:r w:rsidR="00151BCF" w:rsidRPr="004A2733">
        <w:rPr>
          <w:sz w:val="20"/>
          <w:szCs w:val="20"/>
        </w:rPr>
        <w:t xml:space="preserve"> </w:t>
      </w:r>
      <w:r w:rsidRPr="004A2733">
        <w:rPr>
          <w:sz w:val="20"/>
          <w:szCs w:val="20"/>
        </w:rPr>
        <w:t>Vol.</w:t>
      </w:r>
      <w:r w:rsidR="00151BCF" w:rsidRPr="004A2733">
        <w:rPr>
          <w:sz w:val="20"/>
          <w:szCs w:val="20"/>
        </w:rPr>
        <w:t xml:space="preserve"> </w:t>
      </w:r>
      <w:r w:rsidRPr="004A2733">
        <w:rPr>
          <w:sz w:val="20"/>
          <w:szCs w:val="20"/>
        </w:rPr>
        <w:t>7</w:t>
      </w:r>
      <w:r w:rsidR="00151BCF" w:rsidRPr="004A2733">
        <w:rPr>
          <w:sz w:val="20"/>
          <w:szCs w:val="20"/>
        </w:rPr>
        <w:t xml:space="preserve"> </w:t>
      </w:r>
      <w:r w:rsidRPr="004A2733">
        <w:rPr>
          <w:sz w:val="20"/>
          <w:szCs w:val="20"/>
        </w:rPr>
        <w:t>No.</w:t>
      </w:r>
      <w:r w:rsidR="00151BCF" w:rsidRPr="004A2733">
        <w:rPr>
          <w:sz w:val="20"/>
          <w:szCs w:val="20"/>
        </w:rPr>
        <w:t xml:space="preserve"> </w:t>
      </w:r>
      <w:r w:rsidRPr="004A2733">
        <w:rPr>
          <w:sz w:val="20"/>
          <w:szCs w:val="20"/>
        </w:rPr>
        <w:t>2,</w:t>
      </w:r>
      <w:r w:rsidR="00151BCF" w:rsidRPr="004A2733">
        <w:rPr>
          <w:sz w:val="20"/>
          <w:szCs w:val="20"/>
        </w:rPr>
        <w:t xml:space="preserve"> </w:t>
      </w:r>
      <w:r w:rsidRPr="004A2733">
        <w:rPr>
          <w:sz w:val="20"/>
          <w:szCs w:val="20"/>
        </w:rPr>
        <w:t>pp.</w:t>
      </w:r>
      <w:r w:rsidR="00151BCF" w:rsidRPr="004A2733">
        <w:rPr>
          <w:sz w:val="20"/>
          <w:szCs w:val="20"/>
        </w:rPr>
        <w:t xml:space="preserve"> </w:t>
      </w:r>
      <w:r w:rsidRPr="004A2733">
        <w:rPr>
          <w:sz w:val="20"/>
          <w:szCs w:val="20"/>
        </w:rPr>
        <w:t>136-145.</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Andres</w:t>
      </w:r>
      <w:r w:rsidR="004D27B1" w:rsidRPr="004A2733">
        <w:rPr>
          <w:sz w:val="20"/>
          <w:szCs w:val="20"/>
        </w:rPr>
        <w:t xml:space="preserve">, </w:t>
      </w:r>
      <w:proofErr w:type="spellStart"/>
      <w:r w:rsidR="004D27B1" w:rsidRPr="004A2733">
        <w:rPr>
          <w:sz w:val="20"/>
          <w:szCs w:val="20"/>
        </w:rPr>
        <w:t>C</w:t>
      </w:r>
      <w:r w:rsidRPr="004A2733">
        <w:rPr>
          <w:sz w:val="20"/>
          <w:szCs w:val="20"/>
        </w:rPr>
        <w:t>hrstian</w:t>
      </w:r>
      <w:proofErr w:type="spellEnd"/>
      <w:r w:rsidR="00151BCF" w:rsidRPr="004A2733">
        <w:rPr>
          <w:sz w:val="20"/>
          <w:szCs w:val="20"/>
        </w:rPr>
        <w:t>. (</w:t>
      </w:r>
      <w:r w:rsidRPr="004A2733">
        <w:rPr>
          <w:sz w:val="20"/>
          <w:szCs w:val="20"/>
        </w:rPr>
        <w:t>2008)."Large</w:t>
      </w:r>
      <w:r w:rsidR="00151BCF" w:rsidRPr="004A2733">
        <w:rPr>
          <w:sz w:val="20"/>
          <w:szCs w:val="20"/>
        </w:rPr>
        <w:t xml:space="preserve"> </w:t>
      </w:r>
      <w:r w:rsidRPr="004A2733">
        <w:rPr>
          <w:sz w:val="20"/>
          <w:szCs w:val="20"/>
        </w:rPr>
        <w:t>shareholders</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firm</w:t>
      </w:r>
      <w:r w:rsidR="00151BCF" w:rsidRPr="004A2733">
        <w:rPr>
          <w:sz w:val="20"/>
          <w:szCs w:val="20"/>
        </w:rPr>
        <w:t xml:space="preserve"> </w:t>
      </w:r>
      <w:r w:rsidRPr="004A2733">
        <w:rPr>
          <w:sz w:val="20"/>
          <w:szCs w:val="20"/>
        </w:rPr>
        <w:t>performance-An</w:t>
      </w:r>
      <w:r w:rsidR="00151BCF" w:rsidRPr="004A2733">
        <w:rPr>
          <w:sz w:val="20"/>
          <w:szCs w:val="20"/>
        </w:rPr>
        <w:t xml:space="preserve"> </w:t>
      </w:r>
      <w:r w:rsidRPr="004A2733">
        <w:rPr>
          <w:sz w:val="20"/>
          <w:szCs w:val="20"/>
        </w:rPr>
        <w:t>empirical</w:t>
      </w:r>
      <w:r w:rsidR="00151BCF" w:rsidRPr="004A2733">
        <w:rPr>
          <w:sz w:val="20"/>
          <w:szCs w:val="20"/>
        </w:rPr>
        <w:t xml:space="preserve"> </w:t>
      </w:r>
      <w:r w:rsidRPr="004A2733">
        <w:rPr>
          <w:sz w:val="20"/>
          <w:szCs w:val="20"/>
        </w:rPr>
        <w:t>examination</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founding-family</w:t>
      </w:r>
      <w:r w:rsidR="00151BCF" w:rsidRPr="004A2733">
        <w:rPr>
          <w:sz w:val="20"/>
          <w:szCs w:val="20"/>
        </w:rPr>
        <w:t xml:space="preserve"> </w:t>
      </w:r>
      <w:r w:rsidRPr="004A2733">
        <w:rPr>
          <w:sz w:val="20"/>
          <w:szCs w:val="20"/>
        </w:rPr>
        <w:t>ownership".</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Finance</w:t>
      </w:r>
      <w:r w:rsidR="004D27B1" w:rsidRPr="004A2733">
        <w:rPr>
          <w:sz w:val="20"/>
          <w:szCs w:val="20"/>
        </w:rPr>
        <w:t xml:space="preserve">, </w:t>
      </w:r>
      <w:proofErr w:type="spellStart"/>
      <w:r w:rsidR="004D27B1" w:rsidRPr="004A2733">
        <w:rPr>
          <w:sz w:val="20"/>
          <w:szCs w:val="20"/>
        </w:rPr>
        <w:t>V</w:t>
      </w:r>
      <w:r w:rsidRPr="004A2733">
        <w:rPr>
          <w:sz w:val="20"/>
          <w:szCs w:val="20"/>
        </w:rPr>
        <w:t>ol</w:t>
      </w:r>
      <w:proofErr w:type="spellEnd"/>
      <w:r w:rsidR="00151BCF" w:rsidRPr="004A2733">
        <w:rPr>
          <w:sz w:val="20"/>
          <w:szCs w:val="20"/>
        </w:rPr>
        <w:t xml:space="preserve"> </w:t>
      </w:r>
      <w:r w:rsidRPr="004A2733">
        <w:rPr>
          <w:sz w:val="20"/>
          <w:szCs w:val="20"/>
        </w:rPr>
        <w:t>14</w:t>
      </w:r>
      <w:r w:rsidR="004D27B1" w:rsidRPr="004A2733">
        <w:rPr>
          <w:sz w:val="20"/>
          <w:szCs w:val="20"/>
        </w:rPr>
        <w:t>, p</w:t>
      </w:r>
      <w:r w:rsidRPr="004A2733">
        <w:rPr>
          <w:sz w:val="20"/>
          <w:szCs w:val="20"/>
        </w:rPr>
        <w:t>p</w:t>
      </w:r>
      <w:r w:rsidR="00151BCF" w:rsidRPr="004A2733">
        <w:rPr>
          <w:sz w:val="20"/>
          <w:szCs w:val="20"/>
        </w:rPr>
        <w:t xml:space="preserve"> </w:t>
      </w:r>
      <w:r w:rsidRPr="004A2733">
        <w:rPr>
          <w:sz w:val="20"/>
          <w:szCs w:val="20"/>
        </w:rPr>
        <w:t>431-445.</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lastRenderedPageBreak/>
        <w:t>Attig</w:t>
      </w:r>
      <w:proofErr w:type="spellEnd"/>
      <w:r w:rsidR="004D27B1" w:rsidRPr="004A2733">
        <w:rPr>
          <w:sz w:val="20"/>
          <w:szCs w:val="20"/>
        </w:rPr>
        <w:t>, N</w:t>
      </w:r>
      <w:r w:rsidRPr="004A2733">
        <w:rPr>
          <w:sz w:val="20"/>
          <w:szCs w:val="20"/>
        </w:rPr>
        <w:t>.,</w:t>
      </w:r>
      <w:r w:rsidR="00151BCF" w:rsidRPr="004A2733">
        <w:rPr>
          <w:sz w:val="20"/>
          <w:szCs w:val="20"/>
        </w:rPr>
        <w:t xml:space="preserve"> </w:t>
      </w:r>
      <w:r w:rsidRPr="004A2733">
        <w:rPr>
          <w:sz w:val="20"/>
          <w:szCs w:val="20"/>
        </w:rPr>
        <w:t>Ghoul</w:t>
      </w:r>
      <w:r w:rsidR="00151BCF" w:rsidRPr="004A2733">
        <w:rPr>
          <w:sz w:val="20"/>
          <w:szCs w:val="20"/>
        </w:rPr>
        <w:t xml:space="preserve"> </w:t>
      </w:r>
      <w:r w:rsidRPr="004A2733">
        <w:rPr>
          <w:sz w:val="20"/>
          <w:szCs w:val="20"/>
        </w:rPr>
        <w:t>S.,</w:t>
      </w:r>
      <w:r w:rsidR="00151BCF" w:rsidRPr="004A2733">
        <w:rPr>
          <w:sz w:val="20"/>
          <w:szCs w:val="20"/>
        </w:rPr>
        <w:t xml:space="preserve"> </w:t>
      </w:r>
      <w:proofErr w:type="spellStart"/>
      <w:r w:rsidRPr="004A2733">
        <w:rPr>
          <w:sz w:val="20"/>
          <w:szCs w:val="20"/>
        </w:rPr>
        <w:t>Guedhami</w:t>
      </w:r>
      <w:proofErr w:type="spellEnd"/>
      <w:r w:rsidRPr="004A2733">
        <w:rPr>
          <w:sz w:val="20"/>
          <w:szCs w:val="20"/>
        </w:rPr>
        <w:t>,</w:t>
      </w:r>
      <w:r w:rsidR="00151BCF" w:rsidRPr="004A2733">
        <w:rPr>
          <w:sz w:val="20"/>
          <w:szCs w:val="20"/>
        </w:rPr>
        <w:t xml:space="preserve"> </w:t>
      </w:r>
      <w:r w:rsidRPr="004A2733">
        <w:rPr>
          <w:sz w:val="20"/>
          <w:szCs w:val="20"/>
        </w:rPr>
        <w:t>O.</w:t>
      </w:r>
      <w:r w:rsidR="00151BCF" w:rsidRPr="004A2733">
        <w:rPr>
          <w:sz w:val="20"/>
          <w:szCs w:val="20"/>
        </w:rPr>
        <w:t xml:space="preserve"> </w:t>
      </w:r>
      <w:r w:rsidRPr="004A2733">
        <w:rPr>
          <w:sz w:val="20"/>
          <w:szCs w:val="20"/>
        </w:rPr>
        <w:t>and</w:t>
      </w:r>
      <w:r w:rsidR="00151BCF" w:rsidRPr="004A2733">
        <w:rPr>
          <w:sz w:val="20"/>
          <w:szCs w:val="20"/>
        </w:rPr>
        <w:t xml:space="preserve"> </w:t>
      </w:r>
      <w:proofErr w:type="spellStart"/>
      <w:r w:rsidRPr="004A2733">
        <w:rPr>
          <w:sz w:val="20"/>
          <w:szCs w:val="20"/>
        </w:rPr>
        <w:t>Rezanu</w:t>
      </w:r>
      <w:proofErr w:type="spellEnd"/>
      <w:r w:rsidR="004D27B1" w:rsidRPr="004A2733">
        <w:rPr>
          <w:sz w:val="20"/>
          <w:szCs w:val="20"/>
        </w:rPr>
        <w:t>, S</w:t>
      </w:r>
      <w:r w:rsidRPr="004A2733">
        <w:rPr>
          <w:sz w:val="20"/>
          <w:szCs w:val="20"/>
        </w:rPr>
        <w:t>.</w:t>
      </w:r>
      <w:r w:rsidR="00151BCF" w:rsidRPr="004A2733">
        <w:rPr>
          <w:sz w:val="20"/>
          <w:szCs w:val="20"/>
        </w:rPr>
        <w:t xml:space="preserve"> </w:t>
      </w:r>
      <w:r w:rsidRPr="004A2733">
        <w:rPr>
          <w:sz w:val="20"/>
          <w:szCs w:val="20"/>
        </w:rPr>
        <w:t>(2009)."</w:t>
      </w:r>
      <w:r w:rsidR="00151BCF" w:rsidRPr="004A2733">
        <w:rPr>
          <w:sz w:val="20"/>
          <w:szCs w:val="20"/>
        </w:rPr>
        <w:t xml:space="preserve"> </w:t>
      </w:r>
      <w:r w:rsidRPr="004A2733">
        <w:rPr>
          <w:sz w:val="20"/>
          <w:szCs w:val="20"/>
        </w:rPr>
        <w:t>Multiple</w:t>
      </w:r>
      <w:r w:rsidR="00151BCF" w:rsidRPr="004A2733">
        <w:rPr>
          <w:sz w:val="20"/>
          <w:szCs w:val="20"/>
        </w:rPr>
        <w:t xml:space="preserve"> </w:t>
      </w:r>
      <w:r w:rsidRPr="004A2733">
        <w:rPr>
          <w:sz w:val="20"/>
          <w:szCs w:val="20"/>
        </w:rPr>
        <w:t>Large</w:t>
      </w:r>
      <w:r w:rsidR="00151BCF" w:rsidRPr="004A2733">
        <w:rPr>
          <w:sz w:val="20"/>
          <w:szCs w:val="20"/>
        </w:rPr>
        <w:t xml:space="preserve"> </w:t>
      </w:r>
      <w:r w:rsidRPr="004A2733">
        <w:rPr>
          <w:sz w:val="20"/>
          <w:szCs w:val="20"/>
        </w:rPr>
        <w:t>Shareholders</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Value</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Holding".</w:t>
      </w:r>
      <w:r w:rsidR="00151BCF" w:rsidRPr="004A2733">
        <w:rPr>
          <w:sz w:val="20"/>
          <w:szCs w:val="20"/>
        </w:rPr>
        <w:t xml:space="preserve"> </w:t>
      </w:r>
      <w:r w:rsidRPr="004A2733">
        <w:rPr>
          <w:sz w:val="20"/>
          <w:szCs w:val="20"/>
        </w:rPr>
        <w:t>Saint</w:t>
      </w:r>
      <w:r w:rsidR="00151BCF" w:rsidRPr="004A2733">
        <w:rPr>
          <w:sz w:val="20"/>
          <w:szCs w:val="20"/>
        </w:rPr>
        <w:t xml:space="preserve"> </w:t>
      </w:r>
      <w:proofErr w:type="spellStart"/>
      <w:r w:rsidRPr="004A2733">
        <w:rPr>
          <w:sz w:val="20"/>
          <w:szCs w:val="20"/>
        </w:rPr>
        <w:t>marys</w:t>
      </w:r>
      <w:proofErr w:type="spellEnd"/>
      <w:r w:rsidR="00151BCF" w:rsidRPr="004A2733">
        <w:rPr>
          <w:sz w:val="20"/>
          <w:szCs w:val="20"/>
        </w:rPr>
        <w:t xml:space="preserve"> </w:t>
      </w:r>
      <w:r w:rsidRPr="004A2733">
        <w:rPr>
          <w:sz w:val="20"/>
          <w:szCs w:val="20"/>
        </w:rPr>
        <w:t>university,</w:t>
      </w:r>
      <w:r w:rsidR="00151BCF" w:rsidRPr="004A2733">
        <w:rPr>
          <w:sz w:val="20"/>
          <w:szCs w:val="20"/>
        </w:rPr>
        <w:t xml:space="preserve"> </w:t>
      </w:r>
      <w:r w:rsidRPr="004A2733">
        <w:rPr>
          <w:sz w:val="20"/>
          <w:szCs w:val="20"/>
        </w:rPr>
        <w:t>Halifax</w:t>
      </w:r>
      <w:r w:rsidR="00151BCF" w:rsidRPr="004A2733">
        <w:rPr>
          <w:sz w:val="20"/>
          <w:szCs w:val="20"/>
        </w:rPr>
        <w:t xml:space="preserve"> </w:t>
      </w:r>
      <w:r w:rsidRPr="004A2733">
        <w:rPr>
          <w:sz w:val="20"/>
          <w:szCs w:val="20"/>
        </w:rPr>
        <w:t>B3H3C3,</w:t>
      </w:r>
      <w:r w:rsidR="00151BCF" w:rsidRPr="004A2733">
        <w:rPr>
          <w:sz w:val="20"/>
          <w:szCs w:val="20"/>
        </w:rPr>
        <w:t xml:space="preserve"> </w:t>
      </w:r>
      <w:r w:rsidRPr="004A2733">
        <w:rPr>
          <w:sz w:val="20"/>
          <w:szCs w:val="20"/>
        </w:rPr>
        <w:t>Nova</w:t>
      </w:r>
      <w:r w:rsidR="00151BCF" w:rsidRPr="004A2733">
        <w:rPr>
          <w:sz w:val="20"/>
          <w:szCs w:val="20"/>
        </w:rPr>
        <w:t xml:space="preserve"> </w:t>
      </w:r>
      <w:r w:rsidRPr="004A2733">
        <w:rPr>
          <w:sz w:val="20"/>
          <w:szCs w:val="20"/>
        </w:rPr>
        <w:t>Scotia,</w:t>
      </w:r>
      <w:r w:rsidR="00151BCF" w:rsidRPr="004A2733">
        <w:rPr>
          <w:sz w:val="20"/>
          <w:szCs w:val="20"/>
        </w:rPr>
        <w:t xml:space="preserve"> </w:t>
      </w:r>
      <w:r w:rsidRPr="004A2733">
        <w:rPr>
          <w:sz w:val="20"/>
          <w:szCs w:val="20"/>
        </w:rPr>
        <w:t>Canada.</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Chen</w:t>
      </w:r>
      <w:r w:rsidR="004D27B1" w:rsidRPr="004A2733">
        <w:rPr>
          <w:sz w:val="20"/>
          <w:szCs w:val="20"/>
        </w:rPr>
        <w:t>, W, P</w:t>
      </w:r>
      <w:r w:rsidR="00151BCF" w:rsidRPr="004A2733">
        <w:rPr>
          <w:sz w:val="20"/>
          <w:szCs w:val="20"/>
        </w:rPr>
        <w:t xml:space="preserve">; </w:t>
      </w:r>
      <w:r w:rsidRPr="004A2733">
        <w:rPr>
          <w:sz w:val="20"/>
          <w:szCs w:val="20"/>
        </w:rPr>
        <w:t>Chung,</w:t>
      </w:r>
      <w:r w:rsidR="00151BCF" w:rsidRPr="004A2733">
        <w:rPr>
          <w:sz w:val="20"/>
          <w:szCs w:val="20"/>
        </w:rPr>
        <w:t xml:space="preserve"> </w:t>
      </w:r>
      <w:r w:rsidRPr="004A2733">
        <w:rPr>
          <w:sz w:val="20"/>
          <w:szCs w:val="20"/>
        </w:rPr>
        <w:t>h</w:t>
      </w:r>
      <w:r w:rsidR="00151BCF" w:rsidRPr="004A2733">
        <w:rPr>
          <w:sz w:val="20"/>
          <w:szCs w:val="20"/>
        </w:rPr>
        <w:t xml:space="preserve">; </w:t>
      </w:r>
      <w:r w:rsidRPr="004A2733">
        <w:rPr>
          <w:sz w:val="20"/>
          <w:szCs w:val="20"/>
        </w:rPr>
        <w:t>Lee,</w:t>
      </w:r>
      <w:r w:rsidR="00151BCF" w:rsidRPr="004A2733">
        <w:rPr>
          <w:sz w:val="20"/>
          <w:szCs w:val="20"/>
        </w:rPr>
        <w:t xml:space="preserve"> </w:t>
      </w:r>
      <w:r w:rsidRPr="004A2733">
        <w:rPr>
          <w:sz w:val="20"/>
          <w:szCs w:val="20"/>
        </w:rPr>
        <w:t>Ch</w:t>
      </w:r>
      <w:r w:rsidR="00151BCF" w:rsidRPr="004A2733">
        <w:rPr>
          <w:sz w:val="20"/>
          <w:szCs w:val="20"/>
        </w:rPr>
        <w:t xml:space="preserve">; </w:t>
      </w:r>
      <w:r w:rsidRPr="004A2733">
        <w:rPr>
          <w:sz w:val="20"/>
          <w:szCs w:val="20"/>
        </w:rPr>
        <w:t>Liao,</w:t>
      </w:r>
      <w:r w:rsidR="00151BCF" w:rsidRPr="004A2733">
        <w:rPr>
          <w:sz w:val="20"/>
          <w:szCs w:val="20"/>
        </w:rPr>
        <w:t xml:space="preserve"> </w:t>
      </w:r>
      <w:r w:rsidRPr="004A2733">
        <w:rPr>
          <w:sz w:val="20"/>
          <w:szCs w:val="20"/>
        </w:rPr>
        <w:t>W</w:t>
      </w:r>
      <w:r w:rsidR="00151BCF" w:rsidRPr="004A2733">
        <w:rPr>
          <w:sz w:val="20"/>
          <w:szCs w:val="20"/>
        </w:rPr>
        <w:t>; (</w:t>
      </w:r>
      <w:r w:rsidRPr="004A2733">
        <w:rPr>
          <w:sz w:val="20"/>
          <w:szCs w:val="20"/>
        </w:rPr>
        <w:t>2007),</w:t>
      </w:r>
      <w:r w:rsidR="00151BCF" w:rsidRPr="004A2733">
        <w:rPr>
          <w:sz w:val="20"/>
          <w:szCs w:val="20"/>
        </w:rPr>
        <w:t xml:space="preserve"> </w:t>
      </w:r>
      <w:r w:rsidRPr="004A2733">
        <w:rPr>
          <w:sz w:val="20"/>
          <w:szCs w:val="20"/>
        </w:rPr>
        <w:t>"</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Equity</w:t>
      </w:r>
      <w:r w:rsidR="00151BCF" w:rsidRPr="004A2733">
        <w:rPr>
          <w:sz w:val="20"/>
          <w:szCs w:val="20"/>
        </w:rPr>
        <w:t xml:space="preserve"> </w:t>
      </w:r>
      <w:r w:rsidRPr="004A2733">
        <w:rPr>
          <w:sz w:val="20"/>
          <w:szCs w:val="20"/>
        </w:rPr>
        <w:t>Liquidity</w:t>
      </w:r>
      <w:r w:rsidR="00151BCF" w:rsidRPr="004A2733">
        <w:rPr>
          <w:sz w:val="20"/>
          <w:szCs w:val="20"/>
        </w:rPr>
        <w:t xml:space="preserve">: </w:t>
      </w:r>
      <w:r w:rsidRPr="004A2733">
        <w:rPr>
          <w:sz w:val="20"/>
          <w:szCs w:val="20"/>
        </w:rPr>
        <w:t>Analysis</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S</w:t>
      </w:r>
      <w:r w:rsidR="00151BCF" w:rsidRPr="004A2733">
        <w:rPr>
          <w:sz w:val="20"/>
          <w:szCs w:val="20"/>
        </w:rPr>
        <w:t xml:space="preserve"> &amp; </w:t>
      </w:r>
      <w:r w:rsidRPr="004A2733">
        <w:rPr>
          <w:sz w:val="20"/>
          <w:szCs w:val="20"/>
        </w:rPr>
        <w:t>P</w:t>
      </w:r>
      <w:r w:rsidR="00151BCF" w:rsidRPr="004A2733">
        <w:rPr>
          <w:sz w:val="20"/>
          <w:szCs w:val="20"/>
        </w:rPr>
        <w:t xml:space="preserve"> </w:t>
      </w:r>
      <w:r w:rsidRPr="004A2733">
        <w:rPr>
          <w:sz w:val="20"/>
          <w:szCs w:val="20"/>
        </w:rPr>
        <w:t>Transparency</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Disclosure</w:t>
      </w:r>
      <w:r w:rsidR="00151BCF" w:rsidRPr="004A2733">
        <w:rPr>
          <w:sz w:val="20"/>
          <w:szCs w:val="20"/>
        </w:rPr>
        <w:t xml:space="preserve"> </w:t>
      </w:r>
      <w:r w:rsidRPr="004A2733">
        <w:rPr>
          <w:sz w:val="20"/>
          <w:szCs w:val="20"/>
        </w:rPr>
        <w:t>Rankings</w:t>
      </w:r>
      <w:r w:rsidR="00151BCF" w:rsidRPr="004A2733">
        <w:rPr>
          <w:sz w:val="20"/>
          <w:szCs w:val="20"/>
        </w:rPr>
        <w:t xml:space="preserve"> </w:t>
      </w:r>
      <w:r w:rsidRPr="004A2733">
        <w:rPr>
          <w:sz w:val="20"/>
          <w:szCs w:val="20"/>
        </w:rPr>
        <w:t>"</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4D27B1" w:rsidRPr="004A2733">
        <w:rPr>
          <w:sz w:val="20"/>
          <w:szCs w:val="20"/>
        </w:rPr>
        <w:t>: A</w:t>
      </w:r>
      <w:r w:rsidRPr="004A2733">
        <w:rPr>
          <w:sz w:val="20"/>
          <w:szCs w:val="20"/>
        </w:rPr>
        <w:t>n</w:t>
      </w:r>
      <w:r w:rsidR="00151BCF" w:rsidRPr="004A2733">
        <w:rPr>
          <w:sz w:val="20"/>
          <w:szCs w:val="20"/>
        </w:rPr>
        <w:t xml:space="preserve"> </w:t>
      </w:r>
      <w:r w:rsidRPr="004A2733">
        <w:rPr>
          <w:sz w:val="20"/>
          <w:szCs w:val="20"/>
        </w:rPr>
        <w:t>International</w:t>
      </w:r>
      <w:r w:rsidR="00151BCF" w:rsidRPr="004A2733">
        <w:rPr>
          <w:sz w:val="20"/>
          <w:szCs w:val="20"/>
        </w:rPr>
        <w:t xml:space="preserve"> </w:t>
      </w:r>
      <w:r w:rsidRPr="004A2733">
        <w:rPr>
          <w:sz w:val="20"/>
          <w:szCs w:val="20"/>
        </w:rPr>
        <w:t>Review.7.</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Chung,</w:t>
      </w:r>
      <w:r w:rsidR="00151BCF" w:rsidRPr="004A2733">
        <w:rPr>
          <w:sz w:val="20"/>
          <w:szCs w:val="20"/>
        </w:rPr>
        <w:t xml:space="preserve"> </w:t>
      </w:r>
      <w:r w:rsidRPr="004A2733">
        <w:rPr>
          <w:sz w:val="20"/>
          <w:szCs w:val="20"/>
        </w:rPr>
        <w:t>K;</w:t>
      </w:r>
      <w:r w:rsidR="00151BCF" w:rsidRPr="004A2733">
        <w:rPr>
          <w:sz w:val="20"/>
          <w:szCs w:val="20"/>
        </w:rPr>
        <w:t xml:space="preserve"> </w:t>
      </w:r>
      <w:r w:rsidRPr="004A2733">
        <w:rPr>
          <w:sz w:val="20"/>
          <w:szCs w:val="20"/>
        </w:rPr>
        <w:t>Elder,</w:t>
      </w:r>
      <w:r w:rsidR="00151BCF" w:rsidRPr="004A2733">
        <w:rPr>
          <w:sz w:val="20"/>
          <w:szCs w:val="20"/>
        </w:rPr>
        <w:t xml:space="preserve"> </w:t>
      </w:r>
      <w:r w:rsidRPr="004A2733">
        <w:rPr>
          <w:sz w:val="20"/>
          <w:szCs w:val="20"/>
        </w:rPr>
        <w:t>J;</w:t>
      </w:r>
      <w:r w:rsidR="00151BCF" w:rsidRPr="004A2733">
        <w:rPr>
          <w:sz w:val="20"/>
          <w:szCs w:val="20"/>
        </w:rPr>
        <w:t xml:space="preserve"> </w:t>
      </w:r>
      <w:r w:rsidRPr="004A2733">
        <w:rPr>
          <w:sz w:val="20"/>
          <w:szCs w:val="20"/>
        </w:rPr>
        <w:t>Kim</w:t>
      </w:r>
      <w:r w:rsidR="004D27B1" w:rsidRPr="004A2733">
        <w:rPr>
          <w:sz w:val="20"/>
          <w:szCs w:val="20"/>
        </w:rPr>
        <w:t>, J</w:t>
      </w:r>
      <w:r w:rsidRPr="004A2733">
        <w:rPr>
          <w:sz w:val="20"/>
          <w:szCs w:val="20"/>
        </w:rPr>
        <w:t>;</w:t>
      </w:r>
      <w:r w:rsidR="00151BCF" w:rsidRPr="004A2733">
        <w:rPr>
          <w:sz w:val="20"/>
          <w:szCs w:val="20"/>
        </w:rPr>
        <w:t xml:space="preserve"> </w:t>
      </w:r>
      <w:r w:rsidRPr="004A2733">
        <w:rPr>
          <w:sz w:val="20"/>
          <w:szCs w:val="20"/>
        </w:rPr>
        <w:t>(2008),"Corporate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Liquidity"</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Quantitative</w:t>
      </w:r>
      <w:r w:rsidR="00151BCF" w:rsidRPr="004A2733">
        <w:rPr>
          <w:sz w:val="20"/>
          <w:szCs w:val="20"/>
        </w:rPr>
        <w:t xml:space="preserve"> </w:t>
      </w:r>
      <w:r w:rsidRPr="004A2733">
        <w:rPr>
          <w:sz w:val="20"/>
          <w:szCs w:val="20"/>
        </w:rPr>
        <w:t>Analysis.</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Dittmar</w:t>
      </w:r>
      <w:proofErr w:type="spellEnd"/>
      <w:r w:rsidRPr="004A2733">
        <w:rPr>
          <w:sz w:val="20"/>
          <w:szCs w:val="20"/>
        </w:rPr>
        <w:t>,</w:t>
      </w:r>
      <w:r w:rsidR="00151BCF" w:rsidRPr="004A2733">
        <w:rPr>
          <w:sz w:val="20"/>
          <w:szCs w:val="20"/>
        </w:rPr>
        <w:t xml:space="preserve"> </w:t>
      </w:r>
      <w:r w:rsidRPr="004A2733">
        <w:rPr>
          <w:sz w:val="20"/>
          <w:szCs w:val="20"/>
        </w:rPr>
        <w:t>A.,</w:t>
      </w:r>
      <w:r w:rsidR="00151BCF" w:rsidRPr="004A2733">
        <w:rPr>
          <w:sz w:val="20"/>
          <w:szCs w:val="20"/>
        </w:rPr>
        <w:t xml:space="preserve"> </w:t>
      </w:r>
      <w:proofErr w:type="spellStart"/>
      <w:r w:rsidRPr="004A2733">
        <w:rPr>
          <w:sz w:val="20"/>
          <w:szCs w:val="20"/>
        </w:rPr>
        <w:t>Mahrt</w:t>
      </w:r>
      <w:proofErr w:type="spellEnd"/>
      <w:r w:rsidRPr="004A2733">
        <w:rPr>
          <w:sz w:val="20"/>
          <w:szCs w:val="20"/>
        </w:rPr>
        <w:t>-Smith,</w:t>
      </w:r>
      <w:r w:rsidR="00151BCF" w:rsidRPr="004A2733">
        <w:rPr>
          <w:sz w:val="20"/>
          <w:szCs w:val="20"/>
        </w:rPr>
        <w:t xml:space="preserve"> </w:t>
      </w:r>
      <w:r w:rsidRPr="004A2733">
        <w:rPr>
          <w:sz w:val="20"/>
          <w:szCs w:val="20"/>
        </w:rPr>
        <w:t>J.</w:t>
      </w:r>
      <w:r w:rsidR="00151BCF" w:rsidRPr="004A2733">
        <w:rPr>
          <w:sz w:val="20"/>
          <w:szCs w:val="20"/>
        </w:rPr>
        <w:t xml:space="preserve"> </w:t>
      </w:r>
      <w:r w:rsidRPr="004A2733">
        <w:rPr>
          <w:sz w:val="20"/>
          <w:szCs w:val="20"/>
        </w:rPr>
        <w:t>and</w:t>
      </w:r>
      <w:r w:rsidR="00151BCF" w:rsidRPr="004A2733">
        <w:rPr>
          <w:sz w:val="20"/>
          <w:szCs w:val="20"/>
        </w:rPr>
        <w:t xml:space="preserve"> </w:t>
      </w:r>
      <w:proofErr w:type="spellStart"/>
      <w:r w:rsidRPr="004A2733">
        <w:rPr>
          <w:sz w:val="20"/>
          <w:szCs w:val="20"/>
        </w:rPr>
        <w:t>Servaes</w:t>
      </w:r>
      <w:proofErr w:type="spellEnd"/>
      <w:r w:rsidR="004D27B1" w:rsidRPr="004A2733">
        <w:rPr>
          <w:sz w:val="20"/>
          <w:szCs w:val="20"/>
        </w:rPr>
        <w:t>, H</w:t>
      </w:r>
      <w:r w:rsidRPr="004A2733">
        <w:rPr>
          <w:sz w:val="20"/>
          <w:szCs w:val="20"/>
        </w:rPr>
        <w:t>.</w:t>
      </w:r>
      <w:r w:rsidR="00151BCF" w:rsidRPr="004A2733">
        <w:rPr>
          <w:sz w:val="20"/>
          <w:szCs w:val="20"/>
        </w:rPr>
        <w:t xml:space="preserve"> </w:t>
      </w:r>
      <w:r w:rsidRPr="004A2733">
        <w:rPr>
          <w:sz w:val="20"/>
          <w:szCs w:val="20"/>
        </w:rPr>
        <w:t>(2003).</w:t>
      </w:r>
      <w:r w:rsidR="00151BCF" w:rsidRPr="004A2733">
        <w:rPr>
          <w:sz w:val="20"/>
          <w:szCs w:val="20"/>
        </w:rPr>
        <w:t xml:space="preserve"> </w:t>
      </w:r>
      <w:r w:rsidRPr="004A2733">
        <w:rPr>
          <w:sz w:val="20"/>
          <w:szCs w:val="20"/>
        </w:rPr>
        <w:t>"International</w:t>
      </w:r>
      <w:r w:rsidR="00151BCF" w:rsidRPr="004A2733">
        <w:rPr>
          <w:sz w:val="20"/>
          <w:szCs w:val="20"/>
        </w:rPr>
        <w:t xml:space="preserve"> </w:t>
      </w:r>
      <w:r w:rsidRPr="004A2733">
        <w:rPr>
          <w:sz w:val="20"/>
          <w:szCs w:val="20"/>
        </w:rPr>
        <w:t>corporate</w:t>
      </w:r>
      <w:r w:rsidR="00151BCF" w:rsidRPr="004A2733">
        <w:rPr>
          <w:sz w:val="20"/>
          <w:szCs w:val="20"/>
        </w:rPr>
        <w:t xml:space="preserve"> </w:t>
      </w:r>
      <w:proofErr w:type="spellStart"/>
      <w:r w:rsidRPr="004A2733">
        <w:rPr>
          <w:sz w:val="20"/>
          <w:szCs w:val="20"/>
        </w:rPr>
        <w:t>governanceand</w:t>
      </w:r>
      <w:proofErr w:type="spellEnd"/>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holdings".</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Quantitative</w:t>
      </w:r>
      <w:r w:rsidR="00151BCF" w:rsidRPr="004A2733">
        <w:rPr>
          <w:sz w:val="20"/>
          <w:szCs w:val="20"/>
        </w:rPr>
        <w:t xml:space="preserve"> </w:t>
      </w:r>
      <w:r w:rsidRPr="004A2733">
        <w:rPr>
          <w:sz w:val="20"/>
          <w:szCs w:val="20"/>
        </w:rPr>
        <w:t>Analysis,</w:t>
      </w:r>
      <w:r w:rsidR="00151BCF" w:rsidRPr="004A2733">
        <w:rPr>
          <w:sz w:val="20"/>
          <w:szCs w:val="20"/>
        </w:rPr>
        <w:t xml:space="preserve"> </w:t>
      </w:r>
      <w:r w:rsidRPr="004A2733">
        <w:rPr>
          <w:sz w:val="20"/>
          <w:szCs w:val="20"/>
        </w:rPr>
        <w:t>Vol.38,</w:t>
      </w:r>
      <w:r w:rsidR="00151BCF" w:rsidRPr="004A2733">
        <w:rPr>
          <w:sz w:val="20"/>
          <w:szCs w:val="20"/>
        </w:rPr>
        <w:t xml:space="preserve"> </w:t>
      </w:r>
      <w:r w:rsidRPr="004A2733">
        <w:rPr>
          <w:sz w:val="20"/>
          <w:szCs w:val="20"/>
        </w:rPr>
        <w:t>pp.</w:t>
      </w:r>
      <w:r w:rsidR="00151BCF" w:rsidRPr="004A2733">
        <w:rPr>
          <w:sz w:val="20"/>
          <w:szCs w:val="20"/>
        </w:rPr>
        <w:t xml:space="preserve"> </w:t>
      </w:r>
      <w:r w:rsidRPr="004A2733">
        <w:rPr>
          <w:sz w:val="20"/>
          <w:szCs w:val="20"/>
        </w:rPr>
        <w:t>111-33.</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Ebrahim</w:t>
      </w:r>
      <w:proofErr w:type="spellEnd"/>
      <w:r w:rsidRPr="004A2733">
        <w:rPr>
          <w:sz w:val="20"/>
          <w:szCs w:val="20"/>
        </w:rPr>
        <w:t>,</w:t>
      </w:r>
      <w:r w:rsidR="00151BCF" w:rsidRPr="004A2733">
        <w:rPr>
          <w:sz w:val="20"/>
          <w:szCs w:val="20"/>
        </w:rPr>
        <w:t xml:space="preserve"> </w:t>
      </w:r>
      <w:r w:rsidRPr="004A2733">
        <w:rPr>
          <w:sz w:val="20"/>
          <w:szCs w:val="20"/>
        </w:rPr>
        <w:t>A</w:t>
      </w:r>
      <w:r w:rsidR="004D27B1" w:rsidRPr="004A2733">
        <w:rPr>
          <w:sz w:val="20"/>
          <w:szCs w:val="20"/>
        </w:rPr>
        <w:t>. M</w:t>
      </w:r>
      <w:r w:rsidRPr="004A2733">
        <w:rPr>
          <w:sz w:val="20"/>
          <w:szCs w:val="20"/>
        </w:rPr>
        <w:t>.</w:t>
      </w:r>
      <w:r w:rsidR="00151BCF" w:rsidRPr="004A2733">
        <w:rPr>
          <w:sz w:val="20"/>
          <w:szCs w:val="20"/>
        </w:rPr>
        <w:t xml:space="preserve"> </w:t>
      </w:r>
      <w:r w:rsidRPr="004A2733">
        <w:rPr>
          <w:sz w:val="20"/>
          <w:szCs w:val="20"/>
        </w:rPr>
        <w:t>(2004).</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Effectiveness</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Institutional</w:t>
      </w:r>
      <w:r w:rsidR="00151BCF" w:rsidRPr="004A2733">
        <w:rPr>
          <w:sz w:val="20"/>
          <w:szCs w:val="20"/>
        </w:rPr>
        <w:t xml:space="preserve"> </w:t>
      </w:r>
      <w:r w:rsidRPr="004A2733">
        <w:rPr>
          <w:sz w:val="20"/>
          <w:szCs w:val="20"/>
        </w:rPr>
        <w:t>Ownership,</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Audit</w:t>
      </w:r>
      <w:r w:rsidR="00151BCF" w:rsidRPr="004A2733">
        <w:rPr>
          <w:sz w:val="20"/>
          <w:szCs w:val="20"/>
        </w:rPr>
        <w:t xml:space="preserve"> </w:t>
      </w:r>
      <w:r w:rsidRPr="004A2733">
        <w:rPr>
          <w:sz w:val="20"/>
          <w:szCs w:val="20"/>
        </w:rPr>
        <w:t>Quality</w:t>
      </w:r>
      <w:r w:rsidR="00151BCF" w:rsidRPr="004A2733">
        <w:rPr>
          <w:sz w:val="20"/>
          <w:szCs w:val="20"/>
        </w:rPr>
        <w:t xml:space="preserve"> </w:t>
      </w:r>
      <w:r w:rsidRPr="004A2733">
        <w:rPr>
          <w:sz w:val="20"/>
          <w:szCs w:val="20"/>
        </w:rPr>
        <w:t>as</w:t>
      </w:r>
      <w:r w:rsidR="00151BCF" w:rsidRPr="004A2733">
        <w:rPr>
          <w:sz w:val="20"/>
          <w:szCs w:val="20"/>
        </w:rPr>
        <w:t xml:space="preserve"> </w:t>
      </w:r>
      <w:r w:rsidRPr="004A2733">
        <w:rPr>
          <w:sz w:val="20"/>
          <w:szCs w:val="20"/>
        </w:rPr>
        <w:t>Monitoring</w:t>
      </w:r>
      <w:r w:rsidR="00151BCF" w:rsidRPr="004A2733">
        <w:rPr>
          <w:sz w:val="20"/>
          <w:szCs w:val="20"/>
        </w:rPr>
        <w:t xml:space="preserve"> </w:t>
      </w:r>
      <w:r w:rsidRPr="004A2733">
        <w:rPr>
          <w:sz w:val="20"/>
          <w:szCs w:val="20"/>
        </w:rPr>
        <w:t>Devices</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Earnings</w:t>
      </w:r>
      <w:r w:rsidR="00151BCF" w:rsidRPr="004A2733">
        <w:rPr>
          <w:sz w:val="20"/>
          <w:szCs w:val="20"/>
        </w:rPr>
        <w:t xml:space="preserve"> </w:t>
      </w:r>
      <w:r w:rsidRPr="004A2733">
        <w:rPr>
          <w:sz w:val="20"/>
          <w:szCs w:val="20"/>
        </w:rPr>
        <w:t>Management".</w:t>
      </w:r>
      <w:r w:rsidR="00151BCF" w:rsidRPr="004A2733">
        <w:rPr>
          <w:sz w:val="20"/>
          <w:szCs w:val="20"/>
        </w:rPr>
        <w:t xml:space="preserve"> </w:t>
      </w:r>
      <w:r w:rsidRPr="004A2733">
        <w:rPr>
          <w:sz w:val="20"/>
          <w:szCs w:val="20"/>
        </w:rPr>
        <w:t>PhD</w:t>
      </w:r>
      <w:r w:rsidR="00151BCF" w:rsidRPr="004A2733">
        <w:rPr>
          <w:sz w:val="20"/>
          <w:szCs w:val="20"/>
        </w:rPr>
        <w:t xml:space="preserve"> </w:t>
      </w:r>
      <w:r w:rsidRPr="004A2733">
        <w:rPr>
          <w:sz w:val="20"/>
          <w:szCs w:val="20"/>
        </w:rPr>
        <w:t>Dissertation,</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state</w:t>
      </w:r>
      <w:r w:rsidR="00151BCF" w:rsidRPr="004A2733">
        <w:rPr>
          <w:sz w:val="20"/>
          <w:szCs w:val="20"/>
        </w:rPr>
        <w:t xml:space="preserve"> </w:t>
      </w:r>
      <w:r w:rsidRPr="004A2733">
        <w:rPr>
          <w:sz w:val="20"/>
          <w:szCs w:val="20"/>
        </w:rPr>
        <w:t>university</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New</w:t>
      </w:r>
      <w:r w:rsidR="00151BCF" w:rsidRPr="004A2733">
        <w:rPr>
          <w:sz w:val="20"/>
          <w:szCs w:val="20"/>
        </w:rPr>
        <w:t xml:space="preserve"> </w:t>
      </w:r>
      <w:r w:rsidRPr="004A2733">
        <w:rPr>
          <w:sz w:val="20"/>
          <w:szCs w:val="20"/>
        </w:rPr>
        <w:t>Jersey.</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Harford,</w:t>
      </w:r>
      <w:r w:rsidR="00151BCF" w:rsidRPr="004A2733">
        <w:rPr>
          <w:sz w:val="20"/>
          <w:szCs w:val="20"/>
        </w:rPr>
        <w:t xml:space="preserve"> </w:t>
      </w:r>
      <w:r w:rsidRPr="004A2733">
        <w:rPr>
          <w:sz w:val="20"/>
          <w:szCs w:val="20"/>
        </w:rPr>
        <w:t>J.</w:t>
      </w:r>
      <w:r w:rsidR="00151BCF" w:rsidRPr="004A2733">
        <w:rPr>
          <w:sz w:val="20"/>
          <w:szCs w:val="20"/>
        </w:rPr>
        <w:t xml:space="preserve"> </w:t>
      </w:r>
      <w:r w:rsidRPr="004A2733">
        <w:rPr>
          <w:sz w:val="20"/>
          <w:szCs w:val="20"/>
        </w:rPr>
        <w:t>(1999).</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reserves</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acquisitions".</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Finance</w:t>
      </w:r>
      <w:r w:rsidR="004D27B1" w:rsidRPr="004A2733">
        <w:rPr>
          <w:sz w:val="20"/>
          <w:szCs w:val="20"/>
        </w:rPr>
        <w:t>, V</w:t>
      </w:r>
      <w:r w:rsidRPr="004A2733">
        <w:rPr>
          <w:sz w:val="20"/>
          <w:szCs w:val="20"/>
        </w:rPr>
        <w:t>ol.</w:t>
      </w:r>
      <w:r w:rsidR="00151BCF" w:rsidRPr="004A2733">
        <w:rPr>
          <w:sz w:val="20"/>
          <w:szCs w:val="20"/>
        </w:rPr>
        <w:t xml:space="preserve"> </w:t>
      </w:r>
      <w:r w:rsidRPr="004A2733">
        <w:rPr>
          <w:sz w:val="20"/>
          <w:szCs w:val="20"/>
        </w:rPr>
        <w:t>54,</w:t>
      </w:r>
      <w:r w:rsidR="00151BCF" w:rsidRPr="004A2733">
        <w:rPr>
          <w:sz w:val="20"/>
          <w:szCs w:val="20"/>
        </w:rPr>
        <w:t xml:space="preserve"> </w:t>
      </w:r>
      <w:r w:rsidRPr="004A2733">
        <w:rPr>
          <w:sz w:val="20"/>
          <w:szCs w:val="20"/>
        </w:rPr>
        <w:t>pp.</w:t>
      </w:r>
      <w:r w:rsidR="00151BCF" w:rsidRPr="004A2733">
        <w:rPr>
          <w:sz w:val="20"/>
          <w:szCs w:val="20"/>
        </w:rPr>
        <w:t xml:space="preserve"> </w:t>
      </w:r>
      <w:r w:rsidRPr="004A2733">
        <w:rPr>
          <w:sz w:val="20"/>
          <w:szCs w:val="20"/>
        </w:rPr>
        <w:t>1969-97.</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Harford,</w:t>
      </w:r>
      <w:r w:rsidR="00151BCF" w:rsidRPr="004A2733">
        <w:rPr>
          <w:sz w:val="20"/>
          <w:szCs w:val="20"/>
        </w:rPr>
        <w:t xml:space="preserve"> </w:t>
      </w:r>
      <w:r w:rsidRPr="004A2733">
        <w:rPr>
          <w:sz w:val="20"/>
          <w:szCs w:val="20"/>
        </w:rPr>
        <w:t>J.</w:t>
      </w:r>
      <w:r w:rsidR="00151BCF" w:rsidRPr="004A2733">
        <w:rPr>
          <w:sz w:val="20"/>
          <w:szCs w:val="20"/>
        </w:rPr>
        <w:t xml:space="preserve">, </w:t>
      </w:r>
      <w:proofErr w:type="spellStart"/>
      <w:r w:rsidRPr="004A2733">
        <w:rPr>
          <w:sz w:val="20"/>
          <w:szCs w:val="20"/>
        </w:rPr>
        <w:t>Mansi</w:t>
      </w:r>
      <w:proofErr w:type="spellEnd"/>
      <w:r w:rsidRPr="004A2733">
        <w:rPr>
          <w:sz w:val="20"/>
          <w:szCs w:val="20"/>
        </w:rPr>
        <w:t>,</w:t>
      </w:r>
      <w:r w:rsidR="00151BCF" w:rsidRPr="004A2733">
        <w:rPr>
          <w:sz w:val="20"/>
          <w:szCs w:val="20"/>
        </w:rPr>
        <w:t xml:space="preserve"> </w:t>
      </w:r>
      <w:r w:rsidRPr="004A2733">
        <w:rPr>
          <w:sz w:val="20"/>
          <w:szCs w:val="20"/>
        </w:rPr>
        <w:t>S.</w:t>
      </w:r>
      <w:r w:rsidR="00151BCF" w:rsidRPr="004A2733">
        <w:rPr>
          <w:sz w:val="20"/>
          <w:szCs w:val="20"/>
        </w:rPr>
        <w:t xml:space="preserve"> </w:t>
      </w:r>
      <w:r w:rsidRPr="004A2733">
        <w:rPr>
          <w:sz w:val="20"/>
          <w:szCs w:val="20"/>
        </w:rPr>
        <w:t>A.</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Maxwell</w:t>
      </w:r>
      <w:r w:rsidR="00151BCF" w:rsidRPr="004A2733">
        <w:rPr>
          <w:sz w:val="20"/>
          <w:szCs w:val="20"/>
        </w:rPr>
        <w:t xml:space="preserve"> </w:t>
      </w:r>
      <w:r w:rsidRPr="004A2733">
        <w:rPr>
          <w:sz w:val="20"/>
          <w:szCs w:val="20"/>
        </w:rPr>
        <w:t>W</w:t>
      </w:r>
      <w:r w:rsidR="004D27B1" w:rsidRPr="004A2733">
        <w:rPr>
          <w:sz w:val="20"/>
          <w:szCs w:val="20"/>
        </w:rPr>
        <w:t>. F</w:t>
      </w:r>
      <w:r w:rsidRPr="004A2733">
        <w:rPr>
          <w:sz w:val="20"/>
          <w:szCs w:val="20"/>
        </w:rPr>
        <w:t>.</w:t>
      </w:r>
      <w:r w:rsidR="00151BCF" w:rsidRPr="004A2733">
        <w:rPr>
          <w:sz w:val="20"/>
          <w:szCs w:val="20"/>
        </w:rPr>
        <w:t xml:space="preserve"> </w:t>
      </w:r>
      <w:r w:rsidRPr="004A2733">
        <w:rPr>
          <w:sz w:val="20"/>
          <w:szCs w:val="20"/>
        </w:rPr>
        <w:t>(2008).</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firm</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holdings</w:t>
      </w:r>
      <w:r w:rsidR="00151BCF" w:rsidRPr="004A2733">
        <w:rPr>
          <w:sz w:val="20"/>
          <w:szCs w:val="20"/>
        </w:rPr>
        <w:t xml:space="preserve"> </w:t>
      </w:r>
      <w:r w:rsidRPr="004A2733">
        <w:rPr>
          <w:sz w:val="20"/>
          <w:szCs w:val="20"/>
        </w:rPr>
        <w:t>in</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US".</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Economics,</w:t>
      </w:r>
      <w:r w:rsidR="00151BCF" w:rsidRPr="004A2733">
        <w:rPr>
          <w:sz w:val="20"/>
          <w:szCs w:val="20"/>
        </w:rPr>
        <w:t xml:space="preserve"> </w:t>
      </w:r>
      <w:proofErr w:type="spellStart"/>
      <w:r w:rsidRPr="004A2733">
        <w:rPr>
          <w:sz w:val="20"/>
          <w:szCs w:val="20"/>
        </w:rPr>
        <w:t>Vol</w:t>
      </w:r>
      <w:proofErr w:type="spellEnd"/>
      <w:r w:rsidR="00151BCF" w:rsidRPr="004A2733">
        <w:rPr>
          <w:sz w:val="20"/>
          <w:szCs w:val="20"/>
        </w:rPr>
        <w:t xml:space="preserve"> </w:t>
      </w:r>
      <w:r w:rsidRPr="004A2733">
        <w:rPr>
          <w:sz w:val="20"/>
          <w:szCs w:val="20"/>
        </w:rPr>
        <w:t>87,</w:t>
      </w:r>
      <w:r w:rsidR="00151BCF" w:rsidRPr="004A2733">
        <w:rPr>
          <w:sz w:val="20"/>
          <w:szCs w:val="20"/>
        </w:rPr>
        <w:t xml:space="preserve"> </w:t>
      </w:r>
      <w:r w:rsidRPr="004A2733">
        <w:rPr>
          <w:sz w:val="20"/>
          <w:szCs w:val="20"/>
        </w:rPr>
        <w:t>Issue</w:t>
      </w:r>
      <w:r w:rsidR="00151BCF" w:rsidRPr="004A2733">
        <w:rPr>
          <w:sz w:val="20"/>
          <w:szCs w:val="20"/>
        </w:rPr>
        <w:t xml:space="preserve"> </w:t>
      </w:r>
      <w:r w:rsidRPr="004A2733">
        <w:rPr>
          <w:sz w:val="20"/>
          <w:szCs w:val="20"/>
        </w:rPr>
        <w:t>3,</w:t>
      </w:r>
      <w:r w:rsidR="00151BCF" w:rsidRPr="004A2733">
        <w:rPr>
          <w:sz w:val="20"/>
          <w:szCs w:val="20"/>
        </w:rPr>
        <w:t xml:space="preserve"> </w:t>
      </w:r>
      <w:r w:rsidRPr="004A2733">
        <w:rPr>
          <w:sz w:val="20"/>
          <w:szCs w:val="20"/>
        </w:rPr>
        <w:t>March</w:t>
      </w:r>
      <w:r w:rsidR="00151BCF" w:rsidRPr="004A2733">
        <w:rPr>
          <w:sz w:val="20"/>
          <w:szCs w:val="20"/>
        </w:rPr>
        <w:t xml:space="preserve"> </w:t>
      </w:r>
      <w:r w:rsidRPr="004A2733">
        <w:rPr>
          <w:sz w:val="20"/>
          <w:szCs w:val="20"/>
        </w:rPr>
        <w:t>2008,</w:t>
      </w:r>
      <w:r w:rsidR="00151BCF" w:rsidRPr="004A2733">
        <w:rPr>
          <w:sz w:val="20"/>
          <w:szCs w:val="20"/>
        </w:rPr>
        <w:t xml:space="preserve"> </w:t>
      </w:r>
      <w:r w:rsidRPr="004A2733">
        <w:rPr>
          <w:sz w:val="20"/>
          <w:szCs w:val="20"/>
        </w:rPr>
        <w:t>PP535-555.</w:t>
      </w:r>
    </w:p>
    <w:p w:rsidR="00494B7A"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Kapopoulos</w:t>
      </w:r>
      <w:proofErr w:type="spellEnd"/>
      <w:r w:rsidRPr="004A2733">
        <w:rPr>
          <w:sz w:val="20"/>
          <w:szCs w:val="20"/>
        </w:rPr>
        <w:t>,</w:t>
      </w:r>
      <w:r w:rsidR="00151BCF" w:rsidRPr="004A2733">
        <w:rPr>
          <w:sz w:val="20"/>
          <w:szCs w:val="20"/>
        </w:rPr>
        <w:t xml:space="preserve"> </w:t>
      </w:r>
      <w:r w:rsidRPr="004A2733">
        <w:rPr>
          <w:sz w:val="20"/>
          <w:szCs w:val="20"/>
        </w:rPr>
        <w:t>P</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S.</w:t>
      </w:r>
      <w:r w:rsidR="00151BCF" w:rsidRPr="004A2733">
        <w:rPr>
          <w:sz w:val="20"/>
          <w:szCs w:val="20"/>
        </w:rPr>
        <w:t xml:space="preserve"> </w:t>
      </w:r>
      <w:proofErr w:type="spellStart"/>
      <w:r w:rsidRPr="004A2733">
        <w:rPr>
          <w:sz w:val="20"/>
          <w:szCs w:val="20"/>
        </w:rPr>
        <w:t>Lazaretou</w:t>
      </w:r>
      <w:proofErr w:type="spellEnd"/>
      <w:r w:rsidR="00151BCF" w:rsidRPr="004A2733">
        <w:rPr>
          <w:sz w:val="20"/>
          <w:szCs w:val="20"/>
        </w:rPr>
        <w:t xml:space="preserve"> </w:t>
      </w:r>
      <w:r w:rsidRPr="004A2733">
        <w:rPr>
          <w:sz w:val="20"/>
          <w:szCs w:val="20"/>
        </w:rPr>
        <w:t>(2007)."Corporate</w:t>
      </w:r>
      <w:r w:rsidR="00151BCF" w:rsidRPr="004A2733">
        <w:rPr>
          <w:sz w:val="20"/>
          <w:szCs w:val="20"/>
        </w:rPr>
        <w:t xml:space="preserve"> </w:t>
      </w:r>
      <w:r w:rsidRPr="004A2733">
        <w:rPr>
          <w:sz w:val="20"/>
          <w:szCs w:val="20"/>
        </w:rPr>
        <w:t>Ownership</w:t>
      </w:r>
      <w:r w:rsidR="00151BCF" w:rsidRPr="004A2733">
        <w:rPr>
          <w:sz w:val="20"/>
          <w:szCs w:val="20"/>
        </w:rPr>
        <w:t xml:space="preserve"> </w:t>
      </w:r>
      <w:r w:rsidRPr="004A2733">
        <w:rPr>
          <w:sz w:val="20"/>
          <w:szCs w:val="20"/>
        </w:rPr>
        <w:t>Structure</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Firm</w:t>
      </w:r>
      <w:r w:rsidR="00151BCF" w:rsidRPr="004A2733">
        <w:rPr>
          <w:sz w:val="20"/>
          <w:szCs w:val="20"/>
        </w:rPr>
        <w:t xml:space="preserve"> </w:t>
      </w:r>
      <w:r w:rsidRPr="004A2733">
        <w:rPr>
          <w:sz w:val="20"/>
          <w:szCs w:val="20"/>
        </w:rPr>
        <w:t>Performance:</w:t>
      </w:r>
      <w:r w:rsidR="00151BCF" w:rsidRPr="004A2733">
        <w:rPr>
          <w:sz w:val="20"/>
          <w:szCs w:val="20"/>
        </w:rPr>
        <w:t xml:space="preserve"> </w:t>
      </w:r>
      <w:r w:rsidRPr="004A2733">
        <w:rPr>
          <w:sz w:val="20"/>
          <w:szCs w:val="20"/>
        </w:rPr>
        <w:t>Evidence</w:t>
      </w:r>
      <w:r w:rsidR="00151BCF" w:rsidRPr="004A2733">
        <w:rPr>
          <w:sz w:val="20"/>
          <w:szCs w:val="20"/>
        </w:rPr>
        <w:t xml:space="preserve"> </w:t>
      </w:r>
      <w:r w:rsidRPr="004A2733">
        <w:rPr>
          <w:sz w:val="20"/>
          <w:szCs w:val="20"/>
        </w:rPr>
        <w:t>from</w:t>
      </w:r>
      <w:r w:rsidR="00151BCF" w:rsidRPr="004A2733">
        <w:rPr>
          <w:sz w:val="20"/>
          <w:szCs w:val="20"/>
        </w:rPr>
        <w:t xml:space="preserve"> </w:t>
      </w:r>
      <w:r w:rsidRPr="004A2733">
        <w:rPr>
          <w:sz w:val="20"/>
          <w:szCs w:val="20"/>
        </w:rPr>
        <w:t>Greek</w:t>
      </w:r>
      <w:r w:rsidR="00151BCF" w:rsidRPr="004A2733">
        <w:rPr>
          <w:sz w:val="20"/>
          <w:szCs w:val="20"/>
        </w:rPr>
        <w:t xml:space="preserve"> </w:t>
      </w:r>
      <w:r w:rsidRPr="004A2733">
        <w:rPr>
          <w:sz w:val="20"/>
          <w:szCs w:val="20"/>
        </w:rPr>
        <w:t>Firms".</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An</w:t>
      </w:r>
      <w:r w:rsidR="00151BCF" w:rsidRPr="004A2733">
        <w:rPr>
          <w:sz w:val="20"/>
          <w:szCs w:val="20"/>
        </w:rPr>
        <w:t xml:space="preserve"> </w:t>
      </w:r>
      <w:r w:rsidRPr="004A2733">
        <w:rPr>
          <w:sz w:val="20"/>
          <w:szCs w:val="20"/>
        </w:rPr>
        <w:t>International</w:t>
      </w:r>
      <w:r w:rsidR="00151BCF" w:rsidRPr="004A2733">
        <w:rPr>
          <w:sz w:val="20"/>
          <w:szCs w:val="20"/>
        </w:rPr>
        <w:t xml:space="preserve"> </w:t>
      </w:r>
      <w:r w:rsidRPr="004A2733">
        <w:rPr>
          <w:sz w:val="20"/>
          <w:szCs w:val="20"/>
        </w:rPr>
        <w:t>Review.</w:t>
      </w:r>
      <w:r w:rsidR="00151BCF" w:rsidRPr="004A2733">
        <w:rPr>
          <w:sz w:val="20"/>
          <w:szCs w:val="20"/>
        </w:rPr>
        <w:t xml:space="preserve"> </w:t>
      </w:r>
      <w:r w:rsidRPr="004A2733">
        <w:rPr>
          <w:sz w:val="20"/>
          <w:szCs w:val="20"/>
        </w:rPr>
        <w:t>Vol.15,</w:t>
      </w:r>
      <w:r w:rsidR="00151BCF" w:rsidRPr="004A2733">
        <w:rPr>
          <w:sz w:val="20"/>
          <w:szCs w:val="20"/>
        </w:rPr>
        <w:t xml:space="preserve"> </w:t>
      </w:r>
      <w:r w:rsidRPr="004A2733">
        <w:rPr>
          <w:sz w:val="20"/>
          <w:szCs w:val="20"/>
        </w:rPr>
        <w:t>No.2,</w:t>
      </w:r>
      <w:r w:rsidR="00151BCF" w:rsidRPr="004A2733">
        <w:rPr>
          <w:sz w:val="20"/>
          <w:szCs w:val="20"/>
        </w:rPr>
        <w:t xml:space="preserve"> </w:t>
      </w:r>
      <w:r w:rsidRPr="004A2733">
        <w:rPr>
          <w:sz w:val="20"/>
          <w:szCs w:val="20"/>
        </w:rPr>
        <w:t>pp.144-158.</w:t>
      </w:r>
    </w:p>
    <w:p w:rsidR="00800608"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Lee,</w:t>
      </w:r>
      <w:r w:rsidR="00151BCF" w:rsidRPr="004A2733">
        <w:rPr>
          <w:sz w:val="20"/>
          <w:szCs w:val="20"/>
        </w:rPr>
        <w:t xml:space="preserve"> </w:t>
      </w:r>
      <w:r w:rsidRPr="004A2733">
        <w:rPr>
          <w:sz w:val="20"/>
          <w:szCs w:val="20"/>
        </w:rPr>
        <w:t>Cheng</w:t>
      </w:r>
      <w:r w:rsidR="004D27B1" w:rsidRPr="004A2733">
        <w:rPr>
          <w:sz w:val="20"/>
          <w:szCs w:val="20"/>
        </w:rPr>
        <w:t>. F</w:t>
      </w:r>
      <w:r w:rsidRPr="004A2733">
        <w:rPr>
          <w:sz w:val="20"/>
          <w:szCs w:val="20"/>
        </w:rPr>
        <w:t>ew.</w:t>
      </w:r>
      <w:r w:rsidR="00151BCF" w:rsidRPr="004A2733">
        <w:rPr>
          <w:sz w:val="20"/>
          <w:szCs w:val="20"/>
        </w:rPr>
        <w:t xml:space="preserve"> </w:t>
      </w:r>
      <w:r w:rsidRPr="004A2733">
        <w:rPr>
          <w:sz w:val="20"/>
          <w:szCs w:val="20"/>
        </w:rPr>
        <w:t>(2009).</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Holdings,</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Governance</w:t>
      </w:r>
      <w:r w:rsidR="00151BCF" w:rsidRPr="004A2733">
        <w:rPr>
          <w:sz w:val="20"/>
          <w:szCs w:val="20"/>
        </w:rPr>
        <w:t xml:space="preserve"> </w:t>
      </w:r>
      <w:r w:rsidRPr="004A2733">
        <w:rPr>
          <w:sz w:val="20"/>
          <w:szCs w:val="20"/>
        </w:rPr>
        <w:t>Structure</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Firm</w:t>
      </w:r>
      <w:r w:rsidR="00151BCF" w:rsidRPr="004A2733">
        <w:rPr>
          <w:sz w:val="20"/>
          <w:szCs w:val="20"/>
        </w:rPr>
        <w:t xml:space="preserve"> </w:t>
      </w:r>
      <w:r w:rsidRPr="004A2733">
        <w:rPr>
          <w:sz w:val="20"/>
          <w:szCs w:val="20"/>
        </w:rPr>
        <w:t>Valuation".</w:t>
      </w:r>
      <w:r w:rsidR="00151BCF" w:rsidRPr="004A2733">
        <w:rPr>
          <w:sz w:val="20"/>
          <w:szCs w:val="20"/>
        </w:rPr>
        <w:t xml:space="preserve"> </w:t>
      </w:r>
      <w:r w:rsidRPr="004A2733">
        <w:rPr>
          <w:sz w:val="20"/>
          <w:szCs w:val="20"/>
        </w:rPr>
        <w:t>Review</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Pacific</w:t>
      </w:r>
      <w:r w:rsidR="00151BCF" w:rsidRPr="004A2733">
        <w:rPr>
          <w:sz w:val="20"/>
          <w:szCs w:val="20"/>
        </w:rPr>
        <w:t xml:space="preserve"> </w:t>
      </w:r>
      <w:r w:rsidRPr="004A2733">
        <w:rPr>
          <w:sz w:val="20"/>
          <w:szCs w:val="20"/>
        </w:rPr>
        <w:t>Basin</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Markets</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Policies,</w:t>
      </w:r>
      <w:r w:rsidR="00151BCF" w:rsidRPr="004A2733">
        <w:rPr>
          <w:sz w:val="20"/>
          <w:szCs w:val="20"/>
        </w:rPr>
        <w:t xml:space="preserve"> </w:t>
      </w:r>
      <w:r w:rsidRPr="004A2733">
        <w:rPr>
          <w:sz w:val="20"/>
          <w:szCs w:val="20"/>
        </w:rPr>
        <w:t>Vol.</w:t>
      </w:r>
    </w:p>
    <w:p w:rsidR="00800608" w:rsidRPr="004A2733" w:rsidRDefault="0049770E" w:rsidP="004D27B1">
      <w:pPr>
        <w:numPr>
          <w:ilvl w:val="0"/>
          <w:numId w:val="4"/>
        </w:numPr>
        <w:tabs>
          <w:tab w:val="clear" w:pos="720"/>
        </w:tabs>
        <w:suppressAutoHyphens w:val="0"/>
        <w:snapToGrid w:val="0"/>
        <w:ind w:left="425" w:hanging="425"/>
        <w:jc w:val="both"/>
        <w:rPr>
          <w:sz w:val="20"/>
          <w:szCs w:val="20"/>
        </w:rPr>
      </w:pPr>
      <w:proofErr w:type="spellStart"/>
      <w:r w:rsidRPr="004A2733">
        <w:rPr>
          <w:sz w:val="20"/>
          <w:szCs w:val="20"/>
        </w:rPr>
        <w:t>Mikkelson</w:t>
      </w:r>
      <w:proofErr w:type="spellEnd"/>
      <w:r w:rsidRPr="004A2733">
        <w:rPr>
          <w:sz w:val="20"/>
          <w:szCs w:val="20"/>
        </w:rPr>
        <w:t>,</w:t>
      </w:r>
      <w:r w:rsidR="00151BCF" w:rsidRPr="004A2733">
        <w:rPr>
          <w:sz w:val="20"/>
          <w:szCs w:val="20"/>
        </w:rPr>
        <w:t xml:space="preserve"> </w:t>
      </w:r>
      <w:r w:rsidRPr="004A2733">
        <w:rPr>
          <w:sz w:val="20"/>
          <w:szCs w:val="20"/>
        </w:rPr>
        <w:t>W.</w:t>
      </w:r>
      <w:r w:rsidR="00151BCF" w:rsidRPr="004A2733">
        <w:rPr>
          <w:sz w:val="20"/>
          <w:szCs w:val="20"/>
        </w:rPr>
        <w:t xml:space="preserve"> </w:t>
      </w:r>
      <w:r w:rsidRPr="004A2733">
        <w:rPr>
          <w:sz w:val="20"/>
          <w:szCs w:val="20"/>
        </w:rPr>
        <w:t>and</w:t>
      </w:r>
      <w:r w:rsidR="00151BCF" w:rsidRPr="004A2733">
        <w:rPr>
          <w:sz w:val="20"/>
          <w:szCs w:val="20"/>
        </w:rPr>
        <w:t xml:space="preserve"> </w:t>
      </w:r>
      <w:proofErr w:type="spellStart"/>
      <w:r w:rsidRPr="004A2733">
        <w:rPr>
          <w:sz w:val="20"/>
          <w:szCs w:val="20"/>
        </w:rPr>
        <w:t>Partch</w:t>
      </w:r>
      <w:proofErr w:type="spellEnd"/>
      <w:r w:rsidRPr="004A2733">
        <w:rPr>
          <w:sz w:val="20"/>
          <w:szCs w:val="20"/>
        </w:rPr>
        <w:t>,</w:t>
      </w:r>
      <w:r w:rsidR="00151BCF" w:rsidRPr="004A2733">
        <w:rPr>
          <w:sz w:val="20"/>
          <w:szCs w:val="20"/>
        </w:rPr>
        <w:t xml:space="preserve"> </w:t>
      </w:r>
      <w:r w:rsidRPr="004A2733">
        <w:rPr>
          <w:sz w:val="20"/>
          <w:szCs w:val="20"/>
        </w:rPr>
        <w:t>M.</w:t>
      </w:r>
      <w:r w:rsidR="00151BCF" w:rsidRPr="004A2733">
        <w:rPr>
          <w:sz w:val="20"/>
          <w:szCs w:val="20"/>
        </w:rPr>
        <w:t xml:space="preserve"> </w:t>
      </w:r>
      <w:r w:rsidRPr="004A2733">
        <w:rPr>
          <w:sz w:val="20"/>
          <w:szCs w:val="20"/>
        </w:rPr>
        <w:t>(2003).</w:t>
      </w:r>
      <w:r w:rsidR="00151BCF" w:rsidRPr="004A2733">
        <w:rPr>
          <w:sz w:val="20"/>
          <w:szCs w:val="20"/>
        </w:rPr>
        <w:t xml:space="preserve"> </w:t>
      </w:r>
      <w:r w:rsidRPr="004A2733">
        <w:rPr>
          <w:sz w:val="20"/>
          <w:szCs w:val="20"/>
        </w:rPr>
        <w:t>"Do</w:t>
      </w:r>
      <w:r w:rsidR="00151BCF" w:rsidRPr="004A2733">
        <w:rPr>
          <w:sz w:val="20"/>
          <w:szCs w:val="20"/>
        </w:rPr>
        <w:t xml:space="preserve"> </w:t>
      </w:r>
      <w:r w:rsidRPr="004A2733">
        <w:rPr>
          <w:sz w:val="20"/>
          <w:szCs w:val="20"/>
        </w:rPr>
        <w:t>persistent</w:t>
      </w:r>
      <w:r w:rsidR="00151BCF" w:rsidRPr="004A2733">
        <w:rPr>
          <w:sz w:val="20"/>
          <w:szCs w:val="20"/>
        </w:rPr>
        <w:t xml:space="preserve"> </w:t>
      </w:r>
      <w:r w:rsidRPr="004A2733">
        <w:rPr>
          <w:sz w:val="20"/>
          <w:szCs w:val="20"/>
        </w:rPr>
        <w:t>large</w:t>
      </w:r>
      <w:r w:rsidR="00151BCF" w:rsidRPr="004A2733">
        <w:rPr>
          <w:sz w:val="20"/>
          <w:szCs w:val="20"/>
        </w:rPr>
        <w:t xml:space="preserve"> </w:t>
      </w:r>
      <w:r w:rsidRPr="004A2733">
        <w:rPr>
          <w:sz w:val="20"/>
          <w:szCs w:val="20"/>
        </w:rPr>
        <w:t>cash</w:t>
      </w:r>
      <w:r w:rsidR="00151BCF" w:rsidRPr="004A2733">
        <w:rPr>
          <w:sz w:val="20"/>
          <w:szCs w:val="20"/>
        </w:rPr>
        <w:t xml:space="preserve"> </w:t>
      </w:r>
      <w:r w:rsidRPr="004A2733">
        <w:rPr>
          <w:sz w:val="20"/>
          <w:szCs w:val="20"/>
        </w:rPr>
        <w:t>reserves</w:t>
      </w:r>
      <w:r w:rsidR="00151BCF" w:rsidRPr="004A2733">
        <w:rPr>
          <w:sz w:val="20"/>
          <w:szCs w:val="20"/>
        </w:rPr>
        <w:t xml:space="preserve"> </w:t>
      </w:r>
      <w:r w:rsidRPr="004A2733">
        <w:rPr>
          <w:sz w:val="20"/>
          <w:szCs w:val="20"/>
        </w:rPr>
        <w:t>hinder</w:t>
      </w:r>
      <w:r w:rsidR="00151BCF" w:rsidRPr="004A2733">
        <w:rPr>
          <w:sz w:val="20"/>
          <w:szCs w:val="20"/>
        </w:rPr>
        <w:t xml:space="preserve"> </w:t>
      </w:r>
      <w:r w:rsidRPr="004A2733">
        <w:rPr>
          <w:sz w:val="20"/>
          <w:szCs w:val="20"/>
        </w:rPr>
        <w:t>performance".</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Financial</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Quantitative</w:t>
      </w:r>
      <w:r w:rsidR="00151BCF" w:rsidRPr="004A2733">
        <w:rPr>
          <w:sz w:val="20"/>
          <w:szCs w:val="20"/>
        </w:rPr>
        <w:t xml:space="preserve"> </w:t>
      </w:r>
      <w:r w:rsidRPr="004A2733">
        <w:rPr>
          <w:sz w:val="20"/>
          <w:szCs w:val="20"/>
        </w:rPr>
        <w:t>Analysis,</w:t>
      </w:r>
      <w:r w:rsidR="00151BCF" w:rsidRPr="004A2733">
        <w:rPr>
          <w:sz w:val="20"/>
          <w:szCs w:val="20"/>
        </w:rPr>
        <w:t xml:space="preserve"> </w:t>
      </w:r>
      <w:r w:rsidRPr="004A2733">
        <w:rPr>
          <w:sz w:val="20"/>
          <w:szCs w:val="20"/>
        </w:rPr>
        <w:t>Vol.</w:t>
      </w:r>
      <w:r w:rsidR="00151BCF" w:rsidRPr="004A2733">
        <w:rPr>
          <w:sz w:val="20"/>
          <w:szCs w:val="20"/>
        </w:rPr>
        <w:t xml:space="preserve"> </w:t>
      </w:r>
      <w:r w:rsidRPr="004A2733">
        <w:rPr>
          <w:sz w:val="20"/>
          <w:szCs w:val="20"/>
        </w:rPr>
        <w:t>38,</w:t>
      </w:r>
      <w:r w:rsidR="00151BCF" w:rsidRPr="004A2733">
        <w:rPr>
          <w:sz w:val="20"/>
          <w:szCs w:val="20"/>
        </w:rPr>
        <w:t xml:space="preserve"> </w:t>
      </w:r>
      <w:r w:rsidRPr="004A2733">
        <w:rPr>
          <w:sz w:val="20"/>
          <w:szCs w:val="20"/>
        </w:rPr>
        <w:t>pp.</w:t>
      </w:r>
      <w:r w:rsidR="00151BCF" w:rsidRPr="004A2733">
        <w:rPr>
          <w:sz w:val="20"/>
          <w:szCs w:val="20"/>
        </w:rPr>
        <w:t xml:space="preserve"> </w:t>
      </w:r>
      <w:r w:rsidRPr="004A2733">
        <w:rPr>
          <w:sz w:val="20"/>
          <w:szCs w:val="20"/>
        </w:rPr>
        <w:t>275-94.</w:t>
      </w:r>
    </w:p>
    <w:p w:rsidR="0049770E" w:rsidRPr="004A2733" w:rsidRDefault="0049770E" w:rsidP="004D27B1">
      <w:pPr>
        <w:numPr>
          <w:ilvl w:val="0"/>
          <w:numId w:val="4"/>
        </w:numPr>
        <w:tabs>
          <w:tab w:val="clear" w:pos="720"/>
        </w:tabs>
        <w:suppressAutoHyphens w:val="0"/>
        <w:snapToGrid w:val="0"/>
        <w:ind w:left="425" w:hanging="425"/>
        <w:jc w:val="both"/>
        <w:rPr>
          <w:sz w:val="20"/>
          <w:szCs w:val="20"/>
        </w:rPr>
      </w:pPr>
      <w:r w:rsidRPr="004A2733">
        <w:rPr>
          <w:sz w:val="20"/>
          <w:szCs w:val="20"/>
        </w:rPr>
        <w:t>Ryan,</w:t>
      </w:r>
      <w:r w:rsidR="00151BCF" w:rsidRPr="004A2733">
        <w:rPr>
          <w:sz w:val="20"/>
          <w:szCs w:val="20"/>
        </w:rPr>
        <w:t xml:space="preserve"> </w:t>
      </w:r>
      <w:r w:rsidRPr="004A2733">
        <w:rPr>
          <w:sz w:val="20"/>
          <w:szCs w:val="20"/>
        </w:rPr>
        <w:t>H</w:t>
      </w:r>
      <w:r w:rsidR="004D27B1" w:rsidRPr="004A2733">
        <w:rPr>
          <w:sz w:val="20"/>
          <w:szCs w:val="20"/>
        </w:rPr>
        <w:t>. E</w:t>
      </w:r>
      <w:r w:rsidRPr="004A2733">
        <w:rPr>
          <w:sz w:val="20"/>
          <w:szCs w:val="20"/>
        </w:rPr>
        <w:t>.</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Wiggins,</w:t>
      </w:r>
      <w:r w:rsidR="00151BCF" w:rsidRPr="004A2733">
        <w:rPr>
          <w:sz w:val="20"/>
          <w:szCs w:val="20"/>
        </w:rPr>
        <w:t xml:space="preserve"> </w:t>
      </w:r>
      <w:r w:rsidRPr="004A2733">
        <w:rPr>
          <w:sz w:val="20"/>
          <w:szCs w:val="20"/>
        </w:rPr>
        <w:t>R</w:t>
      </w:r>
      <w:r w:rsidR="004D27B1" w:rsidRPr="004A2733">
        <w:rPr>
          <w:sz w:val="20"/>
          <w:szCs w:val="20"/>
        </w:rPr>
        <w:t>. A</w:t>
      </w:r>
      <w:r w:rsidRPr="004A2733">
        <w:rPr>
          <w:sz w:val="20"/>
          <w:szCs w:val="20"/>
        </w:rPr>
        <w:t>.</w:t>
      </w:r>
      <w:r w:rsidR="00151BCF" w:rsidRPr="004A2733">
        <w:rPr>
          <w:sz w:val="20"/>
          <w:szCs w:val="20"/>
        </w:rPr>
        <w:t xml:space="preserve"> </w:t>
      </w:r>
      <w:r w:rsidRPr="004A2733">
        <w:rPr>
          <w:sz w:val="20"/>
          <w:szCs w:val="20"/>
        </w:rPr>
        <w:t>(2001).</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influence</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firm</w:t>
      </w:r>
      <w:r w:rsidR="00151BCF" w:rsidRPr="004A2733">
        <w:rPr>
          <w:sz w:val="20"/>
          <w:szCs w:val="20"/>
        </w:rPr>
        <w:t xml:space="preserve"> </w:t>
      </w:r>
      <w:r w:rsidRPr="004A2733">
        <w:rPr>
          <w:sz w:val="20"/>
          <w:szCs w:val="20"/>
        </w:rPr>
        <w:t>and</w:t>
      </w:r>
      <w:r w:rsidR="00151BCF" w:rsidRPr="004A2733">
        <w:rPr>
          <w:sz w:val="20"/>
          <w:szCs w:val="20"/>
        </w:rPr>
        <w:t xml:space="preserve"> </w:t>
      </w:r>
      <w:r w:rsidRPr="004A2733">
        <w:rPr>
          <w:sz w:val="20"/>
          <w:szCs w:val="20"/>
        </w:rPr>
        <w:t>manager</w:t>
      </w:r>
      <w:r w:rsidR="00151BCF" w:rsidRPr="004A2733">
        <w:rPr>
          <w:sz w:val="20"/>
          <w:szCs w:val="20"/>
        </w:rPr>
        <w:t xml:space="preserve"> </w:t>
      </w:r>
      <w:r w:rsidRPr="004A2733">
        <w:rPr>
          <w:sz w:val="20"/>
          <w:szCs w:val="20"/>
        </w:rPr>
        <w:t>specific</w:t>
      </w:r>
      <w:r w:rsidR="00151BCF" w:rsidRPr="004A2733">
        <w:rPr>
          <w:sz w:val="20"/>
          <w:szCs w:val="20"/>
        </w:rPr>
        <w:t xml:space="preserve"> </w:t>
      </w:r>
      <w:r w:rsidRPr="004A2733">
        <w:rPr>
          <w:sz w:val="20"/>
          <w:szCs w:val="20"/>
        </w:rPr>
        <w:t>characteristics</w:t>
      </w:r>
      <w:r w:rsidR="00151BCF" w:rsidRPr="004A2733">
        <w:rPr>
          <w:sz w:val="20"/>
          <w:szCs w:val="20"/>
        </w:rPr>
        <w:t xml:space="preserve"> </w:t>
      </w:r>
      <w:r w:rsidRPr="004A2733">
        <w:rPr>
          <w:sz w:val="20"/>
          <w:szCs w:val="20"/>
        </w:rPr>
        <w:t>on</w:t>
      </w:r>
      <w:r w:rsidR="00151BCF" w:rsidRPr="004A2733">
        <w:rPr>
          <w:sz w:val="20"/>
          <w:szCs w:val="20"/>
        </w:rPr>
        <w:t xml:space="preserve"> </w:t>
      </w:r>
      <w:r w:rsidRPr="004A2733">
        <w:rPr>
          <w:sz w:val="20"/>
          <w:szCs w:val="20"/>
        </w:rPr>
        <w:t>the</w:t>
      </w:r>
      <w:r w:rsidR="00151BCF" w:rsidRPr="004A2733">
        <w:rPr>
          <w:sz w:val="20"/>
          <w:szCs w:val="20"/>
        </w:rPr>
        <w:t xml:space="preserve"> </w:t>
      </w:r>
      <w:r w:rsidRPr="004A2733">
        <w:rPr>
          <w:sz w:val="20"/>
          <w:szCs w:val="20"/>
        </w:rPr>
        <w:t>structure</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executive</w:t>
      </w:r>
      <w:r w:rsidR="00151BCF" w:rsidRPr="004A2733">
        <w:rPr>
          <w:sz w:val="20"/>
          <w:szCs w:val="20"/>
        </w:rPr>
        <w:t xml:space="preserve"> </w:t>
      </w:r>
      <w:r w:rsidRPr="004A2733">
        <w:rPr>
          <w:sz w:val="20"/>
          <w:szCs w:val="20"/>
        </w:rPr>
        <w:t>compensation".</w:t>
      </w:r>
      <w:r w:rsidR="00151BCF" w:rsidRPr="004A2733">
        <w:rPr>
          <w:sz w:val="20"/>
          <w:szCs w:val="20"/>
        </w:rPr>
        <w:t xml:space="preserve"> </w:t>
      </w:r>
      <w:r w:rsidRPr="004A2733">
        <w:rPr>
          <w:sz w:val="20"/>
          <w:szCs w:val="20"/>
        </w:rPr>
        <w:t>Journal</w:t>
      </w:r>
      <w:r w:rsidR="00151BCF" w:rsidRPr="004A2733">
        <w:rPr>
          <w:sz w:val="20"/>
          <w:szCs w:val="20"/>
        </w:rPr>
        <w:t xml:space="preserve"> </w:t>
      </w:r>
      <w:r w:rsidRPr="004A2733">
        <w:rPr>
          <w:sz w:val="20"/>
          <w:szCs w:val="20"/>
        </w:rPr>
        <w:t>of</w:t>
      </w:r>
      <w:r w:rsidR="00151BCF" w:rsidRPr="004A2733">
        <w:rPr>
          <w:sz w:val="20"/>
          <w:szCs w:val="20"/>
        </w:rPr>
        <w:t xml:space="preserve"> </w:t>
      </w:r>
      <w:r w:rsidRPr="004A2733">
        <w:rPr>
          <w:sz w:val="20"/>
          <w:szCs w:val="20"/>
        </w:rPr>
        <w:t>corporate</w:t>
      </w:r>
      <w:r w:rsidR="00151BCF" w:rsidRPr="004A2733">
        <w:rPr>
          <w:sz w:val="20"/>
          <w:szCs w:val="20"/>
        </w:rPr>
        <w:t xml:space="preserve"> </w:t>
      </w:r>
      <w:r w:rsidRPr="004A2733">
        <w:rPr>
          <w:sz w:val="20"/>
          <w:szCs w:val="20"/>
        </w:rPr>
        <w:t>finance.7,</w:t>
      </w:r>
      <w:r w:rsidR="00151BCF" w:rsidRPr="004A2733">
        <w:rPr>
          <w:sz w:val="20"/>
          <w:szCs w:val="20"/>
        </w:rPr>
        <w:t xml:space="preserve"> </w:t>
      </w:r>
      <w:r w:rsidRPr="004A2733">
        <w:rPr>
          <w:sz w:val="20"/>
          <w:szCs w:val="20"/>
        </w:rPr>
        <w:t>p.101.</w:t>
      </w:r>
    </w:p>
    <w:p w:rsidR="004D27B1" w:rsidRPr="004A2733" w:rsidRDefault="004D27B1" w:rsidP="004D27B1">
      <w:pPr>
        <w:suppressAutoHyphens w:val="0"/>
        <w:snapToGrid w:val="0"/>
        <w:ind w:left="425" w:hanging="425"/>
        <w:jc w:val="both"/>
        <w:rPr>
          <w:sz w:val="20"/>
          <w:szCs w:val="20"/>
        </w:rPr>
        <w:sectPr w:rsidR="004D27B1" w:rsidRPr="004A2733" w:rsidSect="004D27B1">
          <w:footnotePr>
            <w:pos w:val="beneathText"/>
          </w:footnotePr>
          <w:type w:val="continuous"/>
          <w:pgSz w:w="12240" w:h="15840" w:code="1"/>
          <w:pgMar w:top="1440" w:right="1440" w:bottom="1440" w:left="1440" w:header="720" w:footer="720" w:gutter="0"/>
          <w:cols w:num="2" w:space="600"/>
          <w:docGrid w:linePitch="360"/>
        </w:sectPr>
      </w:pPr>
    </w:p>
    <w:p w:rsidR="003D3BEC" w:rsidRPr="004A2733" w:rsidRDefault="003D3BEC" w:rsidP="004D27B1">
      <w:pPr>
        <w:suppressAutoHyphens w:val="0"/>
        <w:snapToGrid w:val="0"/>
        <w:ind w:left="425" w:hanging="425"/>
        <w:jc w:val="both"/>
        <w:rPr>
          <w:sz w:val="20"/>
          <w:szCs w:val="20"/>
        </w:rPr>
      </w:pPr>
    </w:p>
    <w:p w:rsidR="00151BCF" w:rsidRPr="004A2733" w:rsidRDefault="00151BCF" w:rsidP="004D27B1">
      <w:pPr>
        <w:suppressAutoHyphens w:val="0"/>
        <w:snapToGrid w:val="0"/>
        <w:ind w:firstLine="425"/>
        <w:jc w:val="both"/>
        <w:rPr>
          <w:sz w:val="20"/>
          <w:szCs w:val="20"/>
        </w:rPr>
      </w:pPr>
    </w:p>
    <w:p w:rsidR="004D0467" w:rsidRPr="004A2733" w:rsidRDefault="00151BCF" w:rsidP="004D27B1">
      <w:pPr>
        <w:suppressAutoHyphens w:val="0"/>
        <w:snapToGrid w:val="0"/>
        <w:jc w:val="both"/>
        <w:rPr>
          <w:sz w:val="20"/>
          <w:szCs w:val="20"/>
        </w:rPr>
      </w:pPr>
      <w:r w:rsidRPr="004A2733">
        <w:rPr>
          <w:sz w:val="20"/>
          <w:szCs w:val="20"/>
        </w:rPr>
        <w:t>3/2</w:t>
      </w:r>
      <w:r w:rsidR="00F802DD" w:rsidRPr="004A2733">
        <w:rPr>
          <w:rFonts w:hint="eastAsia"/>
          <w:sz w:val="20"/>
          <w:szCs w:val="20"/>
          <w:lang w:eastAsia="zh-CN"/>
        </w:rPr>
        <w:t>5</w:t>
      </w:r>
      <w:r w:rsidRPr="004A2733">
        <w:rPr>
          <w:sz w:val="20"/>
          <w:szCs w:val="20"/>
        </w:rPr>
        <w:t>/2019</w:t>
      </w:r>
    </w:p>
    <w:sectPr w:rsidR="004D0467" w:rsidRPr="004A2733" w:rsidSect="00151BC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FA" w:rsidRDefault="00694EFA">
      <w:r>
        <w:separator/>
      </w:r>
    </w:p>
  </w:endnote>
  <w:endnote w:type="continuationSeparator" w:id="0">
    <w:p w:rsidR="00694EFA" w:rsidRDefault="00694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1367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D27B1" w:rsidRDefault="0071367A" w:rsidP="004D27B1">
    <w:pPr>
      <w:jc w:val="center"/>
      <w:rPr>
        <w:sz w:val="20"/>
      </w:rPr>
    </w:pPr>
    <w:r w:rsidRPr="004D27B1">
      <w:rPr>
        <w:sz w:val="20"/>
      </w:rPr>
      <w:fldChar w:fldCharType="begin"/>
    </w:r>
    <w:r w:rsidR="004D27B1" w:rsidRPr="004D27B1">
      <w:rPr>
        <w:sz w:val="20"/>
      </w:rPr>
      <w:instrText xml:space="preserve"> page </w:instrText>
    </w:r>
    <w:r w:rsidRPr="004D27B1">
      <w:rPr>
        <w:sz w:val="20"/>
      </w:rPr>
      <w:fldChar w:fldCharType="separate"/>
    </w:r>
    <w:r w:rsidR="004A2733">
      <w:rPr>
        <w:noProof/>
        <w:sz w:val="20"/>
      </w:rPr>
      <w:t>77</w:t>
    </w:r>
    <w:r w:rsidRPr="004D27B1">
      <w:rPr>
        <w:sz w:val="20"/>
      </w:rPr>
      <w:fldChar w:fldCharType="end"/>
    </w:r>
    <w:r w:rsidR="00966860" w:rsidRPr="004D27B1">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FA" w:rsidRDefault="00694EFA">
      <w:r>
        <w:separator/>
      </w:r>
    </w:p>
  </w:footnote>
  <w:footnote w:type="continuationSeparator" w:id="0">
    <w:p w:rsidR="00694EFA" w:rsidRDefault="00694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B1" w:rsidRPr="004D27B1" w:rsidRDefault="004D27B1" w:rsidP="004D27B1">
    <w:pPr>
      <w:pBdr>
        <w:bottom w:val="thinThickMediumGap" w:sz="12" w:space="1" w:color="auto"/>
      </w:pBdr>
      <w:tabs>
        <w:tab w:val="left" w:pos="851"/>
        <w:tab w:val="right" w:pos="8364"/>
      </w:tabs>
      <w:adjustRightInd w:val="0"/>
      <w:snapToGrid w:val="0"/>
      <w:jc w:val="both"/>
      <w:rPr>
        <w:iCs/>
        <w:sz w:val="20"/>
        <w:szCs w:val="20"/>
      </w:rPr>
    </w:pPr>
    <w:r w:rsidRPr="004D27B1">
      <w:rPr>
        <w:rFonts w:hint="eastAsia"/>
        <w:iCs/>
        <w:color w:val="000000"/>
        <w:sz w:val="20"/>
        <w:szCs w:val="20"/>
      </w:rPr>
      <w:tab/>
    </w:r>
    <w:r w:rsidRPr="004D27B1">
      <w:rPr>
        <w:iCs/>
        <w:color w:val="000000"/>
        <w:sz w:val="20"/>
        <w:szCs w:val="20"/>
      </w:rPr>
      <w:t xml:space="preserve">Researcher </w:t>
    </w:r>
    <w:r w:rsidRPr="004D27B1">
      <w:rPr>
        <w:iCs/>
        <w:sz w:val="20"/>
        <w:szCs w:val="20"/>
      </w:rPr>
      <w:t>201</w:t>
    </w:r>
    <w:r w:rsidRPr="004D27B1">
      <w:rPr>
        <w:rFonts w:hint="eastAsia"/>
        <w:iCs/>
        <w:sz w:val="20"/>
        <w:szCs w:val="20"/>
      </w:rPr>
      <w:t>9</w:t>
    </w:r>
    <w:r w:rsidRPr="004D27B1">
      <w:rPr>
        <w:iCs/>
        <w:sz w:val="20"/>
        <w:szCs w:val="20"/>
      </w:rPr>
      <w:t>;</w:t>
    </w:r>
    <w:r w:rsidRPr="004D27B1">
      <w:rPr>
        <w:rFonts w:hint="eastAsia"/>
        <w:iCs/>
        <w:sz w:val="20"/>
        <w:szCs w:val="20"/>
      </w:rPr>
      <w:t>11</w:t>
    </w:r>
    <w:r w:rsidRPr="004D27B1">
      <w:rPr>
        <w:iCs/>
        <w:sz w:val="20"/>
        <w:szCs w:val="20"/>
      </w:rPr>
      <w:t>(</w:t>
    </w:r>
    <w:r w:rsidRPr="004D27B1">
      <w:rPr>
        <w:rFonts w:hint="eastAsia"/>
        <w:iCs/>
        <w:sz w:val="20"/>
        <w:szCs w:val="20"/>
      </w:rPr>
      <w:t>3</w:t>
    </w:r>
    <w:r w:rsidRPr="004D27B1">
      <w:rPr>
        <w:iCs/>
        <w:sz w:val="20"/>
        <w:szCs w:val="20"/>
      </w:rPr>
      <w:t xml:space="preserve">)  </w:t>
    </w:r>
    <w:r w:rsidRPr="004D27B1">
      <w:rPr>
        <w:rFonts w:hint="eastAsia"/>
        <w:iCs/>
        <w:sz w:val="20"/>
        <w:szCs w:val="20"/>
      </w:rPr>
      <w:t xml:space="preserve"> </w:t>
    </w:r>
    <w:r w:rsidRPr="004D27B1">
      <w:rPr>
        <w:iCs/>
        <w:sz w:val="20"/>
        <w:szCs w:val="20"/>
      </w:rPr>
      <w:t xml:space="preserve"> </w:t>
    </w:r>
    <w:r w:rsidRPr="004D27B1">
      <w:rPr>
        <w:rFonts w:hint="eastAsia"/>
        <w:iCs/>
        <w:sz w:val="20"/>
        <w:szCs w:val="20"/>
      </w:rPr>
      <w:tab/>
    </w:r>
    <w:r w:rsidRPr="004D27B1">
      <w:rPr>
        <w:iCs/>
        <w:sz w:val="20"/>
        <w:szCs w:val="20"/>
      </w:rPr>
      <w:t xml:space="preserve">    </w:t>
    </w:r>
    <w:r w:rsidRPr="004D27B1">
      <w:rPr>
        <w:sz w:val="20"/>
        <w:szCs w:val="20"/>
      </w:rPr>
      <w:t xml:space="preserve"> </w:t>
    </w:r>
    <w:hyperlink r:id="rId1" w:history="1">
      <w:r w:rsidRPr="004D27B1">
        <w:rPr>
          <w:rStyle w:val="Hyperlink"/>
          <w:sz w:val="20"/>
          <w:szCs w:val="20"/>
        </w:rPr>
        <w:t>http://www.sciencepub.net/researcher</w:t>
      </w:r>
    </w:hyperlink>
  </w:p>
  <w:p w:rsidR="004D27B1" w:rsidRPr="004D27B1" w:rsidRDefault="004D27B1" w:rsidP="004D27B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775007"/>
    <w:multiLevelType w:val="multilevel"/>
    <w:tmpl w:val="72604C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6CB4634"/>
    <w:multiLevelType w:val="hybridMultilevel"/>
    <w:tmpl w:val="EB360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A5F72"/>
    <w:multiLevelType w:val="multilevel"/>
    <w:tmpl w:val="DACC7C4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1477BE1"/>
    <w:multiLevelType w:val="multilevel"/>
    <w:tmpl w:val="783E46B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479278B"/>
    <w:multiLevelType w:val="multilevel"/>
    <w:tmpl w:val="723E2D1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104239"/>
    <w:multiLevelType w:val="hybridMultilevel"/>
    <w:tmpl w:val="9A6E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333B65"/>
    <w:multiLevelType w:val="hybridMultilevel"/>
    <w:tmpl w:val="C51A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C3261"/>
    <w:multiLevelType w:val="hybridMultilevel"/>
    <w:tmpl w:val="F386EB32"/>
    <w:lvl w:ilvl="0" w:tplc="97122D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2"/>
  </w:num>
  <w:num w:numId="6">
    <w:abstractNumId w:val="7"/>
  </w:num>
  <w:num w:numId="7">
    <w:abstractNumId w:val="6"/>
  </w:num>
  <w:num w:numId="8">
    <w:abstractNumId w:val="5"/>
  </w:num>
  <w:num w:numId="9">
    <w:abstractNumId w:val="4"/>
  </w:num>
  <w:num w:numId="10">
    <w:abstractNumId w:val="1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8"/>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540"/>
    <w:rsid w:val="0002510D"/>
    <w:rsid w:val="00043395"/>
    <w:rsid w:val="0005092B"/>
    <w:rsid w:val="000629A7"/>
    <w:rsid w:val="00080CE9"/>
    <w:rsid w:val="000827B7"/>
    <w:rsid w:val="00090A06"/>
    <w:rsid w:val="000A0327"/>
    <w:rsid w:val="000C5F1C"/>
    <w:rsid w:val="000F2115"/>
    <w:rsid w:val="0014474A"/>
    <w:rsid w:val="00151BCF"/>
    <w:rsid w:val="001817C7"/>
    <w:rsid w:val="001901BB"/>
    <w:rsid w:val="001A678A"/>
    <w:rsid w:val="001B362B"/>
    <w:rsid w:val="001B41B8"/>
    <w:rsid w:val="001C4E73"/>
    <w:rsid w:val="00210C3C"/>
    <w:rsid w:val="002C3C1C"/>
    <w:rsid w:val="002F20CD"/>
    <w:rsid w:val="00314F95"/>
    <w:rsid w:val="00316C30"/>
    <w:rsid w:val="00322FAB"/>
    <w:rsid w:val="00331641"/>
    <w:rsid w:val="003431CA"/>
    <w:rsid w:val="00345581"/>
    <w:rsid w:val="003506F8"/>
    <w:rsid w:val="00354F89"/>
    <w:rsid w:val="003B7436"/>
    <w:rsid w:val="003C7F3D"/>
    <w:rsid w:val="003D3BEC"/>
    <w:rsid w:val="003E6D9C"/>
    <w:rsid w:val="003F6E5B"/>
    <w:rsid w:val="00412A4E"/>
    <w:rsid w:val="0042390D"/>
    <w:rsid w:val="0043159A"/>
    <w:rsid w:val="00454801"/>
    <w:rsid w:val="00456753"/>
    <w:rsid w:val="00471E57"/>
    <w:rsid w:val="00473F50"/>
    <w:rsid w:val="0049143E"/>
    <w:rsid w:val="00494B7A"/>
    <w:rsid w:val="0049770E"/>
    <w:rsid w:val="004A2733"/>
    <w:rsid w:val="004A3E77"/>
    <w:rsid w:val="004B04C5"/>
    <w:rsid w:val="004D0467"/>
    <w:rsid w:val="004D27B1"/>
    <w:rsid w:val="004E3D34"/>
    <w:rsid w:val="004F5E69"/>
    <w:rsid w:val="00561F90"/>
    <w:rsid w:val="005637F5"/>
    <w:rsid w:val="00593132"/>
    <w:rsid w:val="005A6E6F"/>
    <w:rsid w:val="005C2F35"/>
    <w:rsid w:val="005F5E04"/>
    <w:rsid w:val="00640D91"/>
    <w:rsid w:val="0064415C"/>
    <w:rsid w:val="0065209A"/>
    <w:rsid w:val="00675C08"/>
    <w:rsid w:val="00694EFA"/>
    <w:rsid w:val="006D1565"/>
    <w:rsid w:val="006D5C2E"/>
    <w:rsid w:val="006E6ACB"/>
    <w:rsid w:val="006F1706"/>
    <w:rsid w:val="0071367A"/>
    <w:rsid w:val="00734A5D"/>
    <w:rsid w:val="00762C8E"/>
    <w:rsid w:val="0078507E"/>
    <w:rsid w:val="007A4800"/>
    <w:rsid w:val="007D4CAA"/>
    <w:rsid w:val="007D746F"/>
    <w:rsid w:val="007E2AC7"/>
    <w:rsid w:val="007F4E92"/>
    <w:rsid w:val="00800608"/>
    <w:rsid w:val="00814FA7"/>
    <w:rsid w:val="008402A1"/>
    <w:rsid w:val="00870272"/>
    <w:rsid w:val="0087114A"/>
    <w:rsid w:val="00871A28"/>
    <w:rsid w:val="008A20AC"/>
    <w:rsid w:val="008F1FDC"/>
    <w:rsid w:val="0091208A"/>
    <w:rsid w:val="00914558"/>
    <w:rsid w:val="00916C33"/>
    <w:rsid w:val="0092384F"/>
    <w:rsid w:val="00927F3A"/>
    <w:rsid w:val="00935CDE"/>
    <w:rsid w:val="0094140D"/>
    <w:rsid w:val="009433D3"/>
    <w:rsid w:val="009458E4"/>
    <w:rsid w:val="009459B3"/>
    <w:rsid w:val="00952EB8"/>
    <w:rsid w:val="00966860"/>
    <w:rsid w:val="00970C7A"/>
    <w:rsid w:val="00973321"/>
    <w:rsid w:val="00983F48"/>
    <w:rsid w:val="009A45B6"/>
    <w:rsid w:val="009B2D4A"/>
    <w:rsid w:val="009C081A"/>
    <w:rsid w:val="009D378C"/>
    <w:rsid w:val="00A22BBB"/>
    <w:rsid w:val="00A2654E"/>
    <w:rsid w:val="00A3476D"/>
    <w:rsid w:val="00A368A7"/>
    <w:rsid w:val="00A525C8"/>
    <w:rsid w:val="00A771DC"/>
    <w:rsid w:val="00AE71F1"/>
    <w:rsid w:val="00B05126"/>
    <w:rsid w:val="00B05DCF"/>
    <w:rsid w:val="00B3167C"/>
    <w:rsid w:val="00B42900"/>
    <w:rsid w:val="00B47AEF"/>
    <w:rsid w:val="00B47F73"/>
    <w:rsid w:val="00B60E8D"/>
    <w:rsid w:val="00B80C0E"/>
    <w:rsid w:val="00B9624B"/>
    <w:rsid w:val="00BB1BF7"/>
    <w:rsid w:val="00BD2A8D"/>
    <w:rsid w:val="00BF6579"/>
    <w:rsid w:val="00C412DE"/>
    <w:rsid w:val="00C43A46"/>
    <w:rsid w:val="00C5371F"/>
    <w:rsid w:val="00C9733A"/>
    <w:rsid w:val="00CC746E"/>
    <w:rsid w:val="00CE7B2F"/>
    <w:rsid w:val="00CF71BC"/>
    <w:rsid w:val="00D26F2E"/>
    <w:rsid w:val="00D3777A"/>
    <w:rsid w:val="00D428AE"/>
    <w:rsid w:val="00D44AF2"/>
    <w:rsid w:val="00D53769"/>
    <w:rsid w:val="00D575EA"/>
    <w:rsid w:val="00D72B74"/>
    <w:rsid w:val="00DA3E31"/>
    <w:rsid w:val="00DD3044"/>
    <w:rsid w:val="00DF7353"/>
    <w:rsid w:val="00E76259"/>
    <w:rsid w:val="00EA1F9D"/>
    <w:rsid w:val="00EB0959"/>
    <w:rsid w:val="00EC2AF3"/>
    <w:rsid w:val="00EC5C53"/>
    <w:rsid w:val="00ED4441"/>
    <w:rsid w:val="00EE1F9A"/>
    <w:rsid w:val="00EE2AC1"/>
    <w:rsid w:val="00EF343F"/>
    <w:rsid w:val="00EF3BA2"/>
    <w:rsid w:val="00EF4701"/>
    <w:rsid w:val="00F4399A"/>
    <w:rsid w:val="00F46A5E"/>
    <w:rsid w:val="00F657C4"/>
    <w:rsid w:val="00F67084"/>
    <w:rsid w:val="00F75943"/>
    <w:rsid w:val="00F802DD"/>
    <w:rsid w:val="00F81370"/>
    <w:rsid w:val="00F86EDC"/>
    <w:rsid w:val="00FB1625"/>
    <w:rsid w:val="00FB5B6A"/>
    <w:rsid w:val="00FC2367"/>
    <w:rsid w:val="00FC4906"/>
    <w:rsid w:val="00FE6213"/>
    <w:rsid w:val="00FE72D2"/>
    <w:rsid w:val="00FE76E4"/>
    <w:rsid w:val="00FF3B9A"/>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C3C1C"/>
    <w:pPr>
      <w:keepNext/>
      <w:tabs>
        <w:tab w:val="num" w:pos="0"/>
      </w:tabs>
      <w:outlineLvl w:val="0"/>
    </w:pPr>
    <w:rPr>
      <w:b/>
      <w:bCs/>
      <w:sz w:val="32"/>
    </w:rPr>
  </w:style>
  <w:style w:type="paragraph" w:styleId="Heading2">
    <w:name w:val="heading 2"/>
    <w:basedOn w:val="Normal"/>
    <w:next w:val="Normal"/>
    <w:qFormat/>
    <w:rsid w:val="002C3C1C"/>
    <w:pPr>
      <w:keepNext/>
      <w:tabs>
        <w:tab w:val="num" w:pos="0"/>
      </w:tabs>
      <w:jc w:val="both"/>
      <w:outlineLvl w:val="1"/>
    </w:pPr>
    <w:rPr>
      <w:b/>
      <w:sz w:val="28"/>
    </w:rPr>
  </w:style>
  <w:style w:type="paragraph" w:styleId="Heading3">
    <w:name w:val="heading 3"/>
    <w:basedOn w:val="Normal"/>
    <w:next w:val="Normal"/>
    <w:qFormat/>
    <w:rsid w:val="002C3C1C"/>
    <w:pPr>
      <w:keepNext/>
      <w:tabs>
        <w:tab w:val="num" w:pos="0"/>
      </w:tabs>
      <w:spacing w:line="360" w:lineRule="auto"/>
      <w:jc w:val="both"/>
      <w:outlineLvl w:val="2"/>
    </w:pPr>
    <w:rPr>
      <w:b/>
      <w:bCs/>
    </w:rPr>
  </w:style>
  <w:style w:type="paragraph" w:styleId="Heading6">
    <w:name w:val="heading 6"/>
    <w:basedOn w:val="Normal"/>
    <w:next w:val="Normal"/>
    <w:qFormat/>
    <w:rsid w:val="002C3C1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C3C1C"/>
  </w:style>
  <w:style w:type="character" w:customStyle="1" w:styleId="WW-Absatz-Standardschriftart">
    <w:name w:val="WW-Absatz-Standardschriftart"/>
    <w:rsid w:val="002C3C1C"/>
  </w:style>
  <w:style w:type="character" w:customStyle="1" w:styleId="WW-Absatz-Standardschriftart1">
    <w:name w:val="WW-Absatz-Standardschriftart1"/>
    <w:rsid w:val="002C3C1C"/>
  </w:style>
  <w:style w:type="character" w:customStyle="1" w:styleId="WW-Absatz-Standardschriftart11">
    <w:name w:val="WW-Absatz-Standardschriftart11"/>
    <w:rsid w:val="002C3C1C"/>
  </w:style>
  <w:style w:type="character" w:customStyle="1" w:styleId="WW-Absatz-Standardschriftart111">
    <w:name w:val="WW-Absatz-Standardschriftart111"/>
    <w:rsid w:val="002C3C1C"/>
  </w:style>
  <w:style w:type="character" w:customStyle="1" w:styleId="WW-Absatz-Standardschriftart1111">
    <w:name w:val="WW-Absatz-Standardschriftart1111"/>
    <w:rsid w:val="002C3C1C"/>
  </w:style>
  <w:style w:type="character" w:customStyle="1" w:styleId="WW-Absatz-Standardschriftart11111">
    <w:name w:val="WW-Absatz-Standardschriftart11111"/>
    <w:rsid w:val="002C3C1C"/>
  </w:style>
  <w:style w:type="character" w:customStyle="1" w:styleId="WW-Absatz-Standardschriftart111111">
    <w:name w:val="WW-Absatz-Standardschriftart111111"/>
    <w:rsid w:val="002C3C1C"/>
  </w:style>
  <w:style w:type="character" w:customStyle="1" w:styleId="WW-Absatz-Standardschriftart1111111">
    <w:name w:val="WW-Absatz-Standardschriftart1111111"/>
    <w:rsid w:val="002C3C1C"/>
  </w:style>
  <w:style w:type="character" w:customStyle="1" w:styleId="WW-Absatz-Standardschriftart11111111">
    <w:name w:val="WW-Absatz-Standardschriftart11111111"/>
    <w:rsid w:val="002C3C1C"/>
  </w:style>
  <w:style w:type="character" w:customStyle="1" w:styleId="WW-Absatz-Standardschriftart111111111">
    <w:name w:val="WW-Absatz-Standardschriftart111111111"/>
    <w:rsid w:val="002C3C1C"/>
  </w:style>
  <w:style w:type="character" w:customStyle="1" w:styleId="WW-Absatz-Standardschriftart1111111111">
    <w:name w:val="WW-Absatz-Standardschriftart1111111111"/>
    <w:rsid w:val="002C3C1C"/>
  </w:style>
  <w:style w:type="character" w:customStyle="1" w:styleId="WW-Absatz-Standardschriftart11111111111">
    <w:name w:val="WW-Absatz-Standardschriftart11111111111"/>
    <w:rsid w:val="002C3C1C"/>
  </w:style>
  <w:style w:type="character" w:customStyle="1" w:styleId="WW-Absatz-Standardschriftart111111111111">
    <w:name w:val="WW-Absatz-Standardschriftart111111111111"/>
    <w:rsid w:val="002C3C1C"/>
  </w:style>
  <w:style w:type="character" w:customStyle="1" w:styleId="WW-Absatz-Standardschriftart1111111111111">
    <w:name w:val="WW-Absatz-Standardschriftart1111111111111"/>
    <w:rsid w:val="002C3C1C"/>
  </w:style>
  <w:style w:type="character" w:customStyle="1" w:styleId="WW-Absatz-Standardschriftart11111111111111">
    <w:name w:val="WW-Absatz-Standardschriftart11111111111111"/>
    <w:rsid w:val="002C3C1C"/>
  </w:style>
  <w:style w:type="character" w:customStyle="1" w:styleId="WW-Absatz-Standardschriftart111111111111111">
    <w:name w:val="WW-Absatz-Standardschriftart111111111111111"/>
    <w:rsid w:val="002C3C1C"/>
  </w:style>
  <w:style w:type="character" w:customStyle="1" w:styleId="WW-Absatz-Standardschriftart1111111111111111">
    <w:name w:val="WW-Absatz-Standardschriftart1111111111111111"/>
    <w:rsid w:val="002C3C1C"/>
  </w:style>
  <w:style w:type="character" w:customStyle="1" w:styleId="WW8Num1z0">
    <w:name w:val="WW8Num1z0"/>
    <w:rsid w:val="002C3C1C"/>
    <w:rPr>
      <w:rFonts w:ascii="Symbol" w:eastAsia="Times New Roman" w:hAnsi="Symbol" w:cs="Times New Roman"/>
    </w:rPr>
  </w:style>
  <w:style w:type="character" w:customStyle="1" w:styleId="WW8Num1z1">
    <w:name w:val="WW8Num1z1"/>
    <w:rsid w:val="002C3C1C"/>
    <w:rPr>
      <w:rFonts w:ascii="Courier New" w:hAnsi="Courier New" w:cs="Courier New"/>
    </w:rPr>
  </w:style>
  <w:style w:type="character" w:customStyle="1" w:styleId="WW8Num1z2">
    <w:name w:val="WW8Num1z2"/>
    <w:rsid w:val="002C3C1C"/>
    <w:rPr>
      <w:rFonts w:ascii="Wingdings" w:hAnsi="Wingdings"/>
    </w:rPr>
  </w:style>
  <w:style w:type="character" w:customStyle="1" w:styleId="WW8Num1z3">
    <w:name w:val="WW8Num1z3"/>
    <w:rsid w:val="002C3C1C"/>
    <w:rPr>
      <w:rFonts w:ascii="Symbol" w:hAnsi="Symbol"/>
    </w:rPr>
  </w:style>
  <w:style w:type="character" w:styleId="PageNumber">
    <w:name w:val="page number"/>
    <w:basedOn w:val="DefaultParagraphFont"/>
    <w:rsid w:val="002C3C1C"/>
  </w:style>
  <w:style w:type="character" w:styleId="Hyperlink">
    <w:name w:val="Hyperlink"/>
    <w:uiPriority w:val="99"/>
    <w:rsid w:val="002C3C1C"/>
    <w:rPr>
      <w:color w:val="0000FF"/>
      <w:u w:val="single"/>
    </w:rPr>
  </w:style>
  <w:style w:type="character" w:styleId="FollowedHyperlink">
    <w:name w:val="FollowedHyperlink"/>
    <w:rsid w:val="002C3C1C"/>
    <w:rPr>
      <w:color w:val="800080"/>
      <w:u w:val="single"/>
    </w:rPr>
  </w:style>
  <w:style w:type="character" w:customStyle="1" w:styleId="NumberingSymbols">
    <w:name w:val="Numbering Symbols"/>
    <w:rsid w:val="002C3C1C"/>
  </w:style>
  <w:style w:type="paragraph" w:customStyle="1" w:styleId="Heading">
    <w:name w:val="Heading"/>
    <w:basedOn w:val="Normal"/>
    <w:next w:val="BodyText"/>
    <w:rsid w:val="002C3C1C"/>
    <w:pPr>
      <w:keepNext/>
      <w:spacing w:before="240" w:after="120"/>
    </w:pPr>
    <w:rPr>
      <w:rFonts w:ascii="Nimbus Sans L" w:eastAsia="DejaVu Sans" w:hAnsi="Nimbus Sans L" w:cs="DejaVu Sans"/>
      <w:sz w:val="28"/>
      <w:szCs w:val="28"/>
    </w:rPr>
  </w:style>
  <w:style w:type="paragraph" w:styleId="BodyText">
    <w:name w:val="Body Text"/>
    <w:basedOn w:val="Normal"/>
    <w:rsid w:val="002C3C1C"/>
    <w:pPr>
      <w:spacing w:line="360" w:lineRule="auto"/>
    </w:pPr>
  </w:style>
  <w:style w:type="paragraph" w:styleId="List">
    <w:name w:val="List"/>
    <w:basedOn w:val="BodyText"/>
    <w:rsid w:val="002C3C1C"/>
  </w:style>
  <w:style w:type="paragraph" w:styleId="Caption">
    <w:name w:val="caption"/>
    <w:basedOn w:val="Normal"/>
    <w:qFormat/>
    <w:rsid w:val="002C3C1C"/>
    <w:pPr>
      <w:suppressLineNumbers/>
      <w:spacing w:before="120" w:after="120"/>
    </w:pPr>
    <w:rPr>
      <w:i/>
      <w:iCs/>
    </w:rPr>
  </w:style>
  <w:style w:type="paragraph" w:customStyle="1" w:styleId="Index">
    <w:name w:val="Index"/>
    <w:basedOn w:val="Normal"/>
    <w:rsid w:val="002C3C1C"/>
    <w:pPr>
      <w:suppressLineNumbers/>
    </w:pPr>
  </w:style>
  <w:style w:type="paragraph" w:styleId="Header">
    <w:name w:val="header"/>
    <w:basedOn w:val="Normal"/>
    <w:next w:val="Heading1"/>
    <w:link w:val="HeaderChar"/>
    <w:rsid w:val="002C3C1C"/>
    <w:pPr>
      <w:tabs>
        <w:tab w:val="center" w:pos="4320"/>
        <w:tab w:val="right" w:pos="8640"/>
      </w:tabs>
    </w:pPr>
  </w:style>
  <w:style w:type="paragraph" w:styleId="BodyTextIndent3">
    <w:name w:val="Body Text Indent 3"/>
    <w:basedOn w:val="Normal"/>
    <w:rsid w:val="002C3C1C"/>
    <w:pPr>
      <w:spacing w:line="360" w:lineRule="auto"/>
      <w:ind w:firstLine="720"/>
      <w:jc w:val="both"/>
    </w:pPr>
    <w:rPr>
      <w:b/>
      <w:bCs/>
    </w:rPr>
  </w:style>
  <w:style w:type="paragraph" w:styleId="BodyTextIndent">
    <w:name w:val="Body Text Indent"/>
    <w:basedOn w:val="Normal"/>
    <w:rsid w:val="002C3C1C"/>
    <w:pPr>
      <w:ind w:left="540" w:hanging="720"/>
      <w:jc w:val="both"/>
    </w:pPr>
  </w:style>
  <w:style w:type="paragraph" w:styleId="BodyTextIndent2">
    <w:name w:val="Body Text Indent 2"/>
    <w:basedOn w:val="Normal"/>
    <w:rsid w:val="002C3C1C"/>
    <w:pPr>
      <w:spacing w:line="360" w:lineRule="auto"/>
      <w:ind w:firstLine="720"/>
      <w:jc w:val="both"/>
    </w:pPr>
  </w:style>
  <w:style w:type="paragraph" w:styleId="BodyText2">
    <w:name w:val="Body Text 2"/>
    <w:basedOn w:val="Normal"/>
    <w:rsid w:val="002C3C1C"/>
    <w:pPr>
      <w:spacing w:line="360" w:lineRule="auto"/>
      <w:jc w:val="both"/>
    </w:pPr>
  </w:style>
  <w:style w:type="paragraph" w:styleId="Footer">
    <w:name w:val="footer"/>
    <w:basedOn w:val="Normal"/>
    <w:rsid w:val="002C3C1C"/>
    <w:pPr>
      <w:tabs>
        <w:tab w:val="center" w:pos="4320"/>
        <w:tab w:val="right" w:pos="8640"/>
      </w:tabs>
    </w:pPr>
    <w:rPr>
      <w:sz w:val="32"/>
    </w:rPr>
  </w:style>
  <w:style w:type="paragraph" w:customStyle="1" w:styleId="TableContents">
    <w:name w:val="Table Contents"/>
    <w:basedOn w:val="Normal"/>
    <w:rsid w:val="002C3C1C"/>
    <w:pPr>
      <w:suppressLineNumbers/>
    </w:pPr>
  </w:style>
  <w:style w:type="paragraph" w:customStyle="1" w:styleId="TableHeading">
    <w:name w:val="Table Heading"/>
    <w:basedOn w:val="TableContents"/>
    <w:rsid w:val="002C3C1C"/>
    <w:pPr>
      <w:jc w:val="center"/>
    </w:pPr>
    <w:rPr>
      <w:b/>
      <w:bCs/>
    </w:rPr>
  </w:style>
  <w:style w:type="paragraph" w:customStyle="1" w:styleId="Framecontents">
    <w:name w:val="Frame contents"/>
    <w:basedOn w:val="BodyText"/>
    <w:rsid w:val="002C3C1C"/>
  </w:style>
  <w:style w:type="paragraph" w:customStyle="1" w:styleId="Text">
    <w:name w:val="Text"/>
    <w:basedOn w:val="Normal"/>
    <w:rsid w:val="002C3C1C"/>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ListParagraph">
    <w:name w:val="List Paragraph"/>
    <w:basedOn w:val="Normal"/>
    <w:uiPriority w:val="34"/>
    <w:qFormat/>
    <w:rsid w:val="00D53769"/>
    <w:pPr>
      <w:suppressAutoHyphens w:val="0"/>
      <w:bidi/>
      <w:spacing w:after="200" w:line="276" w:lineRule="auto"/>
      <w:ind w:left="720"/>
      <w:contextualSpacing/>
    </w:pPr>
    <w:rPr>
      <w:rFonts w:ascii="Calibri" w:eastAsia="Calibri" w:hAnsi="Calibri" w:cs="Arial"/>
      <w:sz w:val="22"/>
      <w:szCs w:val="22"/>
      <w:lang w:eastAsia="en-US" w:bidi="fa-IR"/>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1031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6064</Words>
  <Characters>34568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40551</CharactersWithSpaces>
  <SharedDoc>false</SharedDoc>
  <HLinks>
    <vt:vector size="18" baseType="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2008-06-24T20:46:00Z</cp:lastPrinted>
  <dcterms:created xsi:type="dcterms:W3CDTF">2019-03-28T15:08:00Z</dcterms:created>
  <dcterms:modified xsi:type="dcterms:W3CDTF">2019-03-29T03:26:00Z</dcterms:modified>
</cp:coreProperties>
</file>