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9D" w:rsidRPr="00E076F7" w:rsidRDefault="003C3439" w:rsidP="00014859">
      <w:pPr>
        <w:suppressAutoHyphens w:val="0"/>
        <w:snapToGrid w:val="0"/>
        <w:jc w:val="center"/>
        <w:rPr>
          <w:b/>
          <w:bCs/>
          <w:sz w:val="20"/>
          <w:szCs w:val="20"/>
        </w:rPr>
      </w:pPr>
      <w:r w:rsidRPr="00E076F7">
        <w:rPr>
          <w:b/>
          <w:bCs/>
          <w:sz w:val="20"/>
          <w:szCs w:val="20"/>
        </w:rPr>
        <w:t>Comparative study of hysteroscopy</w:t>
      </w:r>
      <w:r w:rsidR="00176E9D" w:rsidRPr="00E076F7">
        <w:rPr>
          <w:b/>
          <w:bCs/>
          <w:sz w:val="20"/>
          <w:szCs w:val="20"/>
        </w:rPr>
        <w:t xml:space="preserve"> &amp; </w:t>
      </w:r>
      <w:proofErr w:type="spellStart"/>
      <w:r w:rsidRPr="00E076F7">
        <w:rPr>
          <w:b/>
          <w:bCs/>
          <w:sz w:val="20"/>
          <w:szCs w:val="20"/>
        </w:rPr>
        <w:t>transvaginal</w:t>
      </w:r>
      <w:proofErr w:type="spellEnd"/>
      <w:r w:rsidRPr="00E076F7">
        <w:rPr>
          <w:b/>
          <w:bCs/>
          <w:sz w:val="20"/>
          <w:szCs w:val="20"/>
        </w:rPr>
        <w:t xml:space="preserve"> </w:t>
      </w:r>
      <w:proofErr w:type="spellStart"/>
      <w:r w:rsidRPr="00E076F7">
        <w:rPr>
          <w:b/>
          <w:bCs/>
          <w:sz w:val="20"/>
          <w:szCs w:val="20"/>
        </w:rPr>
        <w:t>sonography</w:t>
      </w:r>
      <w:proofErr w:type="spellEnd"/>
      <w:r w:rsidRPr="00E076F7">
        <w:rPr>
          <w:b/>
          <w:bCs/>
          <w:sz w:val="20"/>
          <w:szCs w:val="20"/>
        </w:rPr>
        <w:t xml:space="preserve"> and saline infusion </w:t>
      </w:r>
      <w:proofErr w:type="spellStart"/>
      <w:r w:rsidRPr="00E076F7">
        <w:rPr>
          <w:b/>
          <w:bCs/>
          <w:sz w:val="20"/>
          <w:szCs w:val="20"/>
        </w:rPr>
        <w:t>sonography</w:t>
      </w:r>
      <w:proofErr w:type="spellEnd"/>
      <w:r w:rsidRPr="00E076F7">
        <w:rPr>
          <w:b/>
          <w:bCs/>
          <w:sz w:val="20"/>
          <w:szCs w:val="20"/>
        </w:rPr>
        <w:t xml:space="preserve"> with endometrial biopsy in detection of endometrial pathology in women with postmenopausal bleeding</w:t>
      </w:r>
    </w:p>
    <w:p w:rsidR="00176E9D" w:rsidRPr="00E076F7" w:rsidRDefault="00176E9D" w:rsidP="00694827">
      <w:pPr>
        <w:suppressAutoHyphens w:val="0"/>
        <w:snapToGrid w:val="0"/>
        <w:jc w:val="center"/>
        <w:rPr>
          <w:b/>
          <w:bCs/>
          <w:sz w:val="20"/>
          <w:szCs w:val="20"/>
        </w:rPr>
      </w:pPr>
    </w:p>
    <w:p w:rsidR="00176E9D" w:rsidRPr="00E076F7" w:rsidRDefault="003C3439" w:rsidP="00694827">
      <w:pPr>
        <w:suppressAutoHyphens w:val="0"/>
        <w:snapToGrid w:val="0"/>
        <w:jc w:val="center"/>
        <w:rPr>
          <w:sz w:val="20"/>
          <w:szCs w:val="20"/>
        </w:rPr>
      </w:pPr>
      <w:proofErr w:type="spellStart"/>
      <w:r w:rsidRPr="00E076F7">
        <w:rPr>
          <w:sz w:val="20"/>
          <w:szCs w:val="20"/>
        </w:rPr>
        <w:t>Mofeed</w:t>
      </w:r>
      <w:proofErr w:type="spellEnd"/>
      <w:r w:rsidRPr="00E076F7">
        <w:rPr>
          <w:sz w:val="20"/>
          <w:szCs w:val="20"/>
        </w:rPr>
        <w:t xml:space="preserve"> </w:t>
      </w:r>
      <w:proofErr w:type="spellStart"/>
      <w:r w:rsidRPr="00E076F7">
        <w:rPr>
          <w:sz w:val="20"/>
          <w:szCs w:val="20"/>
        </w:rPr>
        <w:t>Fawzy</w:t>
      </w:r>
      <w:proofErr w:type="spellEnd"/>
      <w:r w:rsidRPr="00E076F7">
        <w:rPr>
          <w:sz w:val="20"/>
          <w:szCs w:val="20"/>
        </w:rPr>
        <w:t xml:space="preserve"> Mohamed</w:t>
      </w:r>
      <w:r w:rsidRPr="00E076F7">
        <w:rPr>
          <w:sz w:val="20"/>
          <w:szCs w:val="20"/>
          <w:vertAlign w:val="superscript"/>
        </w:rPr>
        <w:t xml:space="preserve"> </w:t>
      </w:r>
      <w:r w:rsidR="00471E57" w:rsidRPr="00E076F7">
        <w:rPr>
          <w:sz w:val="20"/>
          <w:szCs w:val="20"/>
          <w:vertAlign w:val="superscript"/>
        </w:rPr>
        <w:t>1</w:t>
      </w:r>
      <w:r w:rsidR="00471E57" w:rsidRPr="00E076F7">
        <w:rPr>
          <w:sz w:val="20"/>
          <w:szCs w:val="20"/>
        </w:rPr>
        <w:t xml:space="preserve">, </w:t>
      </w:r>
      <w:proofErr w:type="spellStart"/>
      <w:r w:rsidRPr="00E076F7">
        <w:rPr>
          <w:sz w:val="20"/>
          <w:szCs w:val="20"/>
        </w:rPr>
        <w:t>Farid</w:t>
      </w:r>
      <w:proofErr w:type="spellEnd"/>
      <w:r w:rsidRPr="00E076F7">
        <w:rPr>
          <w:sz w:val="20"/>
          <w:szCs w:val="20"/>
        </w:rPr>
        <w:t xml:space="preserve"> Ibrahim Hassan</w:t>
      </w:r>
      <w:r w:rsidRPr="00E076F7">
        <w:rPr>
          <w:sz w:val="20"/>
          <w:szCs w:val="20"/>
          <w:vertAlign w:val="superscript"/>
        </w:rPr>
        <w:t xml:space="preserve"> 1</w:t>
      </w:r>
      <w:r w:rsidRPr="00E076F7">
        <w:rPr>
          <w:sz w:val="20"/>
          <w:szCs w:val="20"/>
        </w:rPr>
        <w:t xml:space="preserve">, </w:t>
      </w:r>
      <w:proofErr w:type="spellStart"/>
      <w:r w:rsidRPr="00E076F7">
        <w:rPr>
          <w:sz w:val="20"/>
          <w:szCs w:val="20"/>
        </w:rPr>
        <w:t>Ibraheem</w:t>
      </w:r>
      <w:proofErr w:type="spellEnd"/>
      <w:r w:rsidRPr="00E076F7">
        <w:rPr>
          <w:sz w:val="20"/>
          <w:szCs w:val="20"/>
        </w:rPr>
        <w:t xml:space="preserve"> Hassan Mohamed</w:t>
      </w:r>
      <w:r w:rsidRPr="00E076F7">
        <w:rPr>
          <w:sz w:val="20"/>
          <w:szCs w:val="20"/>
          <w:vertAlign w:val="superscript"/>
        </w:rPr>
        <w:t xml:space="preserve"> </w:t>
      </w:r>
      <w:r w:rsidR="00593132" w:rsidRPr="00E076F7">
        <w:rPr>
          <w:sz w:val="20"/>
          <w:szCs w:val="20"/>
          <w:vertAlign w:val="superscript"/>
        </w:rPr>
        <w:t>2</w:t>
      </w:r>
      <w:r w:rsidR="00456753" w:rsidRPr="00E076F7">
        <w:rPr>
          <w:sz w:val="20"/>
          <w:szCs w:val="20"/>
        </w:rPr>
        <w:t>,</w:t>
      </w:r>
      <w:r w:rsidR="006E6ACB" w:rsidRPr="00E076F7">
        <w:rPr>
          <w:sz w:val="20"/>
          <w:szCs w:val="20"/>
        </w:rPr>
        <w:t xml:space="preserve"> </w:t>
      </w:r>
      <w:r w:rsidRPr="00E076F7">
        <w:rPr>
          <w:sz w:val="20"/>
          <w:szCs w:val="20"/>
        </w:rPr>
        <w:t xml:space="preserve">Ahmed </w:t>
      </w:r>
      <w:proofErr w:type="spellStart"/>
      <w:r w:rsidRPr="00E076F7">
        <w:rPr>
          <w:sz w:val="20"/>
          <w:szCs w:val="20"/>
        </w:rPr>
        <w:t>Salah</w:t>
      </w:r>
      <w:proofErr w:type="spellEnd"/>
      <w:r w:rsidRPr="00E076F7">
        <w:rPr>
          <w:sz w:val="20"/>
          <w:szCs w:val="20"/>
        </w:rPr>
        <w:t xml:space="preserve"> Mohammed </w:t>
      </w:r>
      <w:proofErr w:type="spellStart"/>
      <w:r w:rsidRPr="00E076F7">
        <w:rPr>
          <w:sz w:val="20"/>
          <w:szCs w:val="20"/>
        </w:rPr>
        <w:t>Nawara</w:t>
      </w:r>
      <w:proofErr w:type="spellEnd"/>
      <w:r w:rsidRPr="00E076F7">
        <w:rPr>
          <w:sz w:val="20"/>
          <w:szCs w:val="20"/>
          <w:vertAlign w:val="superscript"/>
        </w:rPr>
        <w:t xml:space="preserve"> </w:t>
      </w:r>
      <w:r w:rsidR="00593132" w:rsidRPr="00E076F7">
        <w:rPr>
          <w:sz w:val="20"/>
          <w:szCs w:val="20"/>
          <w:vertAlign w:val="superscript"/>
        </w:rPr>
        <w:t>1</w:t>
      </w:r>
    </w:p>
    <w:p w:rsidR="00176E9D" w:rsidRPr="00E076F7" w:rsidRDefault="00176E9D" w:rsidP="00694827">
      <w:pPr>
        <w:suppressAutoHyphens w:val="0"/>
        <w:snapToGrid w:val="0"/>
        <w:jc w:val="center"/>
        <w:rPr>
          <w:sz w:val="20"/>
          <w:szCs w:val="20"/>
        </w:rPr>
      </w:pPr>
    </w:p>
    <w:p w:rsidR="00471E57" w:rsidRPr="00E076F7" w:rsidRDefault="00593132" w:rsidP="00694827">
      <w:pPr>
        <w:suppressAutoHyphens w:val="0"/>
        <w:snapToGrid w:val="0"/>
        <w:jc w:val="center"/>
        <w:rPr>
          <w:sz w:val="20"/>
          <w:szCs w:val="20"/>
        </w:rPr>
      </w:pPr>
      <w:r w:rsidRPr="00E076F7">
        <w:rPr>
          <w:sz w:val="20"/>
          <w:szCs w:val="20"/>
          <w:vertAlign w:val="superscript"/>
        </w:rPr>
        <w:t>1.</w:t>
      </w:r>
      <w:r w:rsidR="00471E57" w:rsidRPr="00E076F7">
        <w:rPr>
          <w:sz w:val="20"/>
          <w:szCs w:val="20"/>
        </w:rPr>
        <w:t xml:space="preserve"> Department of </w:t>
      </w:r>
      <w:r w:rsidR="003C3439" w:rsidRPr="00E076F7">
        <w:rPr>
          <w:sz w:val="20"/>
          <w:szCs w:val="20"/>
        </w:rPr>
        <w:t>Obstetrics and Gynecology - Faculty of Medicine - Al-</w:t>
      </w:r>
      <w:proofErr w:type="spellStart"/>
      <w:r w:rsidR="003C3439" w:rsidRPr="00E076F7">
        <w:rPr>
          <w:sz w:val="20"/>
          <w:szCs w:val="20"/>
        </w:rPr>
        <w:t>Azhar</w:t>
      </w:r>
      <w:proofErr w:type="spellEnd"/>
      <w:r w:rsidR="003C3439" w:rsidRPr="00E076F7">
        <w:rPr>
          <w:sz w:val="20"/>
          <w:szCs w:val="20"/>
        </w:rPr>
        <w:t xml:space="preserve"> University.</w:t>
      </w:r>
    </w:p>
    <w:p w:rsidR="00471E57" w:rsidRPr="00E076F7" w:rsidRDefault="00EB51F4" w:rsidP="00694827">
      <w:pPr>
        <w:suppressAutoHyphens w:val="0"/>
        <w:snapToGrid w:val="0"/>
        <w:jc w:val="center"/>
        <w:rPr>
          <w:sz w:val="20"/>
          <w:szCs w:val="20"/>
        </w:rPr>
      </w:pPr>
      <w:r w:rsidRPr="00E076F7">
        <w:rPr>
          <w:sz w:val="20"/>
          <w:szCs w:val="20"/>
          <w:vertAlign w:val="superscript"/>
        </w:rPr>
        <w:t>2</w:t>
      </w:r>
      <w:r w:rsidR="00593132" w:rsidRPr="00E076F7">
        <w:rPr>
          <w:sz w:val="20"/>
          <w:szCs w:val="20"/>
          <w:vertAlign w:val="superscript"/>
        </w:rPr>
        <w:t>.</w:t>
      </w:r>
      <w:r w:rsidR="006E6ACB" w:rsidRPr="00E076F7">
        <w:rPr>
          <w:sz w:val="20"/>
          <w:szCs w:val="20"/>
        </w:rPr>
        <w:t xml:space="preserve"> </w:t>
      </w:r>
      <w:r w:rsidR="00471E57" w:rsidRPr="00E076F7">
        <w:rPr>
          <w:sz w:val="20"/>
          <w:szCs w:val="20"/>
        </w:rPr>
        <w:t xml:space="preserve">Department of </w:t>
      </w:r>
      <w:r w:rsidR="003C3439" w:rsidRPr="00E076F7">
        <w:rPr>
          <w:sz w:val="20"/>
          <w:szCs w:val="20"/>
        </w:rPr>
        <w:t>Pathology - Faculty of Medicine - Al-</w:t>
      </w:r>
      <w:proofErr w:type="spellStart"/>
      <w:r w:rsidR="003C3439" w:rsidRPr="00E076F7">
        <w:rPr>
          <w:sz w:val="20"/>
          <w:szCs w:val="20"/>
        </w:rPr>
        <w:t>Azhar</w:t>
      </w:r>
      <w:proofErr w:type="spellEnd"/>
      <w:r w:rsidR="003C3439" w:rsidRPr="00E076F7">
        <w:rPr>
          <w:sz w:val="20"/>
          <w:szCs w:val="20"/>
        </w:rPr>
        <w:t xml:space="preserve"> University.</w:t>
      </w:r>
    </w:p>
    <w:p w:rsidR="00176E9D" w:rsidRPr="00E076F7" w:rsidRDefault="00F85A9C" w:rsidP="00694827">
      <w:pPr>
        <w:suppressAutoHyphens w:val="0"/>
        <w:snapToGrid w:val="0"/>
        <w:jc w:val="center"/>
        <w:rPr>
          <w:sz w:val="20"/>
          <w:szCs w:val="20"/>
        </w:rPr>
      </w:pPr>
      <w:hyperlink r:id="rId8" w:history="1">
        <w:r w:rsidR="003C3439" w:rsidRPr="00E076F7">
          <w:rPr>
            <w:rStyle w:val="Hyperlink"/>
            <w:sz w:val="20"/>
            <w:szCs w:val="20"/>
            <w:u w:val="none"/>
          </w:rPr>
          <w:t>dr_nowara@yahoo.com</w:t>
        </w:r>
      </w:hyperlink>
    </w:p>
    <w:p w:rsidR="00176E9D" w:rsidRPr="00E076F7" w:rsidRDefault="00176E9D" w:rsidP="00694827">
      <w:pPr>
        <w:suppressAutoHyphens w:val="0"/>
        <w:snapToGrid w:val="0"/>
        <w:jc w:val="center"/>
        <w:rPr>
          <w:sz w:val="20"/>
          <w:szCs w:val="20"/>
        </w:rPr>
      </w:pPr>
    </w:p>
    <w:p w:rsidR="00F056C2" w:rsidRPr="00E076F7" w:rsidRDefault="00471E57" w:rsidP="00694827">
      <w:pPr>
        <w:suppressAutoHyphens w:val="0"/>
        <w:snapToGrid w:val="0"/>
        <w:jc w:val="both"/>
        <w:rPr>
          <w:sz w:val="20"/>
          <w:szCs w:val="20"/>
        </w:rPr>
      </w:pPr>
      <w:r w:rsidRPr="00E076F7">
        <w:rPr>
          <w:b/>
          <w:sz w:val="20"/>
          <w:szCs w:val="20"/>
        </w:rPr>
        <w:t>Abstract:</w:t>
      </w:r>
      <w:r w:rsidR="00CE2E0E" w:rsidRPr="00E076F7">
        <w:rPr>
          <w:b/>
          <w:bCs/>
          <w:sz w:val="20"/>
          <w:szCs w:val="20"/>
        </w:rPr>
        <w:t xml:space="preserve"> </w:t>
      </w:r>
      <w:r w:rsidR="00254789" w:rsidRPr="00E076F7">
        <w:rPr>
          <w:b/>
          <w:bCs/>
          <w:sz w:val="20"/>
          <w:szCs w:val="20"/>
        </w:rPr>
        <w:t>Objecti</w:t>
      </w:r>
      <w:r w:rsidR="00F056C2" w:rsidRPr="00E076F7">
        <w:rPr>
          <w:b/>
          <w:bCs/>
          <w:sz w:val="20"/>
          <w:szCs w:val="20"/>
        </w:rPr>
        <w:t>ves</w:t>
      </w:r>
      <w:r w:rsidR="00254789" w:rsidRPr="00E076F7">
        <w:rPr>
          <w:b/>
          <w:bCs/>
          <w:sz w:val="20"/>
          <w:szCs w:val="20"/>
        </w:rPr>
        <w:t>:</w:t>
      </w:r>
      <w:r w:rsidR="00254789" w:rsidRPr="00E076F7">
        <w:rPr>
          <w:sz w:val="20"/>
          <w:szCs w:val="20"/>
        </w:rPr>
        <w:t xml:space="preserve"> To compare the accuracy of both 2D‐transvaginal</w:t>
      </w:r>
      <w:r w:rsidR="00F056C2" w:rsidRPr="00E076F7">
        <w:rPr>
          <w:sz w:val="20"/>
          <w:szCs w:val="20"/>
        </w:rPr>
        <w:t xml:space="preserve"> </w:t>
      </w:r>
      <w:r w:rsidR="00254789" w:rsidRPr="00E076F7">
        <w:rPr>
          <w:sz w:val="20"/>
          <w:szCs w:val="20"/>
        </w:rPr>
        <w:t xml:space="preserve">ultrasound, </w:t>
      </w:r>
      <w:r w:rsidR="00CF31EA" w:rsidRPr="00E076F7">
        <w:rPr>
          <w:sz w:val="20"/>
          <w:szCs w:val="20"/>
        </w:rPr>
        <w:t xml:space="preserve">saline infusion </w:t>
      </w:r>
      <w:proofErr w:type="spellStart"/>
      <w:r w:rsidR="00CF31EA" w:rsidRPr="00E076F7">
        <w:rPr>
          <w:sz w:val="20"/>
          <w:szCs w:val="20"/>
        </w:rPr>
        <w:t>sonography</w:t>
      </w:r>
      <w:proofErr w:type="spellEnd"/>
      <w:r w:rsidR="00CF31EA" w:rsidRPr="00E076F7">
        <w:rPr>
          <w:sz w:val="20"/>
          <w:szCs w:val="20"/>
        </w:rPr>
        <w:t xml:space="preserve"> </w:t>
      </w:r>
      <w:r w:rsidR="00254789" w:rsidRPr="00E076F7">
        <w:rPr>
          <w:sz w:val="20"/>
          <w:szCs w:val="20"/>
        </w:rPr>
        <w:t xml:space="preserve">and hysteroscopy with endometrial samples in </w:t>
      </w:r>
      <w:r w:rsidR="00CF31EA" w:rsidRPr="00E076F7">
        <w:rPr>
          <w:sz w:val="20"/>
          <w:szCs w:val="20"/>
        </w:rPr>
        <w:t xml:space="preserve">the </w:t>
      </w:r>
      <w:r w:rsidR="00254789" w:rsidRPr="00E076F7">
        <w:rPr>
          <w:sz w:val="20"/>
          <w:szCs w:val="20"/>
        </w:rPr>
        <w:t>detection of endometrial pathology in women with postmenopausal bleeding and to know the most sensitive method in diagnosis.</w:t>
      </w:r>
      <w:r w:rsidR="0012342C" w:rsidRPr="00E076F7">
        <w:rPr>
          <w:rFonts w:hint="eastAsia"/>
          <w:sz w:val="20"/>
          <w:szCs w:val="20"/>
          <w:lang w:eastAsia="zh-CN"/>
        </w:rPr>
        <w:t xml:space="preserve"> </w:t>
      </w:r>
      <w:r w:rsidR="00F056C2" w:rsidRPr="00E076F7">
        <w:rPr>
          <w:b/>
          <w:bCs/>
          <w:sz w:val="20"/>
          <w:szCs w:val="20"/>
        </w:rPr>
        <w:t>Methods:</w:t>
      </w:r>
      <w:r w:rsidR="00F056C2" w:rsidRPr="00E076F7">
        <w:rPr>
          <w:sz w:val="20"/>
          <w:szCs w:val="20"/>
        </w:rPr>
        <w:t xml:space="preserve"> A prospective, comparative study included 100 patients with postmenopausal bleeding were subjected to </w:t>
      </w:r>
      <w:proofErr w:type="spellStart"/>
      <w:r w:rsidR="00F056C2" w:rsidRPr="00E076F7">
        <w:rPr>
          <w:sz w:val="20"/>
          <w:szCs w:val="20"/>
        </w:rPr>
        <w:t>transvaginal</w:t>
      </w:r>
      <w:proofErr w:type="spellEnd"/>
      <w:r w:rsidR="00F056C2" w:rsidRPr="00E076F7">
        <w:rPr>
          <w:sz w:val="20"/>
          <w:szCs w:val="20"/>
        </w:rPr>
        <w:t xml:space="preserve"> ultrasound, </w:t>
      </w:r>
      <w:r w:rsidR="00CF31EA" w:rsidRPr="00E076F7">
        <w:rPr>
          <w:sz w:val="20"/>
          <w:szCs w:val="20"/>
        </w:rPr>
        <w:t xml:space="preserve">saline infusion </w:t>
      </w:r>
      <w:proofErr w:type="spellStart"/>
      <w:r w:rsidR="00CF31EA" w:rsidRPr="00E076F7">
        <w:rPr>
          <w:sz w:val="20"/>
          <w:szCs w:val="20"/>
        </w:rPr>
        <w:t>sonography</w:t>
      </w:r>
      <w:proofErr w:type="spellEnd"/>
      <w:r w:rsidR="00F056C2" w:rsidRPr="00E076F7">
        <w:rPr>
          <w:sz w:val="20"/>
          <w:szCs w:val="20"/>
        </w:rPr>
        <w:t xml:space="preserve">, diagnostic hysteroscopy and curettage followed by </w:t>
      </w:r>
      <w:r w:rsidR="00CF31EA" w:rsidRPr="00E076F7">
        <w:rPr>
          <w:sz w:val="20"/>
          <w:szCs w:val="20"/>
        </w:rPr>
        <w:t xml:space="preserve">the </w:t>
      </w:r>
      <w:proofErr w:type="spellStart"/>
      <w:r w:rsidR="00F056C2" w:rsidRPr="00E076F7">
        <w:rPr>
          <w:sz w:val="20"/>
          <w:szCs w:val="20"/>
        </w:rPr>
        <w:t>histopathological</w:t>
      </w:r>
      <w:proofErr w:type="spellEnd"/>
      <w:r w:rsidR="00F056C2" w:rsidRPr="00E076F7">
        <w:rPr>
          <w:sz w:val="20"/>
          <w:szCs w:val="20"/>
        </w:rPr>
        <w:t xml:space="preserve"> examination of the specimens.</w:t>
      </w:r>
      <w:r w:rsidR="0012342C" w:rsidRPr="00E076F7">
        <w:rPr>
          <w:rFonts w:hint="eastAsia"/>
          <w:sz w:val="20"/>
          <w:szCs w:val="20"/>
          <w:lang w:eastAsia="zh-CN"/>
        </w:rPr>
        <w:t xml:space="preserve"> </w:t>
      </w:r>
      <w:r w:rsidR="001E248E" w:rsidRPr="00E076F7">
        <w:rPr>
          <w:b/>
          <w:bCs/>
          <w:sz w:val="20"/>
          <w:szCs w:val="20"/>
        </w:rPr>
        <w:t>Results:</w:t>
      </w:r>
      <w:r w:rsidR="001E248E" w:rsidRPr="00E076F7">
        <w:rPr>
          <w:rFonts w:eastAsia="Calibri"/>
          <w:sz w:val="20"/>
          <w:szCs w:val="20"/>
          <w:lang w:eastAsia="en-US"/>
        </w:rPr>
        <w:t xml:space="preserve"> Overall sensitivity rates were 88% for TVS, 91% for SIS and 98% for HS, while overall specificity rates were 67%, 80% and 83%, respectively. HS had PPV of 88% and NPV of 97%, whereas PPV was determined to be 85 versus 87% and NPV was 70 versus 89% for TVS and SIS, respectively.</w:t>
      </w:r>
      <w:r w:rsidR="0012342C" w:rsidRPr="00E076F7">
        <w:rPr>
          <w:rFonts w:eastAsiaTheme="minorEastAsia" w:hint="eastAsia"/>
          <w:sz w:val="20"/>
          <w:szCs w:val="20"/>
          <w:lang w:eastAsia="zh-CN"/>
        </w:rPr>
        <w:t xml:space="preserve"> </w:t>
      </w:r>
      <w:r w:rsidR="001E248E" w:rsidRPr="00E076F7">
        <w:rPr>
          <w:b/>
          <w:bCs/>
          <w:sz w:val="20"/>
          <w:szCs w:val="20"/>
        </w:rPr>
        <w:t>Conclusion:</w:t>
      </w:r>
      <w:r w:rsidR="001E248E" w:rsidRPr="00E076F7">
        <w:rPr>
          <w:sz w:val="20"/>
          <w:szCs w:val="20"/>
        </w:rPr>
        <w:t xml:space="preserve"> </w:t>
      </w:r>
      <w:r w:rsidR="00F056C2" w:rsidRPr="00E076F7">
        <w:rPr>
          <w:sz w:val="20"/>
          <w:szCs w:val="20"/>
        </w:rPr>
        <w:t>Measurement of endometrial thickness using</w:t>
      </w:r>
      <w:r w:rsidR="001E248E" w:rsidRPr="00E076F7">
        <w:rPr>
          <w:sz w:val="20"/>
          <w:szCs w:val="20"/>
        </w:rPr>
        <w:t xml:space="preserve"> </w:t>
      </w:r>
      <w:r w:rsidR="00F056C2" w:rsidRPr="00E076F7">
        <w:rPr>
          <w:sz w:val="20"/>
          <w:szCs w:val="20"/>
        </w:rPr>
        <w:t xml:space="preserve">ultrasound is of limited value. </w:t>
      </w:r>
      <w:r w:rsidR="00CF31EA" w:rsidRPr="00E076F7">
        <w:rPr>
          <w:sz w:val="20"/>
          <w:szCs w:val="20"/>
        </w:rPr>
        <w:t xml:space="preserve">saline infusion </w:t>
      </w:r>
      <w:proofErr w:type="spellStart"/>
      <w:r w:rsidR="00CF31EA" w:rsidRPr="00E076F7">
        <w:rPr>
          <w:sz w:val="20"/>
          <w:szCs w:val="20"/>
        </w:rPr>
        <w:t>sonography</w:t>
      </w:r>
      <w:proofErr w:type="spellEnd"/>
      <w:r w:rsidR="00F056C2" w:rsidRPr="00E076F7">
        <w:rPr>
          <w:sz w:val="20"/>
          <w:szCs w:val="20"/>
        </w:rPr>
        <w:t xml:space="preserve"> is superior to</w:t>
      </w:r>
      <w:r w:rsidR="001E248E" w:rsidRPr="00E076F7">
        <w:rPr>
          <w:sz w:val="20"/>
          <w:szCs w:val="20"/>
        </w:rPr>
        <w:t xml:space="preserve"> </w:t>
      </w:r>
      <w:r w:rsidR="00F056C2" w:rsidRPr="00E076F7">
        <w:rPr>
          <w:sz w:val="20"/>
          <w:szCs w:val="20"/>
        </w:rPr>
        <w:t>ultrasound</w:t>
      </w:r>
      <w:r w:rsidR="00176E9D" w:rsidRPr="00E076F7">
        <w:rPr>
          <w:sz w:val="20"/>
          <w:szCs w:val="20"/>
        </w:rPr>
        <w:t xml:space="preserve"> &amp; </w:t>
      </w:r>
      <w:r w:rsidR="00F056C2" w:rsidRPr="00E076F7">
        <w:rPr>
          <w:sz w:val="20"/>
          <w:szCs w:val="20"/>
        </w:rPr>
        <w:t>very close to hysteroscopy, especially with intra‐</w:t>
      </w:r>
      <w:proofErr w:type="spellStart"/>
      <w:r w:rsidR="00F056C2" w:rsidRPr="00E076F7">
        <w:rPr>
          <w:sz w:val="20"/>
          <w:szCs w:val="20"/>
        </w:rPr>
        <w:t>cavitary</w:t>
      </w:r>
      <w:proofErr w:type="spellEnd"/>
      <w:r w:rsidR="001E248E" w:rsidRPr="00E076F7">
        <w:rPr>
          <w:sz w:val="20"/>
          <w:szCs w:val="20"/>
        </w:rPr>
        <w:t xml:space="preserve"> </w:t>
      </w:r>
      <w:r w:rsidR="00F056C2" w:rsidRPr="00E076F7">
        <w:rPr>
          <w:sz w:val="20"/>
          <w:szCs w:val="20"/>
        </w:rPr>
        <w:t>lesions. Hysteroscopy remains the gold standard for assessment of the</w:t>
      </w:r>
      <w:r w:rsidR="001E248E" w:rsidRPr="00E076F7">
        <w:rPr>
          <w:sz w:val="20"/>
          <w:szCs w:val="20"/>
        </w:rPr>
        <w:t xml:space="preserve"> </w:t>
      </w:r>
      <w:r w:rsidR="00F056C2" w:rsidRPr="00E076F7">
        <w:rPr>
          <w:sz w:val="20"/>
          <w:szCs w:val="20"/>
        </w:rPr>
        <w:t xml:space="preserve">uterine cavity, but </w:t>
      </w:r>
      <w:r w:rsidR="001E248E" w:rsidRPr="00E076F7">
        <w:rPr>
          <w:sz w:val="20"/>
          <w:szCs w:val="20"/>
        </w:rPr>
        <w:t>cannot</w:t>
      </w:r>
      <w:r w:rsidR="00F056C2" w:rsidRPr="00E076F7">
        <w:rPr>
          <w:sz w:val="20"/>
          <w:szCs w:val="20"/>
        </w:rPr>
        <w:t xml:space="preserve"> replace the histopathology.</w:t>
      </w:r>
      <w:r w:rsidR="001E248E" w:rsidRPr="00E076F7">
        <w:rPr>
          <w:sz w:val="20"/>
          <w:szCs w:val="20"/>
        </w:rPr>
        <w:t xml:space="preserve"> </w:t>
      </w:r>
    </w:p>
    <w:p w:rsidR="00694827" w:rsidRPr="00E076F7" w:rsidRDefault="00694827" w:rsidP="00014859">
      <w:pPr>
        <w:suppressAutoHyphens w:val="0"/>
        <w:snapToGrid w:val="0"/>
        <w:jc w:val="both"/>
        <w:rPr>
          <w:sz w:val="20"/>
          <w:szCs w:val="20"/>
        </w:rPr>
      </w:pPr>
      <w:r w:rsidRPr="00E076F7">
        <w:rPr>
          <w:rFonts w:hint="eastAsia"/>
          <w:sz w:val="20"/>
          <w:szCs w:val="20"/>
        </w:rPr>
        <w:t>[</w:t>
      </w:r>
      <w:proofErr w:type="spellStart"/>
      <w:r w:rsidRPr="00E076F7">
        <w:rPr>
          <w:sz w:val="20"/>
          <w:szCs w:val="20"/>
        </w:rPr>
        <w:t>Mofeed</w:t>
      </w:r>
      <w:proofErr w:type="spellEnd"/>
      <w:r w:rsidRPr="00E076F7">
        <w:rPr>
          <w:sz w:val="20"/>
          <w:szCs w:val="20"/>
        </w:rPr>
        <w:t xml:space="preserve"> </w:t>
      </w:r>
      <w:proofErr w:type="spellStart"/>
      <w:r w:rsidRPr="00E076F7">
        <w:rPr>
          <w:sz w:val="20"/>
          <w:szCs w:val="20"/>
        </w:rPr>
        <w:t>Fawzy</w:t>
      </w:r>
      <w:proofErr w:type="spellEnd"/>
      <w:r w:rsidRPr="00E076F7">
        <w:rPr>
          <w:sz w:val="20"/>
          <w:szCs w:val="20"/>
        </w:rPr>
        <w:t xml:space="preserve"> Mohamed, </w:t>
      </w:r>
      <w:proofErr w:type="spellStart"/>
      <w:r w:rsidRPr="00E076F7">
        <w:rPr>
          <w:sz w:val="20"/>
          <w:szCs w:val="20"/>
        </w:rPr>
        <w:t>Farid</w:t>
      </w:r>
      <w:proofErr w:type="spellEnd"/>
      <w:r w:rsidRPr="00E076F7">
        <w:rPr>
          <w:sz w:val="20"/>
          <w:szCs w:val="20"/>
        </w:rPr>
        <w:t xml:space="preserve"> Ibrahim Hassan, </w:t>
      </w:r>
      <w:proofErr w:type="spellStart"/>
      <w:r w:rsidRPr="00E076F7">
        <w:rPr>
          <w:sz w:val="20"/>
          <w:szCs w:val="20"/>
        </w:rPr>
        <w:t>Ibraheem</w:t>
      </w:r>
      <w:proofErr w:type="spellEnd"/>
      <w:r w:rsidRPr="00E076F7">
        <w:rPr>
          <w:sz w:val="20"/>
          <w:szCs w:val="20"/>
        </w:rPr>
        <w:t xml:space="preserve"> Hassan Mohamed, Ahmed </w:t>
      </w:r>
      <w:proofErr w:type="spellStart"/>
      <w:r w:rsidRPr="00E076F7">
        <w:rPr>
          <w:sz w:val="20"/>
          <w:szCs w:val="20"/>
        </w:rPr>
        <w:t>Salah</w:t>
      </w:r>
      <w:proofErr w:type="spellEnd"/>
      <w:r w:rsidRPr="00E076F7">
        <w:rPr>
          <w:sz w:val="20"/>
          <w:szCs w:val="20"/>
        </w:rPr>
        <w:t xml:space="preserve"> Mohammed </w:t>
      </w:r>
      <w:proofErr w:type="spellStart"/>
      <w:r w:rsidRPr="00E076F7">
        <w:rPr>
          <w:sz w:val="20"/>
          <w:szCs w:val="20"/>
        </w:rPr>
        <w:t>Nawara</w:t>
      </w:r>
      <w:proofErr w:type="spellEnd"/>
      <w:r w:rsidRPr="00E076F7">
        <w:rPr>
          <w:sz w:val="20"/>
          <w:szCs w:val="20"/>
        </w:rPr>
        <w:t>.</w:t>
      </w:r>
      <w:r w:rsidRPr="00E076F7">
        <w:rPr>
          <w:rFonts w:eastAsiaTheme="minorEastAsia" w:hint="eastAsia"/>
          <w:b/>
          <w:bCs/>
          <w:sz w:val="20"/>
          <w:szCs w:val="20"/>
          <w:lang w:bidi="fa-IR"/>
        </w:rPr>
        <w:t xml:space="preserve"> </w:t>
      </w:r>
      <w:r w:rsidRPr="00E076F7">
        <w:rPr>
          <w:b/>
          <w:bCs/>
          <w:sz w:val="20"/>
          <w:szCs w:val="20"/>
        </w:rPr>
        <w:t xml:space="preserve">Comparative study of hysteroscopy &amp; </w:t>
      </w:r>
      <w:proofErr w:type="spellStart"/>
      <w:r w:rsidRPr="00E076F7">
        <w:rPr>
          <w:b/>
          <w:bCs/>
          <w:sz w:val="20"/>
          <w:szCs w:val="20"/>
        </w:rPr>
        <w:t>transvaginal</w:t>
      </w:r>
      <w:proofErr w:type="spellEnd"/>
      <w:r w:rsidRPr="00E076F7">
        <w:rPr>
          <w:b/>
          <w:bCs/>
          <w:sz w:val="20"/>
          <w:szCs w:val="20"/>
        </w:rPr>
        <w:t xml:space="preserve"> </w:t>
      </w:r>
      <w:proofErr w:type="spellStart"/>
      <w:r w:rsidRPr="00E076F7">
        <w:rPr>
          <w:b/>
          <w:bCs/>
          <w:sz w:val="20"/>
          <w:szCs w:val="20"/>
        </w:rPr>
        <w:t>sonography</w:t>
      </w:r>
      <w:proofErr w:type="spellEnd"/>
      <w:r w:rsidRPr="00E076F7">
        <w:rPr>
          <w:b/>
          <w:bCs/>
          <w:sz w:val="20"/>
          <w:szCs w:val="20"/>
        </w:rPr>
        <w:t xml:space="preserve"> and saline infusion </w:t>
      </w:r>
      <w:proofErr w:type="spellStart"/>
      <w:r w:rsidRPr="00E076F7">
        <w:rPr>
          <w:b/>
          <w:bCs/>
          <w:sz w:val="20"/>
          <w:szCs w:val="20"/>
        </w:rPr>
        <w:t>sonography</w:t>
      </w:r>
      <w:proofErr w:type="spellEnd"/>
      <w:r w:rsidRPr="00E076F7">
        <w:rPr>
          <w:b/>
          <w:bCs/>
          <w:sz w:val="20"/>
          <w:szCs w:val="20"/>
        </w:rPr>
        <w:t xml:space="preserve"> with endometrial biopsy in detection of endometrial pathology in women with postmenopausal bleeding</w:t>
      </w:r>
      <w:r w:rsidRPr="00E076F7">
        <w:rPr>
          <w:rFonts w:eastAsia="Times New Roman"/>
          <w:b/>
          <w:bCs/>
          <w:sz w:val="20"/>
          <w:szCs w:val="20"/>
          <w:lang w:bidi="fa-IR"/>
        </w:rPr>
        <w:t>.</w:t>
      </w:r>
      <w:r w:rsidRPr="00E076F7">
        <w:rPr>
          <w:bCs/>
          <w:i/>
          <w:sz w:val="20"/>
          <w:szCs w:val="20"/>
        </w:rPr>
        <w:t xml:space="preserve"> Researcher</w:t>
      </w:r>
      <w:r w:rsidRPr="00E076F7">
        <w:rPr>
          <w:bCs/>
          <w:sz w:val="20"/>
          <w:szCs w:val="20"/>
        </w:rPr>
        <w:t xml:space="preserve"> 201</w:t>
      </w:r>
      <w:r w:rsidRPr="00E076F7">
        <w:rPr>
          <w:rFonts w:hint="eastAsia"/>
          <w:bCs/>
          <w:sz w:val="20"/>
          <w:szCs w:val="20"/>
        </w:rPr>
        <w:t>9</w:t>
      </w:r>
      <w:r w:rsidRPr="00E076F7">
        <w:rPr>
          <w:bCs/>
          <w:sz w:val="20"/>
          <w:szCs w:val="20"/>
        </w:rPr>
        <w:t>;</w:t>
      </w:r>
      <w:r w:rsidRPr="00E076F7">
        <w:rPr>
          <w:rFonts w:hint="eastAsia"/>
          <w:bCs/>
          <w:sz w:val="20"/>
          <w:szCs w:val="20"/>
        </w:rPr>
        <w:t>11</w:t>
      </w:r>
      <w:r w:rsidRPr="00E076F7">
        <w:rPr>
          <w:bCs/>
          <w:sz w:val="20"/>
          <w:szCs w:val="20"/>
        </w:rPr>
        <w:t>(</w:t>
      </w:r>
      <w:r w:rsidRPr="00E076F7">
        <w:rPr>
          <w:rFonts w:hint="eastAsia"/>
          <w:bCs/>
          <w:sz w:val="20"/>
          <w:szCs w:val="20"/>
        </w:rPr>
        <w:t>4</w:t>
      </w:r>
      <w:r w:rsidRPr="00E076F7">
        <w:rPr>
          <w:bCs/>
          <w:sz w:val="20"/>
          <w:szCs w:val="20"/>
        </w:rPr>
        <w:t>):</w:t>
      </w:r>
      <w:r w:rsidR="006D0A47" w:rsidRPr="00E076F7">
        <w:rPr>
          <w:noProof/>
          <w:color w:val="000000"/>
          <w:sz w:val="20"/>
          <w:szCs w:val="20"/>
        </w:rPr>
        <w:t>38-42</w:t>
      </w:r>
      <w:r w:rsidRPr="00E076F7">
        <w:rPr>
          <w:bCs/>
          <w:sz w:val="20"/>
          <w:szCs w:val="20"/>
        </w:rPr>
        <w:t xml:space="preserve">]. </w:t>
      </w:r>
      <w:r w:rsidRPr="00E076F7">
        <w:rPr>
          <w:sz w:val="20"/>
          <w:szCs w:val="20"/>
        </w:rPr>
        <w:t>ISSN 1553-9865 (print); ISSN 2163-8950 (online)</w:t>
      </w:r>
      <w:r w:rsidRPr="00E076F7">
        <w:rPr>
          <w:bCs/>
          <w:sz w:val="20"/>
          <w:szCs w:val="20"/>
        </w:rPr>
        <w:t xml:space="preserve">. </w:t>
      </w:r>
      <w:hyperlink r:id="rId9" w:history="1">
        <w:r w:rsidRPr="00E076F7">
          <w:rPr>
            <w:rStyle w:val="Hyperlink"/>
            <w:sz w:val="20"/>
            <w:szCs w:val="20"/>
          </w:rPr>
          <w:t>http://www.sciencepub.net/researcher</w:t>
        </w:r>
      </w:hyperlink>
      <w:r w:rsidRPr="00E076F7">
        <w:rPr>
          <w:bCs/>
          <w:sz w:val="20"/>
          <w:szCs w:val="20"/>
        </w:rPr>
        <w:t>.</w:t>
      </w:r>
      <w:r w:rsidRPr="00E076F7">
        <w:rPr>
          <w:rFonts w:hint="eastAsia"/>
          <w:bCs/>
          <w:sz w:val="20"/>
          <w:szCs w:val="20"/>
        </w:rPr>
        <w:t xml:space="preserve"> </w:t>
      </w:r>
      <w:r w:rsidR="00014859" w:rsidRPr="00E076F7">
        <w:rPr>
          <w:rFonts w:hint="eastAsia"/>
          <w:bCs/>
          <w:sz w:val="20"/>
          <w:szCs w:val="20"/>
          <w:lang w:eastAsia="zh-CN"/>
        </w:rPr>
        <w:t>6</w:t>
      </w:r>
      <w:r w:rsidRPr="00E076F7">
        <w:rPr>
          <w:rFonts w:hint="eastAsia"/>
          <w:bCs/>
          <w:sz w:val="20"/>
          <w:szCs w:val="20"/>
        </w:rPr>
        <w:t xml:space="preserve">. </w:t>
      </w:r>
      <w:r w:rsidRPr="00E076F7">
        <w:rPr>
          <w:color w:val="000000"/>
          <w:sz w:val="20"/>
          <w:szCs w:val="20"/>
          <w:shd w:val="clear" w:color="auto" w:fill="FFFFFF"/>
        </w:rPr>
        <w:t>doi:</w:t>
      </w:r>
      <w:hyperlink r:id="rId10" w:history="1">
        <w:r w:rsidRPr="00E076F7">
          <w:rPr>
            <w:rStyle w:val="Hyperlink"/>
            <w:sz w:val="20"/>
            <w:szCs w:val="20"/>
            <w:shd w:val="clear" w:color="auto" w:fill="FFFFFF"/>
          </w:rPr>
          <w:t>10.7537/mars</w:t>
        </w:r>
        <w:r w:rsidRPr="00E076F7">
          <w:rPr>
            <w:rStyle w:val="Hyperlink"/>
            <w:rFonts w:hint="eastAsia"/>
            <w:sz w:val="20"/>
            <w:szCs w:val="20"/>
            <w:shd w:val="clear" w:color="auto" w:fill="FFFFFF"/>
          </w:rPr>
          <w:t>r</w:t>
        </w:r>
        <w:r w:rsidRPr="00E076F7">
          <w:rPr>
            <w:rStyle w:val="Hyperlink"/>
            <w:sz w:val="20"/>
            <w:szCs w:val="20"/>
            <w:shd w:val="clear" w:color="auto" w:fill="FFFFFF"/>
          </w:rPr>
          <w:t>sj</w:t>
        </w:r>
        <w:r w:rsidRPr="00E076F7">
          <w:rPr>
            <w:rStyle w:val="Hyperlink"/>
            <w:rFonts w:hint="eastAsia"/>
            <w:sz w:val="20"/>
            <w:szCs w:val="20"/>
            <w:shd w:val="clear" w:color="auto" w:fill="FFFFFF"/>
          </w:rPr>
          <w:t>110419.</w:t>
        </w:r>
        <w:r w:rsidRPr="00E076F7">
          <w:rPr>
            <w:rStyle w:val="Hyperlink"/>
            <w:sz w:val="20"/>
            <w:szCs w:val="20"/>
            <w:shd w:val="clear" w:color="auto" w:fill="FFFFFF"/>
          </w:rPr>
          <w:t>0</w:t>
        </w:r>
        <w:r w:rsidR="00014859" w:rsidRPr="00E076F7">
          <w:rPr>
            <w:rStyle w:val="Hyperlink"/>
            <w:rFonts w:hint="eastAsia"/>
            <w:sz w:val="20"/>
            <w:szCs w:val="20"/>
            <w:shd w:val="clear" w:color="auto" w:fill="FFFFFF"/>
            <w:lang w:eastAsia="zh-CN"/>
          </w:rPr>
          <w:t>6</w:t>
        </w:r>
      </w:hyperlink>
      <w:r w:rsidRPr="00E076F7">
        <w:rPr>
          <w:color w:val="000000"/>
          <w:sz w:val="20"/>
          <w:szCs w:val="20"/>
          <w:shd w:val="clear" w:color="auto" w:fill="FFFFFF"/>
        </w:rPr>
        <w:t>.</w:t>
      </w:r>
    </w:p>
    <w:p w:rsidR="00CE2E0E" w:rsidRPr="00E076F7" w:rsidRDefault="00CE2E0E" w:rsidP="00694827">
      <w:pPr>
        <w:suppressAutoHyphens w:val="0"/>
        <w:snapToGrid w:val="0"/>
        <w:jc w:val="both"/>
        <w:rPr>
          <w:b/>
          <w:sz w:val="20"/>
          <w:szCs w:val="20"/>
        </w:rPr>
      </w:pPr>
    </w:p>
    <w:p w:rsidR="001817C7" w:rsidRPr="00E076F7" w:rsidRDefault="001817C7" w:rsidP="00694827">
      <w:pPr>
        <w:suppressAutoHyphens w:val="0"/>
        <w:snapToGrid w:val="0"/>
        <w:jc w:val="both"/>
        <w:rPr>
          <w:sz w:val="20"/>
          <w:szCs w:val="20"/>
        </w:rPr>
      </w:pPr>
      <w:r w:rsidRPr="00E076F7">
        <w:rPr>
          <w:b/>
          <w:sz w:val="20"/>
          <w:szCs w:val="20"/>
        </w:rPr>
        <w:t>Keywords:</w:t>
      </w:r>
      <w:r w:rsidR="001E248E" w:rsidRPr="00E076F7">
        <w:rPr>
          <w:b/>
          <w:sz w:val="20"/>
          <w:szCs w:val="20"/>
        </w:rPr>
        <w:t xml:space="preserve"> </w:t>
      </w:r>
      <w:r w:rsidR="001E248E" w:rsidRPr="00E076F7">
        <w:rPr>
          <w:sz w:val="20"/>
          <w:szCs w:val="20"/>
        </w:rPr>
        <w:t xml:space="preserve">Postmenopausal bleeding - </w:t>
      </w:r>
      <w:proofErr w:type="spellStart"/>
      <w:r w:rsidR="001E248E" w:rsidRPr="00E076F7">
        <w:rPr>
          <w:sz w:val="20"/>
          <w:szCs w:val="20"/>
        </w:rPr>
        <w:t>Transvaginal</w:t>
      </w:r>
      <w:proofErr w:type="spellEnd"/>
      <w:r w:rsidR="001E248E" w:rsidRPr="00E076F7">
        <w:rPr>
          <w:sz w:val="20"/>
          <w:szCs w:val="20"/>
        </w:rPr>
        <w:t xml:space="preserve"> ultrasound – </w:t>
      </w:r>
      <w:r w:rsidR="00CF31EA" w:rsidRPr="00E076F7">
        <w:rPr>
          <w:sz w:val="20"/>
          <w:szCs w:val="20"/>
        </w:rPr>
        <w:t xml:space="preserve">saline infusion </w:t>
      </w:r>
      <w:proofErr w:type="spellStart"/>
      <w:r w:rsidR="00CF31EA" w:rsidRPr="00E076F7">
        <w:rPr>
          <w:sz w:val="20"/>
          <w:szCs w:val="20"/>
        </w:rPr>
        <w:t>sonography</w:t>
      </w:r>
      <w:proofErr w:type="spellEnd"/>
      <w:r w:rsidR="00CF31EA" w:rsidRPr="00E076F7">
        <w:rPr>
          <w:sz w:val="20"/>
          <w:szCs w:val="20"/>
        </w:rPr>
        <w:t xml:space="preserve"> </w:t>
      </w:r>
      <w:r w:rsidR="001E248E" w:rsidRPr="00E076F7">
        <w:rPr>
          <w:sz w:val="20"/>
          <w:szCs w:val="20"/>
        </w:rPr>
        <w:t>- Hysteroscopy.</w:t>
      </w:r>
    </w:p>
    <w:p w:rsidR="00014859" w:rsidRPr="00E076F7" w:rsidRDefault="00176E9D" w:rsidP="00694827">
      <w:pPr>
        <w:suppressAutoHyphens w:val="0"/>
        <w:snapToGrid w:val="0"/>
        <w:jc w:val="both"/>
        <w:rPr>
          <w:b/>
          <w:sz w:val="20"/>
          <w:szCs w:val="20"/>
        </w:rPr>
        <w:sectPr w:rsidR="00014859" w:rsidRPr="00E076F7" w:rsidSect="006D0A47">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8"/>
          <w:cols w:space="720"/>
          <w:docGrid w:linePitch="360"/>
        </w:sectPr>
      </w:pPr>
      <w:r w:rsidRPr="00E076F7">
        <w:rPr>
          <w:b/>
          <w:sz w:val="20"/>
          <w:szCs w:val="20"/>
        </w:rPr>
        <w:cr/>
      </w:r>
    </w:p>
    <w:p w:rsidR="00471E57" w:rsidRPr="00E076F7" w:rsidRDefault="00471E57" w:rsidP="00694827">
      <w:pPr>
        <w:suppressAutoHyphens w:val="0"/>
        <w:snapToGrid w:val="0"/>
        <w:jc w:val="both"/>
        <w:rPr>
          <w:b/>
          <w:sz w:val="20"/>
          <w:szCs w:val="20"/>
        </w:rPr>
      </w:pPr>
      <w:r w:rsidRPr="00E076F7">
        <w:rPr>
          <w:b/>
          <w:sz w:val="20"/>
          <w:szCs w:val="20"/>
        </w:rPr>
        <w:lastRenderedPageBreak/>
        <w:t>1. Introduction</w:t>
      </w:r>
    </w:p>
    <w:p w:rsidR="00484D70" w:rsidRPr="00E076F7" w:rsidRDefault="00484D70" w:rsidP="00694827">
      <w:pPr>
        <w:suppressAutoHyphens w:val="0"/>
        <w:snapToGrid w:val="0"/>
        <w:ind w:firstLine="425"/>
        <w:jc w:val="both"/>
        <w:rPr>
          <w:rFonts w:eastAsia="Times New Roman"/>
          <w:sz w:val="20"/>
          <w:szCs w:val="20"/>
          <w:lang w:eastAsia="en-US" w:bidi="ar-EG"/>
        </w:rPr>
      </w:pPr>
      <w:r w:rsidRPr="00E076F7">
        <w:rPr>
          <w:rFonts w:eastAsia="Times New Roman"/>
          <w:sz w:val="20"/>
          <w:szCs w:val="20"/>
          <w:lang w:eastAsia="en-US" w:bidi="ar-EG"/>
        </w:rPr>
        <w:t xml:space="preserve">After </w:t>
      </w:r>
      <w:r w:rsidR="00CF31EA" w:rsidRPr="00E076F7">
        <w:rPr>
          <w:rFonts w:eastAsia="Times New Roman"/>
          <w:sz w:val="20"/>
          <w:szCs w:val="20"/>
          <w:lang w:eastAsia="en-US" w:bidi="ar-EG"/>
        </w:rPr>
        <w:t xml:space="preserve">the </w:t>
      </w:r>
      <w:r w:rsidRPr="00E076F7">
        <w:rPr>
          <w:rFonts w:eastAsia="Times New Roman"/>
          <w:sz w:val="20"/>
          <w:szCs w:val="20"/>
          <w:lang w:eastAsia="en-US" w:bidi="ar-EG"/>
        </w:rPr>
        <w:t xml:space="preserve">age of forty-five years, </w:t>
      </w:r>
      <w:r w:rsidR="00117E65" w:rsidRPr="00E076F7">
        <w:rPr>
          <w:rFonts w:eastAsia="Times New Roman"/>
          <w:sz w:val="20"/>
          <w:szCs w:val="20"/>
          <w:lang w:eastAsia="en-US" w:bidi="ar-EG"/>
        </w:rPr>
        <w:t>a half year after</w:t>
      </w:r>
      <w:r w:rsidRPr="00E076F7">
        <w:rPr>
          <w:rFonts w:eastAsia="Times New Roman"/>
          <w:sz w:val="20"/>
          <w:szCs w:val="20"/>
          <w:lang w:eastAsia="en-US" w:bidi="ar-EG"/>
        </w:rPr>
        <w:t xml:space="preserve"> cessation of menstruation, any vaginal bleeding is called as postmenopausal bleeding (PMB). It may be heavy bleeding, just </w:t>
      </w:r>
      <w:r w:rsidR="00CF31EA" w:rsidRPr="00E076F7">
        <w:rPr>
          <w:rFonts w:eastAsia="Times New Roman"/>
          <w:sz w:val="20"/>
          <w:szCs w:val="20"/>
          <w:lang w:eastAsia="en-US" w:bidi="ar-EG"/>
        </w:rPr>
        <w:t>simply spotting or simply like a usual</w:t>
      </w:r>
      <w:r w:rsidR="00117E65" w:rsidRPr="00E076F7">
        <w:rPr>
          <w:rFonts w:eastAsia="Times New Roman"/>
          <w:sz w:val="20"/>
          <w:szCs w:val="20"/>
          <w:lang w:eastAsia="en-US" w:bidi="ar-EG"/>
        </w:rPr>
        <w:t xml:space="preserve"> monthly cycle</w:t>
      </w:r>
      <w:r w:rsidRPr="00E076F7">
        <w:rPr>
          <w:rFonts w:eastAsia="Times New Roman"/>
          <w:sz w:val="20"/>
          <w:szCs w:val="20"/>
          <w:lang w:eastAsia="en-US" w:bidi="ar-EG"/>
        </w:rPr>
        <w:t xml:space="preserve">. Postmenopausal bleeding is quite common and worrisome symptom accounting for 5% of all gynecological outpatients’ </w:t>
      </w:r>
      <w:r w:rsidR="00117E65" w:rsidRPr="00E076F7">
        <w:rPr>
          <w:rFonts w:eastAsia="Times New Roman"/>
          <w:sz w:val="20"/>
          <w:szCs w:val="20"/>
          <w:lang w:eastAsia="en-US" w:bidi="ar-EG"/>
        </w:rPr>
        <w:t xml:space="preserve">specialization attendances </w:t>
      </w:r>
      <w:r w:rsidR="00F85A9C" w:rsidRPr="00E076F7">
        <w:rPr>
          <w:rFonts w:eastAsia="Times New Roman"/>
          <w:sz w:val="20"/>
          <w:szCs w:val="20"/>
          <w:lang w:eastAsia="en-US" w:bidi="ar-EG"/>
        </w:rPr>
        <w:fldChar w:fldCharType="begin" w:fldLock="1"/>
      </w:r>
      <w:r w:rsidR="005D0699" w:rsidRPr="00E076F7">
        <w:rPr>
          <w:rFonts w:eastAsia="Times New Roman"/>
          <w:sz w:val="20"/>
          <w:szCs w:val="20"/>
          <w:lang w:eastAsia="en-US" w:bidi="ar-EG"/>
        </w:rPr>
        <w:instrText>ADDIN CSL_CITATION {"citationItems":[{"id":"ITEM-1","itemData":{"DOI":"10.7812/TPP/13-072","ISSN":"15525775","PMID":"24377427","abstract":"Postmenopausal uterine bleeding is defined as uterine bleeding after permanent cessation of menstruation resulting from loss of ovarian follicular activity. Bleeding can be spontaneous or related to ovarian hormone replacement therapy or to use of selective estrogen receptor modulators (eg, tamoxifen adjuvant therapy for breast carcinoma). Because anovulatory \"cycles\" with episodes of multimonth amenorrhea frequently precede menopause, no consensus exists regarding the appropriate interval of amenorrhea before an episode of bleeding that allows for the definition of postmenopausal bleeding. The clinician faces the possibility that an underlying malignancy exists, knowing that most often the bleeding comes from a benign source. Formerly, the gold-standard clinical investigation of postmenopausal uterine bleeding was institution-based dilation and curettage, but there now exist office-based methods for the evaluation of women with this complaint. Strategies designed to implement these diagnostic methods must be applied in a balanced way considering the resource utilization issues of overinvestigation and the risk of missing a malignancy with underinvestigation. Consequently, guidelines and recommendations were developed to consider these issues and the diverse spectrum of practitioners who evaluate women with postmenopausal bleeding. The guideline development group determined that, for initial management of spontaneous postmenopausal bleeding, primary assessment may be with either endometrial sampling or transvaginal ultrasonography, allowing patients with an endometrial echo complex thickness of 4 mm or less to be managed expectantly. Guidelines are also provided for patients receiving selective estrogen receptor modulators or hormone replacement therapy, and for an endometrial echo complex with findings consistent with fluid in the endometrial cavity.�","author":[{"dropping-particle":"","family":"Munro","given":"Malcolm","non-dropping-particle":"","parse-names":false,"suffix":""}],"container-title":"The Permanente Journal","id":"ITEM-1","issue":"1","issued":{"date-parts":[["2013"]]},"page":"55-70","publisher":"Kaiser Permanente","title":"Investigation of Women with Postmenopausal Uterine Bleeding: Clinical Practice Recommendations","type":"article-journal","volume":"18"},"uris":["http://www.mendeley.com/documents/?uuid=e8e4243a-1070-3ce8-a265-a4076f3469e9"]}],"mendeley":{"formattedCitation":"&lt;i&gt;(&lt;b&gt;Munro, 2013&lt;/b&gt;)&lt;/i&gt;","plainTextFormattedCitation":"(Munro, 2013)","previouslyFormattedCitation":"(Munro 2013)"},"properties":{"noteIndex":0},"schema":"https://github.com/citation-style-language/schema/raw/master/csl-citation.json"}</w:instrText>
      </w:r>
      <w:r w:rsidR="00F85A9C" w:rsidRPr="00E076F7">
        <w:rPr>
          <w:rFonts w:eastAsia="Times New Roman"/>
          <w:sz w:val="20"/>
          <w:szCs w:val="20"/>
          <w:lang w:eastAsia="en-US" w:bidi="ar-EG"/>
        </w:rPr>
        <w:fldChar w:fldCharType="separate"/>
      </w:r>
      <w:r w:rsidR="005D0699" w:rsidRPr="00E076F7">
        <w:rPr>
          <w:rFonts w:eastAsia="Times New Roman"/>
          <w:noProof/>
          <w:sz w:val="20"/>
          <w:szCs w:val="20"/>
          <w:lang w:eastAsia="en-US" w:bidi="ar-EG"/>
        </w:rPr>
        <w:t>(</w:t>
      </w:r>
      <w:r w:rsidR="005D0699" w:rsidRPr="00E076F7">
        <w:rPr>
          <w:rFonts w:eastAsia="Times New Roman"/>
          <w:b/>
          <w:noProof/>
          <w:sz w:val="20"/>
          <w:szCs w:val="20"/>
          <w:lang w:eastAsia="en-US" w:bidi="ar-EG"/>
        </w:rPr>
        <w:t>Munro, 2013</w:t>
      </w:r>
      <w:r w:rsidR="005D0699" w:rsidRPr="00E076F7">
        <w:rPr>
          <w:rFonts w:eastAsia="Times New Roman"/>
          <w:noProof/>
          <w:sz w:val="20"/>
          <w:szCs w:val="20"/>
          <w:lang w:eastAsia="en-US" w:bidi="ar-EG"/>
        </w:rPr>
        <w:t>)</w:t>
      </w:r>
      <w:r w:rsidR="00F85A9C" w:rsidRPr="00E076F7">
        <w:rPr>
          <w:rFonts w:eastAsia="Times New Roman"/>
          <w:sz w:val="20"/>
          <w:szCs w:val="20"/>
          <w:lang w:eastAsia="en-US" w:bidi="ar-EG"/>
        </w:rPr>
        <w:fldChar w:fldCharType="end"/>
      </w:r>
      <w:r w:rsidRPr="00E076F7">
        <w:rPr>
          <w:rFonts w:eastAsia="Times New Roman"/>
          <w:sz w:val="20"/>
          <w:szCs w:val="20"/>
          <w:lang w:eastAsia="en-US" w:bidi="ar-EG"/>
        </w:rPr>
        <w:t>.</w:t>
      </w:r>
    </w:p>
    <w:p w:rsidR="00484D70" w:rsidRPr="00E076F7" w:rsidRDefault="00484D70" w:rsidP="00694827">
      <w:pPr>
        <w:suppressAutoHyphens w:val="0"/>
        <w:snapToGrid w:val="0"/>
        <w:ind w:firstLine="425"/>
        <w:jc w:val="both"/>
        <w:rPr>
          <w:rFonts w:eastAsia="Times New Roman"/>
          <w:sz w:val="20"/>
          <w:szCs w:val="20"/>
          <w:lang w:eastAsia="en-US" w:bidi="ar-EG"/>
        </w:rPr>
      </w:pPr>
      <w:r w:rsidRPr="00E076F7">
        <w:rPr>
          <w:rFonts w:eastAsia="Times New Roman"/>
          <w:sz w:val="20"/>
          <w:szCs w:val="20"/>
          <w:lang w:eastAsia="en-US" w:bidi="ar-EG"/>
        </w:rPr>
        <w:t>Postmenopausal bleeding can be due to benign or malignant pathologies. Approximately 3–10% of women with post-menopausal bleeding have endometrial cancer rendering strict exclusion of endometrial carcinoma to be essential among this population</w:t>
      </w:r>
      <w:r w:rsidR="00F85A9C" w:rsidRPr="00E076F7">
        <w:rPr>
          <w:rFonts w:eastAsia="Times New Roman"/>
          <w:sz w:val="20"/>
          <w:szCs w:val="20"/>
          <w:lang w:eastAsia="en-US" w:bidi="ar-EG"/>
        </w:rPr>
        <w:fldChar w:fldCharType="begin" w:fldLock="1"/>
      </w:r>
      <w:r w:rsidR="005D0699" w:rsidRPr="00E076F7">
        <w:rPr>
          <w:rFonts w:eastAsia="Times New Roman"/>
          <w:sz w:val="20"/>
          <w:szCs w:val="20"/>
          <w:lang w:eastAsia="en-US" w:bidi="ar-EG"/>
        </w:rPr>
        <w:instrText>ADDIN CSL_CITATION {"citationItems":[{"id":"ITEM-1","itemData":{"DOI":"10.1007/s00404-010-1604-0","ISBN":"1432-0711 (Electronic)\\r0932-0067 (Linking)","ISSN":"09320067","PMID":"20665218","abstract":"OBJECTIVE: To compare the diagnostic accuracy of transvaginal sonography (TVS), saline infusion sonohysterography (SIS) and hysteroscopy (HS) with respect to pathological diagnosis in the detection of uterine cavity abnormalities associated with abnormal uterine bleeding among postmenopausal women. METHODS: Being a prospective, investigator-blind trial, the present study was conducted on 137 postmenopausal women, with abnormal uterine bleeding, admitted to the Department of Obstetrics and Gynecology of Istanbul Bilim University, Florence Nightingale Hospital and Fertigyn Woman Health and IVF Center. After TVS, all patients underwent SIS using Cook Soft 500 IVF transfer catheter and HS, consecutively. Sensitivity, specificity, and positive and negative predictive values (PPV and NPV) were calculated to compare the diagnostic accuracy of TVS, SIS and HS. RESULTS: Most commonly encountered endometrial lesions were polypoid lesion (38.0%) and hyperplasia (28.4%) among our study population consisting of 137 women (mean age 61.6 +/- 9.6 years) in their postmenopausal stage. Overall sensitivity rates were 70.0% for TVS, 89.6% for SIS and 92.3% for HS, while the overall specificity rates were 50.0, 77.3 and 80.7%, respectively. HS had PPV of 96.2% and NPV of 65.3%, whereas PPV was determined to be 80.9 versus 95.3% and NPV was 35.4 versus 58.3% for TVS and SIS, respectively. CONCLUSIONS: As an easy to perform, safe and well-tolerated procedure yielding high diagnostic accuracy, saline infusion SIS via this catheter seems to be superior to TVS and very close to HS. It may be used as the primary method for the detection of uterine abnormalities among postmenopausal women with abnormal uterine bleeding.","author":[{"dropping-particle":"","family":"Bingol","given":"Banu","non-dropping-particle":"","parse-names":false,"suffix":""},{"dropping-particle":"","family":"Gunenc","given":"M. Ziya","non-dropping-particle":"","parse-names":false,"suffix":""},{"dropping-particle":"","family":"Gedikbasi","given":"Ali","non-dropping-particle":"","parse-names":false,"suffix":""},{"dropping-particle":"","family":"Guner","given":"Haldun","non-dropping-particle":"","parse-names":false,"suffix":""},{"dropping-particle":"","family":"Tasdemir","given":"Seval","non-dropping-particle":"","parse-names":false,"suffix":""},{"dropping-particle":"","family":"Tiras","given":"Bulent","non-dropping-particle":"","parse-names":false,"suffix":""}],"container-title":"Archives of Gynecology and Obstetrics","id":"ITEM-1","issue":"1","issued":{"date-parts":[["2011","7","28"]]},"page":"111-117","title":"Comparison of diagnostic accuracy of saline infusion sonohysterography, transvaginal sonography and hysteroscopy in postmenopausal bleeding","type":"article-journal","volume":"284"},"uris":["http://www.mendeley.com/documents/?uuid=da055964-aa32-3570-a88e-c4e59cbcf486"]}],"mendeley":{"formattedCitation":"&lt;i&gt;(&lt;b&gt;Bingol et al., 2011&lt;/b&gt;)&lt;/i&gt;","plainTextFormattedCitation":"(Bingol et al., 2011)","previouslyFormattedCitation":"(Bingol et al. 2011)"},"properties":{"noteIndex":0},"schema":"https://github.com/citation-style-language/schema/raw/master/csl-citation.json"}</w:instrText>
      </w:r>
      <w:r w:rsidR="00F85A9C" w:rsidRPr="00E076F7">
        <w:rPr>
          <w:rFonts w:eastAsia="Times New Roman"/>
          <w:sz w:val="20"/>
          <w:szCs w:val="20"/>
          <w:lang w:eastAsia="en-US" w:bidi="ar-EG"/>
        </w:rPr>
        <w:fldChar w:fldCharType="separate"/>
      </w:r>
      <w:r w:rsidR="005D0699" w:rsidRPr="00E076F7">
        <w:rPr>
          <w:rFonts w:eastAsia="Times New Roman"/>
          <w:noProof/>
          <w:sz w:val="20"/>
          <w:szCs w:val="20"/>
          <w:lang w:eastAsia="en-US" w:bidi="ar-EG"/>
        </w:rPr>
        <w:t>(</w:t>
      </w:r>
      <w:proofErr w:type="spellStart"/>
      <w:r w:rsidR="005D0699" w:rsidRPr="00E076F7">
        <w:rPr>
          <w:rFonts w:eastAsia="Times New Roman"/>
          <w:b/>
          <w:noProof/>
          <w:sz w:val="20"/>
          <w:szCs w:val="20"/>
          <w:lang w:eastAsia="en-US" w:bidi="ar-EG"/>
        </w:rPr>
        <w:t>Bingol</w:t>
      </w:r>
      <w:proofErr w:type="spellEnd"/>
      <w:r w:rsidR="005D0699" w:rsidRPr="00E076F7">
        <w:rPr>
          <w:rFonts w:eastAsia="Times New Roman"/>
          <w:b/>
          <w:noProof/>
          <w:sz w:val="20"/>
          <w:szCs w:val="20"/>
          <w:lang w:eastAsia="en-US" w:bidi="ar-EG"/>
        </w:rPr>
        <w:t xml:space="preserve"> et al., 2011</w:t>
      </w:r>
      <w:r w:rsidR="005D0699" w:rsidRPr="00E076F7">
        <w:rPr>
          <w:rFonts w:eastAsia="Times New Roman"/>
          <w:noProof/>
          <w:sz w:val="20"/>
          <w:szCs w:val="20"/>
          <w:lang w:eastAsia="en-US" w:bidi="ar-EG"/>
        </w:rPr>
        <w:t>)</w:t>
      </w:r>
      <w:r w:rsidR="00F85A9C" w:rsidRPr="00E076F7">
        <w:rPr>
          <w:rFonts w:eastAsia="Times New Roman"/>
          <w:sz w:val="20"/>
          <w:szCs w:val="20"/>
          <w:lang w:eastAsia="en-US" w:bidi="ar-EG"/>
        </w:rPr>
        <w:fldChar w:fldCharType="end"/>
      </w:r>
      <w:r w:rsidRPr="00E076F7">
        <w:rPr>
          <w:rFonts w:eastAsia="Times New Roman"/>
          <w:sz w:val="20"/>
          <w:szCs w:val="20"/>
          <w:lang w:eastAsia="en-US" w:bidi="ar-EG"/>
        </w:rPr>
        <w:t>.</w:t>
      </w:r>
    </w:p>
    <w:p w:rsidR="0017469B" w:rsidRPr="00E076F7" w:rsidRDefault="0017469B" w:rsidP="00694827">
      <w:pPr>
        <w:suppressAutoHyphens w:val="0"/>
        <w:snapToGrid w:val="0"/>
        <w:ind w:firstLine="425"/>
        <w:jc w:val="both"/>
        <w:rPr>
          <w:rFonts w:eastAsia="Times New Roman"/>
          <w:sz w:val="20"/>
          <w:szCs w:val="20"/>
          <w:lang w:eastAsia="en-US" w:bidi="ar-EG"/>
        </w:rPr>
      </w:pPr>
      <w:r w:rsidRPr="00E076F7">
        <w:rPr>
          <w:rFonts w:eastAsia="Times New Roman"/>
          <w:sz w:val="20"/>
          <w:szCs w:val="20"/>
          <w:lang w:eastAsia="en-US" w:bidi="ar-EG"/>
        </w:rPr>
        <w:t>Having the capacity to recognize the distinctive conditions enables the doctor to decide the fitting treatment method. Dilatation and curettage (D</w:t>
      </w:r>
      <w:r w:rsidR="00176E9D" w:rsidRPr="00E076F7">
        <w:rPr>
          <w:rFonts w:eastAsia="Times New Roman"/>
          <w:sz w:val="20"/>
          <w:szCs w:val="20"/>
          <w:lang w:eastAsia="en-US" w:bidi="ar-EG"/>
        </w:rPr>
        <w:t xml:space="preserve"> &amp; </w:t>
      </w:r>
      <w:r w:rsidRPr="00E076F7">
        <w:rPr>
          <w:rFonts w:eastAsia="Times New Roman"/>
          <w:sz w:val="20"/>
          <w:szCs w:val="20"/>
          <w:lang w:eastAsia="en-US" w:bidi="ar-EG"/>
        </w:rPr>
        <w:t xml:space="preserve">C) is the present acknowledged strategy for diagnosing diffused endometrial conditions, for example, endometrial cancer and endometrial hyperplasia. However, when focal endometrial conditions, (for example, endometrial polyps and </w:t>
      </w:r>
      <w:proofErr w:type="spellStart"/>
      <w:r w:rsidRPr="00E076F7">
        <w:rPr>
          <w:rFonts w:eastAsia="Times New Roman"/>
          <w:sz w:val="20"/>
          <w:szCs w:val="20"/>
          <w:lang w:eastAsia="en-US" w:bidi="ar-EG"/>
        </w:rPr>
        <w:t>leiomyomas</w:t>
      </w:r>
      <w:proofErr w:type="spellEnd"/>
      <w:r w:rsidRPr="00E076F7">
        <w:rPr>
          <w:rFonts w:eastAsia="Times New Roman"/>
          <w:sz w:val="20"/>
          <w:szCs w:val="20"/>
          <w:lang w:eastAsia="en-US" w:bidi="ar-EG"/>
        </w:rPr>
        <w:t xml:space="preserve">) or </w:t>
      </w:r>
      <w:proofErr w:type="spellStart"/>
      <w:r w:rsidRPr="00E076F7">
        <w:rPr>
          <w:rFonts w:eastAsia="Times New Roman"/>
          <w:sz w:val="20"/>
          <w:szCs w:val="20"/>
          <w:lang w:eastAsia="en-US" w:bidi="ar-EG"/>
        </w:rPr>
        <w:t>myometrial</w:t>
      </w:r>
      <w:proofErr w:type="spellEnd"/>
      <w:r w:rsidRPr="00E076F7">
        <w:rPr>
          <w:rFonts w:eastAsia="Times New Roman"/>
          <w:sz w:val="20"/>
          <w:szCs w:val="20"/>
          <w:lang w:eastAsia="en-US" w:bidi="ar-EG"/>
        </w:rPr>
        <w:t xml:space="preserve"> conditions, (for example, </w:t>
      </w:r>
      <w:proofErr w:type="spellStart"/>
      <w:r w:rsidRPr="00E076F7">
        <w:rPr>
          <w:rFonts w:eastAsia="Times New Roman"/>
          <w:sz w:val="20"/>
          <w:szCs w:val="20"/>
          <w:lang w:eastAsia="en-US" w:bidi="ar-EG"/>
        </w:rPr>
        <w:t>adenomyosis</w:t>
      </w:r>
      <w:proofErr w:type="spellEnd"/>
      <w:r w:rsidRPr="00E076F7">
        <w:rPr>
          <w:rFonts w:eastAsia="Times New Roman"/>
          <w:sz w:val="20"/>
          <w:szCs w:val="20"/>
          <w:lang w:eastAsia="en-US" w:bidi="ar-EG"/>
        </w:rPr>
        <w:t>) are existing, D</w:t>
      </w:r>
      <w:r w:rsidR="00176E9D" w:rsidRPr="00E076F7">
        <w:rPr>
          <w:rFonts w:eastAsia="Times New Roman"/>
          <w:sz w:val="20"/>
          <w:szCs w:val="20"/>
          <w:lang w:eastAsia="en-US" w:bidi="ar-EG"/>
        </w:rPr>
        <w:t xml:space="preserve"> &amp; </w:t>
      </w:r>
      <w:r w:rsidRPr="00E076F7">
        <w:rPr>
          <w:rFonts w:eastAsia="Times New Roman"/>
          <w:sz w:val="20"/>
          <w:szCs w:val="20"/>
          <w:lang w:eastAsia="en-US" w:bidi="ar-EG"/>
        </w:rPr>
        <w:t>C isn't fit for diagnosing them</w:t>
      </w:r>
      <w:r w:rsidR="00F85A9C" w:rsidRPr="00E076F7">
        <w:rPr>
          <w:rFonts w:eastAsia="Times New Roman"/>
          <w:sz w:val="20"/>
          <w:szCs w:val="20"/>
          <w:lang w:eastAsia="en-US" w:bidi="ar-EG"/>
        </w:rPr>
        <w:fldChar w:fldCharType="begin" w:fldLock="1"/>
      </w:r>
      <w:r w:rsidR="005D0699" w:rsidRPr="00E076F7">
        <w:rPr>
          <w:rFonts w:eastAsia="Times New Roman"/>
          <w:sz w:val="20"/>
          <w:szCs w:val="20"/>
          <w:lang w:eastAsia="en-US" w:bidi="ar-EG"/>
        </w:rPr>
        <w:instrText>ADDIN CSL_CITATION {"citationItems":[{"id":"ITEM-1","itemData":{"DOI":"10.1016/j.ultrasmedbio.2008.02.013","ISSN":"03015629","abstract":"Two anthropomorphic uterine phantoms were developed that allow assessment and comparison of strain imaging systems adapted for use with saline-infused sonohysterography (SIS). Tissue-mimicking (TM) materials consist of dispersions of safflower oil in gelatin. TM fibroids are stiffer than the TM myometrium/cervix, and TM polyps are softer. The first uterine phantom has 3-mm-diameter TM fibroids distributed randomly in TM myometrium. The second uterine phantom has a 5-mm and 8-mm spherical TM fibroid, in addition to a 5-mm spherical and a 12.5-mm-long (medicine capsule-shaped) TM endometrial polyp protruding into the endometrial cavity; also, a 10-mm spherical TM fibroid projects from the serosal surface. Strain images using the first phantom show the stiffer 3-mm TM fibroids in the myometrium. Results from the second uterine phantom show that, as expected, parts of inclusions projecting into the uterine cavity will appear very stiff, whether they are stiff or soft. Results from both phantoms show that although there is a five-fold difference in the Young's moduli values, there is not a significant difference in the strain in the transition from the TM myometrium to the TM fat. These phantoms allow for realistic comparison and evolution of SIS strain imaging techniques and can aid clinical personnel to develop skills for SIS strain imaging. (E-mail: mahobson@gmail.com). © 2008 World Federation for Ultrasound in Medicine &amp; Biology.","author":[{"dropping-particle":"","family":"Hobson","given":"Maritza A.","non-dropping-particle":"","parse-names":false,"suffix":""},{"dropping-particle":"","family":"Madsen","given":"Ernest L.","non-dropping-particle":"","parse-names":false,"suffix":""},{"dropping-particle":"","family":"Frank","given":"Gary R.","non-dropping-particle":"","parse-names":false,"suffix":""},{"dropping-particle":"","family":"Jiang","given":"Jingfeng","non-dropping-particle":"","parse-names":false,"suffix":""},{"dropping-particle":"","family":"Shi","given":"Hairong","non-dropping-particle":"","parse-names":false,"suffix":""},{"dropping-particle":"","family":"Hall","given":"Timothy J.","non-dropping-particle":"","parse-names":false,"suffix":""},{"dropping-particle":"","family":"Varghese","given":"Tomy","non-dropping-particle":"","parse-names":false,"suffix":""}],"container-title":"Ultrasound in Medicine and Biology","id":"ITEM-1","issue":"10","issued":{"date-parts":[["2008"]]},"page":"1622-1637","title":"Anthropomorphic Phantoms for Assessment of Strain Imaging Methods Involving Saline-Infused Sonohysterography","type":"article-journal","volume":"34"},"uris":["http://www.mendeley.com/documents/?uuid=81e2c02f-b17b-456a-86b0-88eb8e61fd45"]}],"mendeley":{"formattedCitation":"&lt;i&gt;(&lt;b&gt;Hobson et al., 2008&lt;/b&gt;)&lt;/i&gt;","plainTextFormattedCitation":"(Hobson et al., 2008)","previouslyFormattedCitation":"(Hobson et al. 2008)"},"properties":{"noteIndex":0},"schema":"https://github.com/citation-style-language/schema/raw/master/csl-citation.json"}</w:instrText>
      </w:r>
      <w:r w:rsidR="00F85A9C" w:rsidRPr="00E076F7">
        <w:rPr>
          <w:rFonts w:eastAsia="Times New Roman"/>
          <w:sz w:val="20"/>
          <w:szCs w:val="20"/>
          <w:lang w:eastAsia="en-US" w:bidi="ar-EG"/>
        </w:rPr>
        <w:fldChar w:fldCharType="separate"/>
      </w:r>
      <w:r w:rsidR="005D0699" w:rsidRPr="00E076F7">
        <w:rPr>
          <w:rFonts w:eastAsia="Times New Roman"/>
          <w:noProof/>
          <w:sz w:val="20"/>
          <w:szCs w:val="20"/>
          <w:lang w:eastAsia="en-US" w:bidi="ar-EG"/>
        </w:rPr>
        <w:t>(</w:t>
      </w:r>
      <w:r w:rsidR="005D0699" w:rsidRPr="00E076F7">
        <w:rPr>
          <w:rFonts w:eastAsia="Times New Roman"/>
          <w:b/>
          <w:noProof/>
          <w:sz w:val="20"/>
          <w:szCs w:val="20"/>
          <w:lang w:eastAsia="en-US" w:bidi="ar-EG"/>
        </w:rPr>
        <w:t>Hobson et al., 2008</w:t>
      </w:r>
      <w:r w:rsidR="005D0699" w:rsidRPr="00E076F7">
        <w:rPr>
          <w:rFonts w:eastAsia="Times New Roman"/>
          <w:noProof/>
          <w:sz w:val="20"/>
          <w:szCs w:val="20"/>
          <w:lang w:eastAsia="en-US" w:bidi="ar-EG"/>
        </w:rPr>
        <w:t>)</w:t>
      </w:r>
      <w:r w:rsidR="00F85A9C" w:rsidRPr="00E076F7">
        <w:rPr>
          <w:rFonts w:eastAsia="Times New Roman"/>
          <w:sz w:val="20"/>
          <w:szCs w:val="20"/>
          <w:lang w:eastAsia="en-US" w:bidi="ar-EG"/>
        </w:rPr>
        <w:fldChar w:fldCharType="end"/>
      </w:r>
      <w:r w:rsidRPr="00E076F7">
        <w:rPr>
          <w:rFonts w:eastAsia="Times New Roman"/>
          <w:sz w:val="20"/>
          <w:szCs w:val="20"/>
          <w:lang w:eastAsia="en-US" w:bidi="ar-EG"/>
        </w:rPr>
        <w:t>.</w:t>
      </w:r>
    </w:p>
    <w:p w:rsidR="00B32ECE" w:rsidRPr="00E076F7" w:rsidRDefault="00B32ECE" w:rsidP="00694827">
      <w:pPr>
        <w:suppressAutoHyphens w:val="0"/>
        <w:snapToGrid w:val="0"/>
        <w:ind w:firstLine="425"/>
        <w:jc w:val="both"/>
        <w:rPr>
          <w:rFonts w:eastAsia="Times New Roman"/>
          <w:sz w:val="20"/>
          <w:szCs w:val="20"/>
          <w:lang w:eastAsia="en-US" w:bidi="ar-EG"/>
        </w:rPr>
      </w:pPr>
      <w:proofErr w:type="spellStart"/>
      <w:r w:rsidRPr="00E076F7">
        <w:rPr>
          <w:rFonts w:eastAsia="Times New Roman"/>
          <w:sz w:val="20"/>
          <w:szCs w:val="20"/>
          <w:lang w:eastAsia="en-US" w:bidi="ar-EG"/>
        </w:rPr>
        <w:lastRenderedPageBreak/>
        <w:t>Transvaginal</w:t>
      </w:r>
      <w:proofErr w:type="spellEnd"/>
      <w:r w:rsidRPr="00E076F7">
        <w:rPr>
          <w:rFonts w:eastAsia="Times New Roman"/>
          <w:sz w:val="20"/>
          <w:szCs w:val="20"/>
          <w:lang w:eastAsia="en-US" w:bidi="ar-EG"/>
        </w:rPr>
        <w:t xml:space="preserve"> ultrasound (TVUS) is a technique routinely utilized for </w:t>
      </w:r>
      <w:r w:rsidR="005B5E3D" w:rsidRPr="00E076F7">
        <w:rPr>
          <w:rFonts w:eastAsia="Times New Roman"/>
          <w:sz w:val="20"/>
          <w:szCs w:val="20"/>
          <w:lang w:eastAsia="en-US" w:bidi="ar-EG"/>
        </w:rPr>
        <w:t xml:space="preserve">discriminating </w:t>
      </w:r>
      <w:r w:rsidRPr="00E076F7">
        <w:rPr>
          <w:rFonts w:eastAsia="Times New Roman"/>
          <w:sz w:val="20"/>
          <w:szCs w:val="20"/>
          <w:lang w:eastAsia="en-US" w:bidi="ar-EG"/>
        </w:rPr>
        <w:t xml:space="preserve">between the reasons for uterine </w:t>
      </w:r>
      <w:r w:rsidR="005B5E3D" w:rsidRPr="00E076F7">
        <w:rPr>
          <w:rFonts w:eastAsia="Times New Roman"/>
          <w:sz w:val="20"/>
          <w:szCs w:val="20"/>
          <w:lang w:eastAsia="en-US" w:bidi="ar-EG"/>
        </w:rPr>
        <w:t>bleeding</w:t>
      </w:r>
      <w:r w:rsidRPr="00E076F7">
        <w:rPr>
          <w:rFonts w:eastAsia="Times New Roman"/>
          <w:sz w:val="20"/>
          <w:szCs w:val="20"/>
          <w:lang w:eastAsia="en-US" w:bidi="ar-EG"/>
        </w:rPr>
        <w:t xml:space="preserve">, for example, </w:t>
      </w:r>
      <w:proofErr w:type="spellStart"/>
      <w:r w:rsidR="005B5E3D" w:rsidRPr="00E076F7">
        <w:rPr>
          <w:rFonts w:eastAsia="Times New Roman"/>
          <w:sz w:val="20"/>
          <w:szCs w:val="20"/>
          <w:lang w:eastAsia="en-US" w:bidi="ar-EG"/>
        </w:rPr>
        <w:t>Adenomyosis</w:t>
      </w:r>
      <w:proofErr w:type="spellEnd"/>
      <w:r w:rsidRPr="00E076F7">
        <w:rPr>
          <w:rFonts w:eastAsia="Times New Roman"/>
          <w:sz w:val="20"/>
          <w:szCs w:val="20"/>
          <w:lang w:eastAsia="en-US" w:bidi="ar-EG"/>
        </w:rPr>
        <w:t>, endomet</w:t>
      </w:r>
      <w:r w:rsidR="00CF31EA" w:rsidRPr="00E076F7">
        <w:rPr>
          <w:rFonts w:eastAsia="Times New Roman"/>
          <w:sz w:val="20"/>
          <w:szCs w:val="20"/>
          <w:lang w:eastAsia="en-US" w:bidi="ar-EG"/>
        </w:rPr>
        <w:t>rial polyp,</w:t>
      </w:r>
      <w:r w:rsidRPr="00E076F7">
        <w:rPr>
          <w:rFonts w:eastAsia="Times New Roman"/>
          <w:sz w:val="20"/>
          <w:szCs w:val="20"/>
          <w:lang w:eastAsia="en-US" w:bidi="ar-EG"/>
        </w:rPr>
        <w:t xml:space="preserve"> and </w:t>
      </w:r>
      <w:proofErr w:type="spellStart"/>
      <w:r w:rsidRPr="00E076F7">
        <w:rPr>
          <w:rFonts w:eastAsia="Times New Roman"/>
          <w:sz w:val="20"/>
          <w:szCs w:val="20"/>
          <w:lang w:eastAsia="en-US" w:bidi="ar-EG"/>
        </w:rPr>
        <w:t>leiomyomas</w:t>
      </w:r>
      <w:proofErr w:type="spellEnd"/>
      <w:r w:rsidRPr="00E076F7">
        <w:rPr>
          <w:rFonts w:eastAsia="Times New Roman"/>
          <w:sz w:val="20"/>
          <w:szCs w:val="20"/>
          <w:lang w:eastAsia="en-US" w:bidi="ar-EG"/>
        </w:rPr>
        <w:t xml:space="preserve">. </w:t>
      </w:r>
      <w:r w:rsidR="005B5E3D" w:rsidRPr="00E076F7">
        <w:rPr>
          <w:rFonts w:eastAsia="Times New Roman"/>
          <w:sz w:val="20"/>
          <w:szCs w:val="20"/>
          <w:lang w:eastAsia="en-US" w:bidi="ar-EG"/>
        </w:rPr>
        <w:t>However</w:t>
      </w:r>
      <w:r w:rsidRPr="00E076F7">
        <w:rPr>
          <w:rFonts w:eastAsia="Times New Roman"/>
          <w:sz w:val="20"/>
          <w:szCs w:val="20"/>
          <w:lang w:eastAsia="en-US" w:bidi="ar-EG"/>
        </w:rPr>
        <w:t xml:space="preserve">, in TVUS pictures it is hard to recognize a thickened endometrial </w:t>
      </w:r>
      <w:r w:rsidR="005B5E3D" w:rsidRPr="00E076F7">
        <w:rPr>
          <w:rFonts w:eastAsia="Times New Roman"/>
          <w:sz w:val="20"/>
          <w:szCs w:val="20"/>
          <w:lang w:eastAsia="en-US" w:bidi="ar-EG"/>
        </w:rPr>
        <w:t xml:space="preserve">lining and other diffuse or focal endometrial abnormalities </w:t>
      </w:r>
      <w:r w:rsidR="00F85A9C" w:rsidRPr="00E076F7">
        <w:rPr>
          <w:rFonts w:eastAsia="Times New Roman"/>
          <w:sz w:val="20"/>
          <w:szCs w:val="20"/>
          <w:lang w:eastAsia="en-US" w:bidi="ar-EG"/>
        </w:rPr>
        <w:fldChar w:fldCharType="begin" w:fldLock="1"/>
      </w:r>
      <w:r w:rsidR="005D0699" w:rsidRPr="00E076F7">
        <w:rPr>
          <w:rFonts w:eastAsia="Times New Roman"/>
          <w:sz w:val="20"/>
          <w:szCs w:val="20"/>
          <w:lang w:eastAsia="en-US" w:bidi="ar-EG"/>
        </w:rPr>
        <w:instrText>ADDIN CSL_CITATION {"citationItems":[{"id":"ITEM-1","itemData":{"DOI":"10.4172/2161-0932.s5:05","ISBN":"0105227404","author":[{"dropping-particle":"","family":"Maged","given":"Ahmed M","non-dropping-particle":"","parse-names":false,"suffix":""},{"dropping-particle":"","family":"Aboul Nasr","given":"Ahmed L","non-dropping-particle":"","parse-names":false,"suffix":""},{"dropping-particle":"","family":"Selem","given":"Mostafa A","non-dropping-particle":"","parse-names":false,"suffix":""},{"dropping-particle":"","family":"Gad Allah","given":"Sherine H","non-dropping-particle":"","parse-names":false,"suffix":""},{"dropping-particle":"","family":"Wali","given":"Ahmed A","non-dropping-particle":"","parse-names":false,"suffix":""}],"container-title":"Gynecology &amp; Obstetrics","id":"ITEM-1","issue":"1","issued":{"date-parts":[["2017"]]},"page":"1-7","title":"Uterine Cavity Assessment and Endometrial Hormonal Receptors in Women with Peri and Post Menopausal Bleeding","type":"article-journal","volume":"s5"},"uris":["http://www.mendeley.com/documents/?uuid=d6ca1142-6295-4406-b702-3b07cc3d6638"]}],"mendeley":{"formattedCitation":"&lt;i&gt;(&lt;b&gt;Maged et al., 2017&lt;/b&gt;)&lt;/i&gt;","plainTextFormattedCitation":"(Maged et al., 2017)","previouslyFormattedCitation":"(Maged et al. 2017)"},"properties":{"noteIndex":0},"schema":"https://github.com/citation-style-language/schema/raw/master/csl-citation.json"}</w:instrText>
      </w:r>
      <w:r w:rsidR="00F85A9C" w:rsidRPr="00E076F7">
        <w:rPr>
          <w:rFonts w:eastAsia="Times New Roman"/>
          <w:sz w:val="20"/>
          <w:szCs w:val="20"/>
          <w:lang w:eastAsia="en-US" w:bidi="ar-EG"/>
        </w:rPr>
        <w:fldChar w:fldCharType="separate"/>
      </w:r>
      <w:r w:rsidR="005D0699" w:rsidRPr="00E076F7">
        <w:rPr>
          <w:rFonts w:eastAsia="Times New Roman"/>
          <w:noProof/>
          <w:sz w:val="20"/>
          <w:szCs w:val="20"/>
          <w:lang w:eastAsia="en-US" w:bidi="ar-EG"/>
        </w:rPr>
        <w:t>(</w:t>
      </w:r>
      <w:r w:rsidR="005D0699" w:rsidRPr="00E076F7">
        <w:rPr>
          <w:rFonts w:eastAsia="Times New Roman"/>
          <w:b/>
          <w:noProof/>
          <w:sz w:val="20"/>
          <w:szCs w:val="20"/>
          <w:lang w:eastAsia="en-US" w:bidi="ar-EG"/>
        </w:rPr>
        <w:t>Maged et al., 2017</w:t>
      </w:r>
      <w:r w:rsidR="005D0699" w:rsidRPr="00E076F7">
        <w:rPr>
          <w:rFonts w:eastAsia="Times New Roman"/>
          <w:noProof/>
          <w:sz w:val="20"/>
          <w:szCs w:val="20"/>
          <w:lang w:eastAsia="en-US" w:bidi="ar-EG"/>
        </w:rPr>
        <w:t>)</w:t>
      </w:r>
      <w:r w:rsidR="00F85A9C" w:rsidRPr="00E076F7">
        <w:rPr>
          <w:rFonts w:eastAsia="Times New Roman"/>
          <w:sz w:val="20"/>
          <w:szCs w:val="20"/>
          <w:lang w:eastAsia="en-US" w:bidi="ar-EG"/>
        </w:rPr>
        <w:fldChar w:fldCharType="end"/>
      </w:r>
      <w:r w:rsidR="005B5E3D" w:rsidRPr="00E076F7">
        <w:rPr>
          <w:rFonts w:eastAsia="Times New Roman"/>
          <w:sz w:val="20"/>
          <w:szCs w:val="20"/>
          <w:lang w:eastAsia="en-US" w:bidi="ar-EG"/>
        </w:rPr>
        <w:t>.</w:t>
      </w:r>
    </w:p>
    <w:p w:rsidR="004D5908" w:rsidRPr="00E076F7" w:rsidRDefault="004D5908" w:rsidP="00694827">
      <w:pPr>
        <w:suppressAutoHyphens w:val="0"/>
        <w:snapToGrid w:val="0"/>
        <w:ind w:firstLine="425"/>
        <w:jc w:val="both"/>
        <w:rPr>
          <w:rFonts w:eastAsia="Times New Roman"/>
          <w:sz w:val="20"/>
          <w:szCs w:val="20"/>
          <w:lang w:eastAsia="en-US" w:bidi="ar-EG"/>
        </w:rPr>
      </w:pPr>
      <w:r w:rsidRPr="00E076F7">
        <w:rPr>
          <w:rFonts w:eastAsia="Times New Roman"/>
          <w:sz w:val="20"/>
          <w:szCs w:val="20"/>
          <w:lang w:eastAsia="en-US" w:bidi="ar-EG"/>
        </w:rPr>
        <w:t xml:space="preserve">An improved TVUS method is saline infused </w:t>
      </w:r>
      <w:proofErr w:type="spellStart"/>
      <w:r w:rsidRPr="00E076F7">
        <w:rPr>
          <w:rFonts w:eastAsia="Times New Roman"/>
          <w:sz w:val="20"/>
          <w:szCs w:val="20"/>
          <w:lang w:eastAsia="en-US" w:bidi="ar-EG"/>
        </w:rPr>
        <w:t>sonohysterography</w:t>
      </w:r>
      <w:proofErr w:type="spellEnd"/>
      <w:r w:rsidRPr="00E076F7">
        <w:rPr>
          <w:rFonts w:eastAsia="Times New Roman"/>
          <w:sz w:val="20"/>
          <w:szCs w:val="20"/>
          <w:lang w:eastAsia="en-US" w:bidi="ar-EG"/>
        </w:rPr>
        <w:t xml:space="preserve"> (SIS) which </w:t>
      </w:r>
      <w:r w:rsidR="004F5052" w:rsidRPr="00E076F7">
        <w:rPr>
          <w:rFonts w:eastAsia="Times New Roman"/>
          <w:sz w:val="20"/>
          <w:szCs w:val="20"/>
          <w:lang w:eastAsia="en-US" w:bidi="ar-EG"/>
        </w:rPr>
        <w:t xml:space="preserve">enables uterine anomalies </w:t>
      </w:r>
      <w:r w:rsidRPr="00E076F7">
        <w:rPr>
          <w:rFonts w:eastAsia="Times New Roman"/>
          <w:sz w:val="20"/>
          <w:szCs w:val="20"/>
          <w:lang w:eastAsia="en-US" w:bidi="ar-EG"/>
        </w:rPr>
        <w:t xml:space="preserve">to be seen more clearly by pushing apart the walls of the uterine cavity with saline infused into the cavity </w:t>
      </w:r>
      <w:r w:rsidR="00F85A9C" w:rsidRPr="00E076F7">
        <w:rPr>
          <w:rFonts w:eastAsia="Times New Roman"/>
          <w:sz w:val="20"/>
          <w:szCs w:val="20"/>
          <w:lang w:eastAsia="en-US" w:bidi="ar-EG"/>
        </w:rPr>
        <w:fldChar w:fldCharType="begin" w:fldLock="1"/>
      </w:r>
      <w:r w:rsidR="005D0699" w:rsidRPr="00E076F7">
        <w:rPr>
          <w:rFonts w:eastAsia="Times New Roman"/>
          <w:sz w:val="20"/>
          <w:szCs w:val="20"/>
          <w:lang w:eastAsia="en-US" w:bidi="ar-EG"/>
        </w:rPr>
        <w:instrText>ADDIN CSL_CITATION {"citationItems":[{"id":"ITEM-1","itemData":{"DOI":"10.4172/2161-0932.s5:05","ISBN":"0105227404","author":[{"dropping-particle":"","family":"Maged","given":"Ahmed M","non-dropping-particle":"","parse-names":false,"suffix":""},{"dropping-particle":"","family":"Aboul Nasr","given":"Ahmed L","non-dropping-particle":"","parse-names":false,"suffix":""},{"dropping-particle":"","family":"Selem","given":"Mostafa A","non-dropping-particle":"","parse-names":false,"suffix":""},{"dropping-particle":"","family":"Gad Allah","given":"Sherine H","non-dropping-particle":"","parse-names":false,"suffix":""},{"dropping-particle":"","family":"Wali","given":"Ahmed A","non-dropping-particle":"","parse-names":false,"suffix":""}],"container-title":"Gynecology &amp; Obstetrics","id":"ITEM-1","issue":"1","issued":{"date-parts":[["2017"]]},"page":"1-7","title":"Uterine Cavity Assessment and Endometrial Hormonal Receptors in Women with Peri and Post Menopausal Bleeding","type":"article-journal","volume":"s5"},"uris":["http://www.mendeley.com/documents/?uuid=d6ca1142-6295-4406-b702-3b07cc3d6638"]}],"mendeley":{"formattedCitation":"&lt;i&gt;(&lt;b&gt;Maged et al., 2017&lt;/b&gt;)&lt;/i&gt;","plainTextFormattedCitation":"(Maged et al., 2017)","previouslyFormattedCitation":"(Maged et al. 2017)"},"properties":{"noteIndex":0},"schema":"https://github.com/citation-style-language/schema/raw/master/csl-citation.json"}</w:instrText>
      </w:r>
      <w:r w:rsidR="00F85A9C" w:rsidRPr="00E076F7">
        <w:rPr>
          <w:rFonts w:eastAsia="Times New Roman"/>
          <w:sz w:val="20"/>
          <w:szCs w:val="20"/>
          <w:lang w:eastAsia="en-US" w:bidi="ar-EG"/>
        </w:rPr>
        <w:fldChar w:fldCharType="separate"/>
      </w:r>
      <w:r w:rsidR="005D0699" w:rsidRPr="00E076F7">
        <w:rPr>
          <w:rFonts w:eastAsia="Times New Roman"/>
          <w:noProof/>
          <w:sz w:val="20"/>
          <w:szCs w:val="20"/>
          <w:lang w:eastAsia="en-US" w:bidi="ar-EG"/>
        </w:rPr>
        <w:t>(</w:t>
      </w:r>
      <w:r w:rsidR="005D0699" w:rsidRPr="00E076F7">
        <w:rPr>
          <w:rFonts w:eastAsia="Times New Roman"/>
          <w:b/>
          <w:noProof/>
          <w:sz w:val="20"/>
          <w:szCs w:val="20"/>
          <w:lang w:eastAsia="en-US" w:bidi="ar-EG"/>
        </w:rPr>
        <w:t>Maged et al., 2017</w:t>
      </w:r>
      <w:r w:rsidR="005D0699" w:rsidRPr="00E076F7">
        <w:rPr>
          <w:rFonts w:eastAsia="Times New Roman"/>
          <w:noProof/>
          <w:sz w:val="20"/>
          <w:szCs w:val="20"/>
          <w:lang w:eastAsia="en-US" w:bidi="ar-EG"/>
        </w:rPr>
        <w:t>)</w:t>
      </w:r>
      <w:r w:rsidR="00F85A9C" w:rsidRPr="00E076F7">
        <w:rPr>
          <w:rFonts w:eastAsia="Times New Roman"/>
          <w:sz w:val="20"/>
          <w:szCs w:val="20"/>
          <w:lang w:eastAsia="en-US" w:bidi="ar-EG"/>
        </w:rPr>
        <w:fldChar w:fldCharType="end"/>
      </w:r>
      <w:r w:rsidR="004F5052" w:rsidRPr="00E076F7">
        <w:rPr>
          <w:rFonts w:eastAsia="Times New Roman"/>
          <w:sz w:val="20"/>
          <w:szCs w:val="20"/>
          <w:lang w:eastAsia="en-US" w:bidi="ar-EG"/>
        </w:rPr>
        <w:t>.</w:t>
      </w:r>
    </w:p>
    <w:p w:rsidR="004D5908" w:rsidRPr="00E076F7" w:rsidRDefault="004D5908" w:rsidP="00694827">
      <w:pPr>
        <w:suppressAutoHyphens w:val="0"/>
        <w:snapToGrid w:val="0"/>
        <w:ind w:firstLine="425"/>
        <w:jc w:val="both"/>
        <w:rPr>
          <w:rFonts w:eastAsia="Times New Roman"/>
          <w:sz w:val="20"/>
          <w:szCs w:val="20"/>
          <w:lang w:eastAsia="en-US" w:bidi="ar-EG"/>
        </w:rPr>
      </w:pPr>
      <w:r w:rsidRPr="00E076F7">
        <w:rPr>
          <w:rFonts w:eastAsia="Times New Roman"/>
          <w:sz w:val="20"/>
          <w:szCs w:val="20"/>
          <w:lang w:eastAsia="en-US" w:bidi="ar-EG"/>
        </w:rPr>
        <w:t xml:space="preserve">Hysteroscopy with biopsy has become the gold standard for evaluation of the uterine cavity, as a reliable and safe method in routine outpatient settings. </w:t>
      </w:r>
      <w:proofErr w:type="spellStart"/>
      <w:r w:rsidRPr="00E076F7">
        <w:rPr>
          <w:rFonts w:eastAsia="Times New Roman"/>
          <w:sz w:val="20"/>
          <w:szCs w:val="20"/>
          <w:lang w:eastAsia="en-US" w:bidi="ar-EG"/>
        </w:rPr>
        <w:t>Transvaginal</w:t>
      </w:r>
      <w:proofErr w:type="spellEnd"/>
      <w:r w:rsidRPr="00E076F7">
        <w:rPr>
          <w:rFonts w:eastAsia="Times New Roman"/>
          <w:sz w:val="20"/>
          <w:szCs w:val="20"/>
          <w:lang w:eastAsia="en-US" w:bidi="ar-EG"/>
        </w:rPr>
        <w:t xml:space="preserve"> </w:t>
      </w:r>
      <w:proofErr w:type="spellStart"/>
      <w:r w:rsidRPr="00E076F7">
        <w:rPr>
          <w:rFonts w:eastAsia="Times New Roman"/>
          <w:sz w:val="20"/>
          <w:szCs w:val="20"/>
          <w:lang w:eastAsia="en-US" w:bidi="ar-EG"/>
        </w:rPr>
        <w:t>sonography</w:t>
      </w:r>
      <w:proofErr w:type="spellEnd"/>
      <w:r w:rsidRPr="00E076F7">
        <w:rPr>
          <w:rFonts w:eastAsia="Times New Roman"/>
          <w:sz w:val="20"/>
          <w:szCs w:val="20"/>
          <w:lang w:eastAsia="en-US" w:bidi="ar-EG"/>
        </w:rPr>
        <w:t xml:space="preserve"> (TVS) is an alternative non-invasive method that is commonly used for examination of the </w:t>
      </w:r>
      <w:proofErr w:type="spellStart"/>
      <w:r w:rsidRPr="00E076F7">
        <w:rPr>
          <w:rFonts w:eastAsia="Times New Roman"/>
          <w:sz w:val="20"/>
          <w:szCs w:val="20"/>
          <w:lang w:eastAsia="en-US" w:bidi="ar-EG"/>
        </w:rPr>
        <w:t>endometrium</w:t>
      </w:r>
      <w:proofErr w:type="spellEnd"/>
      <w:r w:rsidRPr="00E076F7">
        <w:rPr>
          <w:rFonts w:eastAsia="Times New Roman"/>
          <w:sz w:val="20"/>
          <w:szCs w:val="20"/>
          <w:lang w:eastAsia="en-US" w:bidi="ar-EG"/>
        </w:rPr>
        <w:t xml:space="preserve"> and uterine cavity in postmenopausal patients. In pre- and postmenopausal patients with abnormal bleeding, the diagnostic potential of TVS in experienced hands has been found to be in line with that of hysteroscopy, but not when less experienced oper</w:t>
      </w:r>
      <w:r w:rsidR="004A31C7" w:rsidRPr="00E076F7">
        <w:rPr>
          <w:rFonts w:eastAsia="Times New Roman"/>
          <w:sz w:val="20"/>
          <w:szCs w:val="20"/>
          <w:lang w:eastAsia="en-US" w:bidi="ar-EG"/>
        </w:rPr>
        <w:t>ators performed the examination</w:t>
      </w:r>
      <w:r w:rsidR="00F85A9C" w:rsidRPr="00E076F7">
        <w:rPr>
          <w:rFonts w:eastAsia="Times New Roman"/>
          <w:sz w:val="20"/>
          <w:szCs w:val="20"/>
          <w:lang w:eastAsia="en-US" w:bidi="ar-EG"/>
        </w:rPr>
        <w:fldChar w:fldCharType="begin" w:fldLock="1"/>
      </w:r>
      <w:r w:rsidR="005D0699" w:rsidRPr="00E076F7">
        <w:rPr>
          <w:rFonts w:eastAsia="Times New Roman"/>
          <w:sz w:val="20"/>
          <w:szCs w:val="20"/>
          <w:lang w:eastAsia="en-US" w:bidi="ar-EG"/>
        </w:rPr>
        <w:instrText>ADDIN CSL_CITATION {"citationItems":[{"id":"ITEM-1","itemData":{"DOI":"10.1111/tog.12150","ISSN":"14672561","author":[{"dropping-particle":"","family":"Otify","given":"Mohamed","non-dropping-particle":"","parse-names":false,"suffix":""},{"dropping-particle":"","family":"Fuller","given":"Joanna","non-dropping-particle":"","parse-names":false,"suffix":""},{"dropping-particle":"","family":"Ross","given":"Jackie","non-dropping-particle":"","parse-names":false,"suffix":""},{"dropping-particle":"","family":"Shaikh","given":"Hizbullah","non-dropping-particle":"","parse-names":false,"suffix":""},{"dropping-particle":"","family":"Johns","given":"Jemma","non-dropping-particle":"","parse-names":false,"suffix":""}],"container-title":"The Obstetrician &amp; Gynaecologist","id":"ITEM-1","issue":"1","issued":{"date-parts":[["2015","1","1"]]},"page":"29-38","publisher":"John Wiley &amp; Sons, Ltd (10.1111)","title":"Endometrial pathology in the postmenopausal woman - an evidence based approach to management","type":"article-journal","volume":"17"},"uris":["http://www.mendeley.com/documents/?uuid=8755ee89-aacc-3060-949d-9fc9c934d2f6"]}],"mendeley":{"formattedCitation":"&lt;i&gt;(&lt;b&gt;Otify et al., 2015&lt;/b&gt;)&lt;/i&gt;","plainTextFormattedCitation":"(Otify et al., 2015)","previouslyFormattedCitation":"(Otify et al. 2015)"},"properties":{"noteIndex":0},"schema":"https://github.com/citation-style-language/schema/raw/master/csl-citation.json"}</w:instrText>
      </w:r>
      <w:r w:rsidR="00F85A9C" w:rsidRPr="00E076F7">
        <w:rPr>
          <w:rFonts w:eastAsia="Times New Roman"/>
          <w:sz w:val="20"/>
          <w:szCs w:val="20"/>
          <w:lang w:eastAsia="en-US" w:bidi="ar-EG"/>
        </w:rPr>
        <w:fldChar w:fldCharType="separate"/>
      </w:r>
      <w:r w:rsidR="005D0699" w:rsidRPr="00E076F7">
        <w:rPr>
          <w:rFonts w:eastAsia="Times New Roman"/>
          <w:noProof/>
          <w:sz w:val="20"/>
          <w:szCs w:val="20"/>
          <w:lang w:eastAsia="en-US" w:bidi="ar-EG"/>
        </w:rPr>
        <w:t>(</w:t>
      </w:r>
      <w:proofErr w:type="spellStart"/>
      <w:r w:rsidR="005D0699" w:rsidRPr="00E076F7">
        <w:rPr>
          <w:rFonts w:eastAsia="Times New Roman"/>
          <w:b/>
          <w:noProof/>
          <w:sz w:val="20"/>
          <w:szCs w:val="20"/>
          <w:lang w:eastAsia="en-US" w:bidi="ar-EG"/>
        </w:rPr>
        <w:t>Otify</w:t>
      </w:r>
      <w:proofErr w:type="spellEnd"/>
      <w:r w:rsidR="005D0699" w:rsidRPr="00E076F7">
        <w:rPr>
          <w:rFonts w:eastAsia="Times New Roman"/>
          <w:b/>
          <w:noProof/>
          <w:sz w:val="20"/>
          <w:szCs w:val="20"/>
          <w:lang w:eastAsia="en-US" w:bidi="ar-EG"/>
        </w:rPr>
        <w:t xml:space="preserve"> et al., 2015</w:t>
      </w:r>
      <w:r w:rsidR="005D0699" w:rsidRPr="00E076F7">
        <w:rPr>
          <w:rFonts w:eastAsia="Times New Roman"/>
          <w:noProof/>
          <w:sz w:val="20"/>
          <w:szCs w:val="20"/>
          <w:lang w:eastAsia="en-US" w:bidi="ar-EG"/>
        </w:rPr>
        <w:t>)</w:t>
      </w:r>
      <w:r w:rsidR="00F85A9C" w:rsidRPr="00E076F7">
        <w:rPr>
          <w:rFonts w:eastAsia="Times New Roman"/>
          <w:sz w:val="20"/>
          <w:szCs w:val="20"/>
          <w:lang w:eastAsia="en-US" w:bidi="ar-EG"/>
        </w:rPr>
        <w:fldChar w:fldCharType="end"/>
      </w:r>
      <w:r w:rsidR="004A31C7" w:rsidRPr="00E076F7">
        <w:rPr>
          <w:rFonts w:eastAsia="Times New Roman"/>
          <w:sz w:val="20"/>
          <w:szCs w:val="20"/>
          <w:lang w:eastAsia="en-US" w:bidi="ar-EG"/>
        </w:rPr>
        <w:t>.</w:t>
      </w:r>
    </w:p>
    <w:p w:rsidR="00EB51F4" w:rsidRPr="00E076F7" w:rsidRDefault="00471E57" w:rsidP="00694827">
      <w:pPr>
        <w:suppressAutoHyphens w:val="0"/>
        <w:snapToGrid w:val="0"/>
        <w:ind w:firstLine="425"/>
        <w:jc w:val="both"/>
        <w:rPr>
          <w:sz w:val="20"/>
          <w:szCs w:val="20"/>
        </w:rPr>
      </w:pPr>
      <w:r w:rsidRPr="00E076F7">
        <w:rPr>
          <w:sz w:val="20"/>
          <w:szCs w:val="20"/>
        </w:rPr>
        <w:t>In the present study</w:t>
      </w:r>
      <w:r w:rsidR="00CF31EA" w:rsidRPr="00E076F7">
        <w:rPr>
          <w:sz w:val="20"/>
          <w:szCs w:val="20"/>
        </w:rPr>
        <w:t>,</w:t>
      </w:r>
      <w:r w:rsidRPr="00E076F7">
        <w:rPr>
          <w:sz w:val="20"/>
          <w:szCs w:val="20"/>
        </w:rPr>
        <w:t xml:space="preserve"> we </w:t>
      </w:r>
      <w:r w:rsidR="004A31C7" w:rsidRPr="00E076F7">
        <w:rPr>
          <w:sz w:val="20"/>
          <w:szCs w:val="20"/>
        </w:rPr>
        <w:t xml:space="preserve">aimed to compare hysteroscopy, </w:t>
      </w:r>
      <w:proofErr w:type="spellStart"/>
      <w:r w:rsidR="004A31C7" w:rsidRPr="00E076F7">
        <w:rPr>
          <w:sz w:val="20"/>
          <w:szCs w:val="20"/>
        </w:rPr>
        <w:t>transvaginal</w:t>
      </w:r>
      <w:proofErr w:type="spellEnd"/>
      <w:r w:rsidR="004A31C7" w:rsidRPr="00E076F7">
        <w:rPr>
          <w:sz w:val="20"/>
          <w:szCs w:val="20"/>
        </w:rPr>
        <w:t xml:space="preserve"> </w:t>
      </w:r>
      <w:proofErr w:type="spellStart"/>
      <w:r w:rsidR="004A31C7" w:rsidRPr="00E076F7">
        <w:rPr>
          <w:sz w:val="20"/>
          <w:szCs w:val="20"/>
        </w:rPr>
        <w:t>sonography</w:t>
      </w:r>
      <w:proofErr w:type="spellEnd"/>
      <w:r w:rsidR="00CF31EA" w:rsidRPr="00E076F7">
        <w:rPr>
          <w:sz w:val="20"/>
          <w:szCs w:val="20"/>
        </w:rPr>
        <w:t>,</w:t>
      </w:r>
      <w:r w:rsidR="004A31C7" w:rsidRPr="00E076F7">
        <w:rPr>
          <w:sz w:val="20"/>
          <w:szCs w:val="20"/>
        </w:rPr>
        <w:t xml:space="preserve"> and saline infusion </w:t>
      </w:r>
      <w:proofErr w:type="spellStart"/>
      <w:r w:rsidR="004A31C7" w:rsidRPr="00E076F7">
        <w:rPr>
          <w:sz w:val="20"/>
          <w:szCs w:val="20"/>
        </w:rPr>
        <w:t>sonography</w:t>
      </w:r>
      <w:proofErr w:type="spellEnd"/>
      <w:r w:rsidR="004A31C7" w:rsidRPr="00E076F7">
        <w:rPr>
          <w:sz w:val="20"/>
          <w:szCs w:val="20"/>
        </w:rPr>
        <w:t xml:space="preserve"> with endometrial samples in </w:t>
      </w:r>
      <w:r w:rsidR="00CF31EA" w:rsidRPr="00E076F7">
        <w:rPr>
          <w:sz w:val="20"/>
          <w:szCs w:val="20"/>
        </w:rPr>
        <w:t xml:space="preserve">the </w:t>
      </w:r>
      <w:r w:rsidR="004A31C7" w:rsidRPr="00E076F7">
        <w:rPr>
          <w:sz w:val="20"/>
          <w:szCs w:val="20"/>
        </w:rPr>
        <w:lastRenderedPageBreak/>
        <w:t>detection of endometrial pathology in women with postmenopausal bleeding and to know the most sensitive method in diagnosis.</w:t>
      </w:r>
    </w:p>
    <w:p w:rsidR="00CE2E0E" w:rsidRPr="00E076F7" w:rsidRDefault="00CE2E0E" w:rsidP="00694827">
      <w:pPr>
        <w:suppressAutoHyphens w:val="0"/>
        <w:snapToGrid w:val="0"/>
        <w:jc w:val="both"/>
        <w:rPr>
          <w:b/>
          <w:sz w:val="20"/>
          <w:szCs w:val="20"/>
        </w:rPr>
      </w:pPr>
    </w:p>
    <w:p w:rsidR="00471E57" w:rsidRPr="00E076F7" w:rsidRDefault="00471E57" w:rsidP="00694827">
      <w:pPr>
        <w:suppressAutoHyphens w:val="0"/>
        <w:snapToGrid w:val="0"/>
        <w:jc w:val="both"/>
        <w:rPr>
          <w:b/>
          <w:sz w:val="20"/>
          <w:szCs w:val="20"/>
        </w:rPr>
      </w:pPr>
      <w:r w:rsidRPr="00E076F7">
        <w:rPr>
          <w:b/>
          <w:sz w:val="20"/>
          <w:szCs w:val="20"/>
        </w:rPr>
        <w:t xml:space="preserve">2. Material and Methods </w:t>
      </w:r>
    </w:p>
    <w:p w:rsidR="00E01F17" w:rsidRPr="00E076F7" w:rsidRDefault="00DB3EA2" w:rsidP="00694827">
      <w:pPr>
        <w:suppressAutoHyphens w:val="0"/>
        <w:snapToGrid w:val="0"/>
        <w:ind w:firstLine="425"/>
        <w:jc w:val="both"/>
        <w:rPr>
          <w:rFonts w:eastAsia="Times New Roman"/>
          <w:sz w:val="20"/>
          <w:szCs w:val="20"/>
          <w:lang w:eastAsia="en-US"/>
        </w:rPr>
      </w:pPr>
      <w:r w:rsidRPr="00E076F7">
        <w:rPr>
          <w:b/>
          <w:bCs/>
          <w:sz w:val="20"/>
          <w:szCs w:val="20"/>
        </w:rPr>
        <w:t>Settings:</w:t>
      </w:r>
      <w:r w:rsidRPr="00E076F7">
        <w:rPr>
          <w:rFonts w:eastAsia="Times New Roman"/>
          <w:sz w:val="20"/>
          <w:szCs w:val="20"/>
          <w:lang w:eastAsia="en-US"/>
        </w:rPr>
        <w:t xml:space="preserve"> </w:t>
      </w:r>
      <w:r w:rsidR="00E01F17" w:rsidRPr="00E076F7">
        <w:rPr>
          <w:rFonts w:eastAsia="Times New Roman"/>
          <w:sz w:val="20"/>
          <w:szCs w:val="20"/>
          <w:lang w:eastAsia="en-US"/>
        </w:rPr>
        <w:t xml:space="preserve">A prospective, comparative study included 100 patients with postmenopausal bleeding attending </w:t>
      </w:r>
      <w:r w:rsidR="00CF31EA" w:rsidRPr="00E076F7">
        <w:rPr>
          <w:rFonts w:eastAsia="Times New Roman"/>
          <w:sz w:val="20"/>
          <w:szCs w:val="20"/>
          <w:lang w:eastAsia="en-US"/>
        </w:rPr>
        <w:t xml:space="preserve">the </w:t>
      </w:r>
      <w:r w:rsidR="00E01F17" w:rsidRPr="00E076F7">
        <w:rPr>
          <w:rFonts w:eastAsia="Times New Roman"/>
          <w:sz w:val="20"/>
          <w:szCs w:val="20"/>
          <w:lang w:eastAsia="en-US"/>
        </w:rPr>
        <w:t xml:space="preserve">outpatient clinic in Obstetrics and Gynecology Department in Al-Hussein university hospital and some private hospitals in </w:t>
      </w:r>
      <w:proofErr w:type="spellStart"/>
      <w:r w:rsidR="00E01F17" w:rsidRPr="00E076F7">
        <w:rPr>
          <w:rFonts w:eastAsia="Times New Roman"/>
          <w:sz w:val="20"/>
          <w:szCs w:val="20"/>
          <w:lang w:eastAsia="en-US"/>
        </w:rPr>
        <w:t>Mansoura</w:t>
      </w:r>
      <w:proofErr w:type="spellEnd"/>
      <w:r w:rsidR="00E01F17" w:rsidRPr="00E076F7">
        <w:rPr>
          <w:rFonts w:eastAsia="Times New Roman"/>
          <w:sz w:val="20"/>
          <w:szCs w:val="20"/>
          <w:lang w:eastAsia="en-US"/>
        </w:rPr>
        <w:t xml:space="preserve"> during the period from January 2017 to January 2018.</w:t>
      </w:r>
    </w:p>
    <w:p w:rsidR="00EF4D35" w:rsidRPr="00E076F7" w:rsidRDefault="00DB3EA2" w:rsidP="00694827">
      <w:pPr>
        <w:suppressAutoHyphens w:val="0"/>
        <w:snapToGrid w:val="0"/>
        <w:ind w:firstLine="425"/>
        <w:jc w:val="both"/>
        <w:rPr>
          <w:b/>
          <w:bCs/>
          <w:sz w:val="20"/>
          <w:szCs w:val="20"/>
        </w:rPr>
      </w:pPr>
      <w:r w:rsidRPr="00E076F7">
        <w:rPr>
          <w:b/>
          <w:bCs/>
          <w:sz w:val="20"/>
          <w:szCs w:val="20"/>
        </w:rPr>
        <w:t>Selection Criteria:</w:t>
      </w:r>
      <w:r w:rsidRPr="00E076F7">
        <w:rPr>
          <w:sz w:val="20"/>
          <w:szCs w:val="20"/>
        </w:rPr>
        <w:t xml:space="preserve"> </w:t>
      </w:r>
      <w:r w:rsidR="00E01F17" w:rsidRPr="00E076F7">
        <w:rPr>
          <w:rFonts w:eastAsia="Times New Roman"/>
          <w:sz w:val="20"/>
          <w:szCs w:val="20"/>
          <w:lang w:eastAsia="en-US"/>
        </w:rPr>
        <w:t>Postmenopausal women who presented with vaginal bleeding were included in our study and A written consent was taken for each participant in the study. While cases with uterine bleedin</w:t>
      </w:r>
      <w:r w:rsidR="00CF31EA" w:rsidRPr="00E076F7">
        <w:rPr>
          <w:rFonts w:eastAsia="Times New Roman"/>
          <w:sz w:val="20"/>
          <w:szCs w:val="20"/>
          <w:lang w:eastAsia="en-US"/>
        </w:rPr>
        <w:t xml:space="preserve">g due to systemic disorder, any </w:t>
      </w:r>
      <w:r w:rsidR="00E01F17" w:rsidRPr="00E076F7">
        <w:rPr>
          <w:rFonts w:eastAsia="Times New Roman"/>
          <w:sz w:val="20"/>
          <w:szCs w:val="20"/>
          <w:lang w:eastAsia="en-US"/>
        </w:rPr>
        <w:t>drug</w:t>
      </w:r>
      <w:r w:rsidR="00CF31EA" w:rsidRPr="00E076F7">
        <w:rPr>
          <w:rFonts w:eastAsia="Times New Roman"/>
          <w:sz w:val="20"/>
          <w:szCs w:val="20"/>
          <w:lang w:eastAsia="en-US"/>
        </w:rPr>
        <w:t>-</w:t>
      </w:r>
      <w:r w:rsidR="00E01F17" w:rsidRPr="00E076F7">
        <w:rPr>
          <w:rFonts w:eastAsia="Times New Roman"/>
          <w:sz w:val="20"/>
          <w:szCs w:val="20"/>
          <w:lang w:eastAsia="en-US"/>
        </w:rPr>
        <w:t xml:space="preserve">induced bleeding, women with pre or </w:t>
      </w:r>
      <w:proofErr w:type="spellStart"/>
      <w:r w:rsidR="00E01F17" w:rsidRPr="00E076F7">
        <w:rPr>
          <w:rFonts w:eastAsia="Times New Roman"/>
          <w:sz w:val="20"/>
          <w:szCs w:val="20"/>
          <w:lang w:eastAsia="en-US"/>
        </w:rPr>
        <w:t>perimenopausal</w:t>
      </w:r>
      <w:proofErr w:type="spellEnd"/>
      <w:r w:rsidR="00E01F17" w:rsidRPr="00E076F7">
        <w:rPr>
          <w:rFonts w:eastAsia="Times New Roman"/>
          <w:sz w:val="20"/>
          <w:szCs w:val="20"/>
          <w:lang w:eastAsia="en-US"/>
        </w:rPr>
        <w:t xml:space="preserve"> bleeding and Bleeding in </w:t>
      </w:r>
      <w:r w:rsidR="00CF31EA" w:rsidRPr="00E076F7">
        <w:rPr>
          <w:rFonts w:eastAsia="Times New Roman"/>
          <w:sz w:val="20"/>
          <w:szCs w:val="20"/>
          <w:lang w:eastAsia="en-US"/>
        </w:rPr>
        <w:t xml:space="preserve">the </w:t>
      </w:r>
      <w:r w:rsidR="00E01F17" w:rsidRPr="00E076F7">
        <w:rPr>
          <w:rFonts w:eastAsia="Times New Roman"/>
          <w:sz w:val="20"/>
          <w:szCs w:val="20"/>
          <w:lang w:eastAsia="en-US"/>
        </w:rPr>
        <w:t>childbearing period were excluded.</w:t>
      </w:r>
      <w:r w:rsidR="00EF4D35" w:rsidRPr="00E076F7">
        <w:rPr>
          <w:sz w:val="20"/>
          <w:szCs w:val="20"/>
        </w:rPr>
        <w:t xml:space="preserve"> </w:t>
      </w:r>
    </w:p>
    <w:p w:rsidR="00402F79" w:rsidRPr="00E076F7" w:rsidRDefault="00402F79" w:rsidP="00694827">
      <w:pPr>
        <w:suppressAutoHyphens w:val="0"/>
        <w:snapToGrid w:val="0"/>
        <w:ind w:firstLine="425"/>
        <w:jc w:val="both"/>
        <w:rPr>
          <w:b/>
          <w:bCs/>
          <w:sz w:val="20"/>
          <w:szCs w:val="20"/>
        </w:rPr>
      </w:pPr>
      <w:r w:rsidRPr="00E076F7">
        <w:rPr>
          <w:b/>
          <w:bCs/>
          <w:sz w:val="20"/>
          <w:szCs w:val="20"/>
        </w:rPr>
        <w:t>Ethical consideration:</w:t>
      </w:r>
      <w:r w:rsidRPr="00E076F7">
        <w:rPr>
          <w:sz w:val="20"/>
          <w:szCs w:val="20"/>
        </w:rPr>
        <w:t xml:space="preserve"> Agreement for this study </w:t>
      </w:r>
      <w:r w:rsidRPr="00E076F7">
        <w:rPr>
          <w:sz w:val="20"/>
          <w:szCs w:val="20"/>
          <w:lang w:eastAsia="zh-CN"/>
        </w:rPr>
        <w:t>was obtained</w:t>
      </w:r>
      <w:r w:rsidRPr="00E076F7">
        <w:rPr>
          <w:sz w:val="20"/>
          <w:szCs w:val="20"/>
        </w:rPr>
        <w:t xml:space="preserve"> from the hospital's ethical committee</w:t>
      </w:r>
      <w:r w:rsidRPr="00E076F7">
        <w:rPr>
          <w:noProof/>
          <w:sz w:val="20"/>
          <w:szCs w:val="20"/>
        </w:rPr>
        <w:t>, and</w:t>
      </w:r>
      <w:r w:rsidRPr="00E076F7">
        <w:rPr>
          <w:sz w:val="20"/>
          <w:szCs w:val="20"/>
        </w:rPr>
        <w:t xml:space="preserve"> an informed oral and written consent w</w:t>
      </w:r>
      <w:r w:rsidR="00CF31EA" w:rsidRPr="00E076F7">
        <w:rPr>
          <w:sz w:val="20"/>
          <w:szCs w:val="20"/>
        </w:rPr>
        <w:t>as</w:t>
      </w:r>
      <w:r w:rsidRPr="00E076F7">
        <w:rPr>
          <w:sz w:val="20"/>
          <w:szCs w:val="20"/>
        </w:rPr>
        <w:t xml:space="preserve"> taken from all patients included in the </w:t>
      </w:r>
      <w:r w:rsidRPr="00E076F7">
        <w:rPr>
          <w:noProof/>
          <w:sz w:val="20"/>
          <w:szCs w:val="20"/>
        </w:rPr>
        <w:t>study</w:t>
      </w:r>
      <w:r w:rsidRPr="00E076F7">
        <w:rPr>
          <w:sz w:val="20"/>
          <w:szCs w:val="20"/>
        </w:rPr>
        <w:t xml:space="preserve"> after a very clear explanation of both procedure, adequate providing of information about the study necessities, </w:t>
      </w:r>
      <w:r w:rsidRPr="00E076F7">
        <w:rPr>
          <w:sz w:val="20"/>
          <w:szCs w:val="20"/>
          <w:lang w:eastAsia="zh-CN"/>
        </w:rPr>
        <w:t>purpose,</w:t>
      </w:r>
      <w:r w:rsidRPr="00E076F7">
        <w:rPr>
          <w:sz w:val="20"/>
          <w:szCs w:val="20"/>
        </w:rPr>
        <w:t xml:space="preserve"> </w:t>
      </w:r>
      <w:r w:rsidRPr="00E076F7">
        <w:rPr>
          <w:noProof/>
          <w:sz w:val="20"/>
          <w:szCs w:val="20"/>
        </w:rPr>
        <w:t>and</w:t>
      </w:r>
      <w:r w:rsidRPr="00E076F7">
        <w:rPr>
          <w:sz w:val="20"/>
          <w:szCs w:val="20"/>
        </w:rPr>
        <w:t xml:space="preserve"> dangers.</w:t>
      </w:r>
    </w:p>
    <w:p w:rsidR="006E27E6" w:rsidRPr="00E076F7" w:rsidRDefault="00434640" w:rsidP="00694827">
      <w:pPr>
        <w:suppressAutoHyphens w:val="0"/>
        <w:snapToGrid w:val="0"/>
        <w:ind w:firstLine="425"/>
        <w:jc w:val="both"/>
        <w:rPr>
          <w:b/>
          <w:bCs/>
          <w:sz w:val="20"/>
          <w:szCs w:val="20"/>
        </w:rPr>
      </w:pPr>
      <w:r w:rsidRPr="00E076F7">
        <w:rPr>
          <w:b/>
          <w:bCs/>
          <w:sz w:val="20"/>
          <w:szCs w:val="20"/>
        </w:rPr>
        <w:t xml:space="preserve">Procedures: </w:t>
      </w:r>
      <w:r w:rsidR="006E27E6" w:rsidRPr="00E076F7">
        <w:rPr>
          <w:sz w:val="20"/>
          <w:szCs w:val="20"/>
        </w:rPr>
        <w:t>After taking consent from each patient, all the patients were subjected to the following:</w:t>
      </w:r>
    </w:p>
    <w:p w:rsidR="006E27E6" w:rsidRPr="00E076F7" w:rsidRDefault="006E27E6" w:rsidP="00694827">
      <w:pPr>
        <w:suppressAutoHyphens w:val="0"/>
        <w:snapToGrid w:val="0"/>
        <w:ind w:firstLine="425"/>
        <w:jc w:val="both"/>
        <w:rPr>
          <w:b/>
          <w:bCs/>
          <w:sz w:val="20"/>
          <w:szCs w:val="20"/>
        </w:rPr>
      </w:pPr>
      <w:r w:rsidRPr="00E076F7">
        <w:rPr>
          <w:b/>
          <w:bCs/>
          <w:sz w:val="20"/>
          <w:szCs w:val="20"/>
        </w:rPr>
        <w:t>1. Full history taking:</w:t>
      </w:r>
      <w:r w:rsidRPr="00E076F7">
        <w:rPr>
          <w:sz w:val="20"/>
          <w:szCs w:val="20"/>
        </w:rPr>
        <w:t xml:space="preserve"> Full detailed medical history was taken from each subject stressing on; </w:t>
      </w:r>
      <w:r w:rsidRPr="00E076F7">
        <w:rPr>
          <w:sz w:val="20"/>
          <w:szCs w:val="20"/>
          <w:lang w:bidi="en-US"/>
        </w:rPr>
        <w:t>Present history of bleeding, Previous menstrual history and Past history of hormonal treatment, hormonal contraception, use of IUD (intra-uterine device), previous hysteroscopy or fractional curettage.</w:t>
      </w:r>
    </w:p>
    <w:p w:rsidR="006E27E6" w:rsidRPr="00E076F7" w:rsidRDefault="006E27E6" w:rsidP="00694827">
      <w:pPr>
        <w:suppressAutoHyphens w:val="0"/>
        <w:snapToGrid w:val="0"/>
        <w:ind w:firstLine="425"/>
        <w:jc w:val="both"/>
        <w:rPr>
          <w:b/>
          <w:bCs/>
          <w:sz w:val="20"/>
          <w:szCs w:val="20"/>
        </w:rPr>
      </w:pPr>
      <w:r w:rsidRPr="00E076F7">
        <w:rPr>
          <w:b/>
          <w:bCs/>
          <w:sz w:val="20"/>
          <w:szCs w:val="20"/>
        </w:rPr>
        <w:t>2. Systemic clinical examination:</w:t>
      </w:r>
      <w:r w:rsidRPr="00E076F7">
        <w:rPr>
          <w:sz w:val="20"/>
          <w:szCs w:val="20"/>
        </w:rPr>
        <w:t xml:space="preserve"> Examination included general, abdominal and pelvic examination; both bimanual and sterile speculum examination.</w:t>
      </w:r>
    </w:p>
    <w:p w:rsidR="006E27E6" w:rsidRPr="00E076F7" w:rsidRDefault="006E27E6" w:rsidP="00694827">
      <w:pPr>
        <w:pStyle w:val="NormalWeb"/>
        <w:snapToGrid w:val="0"/>
        <w:spacing w:line="240" w:lineRule="auto"/>
        <w:ind w:firstLine="425"/>
        <w:jc w:val="both"/>
        <w:rPr>
          <w:b/>
          <w:bCs/>
          <w:sz w:val="20"/>
          <w:szCs w:val="20"/>
        </w:rPr>
      </w:pPr>
      <w:r w:rsidRPr="00E076F7">
        <w:rPr>
          <w:b/>
          <w:bCs/>
          <w:sz w:val="20"/>
          <w:szCs w:val="20"/>
        </w:rPr>
        <w:t xml:space="preserve">3. Laboratory investigations: </w:t>
      </w:r>
      <w:r w:rsidRPr="00E076F7">
        <w:rPr>
          <w:sz w:val="20"/>
          <w:szCs w:val="20"/>
          <w:lang w:bidi="en-US"/>
        </w:rPr>
        <w:t>Investigations done were complete blood count, coagulation profile, fasting</w:t>
      </w:r>
      <w:r w:rsidR="00CF31EA" w:rsidRPr="00E076F7">
        <w:rPr>
          <w:sz w:val="20"/>
          <w:szCs w:val="20"/>
          <w:lang w:bidi="en-US"/>
        </w:rPr>
        <w:t>,</w:t>
      </w:r>
      <w:r w:rsidRPr="00E076F7">
        <w:rPr>
          <w:sz w:val="20"/>
          <w:szCs w:val="20"/>
          <w:lang w:bidi="en-US"/>
        </w:rPr>
        <w:t xml:space="preserve"> and post-</w:t>
      </w:r>
      <w:proofErr w:type="spellStart"/>
      <w:r w:rsidRPr="00E076F7">
        <w:rPr>
          <w:sz w:val="20"/>
          <w:szCs w:val="20"/>
          <w:lang w:bidi="en-US"/>
        </w:rPr>
        <w:t>prandial</w:t>
      </w:r>
      <w:proofErr w:type="spellEnd"/>
      <w:r w:rsidRPr="00E076F7">
        <w:rPr>
          <w:sz w:val="20"/>
          <w:szCs w:val="20"/>
          <w:lang w:bidi="en-US"/>
        </w:rPr>
        <w:t xml:space="preserve"> blood sugar, liver and kidney functions test.</w:t>
      </w:r>
    </w:p>
    <w:p w:rsidR="006E27E6" w:rsidRPr="00E076F7" w:rsidRDefault="006E27E6" w:rsidP="00694827">
      <w:pPr>
        <w:pStyle w:val="NormalWeb"/>
        <w:snapToGrid w:val="0"/>
        <w:spacing w:line="240" w:lineRule="auto"/>
        <w:ind w:firstLine="425"/>
        <w:jc w:val="both"/>
        <w:rPr>
          <w:b/>
          <w:bCs/>
          <w:sz w:val="20"/>
          <w:szCs w:val="20"/>
        </w:rPr>
      </w:pPr>
      <w:r w:rsidRPr="00E076F7">
        <w:rPr>
          <w:b/>
          <w:bCs/>
          <w:sz w:val="20"/>
          <w:szCs w:val="20"/>
        </w:rPr>
        <w:t>4.</w:t>
      </w:r>
      <w:r w:rsidRPr="00E076F7">
        <w:rPr>
          <w:sz w:val="20"/>
          <w:szCs w:val="20"/>
        </w:rPr>
        <w:t xml:space="preserve"> </w:t>
      </w:r>
      <w:r w:rsidRPr="00E076F7">
        <w:rPr>
          <w:b/>
          <w:bCs/>
          <w:sz w:val="20"/>
          <w:szCs w:val="20"/>
        </w:rPr>
        <w:t>Conventional two</w:t>
      </w:r>
      <w:r w:rsidR="00CF31EA" w:rsidRPr="00E076F7">
        <w:rPr>
          <w:b/>
          <w:bCs/>
          <w:sz w:val="20"/>
          <w:szCs w:val="20"/>
        </w:rPr>
        <w:t>-</w:t>
      </w:r>
      <w:r w:rsidRPr="00E076F7">
        <w:rPr>
          <w:b/>
          <w:bCs/>
          <w:sz w:val="20"/>
          <w:szCs w:val="20"/>
        </w:rPr>
        <w:t xml:space="preserve">dimensional </w:t>
      </w:r>
      <w:proofErr w:type="spellStart"/>
      <w:r w:rsidRPr="00E076F7">
        <w:rPr>
          <w:b/>
          <w:bCs/>
          <w:sz w:val="20"/>
          <w:szCs w:val="20"/>
        </w:rPr>
        <w:t>transvaginal</w:t>
      </w:r>
      <w:proofErr w:type="spellEnd"/>
      <w:r w:rsidRPr="00E076F7">
        <w:rPr>
          <w:b/>
          <w:bCs/>
          <w:sz w:val="20"/>
          <w:szCs w:val="20"/>
        </w:rPr>
        <w:t xml:space="preserve"> ultrasounds:</w:t>
      </w:r>
      <w:r w:rsidRPr="00E076F7">
        <w:rPr>
          <w:sz w:val="20"/>
          <w:szCs w:val="20"/>
        </w:rPr>
        <w:t xml:space="preserve"> To measure the uterine size</w:t>
      </w:r>
      <w:r w:rsidR="00176E9D" w:rsidRPr="00E076F7">
        <w:rPr>
          <w:sz w:val="20"/>
          <w:szCs w:val="20"/>
        </w:rPr>
        <w:t xml:space="preserve"> &amp; </w:t>
      </w:r>
      <w:r w:rsidRPr="00E076F7">
        <w:rPr>
          <w:sz w:val="20"/>
          <w:szCs w:val="20"/>
        </w:rPr>
        <w:t>endometrial thickness, and look for any possible pathology such as endometrial polyps or fibroids.</w:t>
      </w:r>
    </w:p>
    <w:p w:rsidR="006E27E6" w:rsidRPr="00E076F7" w:rsidRDefault="006E27E6" w:rsidP="00694827">
      <w:pPr>
        <w:pStyle w:val="NormalWeb"/>
        <w:snapToGrid w:val="0"/>
        <w:spacing w:line="240" w:lineRule="auto"/>
        <w:ind w:firstLine="425"/>
        <w:jc w:val="both"/>
        <w:rPr>
          <w:sz w:val="20"/>
          <w:szCs w:val="20"/>
        </w:rPr>
      </w:pPr>
      <w:r w:rsidRPr="00E076F7">
        <w:rPr>
          <w:b/>
          <w:bCs/>
          <w:sz w:val="20"/>
          <w:szCs w:val="20"/>
        </w:rPr>
        <w:t xml:space="preserve">5. Saline-infusion </w:t>
      </w:r>
      <w:proofErr w:type="spellStart"/>
      <w:r w:rsidRPr="00E076F7">
        <w:rPr>
          <w:b/>
          <w:bCs/>
          <w:sz w:val="20"/>
          <w:szCs w:val="20"/>
        </w:rPr>
        <w:t>sonohysterography</w:t>
      </w:r>
      <w:proofErr w:type="spellEnd"/>
      <w:r w:rsidRPr="00E076F7">
        <w:rPr>
          <w:b/>
          <w:bCs/>
          <w:sz w:val="20"/>
          <w:szCs w:val="20"/>
        </w:rPr>
        <w:t>:</w:t>
      </w:r>
      <w:r w:rsidR="00176E9D" w:rsidRPr="00E076F7">
        <w:rPr>
          <w:sz w:val="20"/>
          <w:szCs w:val="20"/>
        </w:rPr>
        <w:t xml:space="preserve"> </w:t>
      </w:r>
      <w:proofErr w:type="spellStart"/>
      <w:r w:rsidRPr="00E076F7">
        <w:rPr>
          <w:sz w:val="20"/>
          <w:szCs w:val="20"/>
        </w:rPr>
        <w:t>Sonohysterography</w:t>
      </w:r>
      <w:proofErr w:type="spellEnd"/>
      <w:r w:rsidRPr="00E076F7">
        <w:rPr>
          <w:sz w:val="20"/>
          <w:szCs w:val="20"/>
        </w:rPr>
        <w:t xml:space="preserve"> was performed for all patients at the same setting of </w:t>
      </w:r>
      <w:proofErr w:type="spellStart"/>
      <w:r w:rsidRPr="00E076F7">
        <w:rPr>
          <w:sz w:val="20"/>
          <w:szCs w:val="20"/>
        </w:rPr>
        <w:t>transvaginal</w:t>
      </w:r>
      <w:proofErr w:type="spellEnd"/>
      <w:r w:rsidRPr="00E076F7">
        <w:rPr>
          <w:sz w:val="20"/>
          <w:szCs w:val="20"/>
        </w:rPr>
        <w:t xml:space="preserve"> </w:t>
      </w:r>
      <w:proofErr w:type="spellStart"/>
      <w:r w:rsidRPr="00E076F7">
        <w:rPr>
          <w:sz w:val="20"/>
          <w:szCs w:val="20"/>
        </w:rPr>
        <w:t>sonography</w:t>
      </w:r>
      <w:proofErr w:type="spellEnd"/>
      <w:r w:rsidRPr="00E076F7">
        <w:rPr>
          <w:sz w:val="20"/>
          <w:szCs w:val="20"/>
        </w:rPr>
        <w:t>.</w:t>
      </w:r>
    </w:p>
    <w:p w:rsidR="006E27E6" w:rsidRPr="00E076F7" w:rsidRDefault="006E27E6" w:rsidP="00694827">
      <w:pPr>
        <w:pStyle w:val="NormalWeb"/>
        <w:snapToGrid w:val="0"/>
        <w:spacing w:line="240" w:lineRule="auto"/>
        <w:ind w:firstLine="425"/>
        <w:jc w:val="both"/>
        <w:rPr>
          <w:sz w:val="20"/>
          <w:szCs w:val="20"/>
        </w:rPr>
      </w:pPr>
      <w:r w:rsidRPr="00E076F7">
        <w:rPr>
          <w:b/>
          <w:bCs/>
          <w:sz w:val="20"/>
          <w:szCs w:val="20"/>
        </w:rPr>
        <w:t>6. Diagnostic hysteroscopy:</w:t>
      </w:r>
      <w:r w:rsidRPr="00E076F7">
        <w:rPr>
          <w:sz w:val="20"/>
          <w:szCs w:val="20"/>
        </w:rPr>
        <w:t xml:space="preserve"> Detailed </w:t>
      </w:r>
      <w:proofErr w:type="spellStart"/>
      <w:r w:rsidRPr="00E076F7">
        <w:rPr>
          <w:sz w:val="20"/>
          <w:szCs w:val="20"/>
        </w:rPr>
        <w:t>hysteroscopic</w:t>
      </w:r>
      <w:proofErr w:type="spellEnd"/>
      <w:r w:rsidRPr="00E076F7">
        <w:rPr>
          <w:sz w:val="20"/>
          <w:szCs w:val="20"/>
        </w:rPr>
        <w:t xml:space="preserve"> examination was performed under general anesthesia.</w:t>
      </w:r>
    </w:p>
    <w:p w:rsidR="00EF4D35" w:rsidRPr="00E076F7" w:rsidRDefault="006E27E6" w:rsidP="00694827">
      <w:pPr>
        <w:pStyle w:val="NormalWeb"/>
        <w:snapToGrid w:val="0"/>
        <w:spacing w:line="240" w:lineRule="auto"/>
        <w:ind w:firstLine="425"/>
        <w:jc w:val="both"/>
        <w:rPr>
          <w:b/>
          <w:bCs/>
          <w:sz w:val="20"/>
          <w:szCs w:val="20"/>
        </w:rPr>
      </w:pPr>
      <w:r w:rsidRPr="00E076F7">
        <w:rPr>
          <w:b/>
          <w:bCs/>
          <w:sz w:val="20"/>
          <w:szCs w:val="20"/>
          <w:lang w:bidi="ar-EG"/>
        </w:rPr>
        <w:t>7. Endometrial curettage:</w:t>
      </w:r>
      <w:r w:rsidRPr="00E076F7">
        <w:rPr>
          <w:sz w:val="20"/>
          <w:szCs w:val="20"/>
        </w:rPr>
        <w:t xml:space="preserve"> Endometrial curettage was done to all patients, and specimens were fixed in Formalin 10% solution for </w:t>
      </w:r>
      <w:proofErr w:type="spellStart"/>
      <w:r w:rsidRPr="00E076F7">
        <w:rPr>
          <w:sz w:val="20"/>
          <w:szCs w:val="20"/>
        </w:rPr>
        <w:t>histopathological</w:t>
      </w:r>
      <w:proofErr w:type="spellEnd"/>
      <w:r w:rsidRPr="00E076F7">
        <w:rPr>
          <w:sz w:val="20"/>
          <w:szCs w:val="20"/>
        </w:rPr>
        <w:t xml:space="preserve"> examination.</w:t>
      </w:r>
      <w:r w:rsidR="00402F79" w:rsidRPr="00E076F7">
        <w:rPr>
          <w:sz w:val="20"/>
          <w:szCs w:val="20"/>
        </w:rPr>
        <w:t xml:space="preserve"> </w:t>
      </w:r>
      <w:r w:rsidRPr="00E076F7">
        <w:rPr>
          <w:sz w:val="20"/>
          <w:szCs w:val="20"/>
        </w:rPr>
        <w:t xml:space="preserve">Patients in whom endometrial polyps </w:t>
      </w:r>
      <w:r w:rsidRPr="00E076F7">
        <w:rPr>
          <w:sz w:val="20"/>
          <w:szCs w:val="20"/>
        </w:rPr>
        <w:lastRenderedPageBreak/>
        <w:t xml:space="preserve">were found by hysteroscopy, had </w:t>
      </w:r>
      <w:proofErr w:type="spellStart"/>
      <w:r w:rsidRPr="00E076F7">
        <w:rPr>
          <w:sz w:val="20"/>
          <w:szCs w:val="20"/>
        </w:rPr>
        <w:t>polypectomy</w:t>
      </w:r>
      <w:proofErr w:type="spellEnd"/>
      <w:r w:rsidRPr="00E076F7">
        <w:rPr>
          <w:sz w:val="20"/>
          <w:szCs w:val="20"/>
        </w:rPr>
        <w:t xml:space="preserve"> performed before curettage.</w:t>
      </w:r>
    </w:p>
    <w:p w:rsidR="00EF4D35" w:rsidRPr="00E076F7" w:rsidRDefault="006E27E6" w:rsidP="00694827">
      <w:pPr>
        <w:pStyle w:val="NormalWeb"/>
        <w:snapToGrid w:val="0"/>
        <w:spacing w:line="240" w:lineRule="auto"/>
        <w:ind w:firstLine="425"/>
        <w:jc w:val="both"/>
        <w:rPr>
          <w:b/>
          <w:bCs/>
          <w:sz w:val="20"/>
          <w:szCs w:val="20"/>
        </w:rPr>
      </w:pPr>
      <w:r w:rsidRPr="00E076F7">
        <w:rPr>
          <w:b/>
          <w:bCs/>
          <w:sz w:val="20"/>
          <w:szCs w:val="20"/>
        </w:rPr>
        <w:t xml:space="preserve">8. </w:t>
      </w:r>
      <w:proofErr w:type="spellStart"/>
      <w:r w:rsidRPr="00E076F7">
        <w:rPr>
          <w:b/>
          <w:bCs/>
          <w:sz w:val="20"/>
          <w:szCs w:val="20"/>
        </w:rPr>
        <w:t>Histopathological</w:t>
      </w:r>
      <w:proofErr w:type="spellEnd"/>
      <w:r w:rsidRPr="00E076F7">
        <w:rPr>
          <w:b/>
          <w:bCs/>
          <w:sz w:val="20"/>
          <w:szCs w:val="20"/>
        </w:rPr>
        <w:t xml:space="preserve"> examination:</w:t>
      </w:r>
      <w:r w:rsidRPr="00E076F7">
        <w:rPr>
          <w:sz w:val="20"/>
          <w:szCs w:val="20"/>
        </w:rPr>
        <w:t xml:space="preserve"> All curettage</w:t>
      </w:r>
      <w:r w:rsidR="00176E9D" w:rsidRPr="00E076F7">
        <w:rPr>
          <w:sz w:val="20"/>
          <w:szCs w:val="20"/>
        </w:rPr>
        <w:t xml:space="preserve"> &amp; </w:t>
      </w:r>
      <w:proofErr w:type="spellStart"/>
      <w:r w:rsidRPr="00E076F7">
        <w:rPr>
          <w:sz w:val="20"/>
          <w:szCs w:val="20"/>
        </w:rPr>
        <w:t>polypectomy</w:t>
      </w:r>
      <w:proofErr w:type="spellEnd"/>
      <w:r w:rsidRPr="00E076F7">
        <w:rPr>
          <w:sz w:val="20"/>
          <w:szCs w:val="20"/>
        </w:rPr>
        <w:t xml:space="preserve"> specimens (formalin-fixed, paraffin wax-embedded) were subjected to </w:t>
      </w:r>
      <w:proofErr w:type="spellStart"/>
      <w:r w:rsidRPr="00E076F7">
        <w:rPr>
          <w:sz w:val="20"/>
          <w:szCs w:val="20"/>
        </w:rPr>
        <w:t>histopathological</w:t>
      </w:r>
      <w:proofErr w:type="spellEnd"/>
      <w:r w:rsidRPr="00E076F7">
        <w:rPr>
          <w:sz w:val="20"/>
          <w:szCs w:val="20"/>
        </w:rPr>
        <w:t xml:space="preserve"> examination.</w:t>
      </w:r>
      <w:r w:rsidR="00FD6894" w:rsidRPr="00E076F7">
        <w:rPr>
          <w:bCs/>
          <w:sz w:val="20"/>
          <w:szCs w:val="20"/>
        </w:rPr>
        <w:t xml:space="preserve"> </w:t>
      </w:r>
    </w:p>
    <w:p w:rsidR="00CE2E0E" w:rsidRPr="00E076F7" w:rsidRDefault="00EF4D35" w:rsidP="00694827">
      <w:pPr>
        <w:pStyle w:val="NormalWeb"/>
        <w:snapToGrid w:val="0"/>
        <w:spacing w:line="240" w:lineRule="auto"/>
        <w:jc w:val="both"/>
        <w:rPr>
          <w:sz w:val="20"/>
          <w:szCs w:val="20"/>
        </w:rPr>
      </w:pPr>
      <w:r w:rsidRPr="00E076F7">
        <w:rPr>
          <w:b/>
          <w:bCs/>
          <w:sz w:val="20"/>
          <w:szCs w:val="20"/>
        </w:rPr>
        <w:t xml:space="preserve">Statistical analysis: </w:t>
      </w:r>
    </w:p>
    <w:p w:rsidR="00EF4D35" w:rsidRPr="00E076F7" w:rsidRDefault="00EF4D35" w:rsidP="00694827">
      <w:pPr>
        <w:pStyle w:val="NormalWeb"/>
        <w:snapToGrid w:val="0"/>
        <w:spacing w:line="240" w:lineRule="auto"/>
        <w:ind w:firstLine="425"/>
        <w:jc w:val="both"/>
        <w:rPr>
          <w:b/>
          <w:bCs/>
          <w:sz w:val="20"/>
          <w:szCs w:val="20"/>
        </w:rPr>
      </w:pPr>
      <w:r w:rsidRPr="00E076F7">
        <w:rPr>
          <w:sz w:val="20"/>
          <w:szCs w:val="20"/>
        </w:rPr>
        <w:t xml:space="preserve">Data were analyzed using Statistical Program for Social Science (SPSS) version 18.0. Data were expressed as “mean ± standard deviation (SD)” and as </w:t>
      </w:r>
      <w:r w:rsidR="00CF31EA" w:rsidRPr="00E076F7">
        <w:rPr>
          <w:sz w:val="20"/>
          <w:szCs w:val="20"/>
        </w:rPr>
        <w:t xml:space="preserve">the </w:t>
      </w:r>
      <w:r w:rsidRPr="00E076F7">
        <w:rPr>
          <w:sz w:val="20"/>
          <w:szCs w:val="20"/>
        </w:rPr>
        <w:t>percentage (%) where appropriate. The sensitivity, specificity, PPV</w:t>
      </w:r>
      <w:r w:rsidR="00CF31EA" w:rsidRPr="00E076F7">
        <w:rPr>
          <w:sz w:val="20"/>
          <w:szCs w:val="20"/>
        </w:rPr>
        <w:t>,</w:t>
      </w:r>
      <w:r w:rsidRPr="00E076F7">
        <w:rPr>
          <w:sz w:val="20"/>
          <w:szCs w:val="20"/>
        </w:rPr>
        <w:t xml:space="preserve"> and NPV of SIS, TVS</w:t>
      </w:r>
      <w:r w:rsidR="00CF31EA" w:rsidRPr="00E076F7">
        <w:rPr>
          <w:sz w:val="20"/>
          <w:szCs w:val="20"/>
        </w:rPr>
        <w:t>,</w:t>
      </w:r>
      <w:r w:rsidRPr="00E076F7">
        <w:rPr>
          <w:sz w:val="20"/>
          <w:szCs w:val="20"/>
        </w:rPr>
        <w:t xml:space="preserve"> and HS were calculated by comparing the results of each of the methods with those obtained by pathological diagnosis as the gold standard. The 95% CI for all parameters was also calculated. The diagnostic accuracy was calculated for each uterine disease separately.</w:t>
      </w:r>
    </w:p>
    <w:p w:rsidR="00CE2E0E" w:rsidRPr="00E076F7" w:rsidRDefault="00CE2E0E" w:rsidP="00694827">
      <w:pPr>
        <w:suppressAutoHyphens w:val="0"/>
        <w:snapToGrid w:val="0"/>
        <w:jc w:val="both"/>
        <w:rPr>
          <w:b/>
          <w:sz w:val="20"/>
          <w:szCs w:val="20"/>
        </w:rPr>
      </w:pPr>
    </w:p>
    <w:p w:rsidR="00471E57" w:rsidRPr="00E076F7" w:rsidRDefault="00471E57" w:rsidP="00694827">
      <w:pPr>
        <w:suppressAutoHyphens w:val="0"/>
        <w:snapToGrid w:val="0"/>
        <w:jc w:val="both"/>
        <w:rPr>
          <w:b/>
          <w:sz w:val="20"/>
          <w:szCs w:val="20"/>
        </w:rPr>
      </w:pPr>
      <w:r w:rsidRPr="00E076F7">
        <w:rPr>
          <w:b/>
          <w:sz w:val="20"/>
          <w:szCs w:val="20"/>
        </w:rPr>
        <w:t xml:space="preserve">3. Results </w:t>
      </w:r>
    </w:p>
    <w:p w:rsidR="00FE4971" w:rsidRPr="00E076F7" w:rsidRDefault="00FE4971" w:rsidP="00694827">
      <w:pPr>
        <w:suppressAutoHyphens w:val="0"/>
        <w:snapToGrid w:val="0"/>
        <w:ind w:firstLine="425"/>
        <w:jc w:val="both"/>
        <w:rPr>
          <w:sz w:val="20"/>
          <w:szCs w:val="20"/>
        </w:rPr>
      </w:pPr>
      <w:r w:rsidRPr="00E076F7">
        <w:rPr>
          <w:sz w:val="20"/>
          <w:szCs w:val="20"/>
        </w:rPr>
        <w:t xml:space="preserve">This study is a prospective study in which 100 patients with postmenopausal bleeding were recruited from the outpatient gynecology clinic, Al-Hussein university hospital, </w:t>
      </w:r>
      <w:r w:rsidR="00D059B8" w:rsidRPr="00E076F7">
        <w:rPr>
          <w:sz w:val="20"/>
          <w:szCs w:val="20"/>
        </w:rPr>
        <w:t>Al-</w:t>
      </w:r>
      <w:proofErr w:type="spellStart"/>
      <w:r w:rsidR="00D059B8" w:rsidRPr="00E076F7">
        <w:rPr>
          <w:sz w:val="20"/>
          <w:szCs w:val="20"/>
        </w:rPr>
        <w:t>Azhar</w:t>
      </w:r>
      <w:proofErr w:type="spellEnd"/>
      <w:r w:rsidRPr="00E076F7">
        <w:rPr>
          <w:sz w:val="20"/>
          <w:szCs w:val="20"/>
        </w:rPr>
        <w:t xml:space="preserve"> University</w:t>
      </w:r>
      <w:r w:rsidR="00D059B8" w:rsidRPr="00E076F7">
        <w:rPr>
          <w:rFonts w:eastAsia="Times New Roman"/>
          <w:sz w:val="20"/>
          <w:szCs w:val="20"/>
        </w:rPr>
        <w:t xml:space="preserve"> </w:t>
      </w:r>
      <w:r w:rsidR="00D059B8" w:rsidRPr="00E076F7">
        <w:rPr>
          <w:sz w:val="20"/>
          <w:szCs w:val="20"/>
        </w:rPr>
        <w:t xml:space="preserve">and some private hospitals in </w:t>
      </w:r>
      <w:proofErr w:type="spellStart"/>
      <w:r w:rsidR="00D059B8" w:rsidRPr="00E076F7">
        <w:rPr>
          <w:sz w:val="20"/>
          <w:szCs w:val="20"/>
        </w:rPr>
        <w:t>Mansoura</w:t>
      </w:r>
      <w:proofErr w:type="spellEnd"/>
      <w:r w:rsidRPr="00E076F7">
        <w:rPr>
          <w:sz w:val="20"/>
          <w:szCs w:val="20"/>
        </w:rPr>
        <w:t xml:space="preserve">. The study was conducted between </w:t>
      </w:r>
      <w:r w:rsidR="00D059B8" w:rsidRPr="00E076F7">
        <w:rPr>
          <w:sz w:val="20"/>
          <w:szCs w:val="20"/>
        </w:rPr>
        <w:t xml:space="preserve">January 2017 </w:t>
      </w:r>
      <w:r w:rsidRPr="00E076F7">
        <w:rPr>
          <w:sz w:val="20"/>
          <w:szCs w:val="20"/>
        </w:rPr>
        <w:t xml:space="preserve">and </w:t>
      </w:r>
      <w:r w:rsidR="00D059B8" w:rsidRPr="00E076F7">
        <w:rPr>
          <w:sz w:val="20"/>
          <w:szCs w:val="20"/>
        </w:rPr>
        <w:t>January 2018</w:t>
      </w:r>
      <w:r w:rsidRPr="00E076F7">
        <w:rPr>
          <w:sz w:val="20"/>
          <w:szCs w:val="20"/>
        </w:rPr>
        <w:t>.</w:t>
      </w:r>
      <w:r w:rsidRPr="00E076F7">
        <w:rPr>
          <w:rFonts w:eastAsia="Calibri"/>
          <w:sz w:val="20"/>
          <w:szCs w:val="20"/>
          <w:lang w:eastAsia="en-US"/>
        </w:rPr>
        <w:t xml:space="preserve"> </w:t>
      </w:r>
    </w:p>
    <w:p w:rsidR="00D059B8" w:rsidRPr="00E076F7" w:rsidRDefault="00D059B8" w:rsidP="00694827">
      <w:pPr>
        <w:suppressAutoHyphens w:val="0"/>
        <w:snapToGrid w:val="0"/>
        <w:ind w:firstLine="425"/>
        <w:jc w:val="both"/>
        <w:rPr>
          <w:rFonts w:eastAsia="Calibri"/>
          <w:sz w:val="20"/>
          <w:szCs w:val="20"/>
          <w:lang w:eastAsia="en-US" w:bidi="ar-EG"/>
        </w:rPr>
      </w:pPr>
      <w:r w:rsidRPr="00E076F7">
        <w:rPr>
          <w:sz w:val="20"/>
          <w:szCs w:val="20"/>
        </w:rPr>
        <w:t>The age ranged between 50 and 74 with a mean of 57.83. also</w:t>
      </w:r>
      <w:r w:rsidR="00CF31EA" w:rsidRPr="00E076F7">
        <w:rPr>
          <w:sz w:val="20"/>
          <w:szCs w:val="20"/>
        </w:rPr>
        <w:t>,</w:t>
      </w:r>
      <w:r w:rsidRPr="00E076F7">
        <w:rPr>
          <w:sz w:val="20"/>
          <w:szCs w:val="20"/>
        </w:rPr>
        <w:t xml:space="preserve"> the </w:t>
      </w:r>
      <w:r w:rsidRPr="00E076F7">
        <w:rPr>
          <w:rFonts w:eastAsia="Calibri"/>
          <w:sz w:val="20"/>
          <w:szCs w:val="20"/>
          <w:lang w:eastAsia="en-US"/>
        </w:rPr>
        <w:t xml:space="preserve">average of </w:t>
      </w:r>
      <w:r w:rsidR="00CF31EA" w:rsidRPr="00E076F7">
        <w:rPr>
          <w:rFonts w:eastAsia="Calibri"/>
          <w:sz w:val="20"/>
          <w:szCs w:val="20"/>
          <w:lang w:eastAsia="en-US"/>
        </w:rPr>
        <w:t xml:space="preserve">weight, </w:t>
      </w:r>
      <w:proofErr w:type="spellStart"/>
      <w:r w:rsidR="00CF31EA" w:rsidRPr="00E076F7">
        <w:rPr>
          <w:rFonts w:eastAsia="Calibri"/>
          <w:sz w:val="20"/>
          <w:szCs w:val="20"/>
          <w:lang w:eastAsia="en-US"/>
        </w:rPr>
        <w:t>Heigh</w:t>
      </w:r>
      <w:proofErr w:type="spellEnd"/>
      <w:r w:rsidR="00CF31EA" w:rsidRPr="00E076F7">
        <w:rPr>
          <w:rFonts w:eastAsia="Calibri"/>
          <w:sz w:val="20"/>
          <w:szCs w:val="20"/>
          <w:lang w:eastAsia="en-US"/>
        </w:rPr>
        <w:t>,</w:t>
      </w:r>
      <w:r w:rsidRPr="00E076F7">
        <w:rPr>
          <w:rFonts w:eastAsia="Calibri"/>
          <w:sz w:val="20"/>
          <w:szCs w:val="20"/>
          <w:lang w:eastAsia="en-US"/>
        </w:rPr>
        <w:t xml:space="preserve"> and BMI of the studied cases was 92.54kg, 162.46 cm and 35.24 respectively, with average Gravidity of </w:t>
      </w:r>
      <w:r w:rsidRPr="00E076F7">
        <w:rPr>
          <w:rFonts w:eastAsia="Calibri"/>
          <w:sz w:val="20"/>
          <w:szCs w:val="20"/>
          <w:lang w:bidi="ar-EG"/>
        </w:rPr>
        <w:t>4.14</w:t>
      </w:r>
      <w:r w:rsidRPr="00E076F7">
        <w:rPr>
          <w:rFonts w:eastAsia="Calibri"/>
          <w:sz w:val="20"/>
          <w:szCs w:val="20"/>
          <w:lang w:eastAsia="en-US" w:bidi="ar-EG"/>
        </w:rPr>
        <w:t xml:space="preserve"> and </w:t>
      </w:r>
      <w:r w:rsidRPr="00E076F7">
        <w:rPr>
          <w:rFonts w:eastAsia="Calibri"/>
          <w:sz w:val="20"/>
          <w:szCs w:val="20"/>
          <w:lang w:eastAsia="en-US"/>
        </w:rPr>
        <w:t>average</w:t>
      </w:r>
      <w:r w:rsidRPr="00E076F7">
        <w:rPr>
          <w:rFonts w:eastAsia="Calibri"/>
          <w:sz w:val="20"/>
          <w:szCs w:val="20"/>
          <w:lang w:eastAsia="en-US" w:bidi="ar-EG"/>
        </w:rPr>
        <w:t xml:space="preserve"> </w:t>
      </w:r>
      <w:r w:rsidRPr="00E076F7">
        <w:rPr>
          <w:rFonts w:eastAsia="Calibri"/>
          <w:sz w:val="20"/>
          <w:szCs w:val="20"/>
          <w:lang w:bidi="ar-EG"/>
        </w:rPr>
        <w:t>Parity</w:t>
      </w:r>
      <w:r w:rsidRPr="00E076F7">
        <w:rPr>
          <w:rFonts w:eastAsia="Calibri"/>
          <w:sz w:val="20"/>
          <w:szCs w:val="20"/>
          <w:lang w:eastAsia="en-US" w:bidi="ar-EG"/>
        </w:rPr>
        <w:t xml:space="preserve"> of </w:t>
      </w:r>
      <w:r w:rsidRPr="00E076F7">
        <w:rPr>
          <w:rFonts w:eastAsia="Calibri"/>
          <w:sz w:val="20"/>
          <w:szCs w:val="20"/>
          <w:lang w:bidi="ar-EG"/>
        </w:rPr>
        <w:t>3.19</w:t>
      </w:r>
      <w:r w:rsidR="00AB3FC9" w:rsidRPr="00E076F7">
        <w:rPr>
          <w:rFonts w:eastAsia="Calibri"/>
          <w:sz w:val="20"/>
          <w:szCs w:val="20"/>
          <w:lang w:bidi="ar-EG"/>
        </w:rPr>
        <w:t xml:space="preserve">. </w:t>
      </w:r>
      <w:r w:rsidR="00A8056F" w:rsidRPr="00E076F7">
        <w:rPr>
          <w:rFonts w:eastAsia="Calibri"/>
          <w:sz w:val="20"/>
          <w:szCs w:val="20"/>
          <w:lang w:bidi="ar-EG"/>
        </w:rPr>
        <w:t xml:space="preserve">the </w:t>
      </w:r>
      <w:r w:rsidR="00AB3FC9" w:rsidRPr="00E076F7">
        <w:rPr>
          <w:rFonts w:eastAsia="Calibri"/>
          <w:sz w:val="20"/>
          <w:szCs w:val="20"/>
          <w:lang w:bidi="ar-EG"/>
        </w:rPr>
        <w:t xml:space="preserve">mean of </w:t>
      </w:r>
      <w:r w:rsidR="00A8056F" w:rsidRPr="00E076F7">
        <w:rPr>
          <w:rFonts w:eastAsia="Calibri"/>
          <w:sz w:val="20"/>
          <w:szCs w:val="20"/>
          <w:lang w:bidi="ar-EG"/>
        </w:rPr>
        <w:t xml:space="preserve">Endometrial thickness by TVS was </w:t>
      </w:r>
      <w:r w:rsidR="00CF31EA" w:rsidRPr="00E076F7">
        <w:rPr>
          <w:rFonts w:eastAsia="Calibri"/>
          <w:sz w:val="20"/>
          <w:szCs w:val="20"/>
          <w:lang w:bidi="ar-EG"/>
        </w:rPr>
        <w:t xml:space="preserve">13.12 mm with a </w:t>
      </w:r>
      <w:r w:rsidR="00A8056F" w:rsidRPr="00E076F7">
        <w:rPr>
          <w:rFonts w:eastAsia="Calibri"/>
          <w:sz w:val="20"/>
          <w:szCs w:val="20"/>
          <w:lang w:bidi="ar-EG"/>
        </w:rPr>
        <w:t>Standard</w:t>
      </w:r>
      <w:r w:rsidR="00AB3FC9" w:rsidRPr="00E076F7">
        <w:rPr>
          <w:rFonts w:eastAsia="Calibri"/>
          <w:sz w:val="20"/>
          <w:szCs w:val="20"/>
          <w:lang w:bidi="ar-EG"/>
        </w:rPr>
        <w:t xml:space="preserve"> Deviation of 7.99.</w:t>
      </w:r>
      <w:r w:rsidR="00255F01" w:rsidRPr="00E076F7">
        <w:rPr>
          <w:rFonts w:eastAsia="Calibri"/>
          <w:b/>
          <w:bCs/>
          <w:sz w:val="20"/>
          <w:szCs w:val="20"/>
          <w:lang w:eastAsia="en-US"/>
        </w:rPr>
        <w:t xml:space="preserve"> Table (1)</w:t>
      </w:r>
    </w:p>
    <w:p w:rsidR="00C0791C" w:rsidRPr="00E076F7" w:rsidRDefault="00C0791C" w:rsidP="00694827">
      <w:pPr>
        <w:suppressAutoHyphens w:val="0"/>
        <w:snapToGrid w:val="0"/>
        <w:ind w:firstLine="425"/>
        <w:jc w:val="both"/>
        <w:rPr>
          <w:rFonts w:eastAsia="Calibri"/>
          <w:sz w:val="20"/>
          <w:szCs w:val="20"/>
          <w:lang w:eastAsia="en-US" w:bidi="ar-EG"/>
        </w:rPr>
      </w:pPr>
      <w:r w:rsidRPr="00E076F7">
        <w:rPr>
          <w:rFonts w:eastAsia="Calibri"/>
          <w:noProof/>
          <w:sz w:val="20"/>
          <w:szCs w:val="20"/>
          <w:lang w:eastAsia="en-US"/>
        </w:rPr>
        <w:t xml:space="preserve">The majority of cases had </w:t>
      </w:r>
      <w:r w:rsidR="00CF31EA" w:rsidRPr="00E076F7">
        <w:rPr>
          <w:rFonts w:eastAsia="Calibri"/>
          <w:noProof/>
          <w:sz w:val="20"/>
          <w:szCs w:val="20"/>
          <w:lang w:eastAsia="en-US"/>
        </w:rPr>
        <w:t xml:space="preserve">a </w:t>
      </w:r>
      <w:r w:rsidRPr="00E076F7">
        <w:rPr>
          <w:rFonts w:eastAsia="Calibri"/>
          <w:noProof/>
          <w:sz w:val="20"/>
          <w:szCs w:val="20"/>
          <w:lang w:eastAsia="en-US"/>
        </w:rPr>
        <w:t xml:space="preserve">medical history of DM and HTN or both; 13,14 and 15 respectively. 31% had </w:t>
      </w:r>
      <w:r w:rsidR="00CF31EA" w:rsidRPr="00E076F7">
        <w:rPr>
          <w:rFonts w:eastAsia="Calibri"/>
          <w:noProof/>
          <w:sz w:val="20"/>
          <w:szCs w:val="20"/>
          <w:lang w:eastAsia="en-US"/>
        </w:rPr>
        <w:t xml:space="preserve">a </w:t>
      </w:r>
      <w:r w:rsidRPr="00E076F7">
        <w:rPr>
          <w:rFonts w:eastAsia="Calibri"/>
          <w:noProof/>
          <w:sz w:val="20"/>
          <w:szCs w:val="20"/>
          <w:lang w:eastAsia="en-US"/>
        </w:rPr>
        <w:t>previous hist</w:t>
      </w:r>
      <w:r w:rsidR="00CF31EA" w:rsidRPr="00E076F7">
        <w:rPr>
          <w:rFonts w:eastAsia="Calibri"/>
          <w:noProof/>
          <w:sz w:val="20"/>
          <w:szCs w:val="20"/>
          <w:lang w:eastAsia="en-US"/>
        </w:rPr>
        <w:t xml:space="preserve">ory of uterine surgery, 27% had a </w:t>
      </w:r>
      <w:r w:rsidRPr="00E076F7">
        <w:rPr>
          <w:rFonts w:eastAsia="Calibri"/>
          <w:noProof/>
          <w:sz w:val="20"/>
          <w:szCs w:val="20"/>
          <w:lang w:eastAsia="en-US"/>
        </w:rPr>
        <w:t xml:space="preserve">previous history of endometrial biopsy and 28% had </w:t>
      </w:r>
      <w:r w:rsidR="00CF31EA" w:rsidRPr="00E076F7">
        <w:rPr>
          <w:rFonts w:eastAsia="Calibri"/>
          <w:noProof/>
          <w:sz w:val="20"/>
          <w:szCs w:val="20"/>
          <w:lang w:eastAsia="en-US"/>
        </w:rPr>
        <w:t xml:space="preserve">a </w:t>
      </w:r>
      <w:r w:rsidRPr="00E076F7">
        <w:rPr>
          <w:rFonts w:eastAsia="Calibri"/>
          <w:noProof/>
          <w:sz w:val="20"/>
          <w:szCs w:val="20"/>
          <w:lang w:eastAsia="en-US"/>
        </w:rPr>
        <w:t>previous history of</w:t>
      </w:r>
      <w:r w:rsidRPr="00E076F7">
        <w:rPr>
          <w:rFonts w:eastAsia="Calibri"/>
          <w:sz w:val="20"/>
          <w:szCs w:val="20"/>
          <w:lang w:eastAsia="en-US"/>
        </w:rPr>
        <w:t xml:space="preserve"> </w:t>
      </w:r>
      <w:r w:rsidRPr="00E076F7">
        <w:rPr>
          <w:rFonts w:eastAsia="Calibri"/>
          <w:noProof/>
          <w:sz w:val="20"/>
          <w:szCs w:val="20"/>
          <w:lang w:eastAsia="en-US"/>
        </w:rPr>
        <w:t>hormonal therapy. Out of 100 cases</w:t>
      </w:r>
      <w:r w:rsidR="00CF31EA" w:rsidRPr="00E076F7">
        <w:rPr>
          <w:rFonts w:eastAsia="Calibri"/>
          <w:noProof/>
          <w:sz w:val="20"/>
          <w:szCs w:val="20"/>
          <w:lang w:eastAsia="en-US"/>
        </w:rPr>
        <w:t>,</w:t>
      </w:r>
      <w:r w:rsidRPr="00E076F7">
        <w:rPr>
          <w:rFonts w:eastAsia="Calibri"/>
          <w:noProof/>
          <w:sz w:val="20"/>
          <w:szCs w:val="20"/>
          <w:lang w:eastAsia="en-US"/>
        </w:rPr>
        <w:t xml:space="preserve"> 8 cases had </w:t>
      </w:r>
      <w:r w:rsidR="00CF31EA" w:rsidRPr="00E076F7">
        <w:rPr>
          <w:rFonts w:eastAsia="Calibri"/>
          <w:noProof/>
          <w:sz w:val="20"/>
          <w:szCs w:val="20"/>
          <w:lang w:eastAsia="en-US"/>
        </w:rPr>
        <w:t xml:space="preserve">a </w:t>
      </w:r>
      <w:r w:rsidRPr="00E076F7">
        <w:rPr>
          <w:rFonts w:eastAsia="Calibri"/>
          <w:noProof/>
          <w:sz w:val="20"/>
          <w:szCs w:val="20"/>
          <w:lang w:eastAsia="en-US"/>
        </w:rPr>
        <w:t>fibroid, 6 adenomyosis and 5 had ovarian cyst while 81cases had no associated lesion.</w:t>
      </w:r>
      <w:r w:rsidRPr="00E076F7">
        <w:rPr>
          <w:rFonts w:eastAsia="Calibri"/>
          <w:b/>
          <w:bCs/>
          <w:sz w:val="20"/>
          <w:szCs w:val="20"/>
          <w:lang w:eastAsia="en-US"/>
        </w:rPr>
        <w:t xml:space="preserve"> Table (2)</w:t>
      </w:r>
    </w:p>
    <w:p w:rsidR="00D059B8" w:rsidRPr="00E076F7" w:rsidRDefault="00D059B8"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 xml:space="preserve">In our study TVS was able to detect 37% of the studied cases had endometrial hyperplasia, 5% had atrophic </w:t>
      </w:r>
      <w:proofErr w:type="spellStart"/>
      <w:r w:rsidRPr="00E076F7">
        <w:rPr>
          <w:rFonts w:eastAsia="Calibri"/>
          <w:sz w:val="20"/>
          <w:szCs w:val="20"/>
          <w:lang w:eastAsia="en-US"/>
        </w:rPr>
        <w:t>endometrium</w:t>
      </w:r>
      <w:proofErr w:type="spellEnd"/>
      <w:r w:rsidRPr="00E076F7">
        <w:rPr>
          <w:rFonts w:eastAsia="Calibri"/>
          <w:sz w:val="20"/>
          <w:szCs w:val="20"/>
          <w:lang w:eastAsia="en-US"/>
        </w:rPr>
        <w:t xml:space="preserve">, 4% had </w:t>
      </w:r>
      <w:r w:rsidR="00CF31EA" w:rsidRPr="00E076F7">
        <w:rPr>
          <w:rFonts w:eastAsia="Calibri"/>
          <w:sz w:val="20"/>
          <w:szCs w:val="20"/>
          <w:lang w:eastAsia="en-US"/>
        </w:rPr>
        <w:t xml:space="preserve">a </w:t>
      </w:r>
      <w:r w:rsidRPr="00E076F7">
        <w:rPr>
          <w:rFonts w:eastAsia="Calibri"/>
          <w:sz w:val="20"/>
          <w:szCs w:val="20"/>
          <w:lang w:eastAsia="en-US"/>
        </w:rPr>
        <w:t>fibroid and 10 of 15 cases had endometrial carcinoma in comparison with histopathology. SIS was able to detect 10 of 15 cases had endometrial carcinoma in comparison with histopathology</w:t>
      </w:r>
      <w:r w:rsidR="00305B49" w:rsidRPr="00E076F7">
        <w:rPr>
          <w:rFonts w:eastAsia="Calibri"/>
          <w:sz w:val="20"/>
          <w:szCs w:val="20"/>
          <w:lang w:eastAsia="en-US"/>
        </w:rPr>
        <w:t xml:space="preserve"> a</w:t>
      </w:r>
      <w:r w:rsidRPr="00E076F7">
        <w:rPr>
          <w:rFonts w:eastAsia="Calibri"/>
          <w:sz w:val="20"/>
          <w:szCs w:val="20"/>
          <w:lang w:eastAsia="en-US"/>
        </w:rPr>
        <w:t xml:space="preserve">nd </w:t>
      </w:r>
      <w:r w:rsidR="00CF31EA" w:rsidRPr="00E076F7">
        <w:rPr>
          <w:rFonts w:eastAsia="Calibri"/>
          <w:sz w:val="20"/>
          <w:szCs w:val="20"/>
          <w:lang w:eastAsia="en-US"/>
        </w:rPr>
        <w:t xml:space="preserve">the </w:t>
      </w:r>
      <w:r w:rsidRPr="00E076F7">
        <w:rPr>
          <w:rFonts w:eastAsia="Calibri"/>
          <w:sz w:val="20"/>
          <w:szCs w:val="20"/>
          <w:lang w:eastAsia="en-US"/>
        </w:rPr>
        <w:t>endometrial polyp was found in 19 cases in comparison with 18 cases confirmed by histopathology.</w:t>
      </w:r>
      <w:r w:rsidR="00255F01" w:rsidRPr="00E076F7">
        <w:rPr>
          <w:rFonts w:eastAsia="Calibri"/>
          <w:b/>
          <w:bCs/>
          <w:sz w:val="20"/>
          <w:szCs w:val="20"/>
          <w:lang w:eastAsia="en-US"/>
        </w:rPr>
        <w:t xml:space="preserve"> </w:t>
      </w:r>
      <w:r w:rsidR="00305B49" w:rsidRPr="00E076F7">
        <w:rPr>
          <w:rFonts w:eastAsia="Calibri"/>
          <w:sz w:val="20"/>
          <w:szCs w:val="20"/>
          <w:lang w:eastAsia="en-US"/>
        </w:rPr>
        <w:t>H</w:t>
      </w:r>
      <w:r w:rsidRPr="00E076F7">
        <w:rPr>
          <w:rFonts w:eastAsia="Calibri"/>
          <w:sz w:val="20"/>
          <w:szCs w:val="20"/>
          <w:lang w:eastAsia="en-US"/>
        </w:rPr>
        <w:t xml:space="preserve">ysteroscopy was </w:t>
      </w:r>
      <w:r w:rsidR="00305B49" w:rsidRPr="00E076F7">
        <w:rPr>
          <w:rFonts w:eastAsia="Calibri"/>
          <w:sz w:val="20"/>
          <w:szCs w:val="20"/>
          <w:lang w:eastAsia="en-US"/>
        </w:rPr>
        <w:t>able to detect almost 100% of the actual diagnosis in compare to D</w:t>
      </w:r>
      <w:r w:rsidR="00176E9D" w:rsidRPr="00E076F7">
        <w:rPr>
          <w:rFonts w:eastAsia="Calibri"/>
          <w:sz w:val="20"/>
          <w:szCs w:val="20"/>
          <w:lang w:eastAsia="en-US"/>
        </w:rPr>
        <w:t xml:space="preserve"> &amp; </w:t>
      </w:r>
      <w:r w:rsidR="003B10A1" w:rsidRPr="00E076F7">
        <w:rPr>
          <w:rFonts w:eastAsia="Calibri"/>
          <w:sz w:val="20"/>
          <w:szCs w:val="20"/>
          <w:lang w:eastAsia="en-US"/>
        </w:rPr>
        <w:t>C,</w:t>
      </w:r>
      <w:r w:rsidR="00305B49" w:rsidRPr="00E076F7">
        <w:rPr>
          <w:rFonts w:eastAsia="Calibri"/>
          <w:sz w:val="20"/>
          <w:szCs w:val="20"/>
          <w:lang w:eastAsia="en-US"/>
        </w:rPr>
        <w:t xml:space="preserve"> it </w:t>
      </w:r>
      <w:r w:rsidRPr="00E076F7">
        <w:rPr>
          <w:rFonts w:eastAsia="Calibri"/>
          <w:sz w:val="20"/>
          <w:szCs w:val="20"/>
          <w:lang w:eastAsia="en-US"/>
        </w:rPr>
        <w:t>gave just 1 false negative result by missing one case of simple endometrial hyperplasia.</w:t>
      </w:r>
      <w:r w:rsidR="006A4603" w:rsidRPr="00E076F7">
        <w:rPr>
          <w:rFonts w:eastAsia="Times New Roman"/>
          <w:sz w:val="20"/>
          <w:szCs w:val="20"/>
          <w:lang w:eastAsia="en-US"/>
        </w:rPr>
        <w:t xml:space="preserve"> </w:t>
      </w:r>
      <w:r w:rsidR="006A4603" w:rsidRPr="00E076F7">
        <w:rPr>
          <w:rFonts w:eastAsia="Calibri"/>
          <w:sz w:val="20"/>
          <w:szCs w:val="20"/>
          <w:lang w:eastAsia="en-US"/>
        </w:rPr>
        <w:t xml:space="preserve">Hysteroscopy had the highest frequency of cancer detection compared to the other two methods with </w:t>
      </w:r>
      <w:r w:rsidR="00CF31EA" w:rsidRPr="00E076F7">
        <w:rPr>
          <w:rFonts w:eastAsia="Calibri"/>
          <w:sz w:val="20"/>
          <w:szCs w:val="20"/>
          <w:lang w:eastAsia="en-US"/>
        </w:rPr>
        <w:t xml:space="preserve">a </w:t>
      </w:r>
      <w:r w:rsidR="006A4603" w:rsidRPr="00E076F7">
        <w:rPr>
          <w:rFonts w:eastAsia="Calibri"/>
          <w:sz w:val="20"/>
          <w:szCs w:val="20"/>
          <w:lang w:eastAsia="en-US"/>
        </w:rPr>
        <w:t xml:space="preserve">significant difference by using </w:t>
      </w:r>
      <w:r w:rsidR="00CF31EA" w:rsidRPr="00E076F7">
        <w:rPr>
          <w:rFonts w:eastAsia="Calibri"/>
          <w:sz w:val="20"/>
          <w:szCs w:val="20"/>
          <w:lang w:eastAsia="en-US"/>
        </w:rPr>
        <w:t xml:space="preserve">the </w:t>
      </w:r>
      <w:r w:rsidR="006A4603" w:rsidRPr="00E076F7">
        <w:rPr>
          <w:rFonts w:eastAsia="Calibri"/>
          <w:sz w:val="20"/>
          <w:szCs w:val="20"/>
          <w:lang w:eastAsia="en-US"/>
        </w:rPr>
        <w:t>chi-square test.</w:t>
      </w:r>
      <w:r w:rsidRPr="00E076F7">
        <w:rPr>
          <w:rFonts w:eastAsia="Calibri"/>
          <w:sz w:val="20"/>
          <w:szCs w:val="20"/>
          <w:lang w:eastAsia="en-US"/>
        </w:rPr>
        <w:t xml:space="preserve"> </w:t>
      </w:r>
      <w:r w:rsidR="00255F01" w:rsidRPr="00E076F7">
        <w:rPr>
          <w:rFonts w:eastAsia="Calibri"/>
          <w:b/>
          <w:bCs/>
          <w:sz w:val="20"/>
          <w:szCs w:val="20"/>
          <w:lang w:eastAsia="en-US"/>
        </w:rPr>
        <w:t>Table (</w:t>
      </w:r>
      <w:r w:rsidR="003B10A1" w:rsidRPr="00E076F7">
        <w:rPr>
          <w:rFonts w:eastAsia="Calibri"/>
          <w:b/>
          <w:bCs/>
          <w:sz w:val="20"/>
          <w:szCs w:val="20"/>
          <w:lang w:eastAsia="en-US"/>
        </w:rPr>
        <w:t>3</w:t>
      </w:r>
      <w:r w:rsidR="00255F01" w:rsidRPr="00E076F7">
        <w:rPr>
          <w:rFonts w:eastAsia="Calibri"/>
          <w:b/>
          <w:bCs/>
          <w:sz w:val="20"/>
          <w:szCs w:val="20"/>
          <w:lang w:eastAsia="en-US"/>
        </w:rPr>
        <w:t>)</w:t>
      </w:r>
    </w:p>
    <w:p w:rsidR="007840C0" w:rsidRPr="00E076F7" w:rsidRDefault="007840C0"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lastRenderedPageBreak/>
        <w:t xml:space="preserve">Diagnostic accuracy of each imaging method in the diagnosis of atrophy, hyperplasia polyp lesions, fibroid and cancer of the </w:t>
      </w:r>
      <w:proofErr w:type="spellStart"/>
      <w:r w:rsidRPr="00E076F7">
        <w:rPr>
          <w:rFonts w:eastAsia="Calibri"/>
          <w:sz w:val="20"/>
          <w:szCs w:val="20"/>
          <w:lang w:eastAsia="en-US"/>
        </w:rPr>
        <w:t>endometrium</w:t>
      </w:r>
      <w:proofErr w:type="spellEnd"/>
      <w:r w:rsidRPr="00E076F7">
        <w:rPr>
          <w:rFonts w:eastAsia="Calibri"/>
          <w:sz w:val="20"/>
          <w:szCs w:val="20"/>
          <w:lang w:eastAsia="en-US"/>
        </w:rPr>
        <w:t xml:space="preserve"> with respect to endometrial biopsy as the gold standard is given in </w:t>
      </w:r>
      <w:r w:rsidRPr="00E076F7">
        <w:rPr>
          <w:rFonts w:eastAsia="Calibri"/>
          <w:b/>
          <w:bCs/>
          <w:sz w:val="20"/>
          <w:szCs w:val="20"/>
          <w:lang w:eastAsia="en-US"/>
        </w:rPr>
        <w:t>Table 4</w:t>
      </w:r>
      <w:r w:rsidRPr="00E076F7">
        <w:rPr>
          <w:rFonts w:eastAsia="Calibri"/>
          <w:sz w:val="20"/>
          <w:szCs w:val="20"/>
          <w:lang w:eastAsia="en-US"/>
        </w:rPr>
        <w:t xml:space="preserve">. Overall sensitivity rates were </w:t>
      </w:r>
      <w:r w:rsidR="004825A8" w:rsidRPr="00E076F7">
        <w:rPr>
          <w:rFonts w:eastAsia="Calibri"/>
          <w:sz w:val="20"/>
          <w:szCs w:val="20"/>
          <w:lang w:eastAsia="en-US"/>
        </w:rPr>
        <w:t>88</w:t>
      </w:r>
      <w:r w:rsidRPr="00E076F7">
        <w:rPr>
          <w:rFonts w:eastAsia="Calibri"/>
          <w:sz w:val="20"/>
          <w:szCs w:val="20"/>
          <w:lang w:eastAsia="en-US"/>
        </w:rPr>
        <w:t xml:space="preserve">% for TVS, </w:t>
      </w:r>
      <w:r w:rsidR="004825A8" w:rsidRPr="00E076F7">
        <w:rPr>
          <w:rFonts w:eastAsia="Calibri"/>
          <w:sz w:val="20"/>
          <w:szCs w:val="20"/>
          <w:lang w:eastAsia="en-US"/>
        </w:rPr>
        <w:lastRenderedPageBreak/>
        <w:t>91</w:t>
      </w:r>
      <w:r w:rsidRPr="00E076F7">
        <w:rPr>
          <w:rFonts w:eastAsia="Calibri"/>
          <w:sz w:val="20"/>
          <w:szCs w:val="20"/>
          <w:lang w:eastAsia="en-US"/>
        </w:rPr>
        <w:t xml:space="preserve">% for SIS and </w:t>
      </w:r>
      <w:r w:rsidR="004825A8" w:rsidRPr="00E076F7">
        <w:rPr>
          <w:rFonts w:eastAsia="Calibri"/>
          <w:sz w:val="20"/>
          <w:szCs w:val="20"/>
          <w:lang w:eastAsia="en-US"/>
        </w:rPr>
        <w:t>98</w:t>
      </w:r>
      <w:r w:rsidRPr="00E076F7">
        <w:rPr>
          <w:rFonts w:eastAsia="Calibri"/>
          <w:sz w:val="20"/>
          <w:szCs w:val="20"/>
          <w:lang w:eastAsia="en-US"/>
        </w:rPr>
        <w:t>% for HS, while overall speci</w:t>
      </w:r>
      <w:r w:rsidR="004825A8" w:rsidRPr="00E076F7">
        <w:rPr>
          <w:rFonts w:eastAsia="Calibri"/>
          <w:sz w:val="20"/>
          <w:szCs w:val="20"/>
          <w:lang w:eastAsia="en-US"/>
        </w:rPr>
        <w:t>fi</w:t>
      </w:r>
      <w:r w:rsidRPr="00E076F7">
        <w:rPr>
          <w:rFonts w:eastAsia="Calibri"/>
          <w:sz w:val="20"/>
          <w:szCs w:val="20"/>
          <w:lang w:eastAsia="en-US"/>
        </w:rPr>
        <w:t xml:space="preserve">city rates were </w:t>
      </w:r>
      <w:r w:rsidR="004825A8" w:rsidRPr="00E076F7">
        <w:rPr>
          <w:rFonts w:eastAsia="Calibri"/>
          <w:sz w:val="20"/>
          <w:szCs w:val="20"/>
          <w:lang w:eastAsia="en-US"/>
        </w:rPr>
        <w:t>67%</w:t>
      </w:r>
      <w:r w:rsidRPr="00E076F7">
        <w:rPr>
          <w:rFonts w:eastAsia="Calibri"/>
          <w:sz w:val="20"/>
          <w:szCs w:val="20"/>
          <w:lang w:eastAsia="en-US"/>
        </w:rPr>
        <w:t xml:space="preserve">, </w:t>
      </w:r>
      <w:r w:rsidR="004825A8" w:rsidRPr="00E076F7">
        <w:rPr>
          <w:rFonts w:eastAsia="Calibri"/>
          <w:sz w:val="20"/>
          <w:szCs w:val="20"/>
          <w:lang w:eastAsia="en-US"/>
        </w:rPr>
        <w:t>80%</w:t>
      </w:r>
      <w:r w:rsidR="00CF31EA" w:rsidRPr="00E076F7">
        <w:rPr>
          <w:rFonts w:eastAsia="Calibri"/>
          <w:sz w:val="20"/>
          <w:szCs w:val="20"/>
          <w:lang w:eastAsia="en-US"/>
        </w:rPr>
        <w:t>,</w:t>
      </w:r>
      <w:r w:rsidR="004825A8" w:rsidRPr="00E076F7">
        <w:rPr>
          <w:rFonts w:eastAsia="Calibri"/>
          <w:sz w:val="20"/>
          <w:szCs w:val="20"/>
          <w:lang w:eastAsia="en-US"/>
        </w:rPr>
        <w:t xml:space="preserve"> </w:t>
      </w:r>
      <w:r w:rsidRPr="00E076F7">
        <w:rPr>
          <w:rFonts w:eastAsia="Calibri"/>
          <w:sz w:val="20"/>
          <w:szCs w:val="20"/>
          <w:lang w:eastAsia="en-US"/>
        </w:rPr>
        <w:t xml:space="preserve">and </w:t>
      </w:r>
      <w:r w:rsidR="004825A8" w:rsidRPr="00E076F7">
        <w:rPr>
          <w:rFonts w:eastAsia="Calibri"/>
          <w:sz w:val="20"/>
          <w:szCs w:val="20"/>
          <w:lang w:eastAsia="en-US"/>
        </w:rPr>
        <w:t>83</w:t>
      </w:r>
      <w:r w:rsidRPr="00E076F7">
        <w:rPr>
          <w:rFonts w:eastAsia="Calibri"/>
          <w:sz w:val="20"/>
          <w:szCs w:val="20"/>
          <w:lang w:eastAsia="en-US"/>
        </w:rPr>
        <w:t xml:space="preserve">%, respectively. HS had PPV of </w:t>
      </w:r>
      <w:r w:rsidR="004825A8" w:rsidRPr="00E076F7">
        <w:rPr>
          <w:rFonts w:eastAsia="Calibri"/>
          <w:sz w:val="20"/>
          <w:szCs w:val="20"/>
          <w:lang w:eastAsia="en-US"/>
        </w:rPr>
        <w:t>88</w:t>
      </w:r>
      <w:r w:rsidRPr="00E076F7">
        <w:rPr>
          <w:rFonts w:eastAsia="Calibri"/>
          <w:sz w:val="20"/>
          <w:szCs w:val="20"/>
          <w:lang w:eastAsia="en-US"/>
        </w:rPr>
        <w:t xml:space="preserve">% and NPV of </w:t>
      </w:r>
      <w:r w:rsidR="004825A8" w:rsidRPr="00E076F7">
        <w:rPr>
          <w:rFonts w:eastAsia="Calibri"/>
          <w:sz w:val="20"/>
          <w:szCs w:val="20"/>
          <w:lang w:eastAsia="en-US"/>
        </w:rPr>
        <w:t>97</w:t>
      </w:r>
      <w:r w:rsidRPr="00E076F7">
        <w:rPr>
          <w:rFonts w:eastAsia="Calibri"/>
          <w:sz w:val="20"/>
          <w:szCs w:val="20"/>
          <w:lang w:eastAsia="en-US"/>
        </w:rPr>
        <w:t xml:space="preserve">%, whereas PPV was determined to be </w:t>
      </w:r>
      <w:r w:rsidR="004825A8" w:rsidRPr="00E076F7">
        <w:rPr>
          <w:rFonts w:eastAsia="Calibri"/>
          <w:sz w:val="20"/>
          <w:szCs w:val="20"/>
          <w:lang w:eastAsia="en-US"/>
        </w:rPr>
        <w:t>85</w:t>
      </w:r>
      <w:r w:rsidRPr="00E076F7">
        <w:rPr>
          <w:rFonts w:eastAsia="Calibri"/>
          <w:sz w:val="20"/>
          <w:szCs w:val="20"/>
          <w:lang w:eastAsia="en-US"/>
        </w:rPr>
        <w:t xml:space="preserve"> versus </w:t>
      </w:r>
      <w:r w:rsidR="004825A8" w:rsidRPr="00E076F7">
        <w:rPr>
          <w:rFonts w:eastAsia="Calibri"/>
          <w:sz w:val="20"/>
          <w:szCs w:val="20"/>
          <w:lang w:eastAsia="en-US"/>
        </w:rPr>
        <w:t>87</w:t>
      </w:r>
      <w:r w:rsidRPr="00E076F7">
        <w:rPr>
          <w:rFonts w:eastAsia="Calibri"/>
          <w:sz w:val="20"/>
          <w:szCs w:val="20"/>
          <w:lang w:eastAsia="en-US"/>
        </w:rPr>
        <w:t xml:space="preserve">% and NPV was </w:t>
      </w:r>
      <w:r w:rsidR="004825A8" w:rsidRPr="00E076F7">
        <w:rPr>
          <w:rFonts w:eastAsia="Calibri"/>
          <w:sz w:val="20"/>
          <w:szCs w:val="20"/>
          <w:lang w:eastAsia="en-US"/>
        </w:rPr>
        <w:t>70</w:t>
      </w:r>
      <w:r w:rsidRPr="00E076F7">
        <w:rPr>
          <w:rFonts w:eastAsia="Calibri"/>
          <w:sz w:val="20"/>
          <w:szCs w:val="20"/>
          <w:lang w:eastAsia="en-US"/>
        </w:rPr>
        <w:t xml:space="preserve"> versus </w:t>
      </w:r>
      <w:r w:rsidR="004825A8" w:rsidRPr="00E076F7">
        <w:rPr>
          <w:rFonts w:eastAsia="Calibri"/>
          <w:sz w:val="20"/>
          <w:szCs w:val="20"/>
          <w:lang w:eastAsia="en-US"/>
        </w:rPr>
        <w:t>89</w:t>
      </w:r>
      <w:r w:rsidRPr="00E076F7">
        <w:rPr>
          <w:rFonts w:eastAsia="Calibri"/>
          <w:sz w:val="20"/>
          <w:szCs w:val="20"/>
          <w:lang w:eastAsia="en-US"/>
        </w:rPr>
        <w:t xml:space="preserve">% for TVS and SIS, respectively. </w:t>
      </w:r>
      <w:r w:rsidRPr="00E076F7">
        <w:rPr>
          <w:rFonts w:eastAsia="Calibri"/>
          <w:b/>
          <w:bCs/>
          <w:sz w:val="20"/>
          <w:szCs w:val="20"/>
          <w:lang w:eastAsia="en-US"/>
        </w:rPr>
        <w:t>Table (4)</w:t>
      </w:r>
    </w:p>
    <w:p w:rsidR="00014859" w:rsidRPr="00E076F7" w:rsidRDefault="00014859" w:rsidP="00694827">
      <w:pPr>
        <w:pStyle w:val="Caption"/>
        <w:suppressLineNumbers w:val="0"/>
        <w:suppressAutoHyphens w:val="0"/>
        <w:snapToGrid w:val="0"/>
        <w:spacing w:before="0" w:after="0"/>
        <w:jc w:val="center"/>
        <w:rPr>
          <w:i w:val="0"/>
          <w:iCs w:val="0"/>
          <w:sz w:val="20"/>
          <w:szCs w:val="20"/>
        </w:rPr>
        <w:sectPr w:rsidR="00014859" w:rsidRPr="00E076F7" w:rsidSect="00014859">
          <w:footnotePr>
            <w:pos w:val="beneathText"/>
          </w:footnotePr>
          <w:type w:val="continuous"/>
          <w:pgSz w:w="12240" w:h="15840" w:code="1"/>
          <w:pgMar w:top="1440" w:right="1440" w:bottom="1440" w:left="1440" w:header="720" w:footer="720" w:gutter="0"/>
          <w:cols w:num="2" w:space="600"/>
          <w:docGrid w:linePitch="360"/>
        </w:sectPr>
      </w:pPr>
    </w:p>
    <w:p w:rsidR="00CE2E0E" w:rsidRPr="00E076F7" w:rsidRDefault="00CE2E0E" w:rsidP="00694827">
      <w:pPr>
        <w:pStyle w:val="Caption"/>
        <w:suppressLineNumbers w:val="0"/>
        <w:suppressAutoHyphens w:val="0"/>
        <w:snapToGrid w:val="0"/>
        <w:spacing w:before="0" w:after="0"/>
        <w:jc w:val="center"/>
        <w:rPr>
          <w:i w:val="0"/>
          <w:iCs w:val="0"/>
          <w:sz w:val="20"/>
          <w:szCs w:val="20"/>
        </w:rPr>
      </w:pPr>
    </w:p>
    <w:p w:rsidR="00E076F7" w:rsidRDefault="00E076F7" w:rsidP="00694827">
      <w:pPr>
        <w:pStyle w:val="Caption"/>
        <w:suppressLineNumbers w:val="0"/>
        <w:suppressAutoHyphens w:val="0"/>
        <w:snapToGrid w:val="0"/>
        <w:spacing w:before="0" w:after="0"/>
        <w:jc w:val="center"/>
        <w:rPr>
          <w:rFonts w:hint="eastAsia"/>
          <w:i w:val="0"/>
          <w:iCs w:val="0"/>
          <w:sz w:val="20"/>
          <w:szCs w:val="20"/>
          <w:lang w:eastAsia="zh-CN"/>
        </w:rPr>
      </w:pPr>
    </w:p>
    <w:p w:rsidR="003820B9" w:rsidRPr="00E076F7" w:rsidRDefault="003820B9" w:rsidP="00694827">
      <w:pPr>
        <w:pStyle w:val="Caption"/>
        <w:suppressLineNumbers w:val="0"/>
        <w:suppressAutoHyphens w:val="0"/>
        <w:snapToGrid w:val="0"/>
        <w:spacing w:before="0" w:after="0"/>
        <w:jc w:val="center"/>
        <w:rPr>
          <w:i w:val="0"/>
          <w:iCs w:val="0"/>
          <w:sz w:val="20"/>
          <w:szCs w:val="20"/>
        </w:rPr>
      </w:pPr>
      <w:r w:rsidRPr="00E076F7">
        <w:rPr>
          <w:i w:val="0"/>
          <w:iCs w:val="0"/>
          <w:sz w:val="20"/>
          <w:szCs w:val="20"/>
        </w:rPr>
        <w:t xml:space="preserve">Table </w:t>
      </w:r>
      <w:r w:rsidR="00F85A9C" w:rsidRPr="00E076F7">
        <w:rPr>
          <w:i w:val="0"/>
          <w:iCs w:val="0"/>
          <w:sz w:val="20"/>
          <w:szCs w:val="20"/>
        </w:rPr>
        <w:fldChar w:fldCharType="begin"/>
      </w:r>
      <w:r w:rsidRPr="00E076F7">
        <w:rPr>
          <w:i w:val="0"/>
          <w:iCs w:val="0"/>
          <w:sz w:val="20"/>
          <w:szCs w:val="20"/>
        </w:rPr>
        <w:instrText xml:space="preserve"> SEQ Table \* ARABIC </w:instrText>
      </w:r>
      <w:r w:rsidR="00F85A9C" w:rsidRPr="00E076F7">
        <w:rPr>
          <w:i w:val="0"/>
          <w:iCs w:val="0"/>
          <w:sz w:val="20"/>
          <w:szCs w:val="20"/>
        </w:rPr>
        <w:fldChar w:fldCharType="separate"/>
      </w:r>
      <w:r w:rsidR="00E201F1" w:rsidRPr="00E076F7">
        <w:rPr>
          <w:i w:val="0"/>
          <w:iCs w:val="0"/>
          <w:noProof/>
          <w:sz w:val="20"/>
          <w:szCs w:val="20"/>
        </w:rPr>
        <w:t>1</w:t>
      </w:r>
      <w:r w:rsidR="00F85A9C" w:rsidRPr="00E076F7">
        <w:rPr>
          <w:i w:val="0"/>
          <w:iCs w:val="0"/>
          <w:sz w:val="20"/>
          <w:szCs w:val="20"/>
        </w:rPr>
        <w:fldChar w:fldCharType="end"/>
      </w:r>
      <w:r w:rsidRPr="00E076F7">
        <w:rPr>
          <w:i w:val="0"/>
          <w:iCs w:val="0"/>
          <w:noProof/>
          <w:sz w:val="20"/>
          <w:szCs w:val="20"/>
        </w:rPr>
        <w:t>: Demographic characteristics of the studied cases.</w:t>
      </w:r>
    </w:p>
    <w:tbl>
      <w:tblPr>
        <w:tblW w:w="5000" w:type="pct"/>
        <w:jc w:val="center"/>
        <w:tblBorders>
          <w:top w:val="single" w:sz="4" w:space="0" w:color="7F7F7F"/>
          <w:bottom w:val="single" w:sz="4" w:space="0" w:color="7F7F7F"/>
        </w:tblBorders>
        <w:tblCellMar>
          <w:left w:w="57" w:type="dxa"/>
          <w:right w:w="57" w:type="dxa"/>
        </w:tblCellMar>
        <w:tblLook w:val="04A0"/>
      </w:tblPr>
      <w:tblGrid>
        <w:gridCol w:w="5499"/>
        <w:gridCol w:w="1417"/>
        <w:gridCol w:w="2558"/>
      </w:tblGrid>
      <w:tr w:rsidR="00C408DA" w:rsidRPr="00E076F7" w:rsidTr="00176E9D">
        <w:trPr>
          <w:trHeight w:val="230"/>
          <w:jc w:val="center"/>
        </w:trPr>
        <w:tc>
          <w:tcPr>
            <w:tcW w:w="2902" w:type="pct"/>
            <w:vMerge w:val="restart"/>
            <w:tcBorders>
              <w:bottom w:val="single" w:sz="4" w:space="0" w:color="7F7F7F"/>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 Variables</w:t>
            </w:r>
          </w:p>
        </w:tc>
        <w:tc>
          <w:tcPr>
            <w:tcW w:w="748" w:type="pct"/>
            <w:vMerge w:val="restart"/>
            <w:tcBorders>
              <w:bottom w:val="single" w:sz="4" w:space="0" w:color="7F7F7F"/>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Mean</w:t>
            </w:r>
          </w:p>
        </w:tc>
        <w:tc>
          <w:tcPr>
            <w:tcW w:w="1351" w:type="pct"/>
            <w:vMerge w:val="restart"/>
            <w:tcBorders>
              <w:bottom w:val="single" w:sz="4" w:space="0" w:color="7F7F7F"/>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Std. Deviation</w:t>
            </w:r>
          </w:p>
        </w:tc>
      </w:tr>
      <w:tr w:rsidR="00C408DA" w:rsidRPr="00E076F7" w:rsidTr="00176E9D">
        <w:trPr>
          <w:trHeight w:val="230"/>
          <w:jc w:val="center"/>
        </w:trPr>
        <w:tc>
          <w:tcPr>
            <w:tcW w:w="2902" w:type="pct"/>
            <w:vMerge/>
            <w:tcBorders>
              <w:top w:val="single" w:sz="4" w:space="0" w:color="7F7F7F"/>
              <w:bottom w:val="single" w:sz="4" w:space="0" w:color="7F7F7F"/>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p>
        </w:tc>
        <w:tc>
          <w:tcPr>
            <w:tcW w:w="748" w:type="pct"/>
            <w:vMerge/>
            <w:tcBorders>
              <w:top w:val="single" w:sz="4" w:space="0" w:color="7F7F7F"/>
              <w:bottom w:val="single" w:sz="4" w:space="0" w:color="7F7F7F"/>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p>
        </w:tc>
        <w:tc>
          <w:tcPr>
            <w:tcW w:w="1351" w:type="pct"/>
            <w:vMerge/>
            <w:tcBorders>
              <w:top w:val="single" w:sz="4" w:space="0" w:color="7F7F7F"/>
              <w:bottom w:val="single" w:sz="4" w:space="0" w:color="7F7F7F"/>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p>
        </w:tc>
      </w:tr>
      <w:tr w:rsidR="00C408DA" w:rsidRPr="00E076F7" w:rsidTr="00176E9D">
        <w:trPr>
          <w:jc w:val="center"/>
        </w:trPr>
        <w:tc>
          <w:tcPr>
            <w:tcW w:w="2902" w:type="pct"/>
            <w:tcBorders>
              <w:top w:val="single" w:sz="4" w:space="0" w:color="7F7F7F"/>
              <w:bottom w:val="nil"/>
              <w:right w:val="nil"/>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Age (Year)</w:t>
            </w:r>
          </w:p>
        </w:tc>
        <w:tc>
          <w:tcPr>
            <w:tcW w:w="748" w:type="pct"/>
            <w:tcBorders>
              <w:top w:val="single" w:sz="4" w:space="0" w:color="7F7F7F"/>
              <w:left w:val="nil"/>
              <w:bottom w:val="nil"/>
              <w:right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57.83</w:t>
            </w:r>
          </w:p>
        </w:tc>
        <w:tc>
          <w:tcPr>
            <w:tcW w:w="1351" w:type="pct"/>
            <w:tcBorders>
              <w:top w:val="single" w:sz="4" w:space="0" w:color="7F7F7F"/>
              <w:left w:val="nil"/>
              <w:bottom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6.07</w:t>
            </w:r>
          </w:p>
        </w:tc>
      </w:tr>
      <w:tr w:rsidR="00C408DA" w:rsidRPr="00E076F7" w:rsidTr="00176E9D">
        <w:trPr>
          <w:jc w:val="center"/>
        </w:trPr>
        <w:tc>
          <w:tcPr>
            <w:tcW w:w="2902" w:type="pct"/>
            <w:tcBorders>
              <w:top w:val="nil"/>
              <w:bottom w:val="nil"/>
              <w:right w:val="nil"/>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Weight (Kg)</w:t>
            </w:r>
          </w:p>
        </w:tc>
        <w:tc>
          <w:tcPr>
            <w:tcW w:w="748" w:type="pct"/>
            <w:tcBorders>
              <w:top w:val="nil"/>
              <w:left w:val="nil"/>
              <w:bottom w:val="nil"/>
              <w:right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92.54</w:t>
            </w:r>
          </w:p>
        </w:tc>
        <w:tc>
          <w:tcPr>
            <w:tcW w:w="1351" w:type="pct"/>
            <w:tcBorders>
              <w:top w:val="nil"/>
              <w:left w:val="nil"/>
              <w:bottom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12.52</w:t>
            </w:r>
          </w:p>
        </w:tc>
      </w:tr>
      <w:tr w:rsidR="00C408DA" w:rsidRPr="00E076F7" w:rsidTr="00176E9D">
        <w:trPr>
          <w:jc w:val="center"/>
        </w:trPr>
        <w:tc>
          <w:tcPr>
            <w:tcW w:w="2902" w:type="pct"/>
            <w:tcBorders>
              <w:top w:val="nil"/>
              <w:bottom w:val="nil"/>
              <w:right w:val="nil"/>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Height (cm)</w:t>
            </w:r>
          </w:p>
        </w:tc>
        <w:tc>
          <w:tcPr>
            <w:tcW w:w="748" w:type="pct"/>
            <w:tcBorders>
              <w:top w:val="nil"/>
              <w:left w:val="nil"/>
              <w:bottom w:val="nil"/>
              <w:right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162.46</w:t>
            </w:r>
          </w:p>
        </w:tc>
        <w:tc>
          <w:tcPr>
            <w:tcW w:w="1351" w:type="pct"/>
            <w:tcBorders>
              <w:top w:val="nil"/>
              <w:left w:val="nil"/>
              <w:bottom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5.06</w:t>
            </w:r>
          </w:p>
        </w:tc>
      </w:tr>
      <w:tr w:rsidR="00C408DA" w:rsidRPr="00E076F7" w:rsidTr="00176E9D">
        <w:trPr>
          <w:jc w:val="center"/>
        </w:trPr>
        <w:tc>
          <w:tcPr>
            <w:tcW w:w="2902" w:type="pct"/>
            <w:tcBorders>
              <w:top w:val="nil"/>
              <w:bottom w:val="nil"/>
              <w:right w:val="nil"/>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BMI</w:t>
            </w:r>
          </w:p>
        </w:tc>
        <w:tc>
          <w:tcPr>
            <w:tcW w:w="748" w:type="pct"/>
            <w:tcBorders>
              <w:top w:val="nil"/>
              <w:left w:val="nil"/>
              <w:bottom w:val="nil"/>
              <w:right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35.24</w:t>
            </w:r>
          </w:p>
        </w:tc>
        <w:tc>
          <w:tcPr>
            <w:tcW w:w="1351" w:type="pct"/>
            <w:tcBorders>
              <w:top w:val="nil"/>
              <w:left w:val="nil"/>
              <w:bottom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5.83</w:t>
            </w:r>
          </w:p>
        </w:tc>
      </w:tr>
      <w:tr w:rsidR="00C408DA" w:rsidRPr="00E076F7" w:rsidTr="00176E9D">
        <w:trPr>
          <w:jc w:val="center"/>
        </w:trPr>
        <w:tc>
          <w:tcPr>
            <w:tcW w:w="2902" w:type="pct"/>
            <w:tcBorders>
              <w:top w:val="nil"/>
              <w:bottom w:val="nil"/>
              <w:right w:val="nil"/>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Gravidity</w:t>
            </w:r>
          </w:p>
        </w:tc>
        <w:tc>
          <w:tcPr>
            <w:tcW w:w="748" w:type="pct"/>
            <w:tcBorders>
              <w:top w:val="nil"/>
              <w:left w:val="nil"/>
              <w:bottom w:val="nil"/>
              <w:right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4.14</w:t>
            </w:r>
          </w:p>
        </w:tc>
        <w:tc>
          <w:tcPr>
            <w:tcW w:w="1351" w:type="pct"/>
            <w:tcBorders>
              <w:top w:val="nil"/>
              <w:left w:val="nil"/>
              <w:bottom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1.84</w:t>
            </w:r>
          </w:p>
        </w:tc>
      </w:tr>
      <w:tr w:rsidR="00C408DA" w:rsidRPr="00E076F7" w:rsidTr="00176E9D">
        <w:trPr>
          <w:jc w:val="center"/>
        </w:trPr>
        <w:tc>
          <w:tcPr>
            <w:tcW w:w="2902" w:type="pct"/>
            <w:tcBorders>
              <w:top w:val="nil"/>
              <w:bottom w:val="nil"/>
              <w:right w:val="nil"/>
            </w:tcBorders>
            <w:shd w:val="clear" w:color="auto" w:fill="auto"/>
            <w:vAlign w:val="center"/>
            <w:hideMark/>
          </w:tcPr>
          <w:p w:rsidR="00C408DA" w:rsidRPr="00E076F7" w:rsidRDefault="00C408DA" w:rsidP="00694827">
            <w:pPr>
              <w:suppressAutoHyphens w:val="0"/>
              <w:snapToGrid w:val="0"/>
              <w:jc w:val="both"/>
              <w:rPr>
                <w:b/>
                <w:bCs/>
                <w:sz w:val="20"/>
                <w:szCs w:val="20"/>
                <w:lang w:bidi="ar-EG"/>
              </w:rPr>
            </w:pPr>
            <w:r w:rsidRPr="00E076F7">
              <w:rPr>
                <w:b/>
                <w:bCs/>
                <w:sz w:val="20"/>
                <w:szCs w:val="20"/>
                <w:lang w:bidi="ar-EG"/>
              </w:rPr>
              <w:t>Parity</w:t>
            </w:r>
          </w:p>
        </w:tc>
        <w:tc>
          <w:tcPr>
            <w:tcW w:w="748" w:type="pct"/>
            <w:tcBorders>
              <w:top w:val="nil"/>
              <w:left w:val="nil"/>
              <w:bottom w:val="nil"/>
              <w:right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3.19</w:t>
            </w:r>
          </w:p>
        </w:tc>
        <w:tc>
          <w:tcPr>
            <w:tcW w:w="1351" w:type="pct"/>
            <w:tcBorders>
              <w:top w:val="nil"/>
              <w:left w:val="nil"/>
              <w:bottom w:val="nil"/>
            </w:tcBorders>
            <w:shd w:val="clear" w:color="auto" w:fill="auto"/>
            <w:noWrap/>
            <w:vAlign w:val="center"/>
            <w:hideMark/>
          </w:tcPr>
          <w:p w:rsidR="00C408DA" w:rsidRPr="00E076F7" w:rsidRDefault="00C408DA" w:rsidP="00694827">
            <w:pPr>
              <w:suppressAutoHyphens w:val="0"/>
              <w:snapToGrid w:val="0"/>
              <w:jc w:val="both"/>
              <w:rPr>
                <w:sz w:val="20"/>
                <w:szCs w:val="20"/>
                <w:lang w:bidi="ar-EG"/>
              </w:rPr>
            </w:pPr>
            <w:r w:rsidRPr="00E076F7">
              <w:rPr>
                <w:sz w:val="20"/>
                <w:szCs w:val="20"/>
                <w:lang w:bidi="ar-EG"/>
              </w:rPr>
              <w:t>1.46</w:t>
            </w:r>
          </w:p>
        </w:tc>
      </w:tr>
      <w:tr w:rsidR="00675DAB" w:rsidRPr="00E076F7" w:rsidTr="00176E9D">
        <w:trPr>
          <w:jc w:val="center"/>
        </w:trPr>
        <w:tc>
          <w:tcPr>
            <w:tcW w:w="2902" w:type="pct"/>
            <w:tcBorders>
              <w:top w:val="nil"/>
              <w:bottom w:val="single" w:sz="4" w:space="0" w:color="7F7F7F"/>
              <w:right w:val="nil"/>
            </w:tcBorders>
            <w:shd w:val="clear" w:color="auto" w:fill="auto"/>
            <w:vAlign w:val="center"/>
          </w:tcPr>
          <w:p w:rsidR="00C408DA" w:rsidRPr="00E076F7" w:rsidRDefault="00C408DA" w:rsidP="00694827">
            <w:pPr>
              <w:suppressAutoHyphens w:val="0"/>
              <w:snapToGrid w:val="0"/>
              <w:jc w:val="both"/>
              <w:rPr>
                <w:b/>
                <w:bCs/>
                <w:noProof/>
                <w:sz w:val="20"/>
                <w:szCs w:val="20"/>
              </w:rPr>
            </w:pPr>
            <w:r w:rsidRPr="00E076F7">
              <w:rPr>
                <w:b/>
                <w:bCs/>
                <w:noProof/>
                <w:sz w:val="20"/>
                <w:szCs w:val="20"/>
              </w:rPr>
              <w:t>Endometrial thickness by TVS (mm)</w:t>
            </w:r>
          </w:p>
        </w:tc>
        <w:tc>
          <w:tcPr>
            <w:tcW w:w="748" w:type="pct"/>
            <w:tcBorders>
              <w:top w:val="nil"/>
              <w:left w:val="nil"/>
              <w:bottom w:val="single" w:sz="4" w:space="0" w:color="7F7F7F"/>
              <w:right w:val="nil"/>
            </w:tcBorders>
            <w:shd w:val="clear" w:color="auto" w:fill="auto"/>
            <w:vAlign w:val="center"/>
          </w:tcPr>
          <w:p w:rsidR="00C408DA" w:rsidRPr="00E076F7" w:rsidRDefault="00C408DA" w:rsidP="00694827">
            <w:pPr>
              <w:suppressAutoHyphens w:val="0"/>
              <w:snapToGrid w:val="0"/>
              <w:jc w:val="both"/>
              <w:rPr>
                <w:noProof/>
                <w:sz w:val="20"/>
                <w:szCs w:val="20"/>
              </w:rPr>
            </w:pPr>
            <w:r w:rsidRPr="00E076F7">
              <w:rPr>
                <w:noProof/>
                <w:sz w:val="20"/>
                <w:szCs w:val="20"/>
              </w:rPr>
              <w:t>13.12</w:t>
            </w:r>
          </w:p>
        </w:tc>
        <w:tc>
          <w:tcPr>
            <w:tcW w:w="1351" w:type="pct"/>
            <w:tcBorders>
              <w:top w:val="nil"/>
              <w:left w:val="nil"/>
              <w:bottom w:val="single" w:sz="4" w:space="0" w:color="7F7F7F"/>
            </w:tcBorders>
            <w:shd w:val="clear" w:color="auto" w:fill="auto"/>
            <w:vAlign w:val="center"/>
          </w:tcPr>
          <w:p w:rsidR="00C408DA" w:rsidRPr="00E076F7" w:rsidRDefault="00C408DA" w:rsidP="00694827">
            <w:pPr>
              <w:suppressAutoHyphens w:val="0"/>
              <w:snapToGrid w:val="0"/>
              <w:jc w:val="both"/>
              <w:rPr>
                <w:noProof/>
                <w:sz w:val="20"/>
                <w:szCs w:val="20"/>
                <w:lang w:bidi="ar-EG"/>
              </w:rPr>
            </w:pPr>
            <w:r w:rsidRPr="00E076F7">
              <w:rPr>
                <w:noProof/>
                <w:sz w:val="20"/>
                <w:szCs w:val="20"/>
              </w:rPr>
              <w:t>7.99</w:t>
            </w:r>
          </w:p>
        </w:tc>
      </w:tr>
    </w:tbl>
    <w:p w:rsidR="00014859" w:rsidRPr="00E076F7" w:rsidRDefault="00014859" w:rsidP="00694827">
      <w:pPr>
        <w:pStyle w:val="Caption"/>
        <w:suppressLineNumbers w:val="0"/>
        <w:suppressAutoHyphens w:val="0"/>
        <w:snapToGrid w:val="0"/>
        <w:spacing w:before="0" w:after="0"/>
        <w:ind w:firstLine="425"/>
        <w:jc w:val="both"/>
        <w:rPr>
          <w:i w:val="0"/>
          <w:iCs w:val="0"/>
          <w:sz w:val="20"/>
          <w:szCs w:val="20"/>
          <w:lang w:eastAsia="zh-CN"/>
        </w:rPr>
      </w:pPr>
    </w:p>
    <w:p w:rsidR="003820B9" w:rsidRPr="00E076F7" w:rsidRDefault="003820B9" w:rsidP="00014859">
      <w:pPr>
        <w:pStyle w:val="Caption"/>
        <w:suppressLineNumbers w:val="0"/>
        <w:suppressAutoHyphens w:val="0"/>
        <w:snapToGrid w:val="0"/>
        <w:spacing w:before="0" w:after="0"/>
        <w:jc w:val="center"/>
        <w:rPr>
          <w:i w:val="0"/>
          <w:iCs w:val="0"/>
          <w:sz w:val="20"/>
          <w:szCs w:val="20"/>
        </w:rPr>
      </w:pPr>
      <w:r w:rsidRPr="00E076F7">
        <w:rPr>
          <w:i w:val="0"/>
          <w:iCs w:val="0"/>
          <w:sz w:val="20"/>
          <w:szCs w:val="20"/>
        </w:rPr>
        <w:t xml:space="preserve">Table </w:t>
      </w:r>
      <w:r w:rsidR="00F85A9C" w:rsidRPr="00E076F7">
        <w:rPr>
          <w:i w:val="0"/>
          <w:iCs w:val="0"/>
          <w:sz w:val="20"/>
          <w:szCs w:val="20"/>
        </w:rPr>
        <w:fldChar w:fldCharType="begin"/>
      </w:r>
      <w:r w:rsidRPr="00E076F7">
        <w:rPr>
          <w:i w:val="0"/>
          <w:iCs w:val="0"/>
          <w:sz w:val="20"/>
          <w:szCs w:val="20"/>
        </w:rPr>
        <w:instrText xml:space="preserve"> SEQ Table \* ARABIC </w:instrText>
      </w:r>
      <w:r w:rsidR="00F85A9C" w:rsidRPr="00E076F7">
        <w:rPr>
          <w:i w:val="0"/>
          <w:iCs w:val="0"/>
          <w:sz w:val="20"/>
          <w:szCs w:val="20"/>
        </w:rPr>
        <w:fldChar w:fldCharType="separate"/>
      </w:r>
      <w:r w:rsidR="00E201F1" w:rsidRPr="00E076F7">
        <w:rPr>
          <w:i w:val="0"/>
          <w:iCs w:val="0"/>
          <w:noProof/>
          <w:sz w:val="20"/>
          <w:szCs w:val="20"/>
        </w:rPr>
        <w:t>2</w:t>
      </w:r>
      <w:r w:rsidR="00F85A9C" w:rsidRPr="00E076F7">
        <w:rPr>
          <w:i w:val="0"/>
          <w:iCs w:val="0"/>
          <w:sz w:val="20"/>
          <w:szCs w:val="20"/>
        </w:rPr>
        <w:fldChar w:fldCharType="end"/>
      </w:r>
      <w:r w:rsidRPr="00E076F7">
        <w:rPr>
          <w:i w:val="0"/>
          <w:iCs w:val="0"/>
          <w:noProof/>
          <w:sz w:val="20"/>
          <w:szCs w:val="20"/>
        </w:rPr>
        <w:t>: Past History of the studied cases.</w:t>
      </w:r>
    </w:p>
    <w:tbl>
      <w:tblPr>
        <w:tblW w:w="5000" w:type="pct"/>
        <w:jc w:val="center"/>
        <w:tblBorders>
          <w:top w:val="single" w:sz="4" w:space="0" w:color="7F7F7F"/>
          <w:bottom w:val="single" w:sz="4" w:space="0" w:color="7F7F7F"/>
        </w:tblBorders>
        <w:tblCellMar>
          <w:left w:w="57" w:type="dxa"/>
          <w:right w:w="57" w:type="dxa"/>
        </w:tblCellMar>
        <w:tblLook w:val="04A0"/>
      </w:tblPr>
      <w:tblGrid>
        <w:gridCol w:w="3964"/>
        <w:gridCol w:w="3323"/>
        <w:gridCol w:w="2187"/>
      </w:tblGrid>
      <w:tr w:rsidR="00FA7753" w:rsidRPr="00E076F7" w:rsidTr="00176E9D">
        <w:trPr>
          <w:jc w:val="center"/>
        </w:trPr>
        <w:tc>
          <w:tcPr>
            <w:tcW w:w="3845" w:type="pct"/>
            <w:gridSpan w:val="2"/>
            <w:tcBorders>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bidi="ar-EG"/>
              </w:rPr>
            </w:pPr>
            <w:r w:rsidRPr="00E076F7">
              <w:rPr>
                <w:rFonts w:eastAsia="Calibri"/>
                <w:b/>
                <w:bCs/>
                <w:noProof/>
                <w:sz w:val="20"/>
                <w:szCs w:val="20"/>
                <w:lang w:eastAsia="en-US"/>
              </w:rPr>
              <w:t>Past History</w:t>
            </w:r>
          </w:p>
        </w:tc>
        <w:tc>
          <w:tcPr>
            <w:tcW w:w="1155" w:type="pct"/>
            <w:tcBorders>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bidi="ar-EG"/>
              </w:rPr>
            </w:pPr>
            <w:r w:rsidRPr="00E076F7">
              <w:rPr>
                <w:rFonts w:eastAsia="Calibri"/>
                <w:b/>
                <w:bCs/>
                <w:noProof/>
                <w:sz w:val="20"/>
                <w:szCs w:val="20"/>
                <w:lang w:eastAsia="en-US" w:bidi="ar-EG"/>
              </w:rPr>
              <w:t>Frequency</w:t>
            </w:r>
          </w:p>
        </w:tc>
      </w:tr>
      <w:tr w:rsidR="00FA7753" w:rsidRPr="00E076F7" w:rsidTr="00176E9D">
        <w:trPr>
          <w:jc w:val="center"/>
        </w:trPr>
        <w:tc>
          <w:tcPr>
            <w:tcW w:w="2092" w:type="pct"/>
            <w:vMerge w:val="restart"/>
            <w:tcBorders>
              <w:top w:val="single" w:sz="4" w:space="0" w:color="7F7F7F"/>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Medical disorder</w:t>
            </w:r>
          </w:p>
        </w:tc>
        <w:tc>
          <w:tcPr>
            <w:tcW w:w="1754" w:type="pct"/>
            <w:tcBorders>
              <w:top w:val="single" w:sz="4" w:space="0" w:color="7F7F7F"/>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Free</w:t>
            </w:r>
          </w:p>
        </w:tc>
        <w:tc>
          <w:tcPr>
            <w:tcW w:w="1155" w:type="pct"/>
            <w:tcBorders>
              <w:top w:val="single" w:sz="4" w:space="0" w:color="7F7F7F"/>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44</w:t>
            </w:r>
          </w:p>
        </w:tc>
      </w:tr>
      <w:tr w:rsidR="00FA7753" w:rsidRPr="00E076F7" w:rsidTr="00176E9D">
        <w:trPr>
          <w:jc w:val="center"/>
        </w:trPr>
        <w:tc>
          <w:tcPr>
            <w:tcW w:w="2092" w:type="pct"/>
            <w:vMerge/>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DM</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13</w:t>
            </w:r>
          </w:p>
        </w:tc>
      </w:tr>
      <w:tr w:rsidR="00FA7753" w:rsidRPr="00E076F7" w:rsidTr="00176E9D">
        <w:trPr>
          <w:jc w:val="center"/>
        </w:trPr>
        <w:tc>
          <w:tcPr>
            <w:tcW w:w="2092" w:type="pct"/>
            <w:vMerge/>
            <w:tcBorders>
              <w:top w:val="single" w:sz="4" w:space="0" w:color="7F7F7F"/>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HTN</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14</w:t>
            </w:r>
          </w:p>
        </w:tc>
      </w:tr>
      <w:tr w:rsidR="00FA7753" w:rsidRPr="00E076F7" w:rsidTr="00176E9D">
        <w:trPr>
          <w:jc w:val="center"/>
        </w:trPr>
        <w:tc>
          <w:tcPr>
            <w:tcW w:w="2092" w:type="pct"/>
            <w:vMerge/>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HTN</w:t>
            </w:r>
            <w:r w:rsidR="00176E9D" w:rsidRPr="00E076F7">
              <w:rPr>
                <w:rFonts w:eastAsia="Calibri"/>
                <w:b/>
                <w:bCs/>
                <w:sz w:val="20"/>
                <w:szCs w:val="20"/>
                <w:lang w:eastAsia="en-US"/>
              </w:rPr>
              <w:t xml:space="preserve"> &amp; </w:t>
            </w:r>
            <w:r w:rsidRPr="00E076F7">
              <w:rPr>
                <w:rFonts w:eastAsia="Calibri"/>
                <w:b/>
                <w:bCs/>
                <w:sz w:val="20"/>
                <w:szCs w:val="20"/>
                <w:lang w:eastAsia="en-US"/>
              </w:rPr>
              <w:t>DM</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15</w:t>
            </w:r>
          </w:p>
        </w:tc>
      </w:tr>
      <w:tr w:rsidR="00FA7753" w:rsidRPr="00E076F7" w:rsidTr="00176E9D">
        <w:trPr>
          <w:jc w:val="center"/>
        </w:trPr>
        <w:tc>
          <w:tcPr>
            <w:tcW w:w="2092" w:type="pct"/>
            <w:vMerge/>
            <w:tcBorders>
              <w:top w:val="single" w:sz="4" w:space="0" w:color="7F7F7F"/>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HCV</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4</w:t>
            </w:r>
          </w:p>
        </w:tc>
      </w:tr>
      <w:tr w:rsidR="00FA7753" w:rsidRPr="00E076F7" w:rsidTr="00176E9D">
        <w:trPr>
          <w:jc w:val="center"/>
        </w:trPr>
        <w:tc>
          <w:tcPr>
            <w:tcW w:w="2092" w:type="pct"/>
            <w:vMerge/>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Bronchial asthma</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2</w:t>
            </w:r>
          </w:p>
        </w:tc>
      </w:tr>
      <w:tr w:rsidR="00FA7753" w:rsidRPr="00E076F7" w:rsidTr="00176E9D">
        <w:trPr>
          <w:jc w:val="center"/>
        </w:trPr>
        <w:tc>
          <w:tcPr>
            <w:tcW w:w="2092" w:type="pct"/>
            <w:vMerge/>
            <w:tcBorders>
              <w:top w:val="single" w:sz="4" w:space="0" w:color="7F7F7F"/>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Ischemic heart</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1</w:t>
            </w:r>
          </w:p>
        </w:tc>
      </w:tr>
      <w:tr w:rsidR="00FA7753" w:rsidRPr="00E076F7" w:rsidTr="00176E9D">
        <w:trPr>
          <w:jc w:val="center"/>
        </w:trPr>
        <w:tc>
          <w:tcPr>
            <w:tcW w:w="2092" w:type="pct"/>
            <w:vMerge/>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Combined</w:t>
            </w:r>
          </w:p>
        </w:tc>
        <w:tc>
          <w:tcPr>
            <w:tcW w:w="1155" w:type="pct"/>
            <w:tcBorders>
              <w:top w:val="nil"/>
              <w:left w:val="nil"/>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7</w:t>
            </w:r>
          </w:p>
        </w:tc>
      </w:tr>
      <w:tr w:rsidR="00FA7753" w:rsidRPr="00E076F7" w:rsidTr="00176E9D">
        <w:trPr>
          <w:jc w:val="center"/>
        </w:trPr>
        <w:tc>
          <w:tcPr>
            <w:tcW w:w="2092" w:type="pct"/>
            <w:vMerge w:val="restart"/>
            <w:tcBorders>
              <w:top w:val="single" w:sz="4" w:space="0" w:color="7F7F7F"/>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Previous uterine surgery</w:t>
            </w:r>
          </w:p>
        </w:tc>
        <w:tc>
          <w:tcPr>
            <w:tcW w:w="1754" w:type="pct"/>
            <w:tcBorders>
              <w:top w:val="single" w:sz="4" w:space="0" w:color="7F7F7F"/>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Yes</w:t>
            </w:r>
          </w:p>
        </w:tc>
        <w:tc>
          <w:tcPr>
            <w:tcW w:w="1155" w:type="pct"/>
            <w:tcBorders>
              <w:top w:val="single" w:sz="4" w:space="0" w:color="7F7F7F"/>
              <w:left w:val="nil"/>
              <w:bottom w:val="nil"/>
            </w:tcBorders>
            <w:shd w:val="clear" w:color="auto" w:fill="auto"/>
            <w:vAlign w:val="center"/>
          </w:tcPr>
          <w:p w:rsidR="00FA7753" w:rsidRPr="00E076F7" w:rsidRDefault="00FA7753" w:rsidP="00694827">
            <w:pPr>
              <w:suppressAutoHyphens w:val="0"/>
              <w:snapToGrid w:val="0"/>
              <w:jc w:val="both"/>
              <w:rPr>
                <w:rFonts w:eastAsia="Calibri"/>
                <w:noProof/>
                <w:sz w:val="20"/>
                <w:szCs w:val="20"/>
                <w:lang w:eastAsia="en-US" w:bidi="ar-EG"/>
              </w:rPr>
            </w:pPr>
            <w:r w:rsidRPr="00E076F7">
              <w:rPr>
                <w:rFonts w:eastAsia="Calibri"/>
                <w:noProof/>
                <w:sz w:val="20"/>
                <w:szCs w:val="20"/>
                <w:lang w:eastAsia="en-US" w:bidi="ar-EG"/>
              </w:rPr>
              <w:t>31</w:t>
            </w:r>
          </w:p>
        </w:tc>
      </w:tr>
      <w:tr w:rsidR="00FA7753" w:rsidRPr="00E076F7" w:rsidTr="00176E9D">
        <w:trPr>
          <w:jc w:val="center"/>
        </w:trPr>
        <w:tc>
          <w:tcPr>
            <w:tcW w:w="2092" w:type="pct"/>
            <w:vMerge/>
            <w:tcBorders>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No</w:t>
            </w:r>
          </w:p>
        </w:tc>
        <w:tc>
          <w:tcPr>
            <w:tcW w:w="1155" w:type="pct"/>
            <w:tcBorders>
              <w:top w:val="nil"/>
              <w:left w:val="nil"/>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noProof/>
                <w:sz w:val="20"/>
                <w:szCs w:val="20"/>
                <w:lang w:eastAsia="en-US"/>
              </w:rPr>
            </w:pPr>
            <w:r w:rsidRPr="00E076F7">
              <w:rPr>
                <w:rFonts w:eastAsia="Calibri"/>
                <w:noProof/>
                <w:sz w:val="20"/>
                <w:szCs w:val="20"/>
                <w:lang w:eastAsia="en-US"/>
              </w:rPr>
              <w:t>69</w:t>
            </w:r>
          </w:p>
        </w:tc>
      </w:tr>
      <w:tr w:rsidR="00FA7753" w:rsidRPr="00E076F7" w:rsidTr="00176E9D">
        <w:trPr>
          <w:jc w:val="center"/>
        </w:trPr>
        <w:tc>
          <w:tcPr>
            <w:tcW w:w="2092" w:type="pct"/>
            <w:vMerge w:val="restart"/>
            <w:tcBorders>
              <w:top w:val="single" w:sz="4" w:space="0" w:color="7F7F7F"/>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Previous endometrial biopsy</w:t>
            </w:r>
          </w:p>
        </w:tc>
        <w:tc>
          <w:tcPr>
            <w:tcW w:w="1754" w:type="pct"/>
            <w:tcBorders>
              <w:top w:val="single" w:sz="4" w:space="0" w:color="7F7F7F"/>
              <w:left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Yes</w:t>
            </w:r>
          </w:p>
        </w:tc>
        <w:tc>
          <w:tcPr>
            <w:tcW w:w="1155" w:type="pct"/>
            <w:tcBorders>
              <w:top w:val="single" w:sz="4" w:space="0" w:color="7F7F7F"/>
              <w:left w:val="nil"/>
              <w:bottom w:val="nil"/>
            </w:tcBorders>
            <w:shd w:val="clear" w:color="auto" w:fill="auto"/>
            <w:vAlign w:val="center"/>
          </w:tcPr>
          <w:p w:rsidR="00FA7753" w:rsidRPr="00E076F7" w:rsidRDefault="00FA7753" w:rsidP="00694827">
            <w:pPr>
              <w:suppressAutoHyphens w:val="0"/>
              <w:snapToGrid w:val="0"/>
              <w:jc w:val="both"/>
              <w:rPr>
                <w:rFonts w:eastAsia="Calibri"/>
                <w:noProof/>
                <w:sz w:val="20"/>
                <w:szCs w:val="20"/>
                <w:lang w:eastAsia="en-US"/>
              </w:rPr>
            </w:pPr>
            <w:r w:rsidRPr="00E076F7">
              <w:rPr>
                <w:rFonts w:eastAsia="Calibri"/>
                <w:noProof/>
                <w:sz w:val="20"/>
                <w:szCs w:val="20"/>
                <w:lang w:eastAsia="en-US"/>
              </w:rPr>
              <w:t>27</w:t>
            </w:r>
          </w:p>
        </w:tc>
      </w:tr>
      <w:tr w:rsidR="00FA7753" w:rsidRPr="00E076F7" w:rsidTr="00176E9D">
        <w:trPr>
          <w:jc w:val="center"/>
        </w:trPr>
        <w:tc>
          <w:tcPr>
            <w:tcW w:w="2092" w:type="pct"/>
            <w:vMerge/>
            <w:tcBorders>
              <w:top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left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No</w:t>
            </w:r>
          </w:p>
        </w:tc>
        <w:tc>
          <w:tcPr>
            <w:tcW w:w="1155" w:type="pct"/>
            <w:tcBorders>
              <w:top w:val="nil"/>
              <w:left w:val="nil"/>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noProof/>
                <w:sz w:val="20"/>
                <w:szCs w:val="20"/>
                <w:lang w:eastAsia="en-US" w:bidi="ar-EG"/>
              </w:rPr>
            </w:pPr>
            <w:r w:rsidRPr="00E076F7">
              <w:rPr>
                <w:rFonts w:eastAsia="Calibri"/>
                <w:noProof/>
                <w:sz w:val="20"/>
                <w:szCs w:val="20"/>
                <w:lang w:eastAsia="en-US" w:bidi="ar-EG"/>
              </w:rPr>
              <w:t>73</w:t>
            </w:r>
          </w:p>
        </w:tc>
      </w:tr>
      <w:tr w:rsidR="00FA7753" w:rsidRPr="00E076F7" w:rsidTr="00176E9D">
        <w:trPr>
          <w:jc w:val="center"/>
        </w:trPr>
        <w:tc>
          <w:tcPr>
            <w:tcW w:w="2092" w:type="pct"/>
            <w:vMerge w:val="restart"/>
            <w:tcBorders>
              <w:top w:val="single" w:sz="4" w:space="0" w:color="7F7F7F"/>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Previous hormonal therapy</w:t>
            </w:r>
          </w:p>
        </w:tc>
        <w:tc>
          <w:tcPr>
            <w:tcW w:w="1754" w:type="pct"/>
            <w:tcBorders>
              <w:top w:val="single" w:sz="4" w:space="0" w:color="7F7F7F"/>
              <w:left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Yes</w:t>
            </w:r>
          </w:p>
        </w:tc>
        <w:tc>
          <w:tcPr>
            <w:tcW w:w="1155" w:type="pct"/>
            <w:tcBorders>
              <w:top w:val="single" w:sz="4" w:space="0" w:color="7F7F7F"/>
              <w:left w:val="nil"/>
              <w:bottom w:val="nil"/>
            </w:tcBorders>
            <w:shd w:val="clear" w:color="auto" w:fill="auto"/>
            <w:vAlign w:val="center"/>
          </w:tcPr>
          <w:p w:rsidR="00FA7753" w:rsidRPr="00E076F7" w:rsidRDefault="00FA7753" w:rsidP="00694827">
            <w:pPr>
              <w:suppressAutoHyphens w:val="0"/>
              <w:snapToGrid w:val="0"/>
              <w:jc w:val="both"/>
              <w:rPr>
                <w:rFonts w:eastAsia="Calibri"/>
                <w:noProof/>
                <w:sz w:val="20"/>
                <w:szCs w:val="20"/>
                <w:lang w:eastAsia="en-US"/>
              </w:rPr>
            </w:pPr>
            <w:r w:rsidRPr="00E076F7">
              <w:rPr>
                <w:rFonts w:eastAsia="Calibri"/>
                <w:noProof/>
                <w:sz w:val="20"/>
                <w:szCs w:val="20"/>
                <w:lang w:eastAsia="en-US"/>
              </w:rPr>
              <w:t>28</w:t>
            </w:r>
          </w:p>
        </w:tc>
      </w:tr>
      <w:tr w:rsidR="00FA7753" w:rsidRPr="00E076F7" w:rsidTr="00176E9D">
        <w:trPr>
          <w:jc w:val="center"/>
        </w:trPr>
        <w:tc>
          <w:tcPr>
            <w:tcW w:w="2092" w:type="pct"/>
            <w:vMerge/>
            <w:tcBorders>
              <w:top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p>
        </w:tc>
        <w:tc>
          <w:tcPr>
            <w:tcW w:w="1754" w:type="pct"/>
            <w:tcBorders>
              <w:top w:val="nil"/>
              <w:left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No</w:t>
            </w:r>
          </w:p>
        </w:tc>
        <w:tc>
          <w:tcPr>
            <w:tcW w:w="1155" w:type="pct"/>
            <w:tcBorders>
              <w:top w:val="nil"/>
              <w:left w:val="nil"/>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noProof/>
                <w:sz w:val="20"/>
                <w:szCs w:val="20"/>
                <w:lang w:eastAsia="en-US"/>
              </w:rPr>
            </w:pPr>
            <w:r w:rsidRPr="00E076F7">
              <w:rPr>
                <w:rFonts w:eastAsia="Calibri"/>
                <w:noProof/>
                <w:sz w:val="20"/>
                <w:szCs w:val="20"/>
                <w:lang w:eastAsia="en-US"/>
              </w:rPr>
              <w:t>72</w:t>
            </w:r>
          </w:p>
        </w:tc>
      </w:tr>
      <w:tr w:rsidR="00FA7753" w:rsidRPr="00E076F7" w:rsidTr="00176E9D">
        <w:trPr>
          <w:jc w:val="center"/>
        </w:trPr>
        <w:tc>
          <w:tcPr>
            <w:tcW w:w="2092" w:type="pct"/>
            <w:vMerge w:val="restart"/>
            <w:tcBorders>
              <w:top w:val="single" w:sz="4" w:space="0" w:color="7F7F7F"/>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rPr>
            </w:pPr>
            <w:r w:rsidRPr="00E076F7">
              <w:rPr>
                <w:rFonts w:eastAsia="Calibri"/>
                <w:b/>
                <w:bCs/>
                <w:noProof/>
                <w:sz w:val="20"/>
                <w:szCs w:val="20"/>
                <w:lang w:eastAsia="en-US"/>
              </w:rPr>
              <w:t>Associated lesion</w:t>
            </w:r>
          </w:p>
        </w:tc>
        <w:tc>
          <w:tcPr>
            <w:tcW w:w="1754" w:type="pct"/>
            <w:tcBorders>
              <w:top w:val="single" w:sz="4" w:space="0" w:color="7F7F7F"/>
              <w:left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No Associated lesion</w:t>
            </w:r>
          </w:p>
        </w:tc>
        <w:tc>
          <w:tcPr>
            <w:tcW w:w="1155" w:type="pct"/>
            <w:tcBorders>
              <w:top w:val="single" w:sz="4" w:space="0" w:color="7F7F7F"/>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81</w:t>
            </w:r>
          </w:p>
        </w:tc>
      </w:tr>
      <w:tr w:rsidR="00FA7753" w:rsidRPr="00E076F7" w:rsidTr="00176E9D">
        <w:trPr>
          <w:jc w:val="center"/>
        </w:trPr>
        <w:tc>
          <w:tcPr>
            <w:tcW w:w="2092" w:type="pct"/>
            <w:vMerge/>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bidi="ar-EG"/>
              </w:rPr>
            </w:pPr>
          </w:p>
        </w:tc>
        <w:tc>
          <w:tcPr>
            <w:tcW w:w="1754" w:type="pct"/>
            <w:tcBorders>
              <w:top w:val="nil"/>
              <w:left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proofErr w:type="spellStart"/>
            <w:r w:rsidRPr="00E076F7">
              <w:rPr>
                <w:rFonts w:eastAsia="Calibri"/>
                <w:b/>
                <w:bCs/>
                <w:sz w:val="20"/>
                <w:szCs w:val="20"/>
                <w:lang w:eastAsia="en-US"/>
              </w:rPr>
              <w:t>Adenomyosis</w:t>
            </w:r>
            <w:proofErr w:type="spellEnd"/>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6</w:t>
            </w:r>
          </w:p>
        </w:tc>
      </w:tr>
      <w:tr w:rsidR="00FA7753" w:rsidRPr="00E076F7" w:rsidTr="00176E9D">
        <w:trPr>
          <w:jc w:val="center"/>
        </w:trPr>
        <w:tc>
          <w:tcPr>
            <w:tcW w:w="2092" w:type="pct"/>
            <w:vMerge/>
            <w:tcBorders>
              <w:top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bidi="ar-EG"/>
              </w:rPr>
            </w:pPr>
          </w:p>
        </w:tc>
        <w:tc>
          <w:tcPr>
            <w:tcW w:w="1754" w:type="pct"/>
            <w:tcBorders>
              <w:top w:val="nil"/>
              <w:left w:val="nil"/>
              <w:bottom w:val="nil"/>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Fibroid</w:t>
            </w:r>
          </w:p>
        </w:tc>
        <w:tc>
          <w:tcPr>
            <w:tcW w:w="1155" w:type="pct"/>
            <w:tcBorders>
              <w:top w:val="nil"/>
              <w:left w:val="nil"/>
              <w:bottom w:val="nil"/>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8</w:t>
            </w:r>
          </w:p>
        </w:tc>
      </w:tr>
      <w:tr w:rsidR="00FA7753" w:rsidRPr="00E076F7" w:rsidTr="00176E9D">
        <w:trPr>
          <w:jc w:val="center"/>
        </w:trPr>
        <w:tc>
          <w:tcPr>
            <w:tcW w:w="2092" w:type="pct"/>
            <w:vMerge/>
            <w:tcBorders>
              <w:top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noProof/>
                <w:sz w:val="20"/>
                <w:szCs w:val="20"/>
                <w:lang w:eastAsia="en-US" w:bidi="ar-EG"/>
              </w:rPr>
            </w:pPr>
          </w:p>
        </w:tc>
        <w:tc>
          <w:tcPr>
            <w:tcW w:w="1754" w:type="pct"/>
            <w:tcBorders>
              <w:top w:val="nil"/>
              <w:left w:val="nil"/>
              <w:bottom w:val="single" w:sz="4" w:space="0" w:color="7F7F7F"/>
              <w:right w:val="nil"/>
            </w:tcBorders>
            <w:shd w:val="clear" w:color="auto" w:fill="auto"/>
            <w:vAlign w:val="center"/>
          </w:tcPr>
          <w:p w:rsidR="00FA7753" w:rsidRPr="00E076F7" w:rsidRDefault="00FA7753" w:rsidP="00694827">
            <w:pPr>
              <w:suppressAutoHyphens w:val="0"/>
              <w:snapToGrid w:val="0"/>
              <w:jc w:val="both"/>
              <w:rPr>
                <w:rFonts w:eastAsia="Calibri"/>
                <w:b/>
                <w:bCs/>
                <w:sz w:val="20"/>
                <w:szCs w:val="20"/>
                <w:lang w:eastAsia="en-US"/>
              </w:rPr>
            </w:pPr>
            <w:r w:rsidRPr="00E076F7">
              <w:rPr>
                <w:rFonts w:eastAsia="Calibri"/>
                <w:b/>
                <w:bCs/>
                <w:sz w:val="20"/>
                <w:szCs w:val="20"/>
                <w:lang w:eastAsia="en-US"/>
              </w:rPr>
              <w:t>Ovarian cyst</w:t>
            </w:r>
          </w:p>
        </w:tc>
        <w:tc>
          <w:tcPr>
            <w:tcW w:w="1155" w:type="pct"/>
            <w:tcBorders>
              <w:top w:val="nil"/>
              <w:left w:val="nil"/>
              <w:bottom w:val="single" w:sz="4" w:space="0" w:color="7F7F7F"/>
            </w:tcBorders>
            <w:shd w:val="clear" w:color="auto" w:fill="auto"/>
            <w:vAlign w:val="center"/>
          </w:tcPr>
          <w:p w:rsidR="00FA7753" w:rsidRPr="00E076F7" w:rsidRDefault="00FA7753" w:rsidP="00694827">
            <w:pPr>
              <w:suppressAutoHyphens w:val="0"/>
              <w:snapToGrid w:val="0"/>
              <w:jc w:val="both"/>
              <w:rPr>
                <w:rFonts w:eastAsia="Calibri"/>
                <w:sz w:val="20"/>
                <w:szCs w:val="20"/>
                <w:lang w:eastAsia="en-US"/>
              </w:rPr>
            </w:pPr>
            <w:r w:rsidRPr="00E076F7">
              <w:rPr>
                <w:rFonts w:eastAsia="Calibri"/>
                <w:sz w:val="20"/>
                <w:szCs w:val="20"/>
                <w:lang w:eastAsia="en-US"/>
              </w:rPr>
              <w:t>5</w:t>
            </w:r>
          </w:p>
        </w:tc>
      </w:tr>
    </w:tbl>
    <w:p w:rsidR="00176E9D" w:rsidRPr="00E076F7" w:rsidRDefault="00176E9D" w:rsidP="00694827">
      <w:pPr>
        <w:pStyle w:val="Caption"/>
        <w:suppressLineNumbers w:val="0"/>
        <w:suppressAutoHyphens w:val="0"/>
        <w:snapToGrid w:val="0"/>
        <w:spacing w:before="0" w:after="0"/>
        <w:ind w:firstLine="425"/>
        <w:jc w:val="both"/>
        <w:rPr>
          <w:i w:val="0"/>
          <w:iCs w:val="0"/>
          <w:sz w:val="20"/>
          <w:szCs w:val="20"/>
        </w:rPr>
      </w:pPr>
    </w:p>
    <w:p w:rsidR="003820B9" w:rsidRPr="00E076F7" w:rsidRDefault="003820B9" w:rsidP="00694827">
      <w:pPr>
        <w:pStyle w:val="Caption"/>
        <w:suppressLineNumbers w:val="0"/>
        <w:suppressAutoHyphens w:val="0"/>
        <w:snapToGrid w:val="0"/>
        <w:spacing w:before="0" w:after="0"/>
        <w:jc w:val="center"/>
        <w:rPr>
          <w:i w:val="0"/>
          <w:iCs w:val="0"/>
          <w:sz w:val="20"/>
          <w:szCs w:val="20"/>
        </w:rPr>
      </w:pPr>
      <w:r w:rsidRPr="00E076F7">
        <w:rPr>
          <w:i w:val="0"/>
          <w:iCs w:val="0"/>
          <w:sz w:val="20"/>
          <w:szCs w:val="20"/>
        </w:rPr>
        <w:t xml:space="preserve">Table </w:t>
      </w:r>
      <w:r w:rsidR="00F85A9C" w:rsidRPr="00E076F7">
        <w:rPr>
          <w:i w:val="0"/>
          <w:iCs w:val="0"/>
          <w:sz w:val="20"/>
          <w:szCs w:val="20"/>
        </w:rPr>
        <w:fldChar w:fldCharType="begin"/>
      </w:r>
      <w:r w:rsidRPr="00E076F7">
        <w:rPr>
          <w:i w:val="0"/>
          <w:iCs w:val="0"/>
          <w:sz w:val="20"/>
          <w:szCs w:val="20"/>
        </w:rPr>
        <w:instrText xml:space="preserve"> SEQ Table \* ARABIC </w:instrText>
      </w:r>
      <w:r w:rsidR="00F85A9C" w:rsidRPr="00E076F7">
        <w:rPr>
          <w:i w:val="0"/>
          <w:iCs w:val="0"/>
          <w:sz w:val="20"/>
          <w:szCs w:val="20"/>
        </w:rPr>
        <w:fldChar w:fldCharType="separate"/>
      </w:r>
      <w:r w:rsidR="00E201F1" w:rsidRPr="00E076F7">
        <w:rPr>
          <w:i w:val="0"/>
          <w:iCs w:val="0"/>
          <w:noProof/>
          <w:sz w:val="20"/>
          <w:szCs w:val="20"/>
        </w:rPr>
        <w:t>3</w:t>
      </w:r>
      <w:r w:rsidR="00F85A9C" w:rsidRPr="00E076F7">
        <w:rPr>
          <w:i w:val="0"/>
          <w:iCs w:val="0"/>
          <w:sz w:val="20"/>
          <w:szCs w:val="20"/>
        </w:rPr>
        <w:fldChar w:fldCharType="end"/>
      </w:r>
      <w:r w:rsidRPr="00E076F7">
        <w:rPr>
          <w:i w:val="0"/>
          <w:iCs w:val="0"/>
          <w:noProof/>
          <w:sz w:val="20"/>
          <w:szCs w:val="20"/>
        </w:rPr>
        <w:t>: Distribution and Comparison between hysteroscopy versus SIS and TVS based on Pathology reports.</w:t>
      </w:r>
    </w:p>
    <w:tbl>
      <w:tblPr>
        <w:tblW w:w="5000" w:type="pct"/>
        <w:jc w:val="center"/>
        <w:tblBorders>
          <w:top w:val="single" w:sz="4" w:space="0" w:color="7F7F7F"/>
          <w:bottom w:val="single" w:sz="4" w:space="0" w:color="7F7F7F"/>
        </w:tblBorders>
        <w:tblCellMar>
          <w:left w:w="57" w:type="dxa"/>
          <w:right w:w="57" w:type="dxa"/>
        </w:tblCellMar>
        <w:tblLook w:val="04A0"/>
      </w:tblPr>
      <w:tblGrid>
        <w:gridCol w:w="1939"/>
        <w:gridCol w:w="843"/>
        <w:gridCol w:w="693"/>
        <w:gridCol w:w="2124"/>
        <w:gridCol w:w="1622"/>
        <w:gridCol w:w="775"/>
        <w:gridCol w:w="1478"/>
      </w:tblGrid>
      <w:tr w:rsidR="00176E9D" w:rsidRPr="00E076F7" w:rsidTr="00176E9D">
        <w:trPr>
          <w:jc w:val="center"/>
        </w:trPr>
        <w:tc>
          <w:tcPr>
            <w:tcW w:w="1023" w:type="pct"/>
            <w:tcBorders>
              <w:bottom w:val="single" w:sz="4" w:space="0" w:color="7F7F7F"/>
            </w:tcBorders>
            <w:shd w:val="clear" w:color="auto" w:fill="auto"/>
            <w:noWrap/>
            <w:vAlign w:val="center"/>
            <w:hideMark/>
          </w:tcPr>
          <w:p w:rsidR="003820B9" w:rsidRPr="00E076F7" w:rsidRDefault="00675DAB" w:rsidP="00694827">
            <w:pPr>
              <w:suppressAutoHyphens w:val="0"/>
              <w:snapToGrid w:val="0"/>
              <w:jc w:val="both"/>
              <w:rPr>
                <w:rFonts w:eastAsia="Times New Roman"/>
                <w:b/>
                <w:bCs/>
                <w:sz w:val="20"/>
                <w:szCs w:val="20"/>
              </w:rPr>
            </w:pPr>
            <w:r w:rsidRPr="00E076F7">
              <w:rPr>
                <w:rFonts w:eastAsia="Times New Roman"/>
                <w:b/>
                <w:bCs/>
                <w:sz w:val="20"/>
                <w:szCs w:val="20"/>
              </w:rPr>
              <w:t>Diagnosis</w:t>
            </w:r>
          </w:p>
        </w:tc>
        <w:tc>
          <w:tcPr>
            <w:tcW w:w="445"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TVS</w:t>
            </w:r>
          </w:p>
        </w:tc>
        <w:tc>
          <w:tcPr>
            <w:tcW w:w="366"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SIS</w:t>
            </w:r>
          </w:p>
        </w:tc>
        <w:tc>
          <w:tcPr>
            <w:tcW w:w="1121"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Hysteroscopy</w:t>
            </w:r>
          </w:p>
        </w:tc>
        <w:tc>
          <w:tcPr>
            <w:tcW w:w="856"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Pathology</w:t>
            </w:r>
          </w:p>
        </w:tc>
        <w:tc>
          <w:tcPr>
            <w:tcW w:w="409"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X</w:t>
            </w:r>
            <w:r w:rsidRPr="00E076F7">
              <w:rPr>
                <w:rFonts w:eastAsia="Times New Roman"/>
                <w:b/>
                <w:bCs/>
                <w:sz w:val="20"/>
                <w:szCs w:val="20"/>
                <w:vertAlign w:val="superscript"/>
              </w:rPr>
              <w:t>2</w:t>
            </w:r>
          </w:p>
        </w:tc>
        <w:tc>
          <w:tcPr>
            <w:tcW w:w="780"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P-Value</w:t>
            </w:r>
          </w:p>
        </w:tc>
      </w:tr>
      <w:tr w:rsidR="00176E9D" w:rsidRPr="00E076F7" w:rsidTr="00176E9D">
        <w:trPr>
          <w:jc w:val="center"/>
        </w:trPr>
        <w:tc>
          <w:tcPr>
            <w:tcW w:w="1023" w:type="pct"/>
            <w:tcBorders>
              <w:top w:val="single" w:sz="4" w:space="0" w:color="7F7F7F"/>
              <w:bottom w:val="nil"/>
              <w:right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Cancer</w:t>
            </w:r>
          </w:p>
        </w:tc>
        <w:tc>
          <w:tcPr>
            <w:tcW w:w="445"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10</w:t>
            </w:r>
          </w:p>
        </w:tc>
        <w:tc>
          <w:tcPr>
            <w:tcW w:w="366"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10</w:t>
            </w:r>
          </w:p>
        </w:tc>
        <w:tc>
          <w:tcPr>
            <w:tcW w:w="1121"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15</w:t>
            </w:r>
          </w:p>
        </w:tc>
        <w:tc>
          <w:tcPr>
            <w:tcW w:w="856"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15</w:t>
            </w:r>
          </w:p>
        </w:tc>
        <w:tc>
          <w:tcPr>
            <w:tcW w:w="409"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3.23</w:t>
            </w:r>
          </w:p>
        </w:tc>
        <w:tc>
          <w:tcPr>
            <w:tcW w:w="780" w:type="pct"/>
            <w:tcBorders>
              <w:top w:val="single" w:sz="4" w:space="0" w:color="7F7F7F"/>
              <w:left w:val="nil"/>
              <w:bottom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&lt;0.05 S</w:t>
            </w:r>
          </w:p>
        </w:tc>
      </w:tr>
      <w:tr w:rsidR="00176E9D" w:rsidRPr="00E076F7" w:rsidTr="00176E9D">
        <w:trPr>
          <w:jc w:val="center"/>
        </w:trPr>
        <w:tc>
          <w:tcPr>
            <w:tcW w:w="1023" w:type="pct"/>
            <w:tcBorders>
              <w:top w:val="nil"/>
              <w:bottom w:val="nil"/>
              <w:right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Hyperplasia</w:t>
            </w:r>
          </w:p>
        </w:tc>
        <w:tc>
          <w:tcPr>
            <w:tcW w:w="445"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37</w:t>
            </w:r>
          </w:p>
        </w:tc>
        <w:tc>
          <w:tcPr>
            <w:tcW w:w="36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5</w:t>
            </w:r>
          </w:p>
        </w:tc>
        <w:tc>
          <w:tcPr>
            <w:tcW w:w="1121"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34</w:t>
            </w:r>
          </w:p>
        </w:tc>
        <w:tc>
          <w:tcPr>
            <w:tcW w:w="85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35</w:t>
            </w:r>
          </w:p>
        </w:tc>
        <w:tc>
          <w:tcPr>
            <w:tcW w:w="409"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2.6</w:t>
            </w:r>
          </w:p>
        </w:tc>
        <w:tc>
          <w:tcPr>
            <w:tcW w:w="780" w:type="pct"/>
            <w:tcBorders>
              <w:top w:val="nil"/>
              <w:left w:val="nil"/>
              <w:bottom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&gt;0.05 NS</w:t>
            </w:r>
          </w:p>
        </w:tc>
      </w:tr>
      <w:tr w:rsidR="00176E9D" w:rsidRPr="00E076F7" w:rsidTr="00176E9D">
        <w:trPr>
          <w:jc w:val="center"/>
        </w:trPr>
        <w:tc>
          <w:tcPr>
            <w:tcW w:w="1023" w:type="pct"/>
            <w:tcBorders>
              <w:top w:val="nil"/>
              <w:bottom w:val="nil"/>
              <w:right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Fibroid</w:t>
            </w:r>
          </w:p>
        </w:tc>
        <w:tc>
          <w:tcPr>
            <w:tcW w:w="445"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4</w:t>
            </w:r>
          </w:p>
        </w:tc>
        <w:tc>
          <w:tcPr>
            <w:tcW w:w="36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4</w:t>
            </w:r>
          </w:p>
        </w:tc>
        <w:tc>
          <w:tcPr>
            <w:tcW w:w="1121"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4</w:t>
            </w:r>
          </w:p>
        </w:tc>
        <w:tc>
          <w:tcPr>
            <w:tcW w:w="85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4</w:t>
            </w:r>
          </w:p>
        </w:tc>
        <w:tc>
          <w:tcPr>
            <w:tcW w:w="409"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2.7</w:t>
            </w:r>
          </w:p>
        </w:tc>
        <w:tc>
          <w:tcPr>
            <w:tcW w:w="780" w:type="pct"/>
            <w:tcBorders>
              <w:top w:val="nil"/>
              <w:left w:val="nil"/>
              <w:bottom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&gt;0.05 NS</w:t>
            </w:r>
          </w:p>
        </w:tc>
      </w:tr>
      <w:tr w:rsidR="00176E9D" w:rsidRPr="00E076F7" w:rsidTr="00176E9D">
        <w:trPr>
          <w:jc w:val="center"/>
        </w:trPr>
        <w:tc>
          <w:tcPr>
            <w:tcW w:w="1023" w:type="pct"/>
            <w:tcBorders>
              <w:top w:val="nil"/>
              <w:bottom w:val="nil"/>
              <w:right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Atrophy</w:t>
            </w:r>
          </w:p>
        </w:tc>
        <w:tc>
          <w:tcPr>
            <w:tcW w:w="445"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5</w:t>
            </w:r>
          </w:p>
        </w:tc>
        <w:tc>
          <w:tcPr>
            <w:tcW w:w="36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w:t>
            </w:r>
          </w:p>
        </w:tc>
        <w:tc>
          <w:tcPr>
            <w:tcW w:w="1121"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8</w:t>
            </w:r>
          </w:p>
        </w:tc>
        <w:tc>
          <w:tcPr>
            <w:tcW w:w="85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8</w:t>
            </w:r>
          </w:p>
        </w:tc>
        <w:tc>
          <w:tcPr>
            <w:tcW w:w="409"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0.9</w:t>
            </w:r>
          </w:p>
        </w:tc>
        <w:tc>
          <w:tcPr>
            <w:tcW w:w="780" w:type="pct"/>
            <w:tcBorders>
              <w:top w:val="nil"/>
              <w:left w:val="nil"/>
              <w:bottom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&gt;0.05 NS</w:t>
            </w:r>
          </w:p>
        </w:tc>
      </w:tr>
      <w:tr w:rsidR="00176E9D" w:rsidRPr="00E076F7" w:rsidTr="00176E9D">
        <w:trPr>
          <w:jc w:val="center"/>
        </w:trPr>
        <w:tc>
          <w:tcPr>
            <w:tcW w:w="1023" w:type="pct"/>
            <w:tcBorders>
              <w:top w:val="nil"/>
              <w:bottom w:val="nil"/>
              <w:right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Polyp</w:t>
            </w:r>
          </w:p>
        </w:tc>
        <w:tc>
          <w:tcPr>
            <w:tcW w:w="445"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19</w:t>
            </w:r>
          </w:p>
        </w:tc>
        <w:tc>
          <w:tcPr>
            <w:tcW w:w="36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19</w:t>
            </w:r>
          </w:p>
        </w:tc>
        <w:tc>
          <w:tcPr>
            <w:tcW w:w="1121"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18</w:t>
            </w:r>
          </w:p>
        </w:tc>
        <w:tc>
          <w:tcPr>
            <w:tcW w:w="856"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18</w:t>
            </w:r>
          </w:p>
        </w:tc>
        <w:tc>
          <w:tcPr>
            <w:tcW w:w="409"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2.3</w:t>
            </w:r>
          </w:p>
        </w:tc>
        <w:tc>
          <w:tcPr>
            <w:tcW w:w="780" w:type="pct"/>
            <w:tcBorders>
              <w:top w:val="nil"/>
              <w:left w:val="nil"/>
              <w:bottom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&gt;0.05 NS</w:t>
            </w:r>
          </w:p>
        </w:tc>
      </w:tr>
      <w:tr w:rsidR="00176E9D" w:rsidRPr="00E076F7" w:rsidTr="00176E9D">
        <w:trPr>
          <w:jc w:val="center"/>
        </w:trPr>
        <w:tc>
          <w:tcPr>
            <w:tcW w:w="1023" w:type="pct"/>
            <w:tcBorders>
              <w:top w:val="nil"/>
              <w:bottom w:val="single" w:sz="4" w:space="0" w:color="7F7F7F"/>
              <w:right w:val="nil"/>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Normal</w:t>
            </w:r>
          </w:p>
        </w:tc>
        <w:tc>
          <w:tcPr>
            <w:tcW w:w="445"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25</w:t>
            </w:r>
          </w:p>
        </w:tc>
        <w:tc>
          <w:tcPr>
            <w:tcW w:w="366"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61</w:t>
            </w:r>
          </w:p>
        </w:tc>
        <w:tc>
          <w:tcPr>
            <w:tcW w:w="1121"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21</w:t>
            </w:r>
          </w:p>
        </w:tc>
        <w:tc>
          <w:tcPr>
            <w:tcW w:w="856"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20</w:t>
            </w:r>
          </w:p>
        </w:tc>
        <w:tc>
          <w:tcPr>
            <w:tcW w:w="409"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1.3</w:t>
            </w:r>
          </w:p>
        </w:tc>
        <w:tc>
          <w:tcPr>
            <w:tcW w:w="780" w:type="pct"/>
            <w:tcBorders>
              <w:top w:val="nil"/>
              <w:left w:val="nil"/>
              <w:bottom w:val="single" w:sz="4" w:space="0" w:color="7F7F7F"/>
            </w:tcBorders>
            <w:shd w:val="clear" w:color="auto" w:fill="auto"/>
            <w:vAlign w:val="center"/>
            <w:hideMark/>
          </w:tcPr>
          <w:p w:rsidR="003820B9" w:rsidRPr="00E076F7" w:rsidRDefault="003820B9" w:rsidP="00694827">
            <w:pPr>
              <w:suppressAutoHyphens w:val="0"/>
              <w:snapToGrid w:val="0"/>
              <w:jc w:val="both"/>
              <w:rPr>
                <w:rFonts w:eastAsia="Times New Roman"/>
                <w:b/>
                <w:bCs/>
                <w:sz w:val="20"/>
                <w:szCs w:val="20"/>
              </w:rPr>
            </w:pPr>
            <w:r w:rsidRPr="00E076F7">
              <w:rPr>
                <w:rFonts w:eastAsia="Times New Roman"/>
                <w:b/>
                <w:bCs/>
                <w:sz w:val="20"/>
                <w:szCs w:val="20"/>
              </w:rPr>
              <w:t>&gt;0.05 NS</w:t>
            </w:r>
          </w:p>
        </w:tc>
      </w:tr>
    </w:tbl>
    <w:p w:rsidR="003820B9" w:rsidRPr="00E076F7" w:rsidRDefault="00176E9D" w:rsidP="00014859">
      <w:pPr>
        <w:pStyle w:val="Caption"/>
        <w:suppressLineNumbers w:val="0"/>
        <w:suppressAutoHyphens w:val="0"/>
        <w:snapToGrid w:val="0"/>
        <w:spacing w:before="0" w:after="0"/>
        <w:jc w:val="center"/>
        <w:rPr>
          <w:i w:val="0"/>
          <w:iCs w:val="0"/>
          <w:sz w:val="20"/>
          <w:szCs w:val="20"/>
        </w:rPr>
      </w:pPr>
      <w:r w:rsidRPr="00E076F7">
        <w:rPr>
          <w:i w:val="0"/>
          <w:iCs w:val="0"/>
          <w:sz w:val="20"/>
          <w:szCs w:val="20"/>
        </w:rPr>
        <w:cr/>
      </w:r>
      <w:r w:rsidR="003820B9" w:rsidRPr="00E076F7">
        <w:rPr>
          <w:i w:val="0"/>
          <w:iCs w:val="0"/>
          <w:sz w:val="20"/>
          <w:szCs w:val="20"/>
        </w:rPr>
        <w:t xml:space="preserve">Table </w:t>
      </w:r>
      <w:r w:rsidR="00F85A9C" w:rsidRPr="00E076F7">
        <w:rPr>
          <w:i w:val="0"/>
          <w:iCs w:val="0"/>
          <w:sz w:val="20"/>
          <w:szCs w:val="20"/>
        </w:rPr>
        <w:fldChar w:fldCharType="begin"/>
      </w:r>
      <w:r w:rsidR="003820B9" w:rsidRPr="00E076F7">
        <w:rPr>
          <w:i w:val="0"/>
          <w:iCs w:val="0"/>
          <w:sz w:val="20"/>
          <w:szCs w:val="20"/>
        </w:rPr>
        <w:instrText xml:space="preserve"> SEQ Table \* ARABIC </w:instrText>
      </w:r>
      <w:r w:rsidR="00F85A9C" w:rsidRPr="00E076F7">
        <w:rPr>
          <w:i w:val="0"/>
          <w:iCs w:val="0"/>
          <w:sz w:val="20"/>
          <w:szCs w:val="20"/>
        </w:rPr>
        <w:fldChar w:fldCharType="separate"/>
      </w:r>
      <w:r w:rsidR="00E201F1" w:rsidRPr="00E076F7">
        <w:rPr>
          <w:i w:val="0"/>
          <w:iCs w:val="0"/>
          <w:noProof/>
          <w:sz w:val="20"/>
          <w:szCs w:val="20"/>
        </w:rPr>
        <w:t>4</w:t>
      </w:r>
      <w:r w:rsidR="00F85A9C" w:rsidRPr="00E076F7">
        <w:rPr>
          <w:i w:val="0"/>
          <w:iCs w:val="0"/>
          <w:sz w:val="20"/>
          <w:szCs w:val="20"/>
        </w:rPr>
        <w:fldChar w:fldCharType="end"/>
      </w:r>
      <w:r w:rsidR="003820B9" w:rsidRPr="00E076F7">
        <w:rPr>
          <w:i w:val="0"/>
          <w:iCs w:val="0"/>
          <w:sz w:val="20"/>
          <w:szCs w:val="20"/>
        </w:rPr>
        <w:t xml:space="preserve">: Validity of </w:t>
      </w:r>
      <w:r w:rsidR="001F6C67" w:rsidRPr="00E076F7">
        <w:rPr>
          <w:i w:val="0"/>
          <w:iCs w:val="0"/>
          <w:sz w:val="20"/>
          <w:szCs w:val="20"/>
        </w:rPr>
        <w:t>Hysteroscopy</w:t>
      </w:r>
      <w:r w:rsidR="003820B9" w:rsidRPr="00E076F7">
        <w:rPr>
          <w:i w:val="0"/>
          <w:iCs w:val="0"/>
          <w:sz w:val="20"/>
          <w:szCs w:val="20"/>
        </w:rPr>
        <w:t>, SIS, TVS versus pathology.</w:t>
      </w:r>
    </w:p>
    <w:tbl>
      <w:tblPr>
        <w:tblW w:w="5000" w:type="pct"/>
        <w:jc w:val="center"/>
        <w:tblBorders>
          <w:top w:val="single" w:sz="4" w:space="0" w:color="7F7F7F"/>
          <w:bottom w:val="single" w:sz="4" w:space="0" w:color="7F7F7F"/>
        </w:tblBorders>
        <w:tblCellMar>
          <w:left w:w="57" w:type="dxa"/>
          <w:right w:w="57" w:type="dxa"/>
        </w:tblCellMar>
        <w:tblLook w:val="04A0"/>
      </w:tblPr>
      <w:tblGrid>
        <w:gridCol w:w="2276"/>
        <w:gridCol w:w="1808"/>
        <w:gridCol w:w="1808"/>
        <w:gridCol w:w="947"/>
        <w:gridCol w:w="966"/>
        <w:gridCol w:w="1669"/>
      </w:tblGrid>
      <w:tr w:rsidR="00C01641" w:rsidRPr="00E076F7" w:rsidTr="00176E9D">
        <w:trPr>
          <w:jc w:val="center"/>
        </w:trPr>
        <w:tc>
          <w:tcPr>
            <w:tcW w:w="1201"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Variables</w:t>
            </w:r>
          </w:p>
        </w:tc>
        <w:tc>
          <w:tcPr>
            <w:tcW w:w="954"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Sensitivity</w:t>
            </w:r>
          </w:p>
        </w:tc>
        <w:tc>
          <w:tcPr>
            <w:tcW w:w="954"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Specificity</w:t>
            </w:r>
          </w:p>
        </w:tc>
        <w:tc>
          <w:tcPr>
            <w:tcW w:w="500"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PPV</w:t>
            </w:r>
          </w:p>
        </w:tc>
        <w:tc>
          <w:tcPr>
            <w:tcW w:w="510"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NPV</w:t>
            </w:r>
          </w:p>
        </w:tc>
        <w:tc>
          <w:tcPr>
            <w:tcW w:w="881" w:type="pct"/>
            <w:tcBorders>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Accuracy</w:t>
            </w:r>
          </w:p>
        </w:tc>
      </w:tr>
      <w:tr w:rsidR="00C01641" w:rsidRPr="00E076F7" w:rsidTr="00176E9D">
        <w:trPr>
          <w:jc w:val="center"/>
        </w:trPr>
        <w:tc>
          <w:tcPr>
            <w:tcW w:w="1201" w:type="pct"/>
            <w:tcBorders>
              <w:top w:val="single" w:sz="4" w:space="0" w:color="7F7F7F"/>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Hysteroscopy</w:t>
            </w:r>
          </w:p>
        </w:tc>
        <w:tc>
          <w:tcPr>
            <w:tcW w:w="954"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98%</w:t>
            </w:r>
          </w:p>
        </w:tc>
        <w:tc>
          <w:tcPr>
            <w:tcW w:w="954"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83%</w:t>
            </w:r>
          </w:p>
        </w:tc>
        <w:tc>
          <w:tcPr>
            <w:tcW w:w="500"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88%</w:t>
            </w:r>
          </w:p>
        </w:tc>
        <w:tc>
          <w:tcPr>
            <w:tcW w:w="510" w:type="pct"/>
            <w:tcBorders>
              <w:top w:val="single" w:sz="4" w:space="0" w:color="7F7F7F"/>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97%</w:t>
            </w:r>
          </w:p>
        </w:tc>
        <w:tc>
          <w:tcPr>
            <w:tcW w:w="881" w:type="pct"/>
            <w:tcBorders>
              <w:top w:val="single" w:sz="4" w:space="0" w:color="7F7F7F"/>
              <w:left w:val="nil"/>
              <w:bottom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95%</w:t>
            </w:r>
          </w:p>
        </w:tc>
      </w:tr>
      <w:tr w:rsidR="00C01641" w:rsidRPr="00E076F7" w:rsidTr="00176E9D">
        <w:trPr>
          <w:jc w:val="center"/>
        </w:trPr>
        <w:tc>
          <w:tcPr>
            <w:tcW w:w="1201" w:type="pct"/>
            <w:tcBorders>
              <w:top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SIS</w:t>
            </w:r>
          </w:p>
        </w:tc>
        <w:tc>
          <w:tcPr>
            <w:tcW w:w="954"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91%</w:t>
            </w:r>
          </w:p>
        </w:tc>
        <w:tc>
          <w:tcPr>
            <w:tcW w:w="954"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80%</w:t>
            </w:r>
          </w:p>
        </w:tc>
        <w:tc>
          <w:tcPr>
            <w:tcW w:w="500"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87%</w:t>
            </w:r>
          </w:p>
        </w:tc>
        <w:tc>
          <w:tcPr>
            <w:tcW w:w="510" w:type="pct"/>
            <w:tcBorders>
              <w:top w:val="nil"/>
              <w:left w:val="nil"/>
              <w:bottom w:val="nil"/>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89%</w:t>
            </w:r>
          </w:p>
        </w:tc>
        <w:tc>
          <w:tcPr>
            <w:tcW w:w="881" w:type="pct"/>
            <w:tcBorders>
              <w:top w:val="nil"/>
              <w:left w:val="nil"/>
              <w:bottom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91%</w:t>
            </w:r>
          </w:p>
        </w:tc>
      </w:tr>
      <w:tr w:rsidR="00C01641" w:rsidRPr="00E076F7" w:rsidTr="00176E9D">
        <w:trPr>
          <w:jc w:val="center"/>
        </w:trPr>
        <w:tc>
          <w:tcPr>
            <w:tcW w:w="1201" w:type="pct"/>
            <w:tcBorders>
              <w:top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TVS</w:t>
            </w:r>
          </w:p>
        </w:tc>
        <w:tc>
          <w:tcPr>
            <w:tcW w:w="954"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88%</w:t>
            </w:r>
          </w:p>
        </w:tc>
        <w:tc>
          <w:tcPr>
            <w:tcW w:w="954"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67%</w:t>
            </w:r>
          </w:p>
        </w:tc>
        <w:tc>
          <w:tcPr>
            <w:tcW w:w="500"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85%</w:t>
            </w:r>
          </w:p>
        </w:tc>
        <w:tc>
          <w:tcPr>
            <w:tcW w:w="510" w:type="pct"/>
            <w:tcBorders>
              <w:top w:val="nil"/>
              <w:left w:val="nil"/>
              <w:bottom w:val="single" w:sz="4" w:space="0" w:color="7F7F7F"/>
              <w:right w:val="nil"/>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70%</w:t>
            </w:r>
          </w:p>
        </w:tc>
        <w:tc>
          <w:tcPr>
            <w:tcW w:w="881" w:type="pct"/>
            <w:tcBorders>
              <w:top w:val="nil"/>
              <w:left w:val="nil"/>
              <w:bottom w:val="single" w:sz="4" w:space="0" w:color="7F7F7F"/>
            </w:tcBorders>
            <w:shd w:val="clear" w:color="auto" w:fill="auto"/>
            <w:noWrap/>
            <w:vAlign w:val="center"/>
            <w:hideMark/>
          </w:tcPr>
          <w:p w:rsidR="003820B9" w:rsidRPr="00E076F7" w:rsidRDefault="003820B9" w:rsidP="00694827">
            <w:pPr>
              <w:suppressAutoHyphens w:val="0"/>
              <w:snapToGrid w:val="0"/>
              <w:jc w:val="both"/>
              <w:rPr>
                <w:b/>
                <w:bCs/>
                <w:sz w:val="20"/>
                <w:szCs w:val="20"/>
              </w:rPr>
            </w:pPr>
            <w:r w:rsidRPr="00E076F7">
              <w:rPr>
                <w:b/>
                <w:bCs/>
                <w:sz w:val="20"/>
                <w:szCs w:val="20"/>
              </w:rPr>
              <w:t>87%</w:t>
            </w:r>
          </w:p>
        </w:tc>
      </w:tr>
    </w:tbl>
    <w:p w:rsidR="00C01641" w:rsidRPr="00E076F7" w:rsidRDefault="00C01641" w:rsidP="00694827">
      <w:pPr>
        <w:suppressAutoHyphens w:val="0"/>
        <w:snapToGrid w:val="0"/>
        <w:jc w:val="both"/>
        <w:rPr>
          <w:rFonts w:hint="eastAsia"/>
          <w:b/>
          <w:sz w:val="20"/>
          <w:szCs w:val="20"/>
          <w:lang w:eastAsia="zh-CN"/>
        </w:rPr>
      </w:pPr>
    </w:p>
    <w:p w:rsidR="00E076F7" w:rsidRPr="00E076F7" w:rsidRDefault="00E076F7" w:rsidP="00694827">
      <w:pPr>
        <w:suppressAutoHyphens w:val="0"/>
        <w:snapToGrid w:val="0"/>
        <w:jc w:val="both"/>
        <w:rPr>
          <w:rFonts w:hint="eastAsia"/>
          <w:b/>
          <w:sz w:val="20"/>
          <w:szCs w:val="20"/>
          <w:lang w:eastAsia="zh-CN"/>
        </w:rPr>
      </w:pPr>
    </w:p>
    <w:p w:rsidR="00E076F7" w:rsidRPr="00E076F7" w:rsidRDefault="00E076F7" w:rsidP="00694827">
      <w:pPr>
        <w:suppressAutoHyphens w:val="0"/>
        <w:snapToGrid w:val="0"/>
        <w:jc w:val="both"/>
        <w:rPr>
          <w:rFonts w:hint="eastAsia"/>
          <w:b/>
          <w:sz w:val="20"/>
          <w:szCs w:val="20"/>
          <w:lang w:eastAsia="zh-CN"/>
        </w:rPr>
      </w:pPr>
    </w:p>
    <w:p w:rsidR="00014859" w:rsidRPr="00E076F7" w:rsidRDefault="00014859" w:rsidP="00694827">
      <w:pPr>
        <w:suppressAutoHyphens w:val="0"/>
        <w:snapToGrid w:val="0"/>
        <w:jc w:val="both"/>
        <w:rPr>
          <w:b/>
          <w:sz w:val="20"/>
          <w:szCs w:val="20"/>
        </w:rPr>
        <w:sectPr w:rsidR="00014859" w:rsidRPr="00E076F7" w:rsidSect="00176E9D">
          <w:footnotePr>
            <w:pos w:val="beneathText"/>
          </w:footnotePr>
          <w:type w:val="continuous"/>
          <w:pgSz w:w="12240" w:h="15840" w:code="1"/>
          <w:pgMar w:top="1440" w:right="1440" w:bottom="1440" w:left="1440" w:header="720" w:footer="720" w:gutter="0"/>
          <w:cols w:space="720"/>
          <w:docGrid w:linePitch="360"/>
        </w:sectPr>
      </w:pPr>
    </w:p>
    <w:p w:rsidR="00471E57" w:rsidRPr="00E076F7" w:rsidRDefault="00471E57" w:rsidP="00694827">
      <w:pPr>
        <w:suppressAutoHyphens w:val="0"/>
        <w:snapToGrid w:val="0"/>
        <w:jc w:val="both"/>
        <w:rPr>
          <w:b/>
          <w:sz w:val="20"/>
          <w:szCs w:val="20"/>
        </w:rPr>
      </w:pPr>
      <w:r w:rsidRPr="00E076F7">
        <w:rPr>
          <w:b/>
          <w:sz w:val="20"/>
          <w:szCs w:val="20"/>
        </w:rPr>
        <w:lastRenderedPageBreak/>
        <w:t xml:space="preserve">4. Discussions </w:t>
      </w:r>
    </w:p>
    <w:p w:rsidR="009459B3" w:rsidRPr="00E076F7" w:rsidRDefault="00106F1B" w:rsidP="00694827">
      <w:pPr>
        <w:suppressAutoHyphens w:val="0"/>
        <w:snapToGrid w:val="0"/>
        <w:ind w:firstLine="425"/>
        <w:jc w:val="both"/>
        <w:rPr>
          <w:sz w:val="20"/>
          <w:szCs w:val="20"/>
        </w:rPr>
      </w:pPr>
      <w:r w:rsidRPr="00E076F7">
        <w:rPr>
          <w:rFonts w:eastAsia="Calibri"/>
          <w:sz w:val="20"/>
          <w:szCs w:val="20"/>
          <w:lang w:eastAsia="en-US"/>
        </w:rPr>
        <w:t xml:space="preserve">Postmenopausal bleeding (PMB) comprises a critical extent of gynecological referrals and occurs in nearly 3% of menopausal ladies. Postmenopausal bleeding is dependably a reason for worry because of </w:t>
      </w:r>
      <w:r w:rsidR="00CF31EA" w:rsidRPr="00E076F7">
        <w:rPr>
          <w:rFonts w:eastAsia="Calibri"/>
          <w:sz w:val="20"/>
          <w:szCs w:val="20"/>
          <w:lang w:eastAsia="en-US"/>
        </w:rPr>
        <w:t xml:space="preserve">the </w:t>
      </w:r>
      <w:r w:rsidRPr="00E076F7">
        <w:rPr>
          <w:rFonts w:eastAsia="Calibri"/>
          <w:sz w:val="20"/>
          <w:szCs w:val="20"/>
          <w:lang w:eastAsia="en-US"/>
        </w:rPr>
        <w:t>expanded rate of endometrial carcinoma in this specific age. Diagnostic hysteroscopy alongside with endometrial biopsy is viewed as the gold standard in the diagnosis of intrauterine pathology in postmenopausal bleeding</w:t>
      </w:r>
      <w:r w:rsidR="00D84151" w:rsidRPr="00E076F7">
        <w:rPr>
          <w:rFonts w:eastAsia="Calibri"/>
          <w:sz w:val="20"/>
          <w:szCs w:val="20"/>
          <w:lang w:eastAsia="en-US"/>
        </w:rPr>
        <w:t xml:space="preserve">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{"citationItems":[{"id":"ITEM-1","itemData":{"ISSN":"1022386X","abstract":"Objective: To validate the diagnostic efficacy of saline infusion sonohysterography (SIS) in the evaluation of uterine cavity, in women with postmenopausal bleeding and endometrial thickness &gt; 5 mm. Study Design: Cross-sectional study. Place and Duration of Study: Military Hospital, Rawalpindi, from March 2005 to July 2008 and Combined Military Hospital, Multan, from September 2008 to June 2009. Methodology: Seventy seven eligible participants included women complaining of postmenopausal bleeding were included; out of whom 69 completed the procedure satisfactorily. Pain scores during procedure were assessed to determine patient acceptability. Following saline infusion sonohysterography all patients also underwent an out door pipelle endometrial biopsy in a one-stop postmenopausal bleed clinic. Findings of sonohysterography were compared with hysteroscopy/ hysterectomy specimen. Results: Majority of the patients 34 (49.2%) experienced no pain during the procedure, 51 (74%) women had a positive SIS and the findings were negative in 18 (26%) patients. The commonest abnormal finding on SIS was focal thickening in 23 (32%) and endometrial polyp in 12 (17%) cases. Saline infusion hysterosonography picked up 3 cases of false positive polyps (5.8%) and missed a case of submucous fibroid near cervix (1.8%). Upon comparison of findings of hysteroscopy and hysterectomy in 53 cases, there was complete agreement in a total of 43 (88%) cases. The sensitivity of sonohysterography was 92% and specificity was 78%. All the ladies with abnormal SIS had diagnostic or therapeutic procedures and finally only 24 (35%) were managed on conservative follow-up. Normal SIS led to conservative management in 16 (88%). Conclusion: Sonohysterography in combination with endometrial biopsy is a useful technique useful for the evaluation of postmenopausal bleeding. Patient acceptability and diagnostic capability is high and it reduces demand for hysteroscopy.","author":[{"dropping-particle":"","family":"Choudry","given":"Abeera","non-dropping-particle":"","parse-names":false,"suffix":""},{"dropping-particle":"","family":"Shukr","given":"Irfan","non-dropping-particle":"","parse-names":false,"suffix":""},{"dropping-particle":"","family":"Khan","given":"Sumaira","non-dropping-particle":"","parse-names":false,"suffix":""},{"dropping-particle":"","family":"Hafeez","given":"Humaira","non-dropping-particle":"","parse-names":false,"suffix":""},{"dropping-particle":"","family":"Jamal","given":"Shahid","non-dropping-particle":"","parse-names":false,"suffix":""},{"dropping-particle":"","family":"Anwer","given":"Ambreen","non-dropping-particle":"","parse-names":false,"suffix":""}],"container-title":"Journal of the College of Physicians and Surgeons Pakistan","id":"ITEM-1","issue":"9","issued":{"date-parts":[["2010"]]},"page":"571-575","title":"Acceptability and accuracy of saline infusion sonohysterography in women with postmenopausal bleeding","type":"article-journal","volume":"20"},"uris":["http://www.mendeley.com/documents/?uuid=7ec1cc96-e965-4999-82aa-bbed3ee20ffa"]}],"mendeley":{"formattedCitation":"&lt;i&gt;(&lt;b&gt;Choudry et al., 2010&lt;/b&gt;)&lt;/i&gt;","plainTextFormattedCitation":"(Choudry et al., 2010)","previouslyFormattedCitation":"(Choudry et al. 2010)"},"properties":{"noteIndex":0},"schema":"https://github.com/citation-style-language/schema/raw/master/csl-citation.json"}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Choudry et al., 2010</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Pr="00E076F7">
        <w:rPr>
          <w:sz w:val="20"/>
          <w:szCs w:val="20"/>
        </w:rPr>
        <w:t xml:space="preserve"> Also the use of TVS with SIS in the evaluation of thickened </w:t>
      </w:r>
      <w:proofErr w:type="spellStart"/>
      <w:r w:rsidRPr="00E076F7">
        <w:rPr>
          <w:sz w:val="20"/>
          <w:szCs w:val="20"/>
        </w:rPr>
        <w:t>endometrium</w:t>
      </w:r>
      <w:proofErr w:type="spellEnd"/>
      <w:r w:rsidRPr="00E076F7">
        <w:rPr>
          <w:sz w:val="20"/>
          <w:szCs w:val="20"/>
        </w:rPr>
        <w:t xml:space="preserve"> has been considered a valuable screening tool for uterine abnormality in patients experiencing irregular postmenopausal bleeding</w:t>
      </w:r>
      <w:r w:rsidR="00934044" w:rsidRPr="00E076F7">
        <w:rPr>
          <w:sz w:val="20"/>
          <w:szCs w:val="20"/>
        </w:rPr>
        <w:t>.</w:t>
      </w:r>
    </w:p>
    <w:p w:rsidR="006F2EAD" w:rsidRPr="00E076F7" w:rsidRDefault="006F2EAD" w:rsidP="00694827">
      <w:pPr>
        <w:suppressAutoHyphens w:val="0"/>
        <w:snapToGrid w:val="0"/>
        <w:ind w:firstLine="425"/>
        <w:jc w:val="both"/>
        <w:rPr>
          <w:sz w:val="20"/>
          <w:szCs w:val="20"/>
          <w:lang w:eastAsia="zh-CN"/>
        </w:rPr>
      </w:pPr>
      <w:r w:rsidRPr="00E076F7">
        <w:rPr>
          <w:sz w:val="20"/>
          <w:szCs w:val="20"/>
          <w:lang w:eastAsia="zh-CN"/>
        </w:rPr>
        <w:t>In the present study, the most common endometrial histopathology was endometrial hyperplasia (35%), followed by endometrial polyps (18%) and 15 cases had endometrial carcinoma.</w:t>
      </w:r>
    </w:p>
    <w:p w:rsidR="003B7046" w:rsidRPr="00E076F7" w:rsidRDefault="006F2EAD" w:rsidP="00694827">
      <w:pPr>
        <w:suppressAutoHyphens w:val="0"/>
        <w:snapToGrid w:val="0"/>
        <w:ind w:firstLine="425"/>
        <w:jc w:val="both"/>
        <w:rPr>
          <w:sz w:val="20"/>
          <w:szCs w:val="20"/>
        </w:rPr>
      </w:pPr>
      <w:r w:rsidRPr="00E076F7">
        <w:rPr>
          <w:rFonts w:eastAsia="Calibri"/>
          <w:b/>
          <w:bCs/>
          <w:sz w:val="20"/>
          <w:szCs w:val="20"/>
          <w:lang w:eastAsia="en-US"/>
        </w:rPr>
        <w:t xml:space="preserve">Revel A et al., </w:t>
      </w:r>
      <w:r w:rsidRPr="00E076F7">
        <w:rPr>
          <w:rFonts w:eastAsia="Calibri"/>
          <w:sz w:val="20"/>
          <w:szCs w:val="20"/>
          <w:lang w:eastAsia="en-US"/>
        </w:rPr>
        <w:t xml:space="preserve">in their study on 94 cases of PMP by hysteroscopy recorded atrophic </w:t>
      </w:r>
      <w:proofErr w:type="spellStart"/>
      <w:r w:rsidRPr="00E076F7">
        <w:rPr>
          <w:rFonts w:eastAsia="Calibri"/>
          <w:sz w:val="20"/>
          <w:szCs w:val="20"/>
          <w:lang w:eastAsia="en-US"/>
        </w:rPr>
        <w:t>endometrium</w:t>
      </w:r>
      <w:proofErr w:type="spellEnd"/>
      <w:r w:rsidRPr="00E076F7">
        <w:rPr>
          <w:rFonts w:eastAsia="Calibri"/>
          <w:sz w:val="20"/>
          <w:szCs w:val="20"/>
          <w:lang w:eastAsia="en-US"/>
        </w:rPr>
        <w:t xml:space="preserve"> in (56%), endometrial poly</w:t>
      </w:r>
      <w:r w:rsidR="00D84151" w:rsidRPr="00E076F7">
        <w:rPr>
          <w:rFonts w:eastAsia="Calibri"/>
          <w:sz w:val="20"/>
          <w:szCs w:val="20"/>
          <w:lang w:eastAsia="en-US"/>
        </w:rPr>
        <w:t>p</w:t>
      </w:r>
      <w:r w:rsidRPr="00E076F7">
        <w:rPr>
          <w:rFonts w:eastAsia="Calibri"/>
          <w:sz w:val="20"/>
          <w:szCs w:val="20"/>
          <w:lang w:eastAsia="en-US"/>
        </w:rPr>
        <w:t xml:space="preserve"> in (45%), hyperplasia in 23 patients (24%), </w:t>
      </w:r>
      <w:proofErr w:type="spellStart"/>
      <w:r w:rsidRPr="00E076F7">
        <w:rPr>
          <w:rFonts w:eastAsia="Calibri"/>
          <w:sz w:val="20"/>
          <w:szCs w:val="20"/>
          <w:lang w:eastAsia="en-US"/>
        </w:rPr>
        <w:t>myoma</w:t>
      </w:r>
      <w:proofErr w:type="spellEnd"/>
      <w:r w:rsidRPr="00E076F7">
        <w:rPr>
          <w:rFonts w:eastAsia="Calibri"/>
          <w:sz w:val="20"/>
          <w:szCs w:val="20"/>
          <w:lang w:eastAsia="en-US"/>
        </w:rPr>
        <w:t xml:space="preserve"> in (25.5%) and malignancy in 12 patients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ISSN":"0029-7828","author":[{"dropping-particle":"","family":"Revel","given":"Ariel","non-dropping-particle":"","parse-names":false,"suffix":""},{"dropping-particle":"","family":"Tsafrir","given":"Avi","non-dropping-particle":"","parse-names":false,"suffix":""},{"dropping-particle":"","family":"Anteby","given":"Shaul O","non-dropping-particle":"","parse-names":false,"suffix":""},{"dropping-particle":"","family":"Shushan","given":"Asher","non-dropping-particle":"","parse-names":false,"suffix":""}],"container-title":"Obstetrical &amp; gynecological survey","id":"ITEM-1","issue":"4","issued":{"date-parts":[["2004"]]},"page":"280-284","publisher":"LWW","title":"Does hysteroscopy produce intraperitoneal spread of endometrial cancer cells?","type":"article-journal","volume":"59"},"uris":["http://www.mendeley.com/documents/?uuid=a3135b64-a317-4d85-af18-cee976736021"]}],"mendeley":{"formattedCitation":"&lt;i&gt;(&lt;b&gt;Revel et al., 2004&lt;/b&gt;)&lt;/i&gt;","plainTextFormattedCitation":"(Revel et al., 2004)","previouslyFormattedCitation":"(Revel et al. 2004)"},"properties":{"noteIndex":0},"schema":"https://github.com/citation-style-language/schema/raw/master/csl-citation.json"}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Revel et al., 2004</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Pr="00E076F7">
        <w:rPr>
          <w:rFonts w:eastAsia="Calibri"/>
          <w:sz w:val="20"/>
          <w:szCs w:val="20"/>
          <w:lang w:eastAsia="en-US"/>
        </w:rPr>
        <w:t>.</w:t>
      </w:r>
      <w:r w:rsidR="003B7046" w:rsidRPr="00E076F7">
        <w:rPr>
          <w:rFonts w:eastAsia="Calibri"/>
          <w:sz w:val="20"/>
          <w:szCs w:val="20"/>
          <w:lang w:eastAsia="en-US"/>
        </w:rPr>
        <w:t xml:space="preserve"> </w:t>
      </w:r>
      <w:r w:rsidRPr="00E076F7">
        <w:rPr>
          <w:rFonts w:eastAsia="Calibri"/>
          <w:b/>
          <w:bCs/>
          <w:sz w:val="20"/>
          <w:szCs w:val="20"/>
          <w:lang w:eastAsia="en-US"/>
        </w:rPr>
        <w:t>Rita et al.,</w:t>
      </w:r>
      <w:r w:rsidRPr="00E076F7">
        <w:rPr>
          <w:rFonts w:eastAsia="Calibri"/>
          <w:sz w:val="20"/>
          <w:szCs w:val="20"/>
          <w:lang w:eastAsia="en-US"/>
        </w:rPr>
        <w:t xml:space="preserve"> reported the histological findings were atrophy (34.8), cystic atrophy in (1.4%) normal </w:t>
      </w:r>
      <w:proofErr w:type="spellStart"/>
      <w:r w:rsidRPr="00E076F7">
        <w:rPr>
          <w:rFonts w:eastAsia="Calibri"/>
          <w:sz w:val="20"/>
          <w:szCs w:val="20"/>
          <w:lang w:eastAsia="en-US"/>
        </w:rPr>
        <w:t>endometrium</w:t>
      </w:r>
      <w:proofErr w:type="spellEnd"/>
      <w:r w:rsidRPr="00E076F7">
        <w:rPr>
          <w:rFonts w:eastAsia="Calibri"/>
          <w:sz w:val="20"/>
          <w:szCs w:val="20"/>
          <w:lang w:eastAsia="en-US"/>
        </w:rPr>
        <w:t xml:space="preserve"> in (7.2%), polyps in (17.4%), </w:t>
      </w:r>
      <w:proofErr w:type="spellStart"/>
      <w:r w:rsidRPr="00E076F7">
        <w:rPr>
          <w:rFonts w:eastAsia="Calibri"/>
          <w:sz w:val="20"/>
          <w:szCs w:val="20"/>
          <w:lang w:eastAsia="en-US"/>
        </w:rPr>
        <w:t>leiomyoma</w:t>
      </w:r>
      <w:proofErr w:type="spellEnd"/>
      <w:r w:rsidRPr="00E076F7">
        <w:rPr>
          <w:rFonts w:eastAsia="Calibri"/>
          <w:sz w:val="20"/>
          <w:szCs w:val="20"/>
          <w:lang w:eastAsia="en-US"/>
        </w:rPr>
        <w:t xml:space="preserve"> in (1.4%), non-atypical hyperplasia in (4.3%), atypical in (1.4%) and malignancy in (13%)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{"citationItems":[{"id":"ITEM-1","itemData":{"ISBN":"0001-6349","ISSN":"0001-6349","abstract":"Objective. To determine the diagnostic value of transvaginal ultrasonography and hysteroscopy in patients with postmenopausal bleeding. Material and methods. Between January 1, 1998 and June 30, 1999, 88 outpatient women with postmenopausal bleeding were enrolled in a prospective study. They underwent transvaginal ultrasonography and hysteroscopy, and were submitted to directed biopsy during hysteroscopy. Findings were classified as normal endometrium, suggestive of atrophy, focal abnormality (benign or suspicious), and diffuse thickness (benign or suspicious). Data was compared with the final diagnosis, established by histological examination, as atrophy, benign pathology, atypical hyperplasia and endometrial carcinoma. Results. Among 88 women enrolled, 15 were excluded because hysteroscopy was impossible, and four had abandoned the study. The histological findings were scanty material in 12 (17.4%), atrophy in 24 (34.8%), cystic atrophy in one (1.4%), normal endometrium in five (7.2%), tuberculous endometritis in one (1.4%), polyps in 12 (17.4%), leiomyoma in one (1.4%), non-atypical hyperplasia in three (4.3%), atypical hyperplasia in one (1.4%) and endometrial carcinoma in nine cases (13.0%). For the assessment of endometrial carcinoma, ultrasonography revealed sensitivity 77.8%, specificity 93.3%, positive predictive value 63.6%, negative predictive value 96.6%; and hysteroscopy revealed sensitivity of 88.9%, specificity 98.3%, positive predictive value 88.9%, negative predictive value 98.3%. The combined use of both methods revealed sensitivity 100%, specificity 91.7%, positive predictive value 64.3%, negative predictive value 100%. Conclusions. Both imagiological methods were found to be useful screening tests for endometrial carcinoma. Hysteroscopy was a superior diagnostic procedure.","author":[{"dropping-particle":"","family":"Rita","given":"Sousa","non-dropping-particle":"","parse-names":false,"suffix":""},{"dropping-particle":"","family":"Margarida","given":"Silvestre","non-dropping-particle":"","parse-names":false,"suffix":""},{"dropping-particle":"","family":"Luis Almeida E","given":"Sousa","non-dropping-particle":"","parse-names":false,"suffix":""},{"dropping-particle":"","family":"Francisco","given":"Falcão","non-dropping-particle":"","parse-names":false,"suffix":""},{"dropping-particle":"","family":"Isabel","given":"Dias","non-dropping-particle":"","parse-names":false,"suffix":""},{"dropping-particle":"","family":"Teresa","given":"Silva","non-dropping-particle":"","parse-names":false,"suffix":""},{"dropping-particle":"","family":"Carlos De","given":"Oliveira","non-dropping-particle":"","parse-names":false,"suffix":""},{"dropping-particle":"","family":"Henrique Miguel","given":"Oliveira","non-dropping-particle":"","parse-names":false,"suffix":""}],"container-title":"Acta Obstetricia et Gynecologica Scandinavica","id":"ITEM-1","issue":"9","issued":{"date-parts":[["2001"]]},"page":"856-862","publisher":"Taylor &amp; Francis","title":"Transvaginal ultrasonography and hysteroscopy in postmenopausal bleeding: A prospective study","type":"article-journal","volume":"80"},"uris":["http://www.mendeley.com/documents/?uuid=4e2750e8-0a98-483d-b25a-e84700155d57"]}],"mendeley":{"formattedCitation":"&lt;i&gt;(&lt;b&gt;Rita et al., 2001&lt;/b&gt;)&lt;/i&gt;","plainTextFormattedCitation":"(Rita et al., 2001)","previouslyFormattedCitation":"(Rita et al. 2001)"},"properties":{"noteIndex":0},"schema":"https://github.com/citation-style-language/schema/raw/master/csl-citation.json"}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Rita et al., 2001</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Pr="00E076F7">
        <w:rPr>
          <w:rFonts w:eastAsia="Calibri"/>
          <w:sz w:val="20"/>
          <w:szCs w:val="20"/>
          <w:lang w:eastAsia="en-US"/>
        </w:rPr>
        <w:t>.</w:t>
      </w:r>
      <w:r w:rsidR="003B7046" w:rsidRPr="00E076F7">
        <w:rPr>
          <w:sz w:val="20"/>
          <w:szCs w:val="20"/>
        </w:rPr>
        <w:t xml:space="preserve"> </w:t>
      </w:r>
    </w:p>
    <w:p w:rsidR="0070732B" w:rsidRPr="00E076F7" w:rsidRDefault="00CF31EA" w:rsidP="00694827">
      <w:pPr>
        <w:suppressAutoHyphens w:val="0"/>
        <w:snapToGrid w:val="0"/>
        <w:ind w:firstLine="425"/>
        <w:jc w:val="both"/>
        <w:rPr>
          <w:sz w:val="20"/>
          <w:szCs w:val="20"/>
        </w:rPr>
      </w:pPr>
      <w:r w:rsidRPr="00E076F7">
        <w:rPr>
          <w:rFonts w:eastAsia="Calibri"/>
          <w:sz w:val="20"/>
          <w:szCs w:val="20"/>
          <w:lang w:eastAsia="en-US"/>
        </w:rPr>
        <w:t xml:space="preserve">Vaginal ultrasound with the </w:t>
      </w:r>
      <w:r w:rsidR="0070732B" w:rsidRPr="00E076F7">
        <w:rPr>
          <w:rFonts w:eastAsia="Calibri"/>
          <w:sz w:val="20"/>
          <w:szCs w:val="20"/>
          <w:lang w:eastAsia="en-US"/>
        </w:rPr>
        <w:t>high</w:t>
      </w:r>
      <w:r w:rsidRPr="00E076F7">
        <w:rPr>
          <w:rFonts w:eastAsia="Calibri"/>
          <w:sz w:val="20"/>
          <w:szCs w:val="20"/>
          <w:lang w:eastAsia="en-US"/>
        </w:rPr>
        <w:t>-</w:t>
      </w:r>
      <w:r w:rsidR="0070732B" w:rsidRPr="00E076F7">
        <w:rPr>
          <w:rFonts w:eastAsia="Calibri"/>
          <w:sz w:val="20"/>
          <w:szCs w:val="20"/>
          <w:lang w:eastAsia="en-US"/>
        </w:rPr>
        <w:t xml:space="preserve">resolution probe is a widely performed investigation prior to surgery. An assessment of the uterine mass can be particularly difficult if the endometrial lining is not well defined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{"citationItems":[{"id":"ITEM-1","itemData":{"DOI":"10.1055/s-0035-1558230","ISSN":"0016-5751","PMID":"26941450","abstract":"Endometrial carcinoma is the most common carcinoma of the female genital tract. Its most important clinical sign is postmenopausal bleeding. An endometrial biopsy is essential for diagnosis. Treatment decisions are governed by tumour risk assessment and patient comorbidity, which is often present. Pelvic and paraaortic lymph node dissection is unnecessary in low risk cases (definition: pT1 a, G1/2) and adjuvant radiotherapy and systemic treatments are usually avoidable. Treatment of high-risk patients (G3 and/or pT1b) and palliative cases is difficult and not well standardised. New molecular-based subtype classification may help treatment decision making in future. ZUSAMMENFASSUNG Das Endometriumkarzinom ist das häufigste Karzinom des weiblichen Genitales. Führendes klinisches Zeichen ist die postmenopausale Blutung. Für die Diagnosestellung ist immer eine Endometriumbiopsie notwendig. Die Therapieentscheidung hängt von der Risikoeinschätzung des Karzinoms und der häufig vorliegenden Komorbidität ab. In Fällen mit niedrigem Risiko (Definition: pT1 a, G1/2) ist eine pelvine und paraaortale Lymphknotendissketion unnötig. Eine adjuvante Bestrahlung und eine Systemtherapie sind zumeist vermeidbar. Die Behandlung von Hochrisikopatientinnen (G3 und/oder pT1b) und von Patientinnen in palliativer Situation ist schwierig und weniger gut standardisiert. Neue, molekular definierte Subtypen könnten hier zukünftig Therapieentscheidungen erleichtern.","author":[{"dropping-particle":"","family":"Stubert","given":"J","non-dropping-particle":"","parse-names":false,"suffix":""},{"dropping-particle":"","family":"Gerber","given":"B","non-dropping-particle":"","parse-names":false,"suffix":""}],"container-title":"Geburtshilfe und Frauenheilkunde","id":"ITEM-1","issue":"2","issued":{"date-parts":[["2016","2"]]},"page":"170-175","publisher":"Thieme Medical Publishers","title":"Current Issues in the Diagnosis and Treatment of Endometrial Carcinoma.","type":"article-journal","volume":"76"},"uris":["http://www.mendeley.com/documents/?uuid=2f0c04c8-88e5-334d-962d-6c22dae123f2"]}],"mendeley":{"formattedCitation":"&lt;i&gt;(&lt;b&gt;Stubert and Gerber, 2016&lt;/b&gt;)&lt;/i&gt;","plainTextFormattedCitation":"(Stubert and Gerber, 2016)","previouslyFormattedCitation":"(Stubert and Gerber 2016)"},"properties":{"noteIndex":0},"schema":"https://github.com/citation-style-language/schema/raw/master/csl-citation.json"}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Stubert and Gerber, 2016</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0070732B" w:rsidRPr="00E076F7">
        <w:rPr>
          <w:rFonts w:eastAsia="Calibri"/>
          <w:sz w:val="20"/>
          <w:szCs w:val="20"/>
          <w:lang w:eastAsia="en-US"/>
        </w:rPr>
        <w:t>.</w:t>
      </w:r>
    </w:p>
    <w:p w:rsidR="004751A3" w:rsidRPr="00E076F7" w:rsidRDefault="003B7046" w:rsidP="00694827">
      <w:pPr>
        <w:suppressAutoHyphens w:val="0"/>
        <w:snapToGrid w:val="0"/>
        <w:ind w:firstLine="425"/>
        <w:jc w:val="both"/>
        <w:rPr>
          <w:rFonts w:eastAsia="Calibri"/>
          <w:b/>
          <w:bCs/>
          <w:sz w:val="20"/>
          <w:szCs w:val="20"/>
          <w:lang w:eastAsia="en-US"/>
        </w:rPr>
      </w:pPr>
      <w:r w:rsidRPr="00E076F7">
        <w:rPr>
          <w:sz w:val="20"/>
          <w:szCs w:val="20"/>
        </w:rPr>
        <w:t xml:space="preserve">In our study </w:t>
      </w:r>
      <w:proofErr w:type="spellStart"/>
      <w:r w:rsidRPr="00E076F7">
        <w:rPr>
          <w:sz w:val="20"/>
          <w:szCs w:val="20"/>
        </w:rPr>
        <w:t>TVus</w:t>
      </w:r>
      <w:proofErr w:type="spellEnd"/>
      <w:r w:rsidRPr="00E076F7">
        <w:rPr>
          <w:sz w:val="20"/>
          <w:szCs w:val="20"/>
        </w:rPr>
        <w:t xml:space="preserve"> was able to detect 37% of the studied cases had endometrial hyperplasia,</w:t>
      </w:r>
      <w:r w:rsidR="00D84151" w:rsidRPr="00E076F7">
        <w:rPr>
          <w:sz w:val="20"/>
          <w:szCs w:val="20"/>
        </w:rPr>
        <w:t xml:space="preserve">19% had </w:t>
      </w:r>
      <w:r w:rsidR="00CF31EA" w:rsidRPr="00E076F7">
        <w:rPr>
          <w:sz w:val="20"/>
          <w:szCs w:val="20"/>
        </w:rPr>
        <w:t xml:space="preserve">a </w:t>
      </w:r>
      <w:r w:rsidR="00D84151" w:rsidRPr="00E076F7">
        <w:rPr>
          <w:sz w:val="20"/>
          <w:szCs w:val="20"/>
        </w:rPr>
        <w:t>polyp,</w:t>
      </w:r>
      <w:r w:rsidRPr="00E076F7">
        <w:rPr>
          <w:sz w:val="20"/>
          <w:szCs w:val="20"/>
        </w:rPr>
        <w:t xml:space="preserve"> 5% had atrophic </w:t>
      </w:r>
      <w:proofErr w:type="spellStart"/>
      <w:r w:rsidRPr="00E076F7">
        <w:rPr>
          <w:sz w:val="20"/>
          <w:szCs w:val="20"/>
        </w:rPr>
        <w:t>endometrium</w:t>
      </w:r>
      <w:proofErr w:type="spellEnd"/>
      <w:r w:rsidRPr="00E076F7">
        <w:rPr>
          <w:sz w:val="20"/>
          <w:szCs w:val="20"/>
        </w:rPr>
        <w:t xml:space="preserve">, 4% had </w:t>
      </w:r>
      <w:r w:rsidR="00CF31EA" w:rsidRPr="00E076F7">
        <w:rPr>
          <w:sz w:val="20"/>
          <w:szCs w:val="20"/>
        </w:rPr>
        <w:t xml:space="preserve">a </w:t>
      </w:r>
      <w:r w:rsidRPr="00E076F7">
        <w:rPr>
          <w:sz w:val="20"/>
          <w:szCs w:val="20"/>
        </w:rPr>
        <w:t xml:space="preserve">fibroid and 10 of 15 cases had endometrial carcinoma in comparison with histopathology. </w:t>
      </w:r>
    </w:p>
    <w:p w:rsidR="003B7046" w:rsidRPr="00E076F7" w:rsidRDefault="00BB1AC4" w:rsidP="00694827">
      <w:pPr>
        <w:suppressAutoHyphens w:val="0"/>
        <w:snapToGrid w:val="0"/>
        <w:ind w:firstLine="425"/>
        <w:jc w:val="both"/>
        <w:rPr>
          <w:rFonts w:eastAsia="Calibri"/>
          <w:sz w:val="20"/>
          <w:szCs w:val="20"/>
          <w:lang w:eastAsia="en-US"/>
        </w:rPr>
      </w:pPr>
      <w:r w:rsidRPr="00E076F7">
        <w:rPr>
          <w:rFonts w:eastAsia="Calibri"/>
          <w:b/>
          <w:bCs/>
          <w:sz w:val="20"/>
          <w:szCs w:val="20"/>
          <w:lang w:eastAsia="en-US"/>
        </w:rPr>
        <w:t xml:space="preserve">La Torre et al., </w:t>
      </w:r>
      <w:r w:rsidRPr="00E076F7">
        <w:rPr>
          <w:rFonts w:eastAsia="Calibri"/>
          <w:sz w:val="20"/>
          <w:szCs w:val="20"/>
          <w:lang w:eastAsia="en-US"/>
        </w:rPr>
        <w:t xml:space="preserve">in their study for diagnosing endometrial focal lesions especially polyps as compared to hysteroscopy and </w:t>
      </w:r>
      <w:proofErr w:type="spellStart"/>
      <w:r w:rsidRPr="00E076F7">
        <w:rPr>
          <w:rFonts w:eastAsia="Calibri"/>
          <w:sz w:val="20"/>
          <w:szCs w:val="20"/>
          <w:lang w:eastAsia="en-US"/>
        </w:rPr>
        <w:t>histologic</w:t>
      </w:r>
      <w:proofErr w:type="spellEnd"/>
      <w:r w:rsidRPr="00E076F7">
        <w:rPr>
          <w:rFonts w:eastAsia="Calibri"/>
          <w:sz w:val="20"/>
          <w:szCs w:val="20"/>
          <w:lang w:eastAsia="en-US"/>
        </w:rPr>
        <w:t xml:space="preserve"> examination, 2D US diagnosed 23 polyps versus 16 confirmed at </w:t>
      </w:r>
      <w:proofErr w:type="spellStart"/>
      <w:r w:rsidRPr="00E076F7">
        <w:rPr>
          <w:rFonts w:eastAsia="Calibri"/>
          <w:sz w:val="20"/>
          <w:szCs w:val="20"/>
          <w:lang w:eastAsia="en-US"/>
        </w:rPr>
        <w:t>hysteroscopic</w:t>
      </w:r>
      <w:proofErr w:type="spellEnd"/>
      <w:r w:rsidRPr="00E076F7">
        <w:rPr>
          <w:rFonts w:eastAsia="Calibri"/>
          <w:sz w:val="20"/>
          <w:szCs w:val="20"/>
          <w:lang w:eastAsia="en-US"/>
        </w:rPr>
        <w:t xml:space="preserve"> and </w:t>
      </w:r>
      <w:proofErr w:type="spellStart"/>
      <w:r w:rsidRPr="00E076F7">
        <w:rPr>
          <w:rFonts w:eastAsia="Calibri"/>
          <w:sz w:val="20"/>
          <w:szCs w:val="20"/>
          <w:lang w:eastAsia="en-US"/>
        </w:rPr>
        <w:t>histologic</w:t>
      </w:r>
      <w:proofErr w:type="spellEnd"/>
      <w:r w:rsidRPr="00E076F7">
        <w:rPr>
          <w:rFonts w:eastAsia="Calibri"/>
          <w:sz w:val="20"/>
          <w:szCs w:val="20"/>
          <w:lang w:eastAsia="en-US"/>
        </w:rPr>
        <w:t xml:space="preserve"> examination revealing a specificity of 69.5%</w:t>
      </w:r>
      <w:r w:rsidR="004751A3" w:rsidRPr="00E076F7">
        <w:rPr>
          <w:rFonts w:eastAsia="Calibri"/>
          <w:sz w:val="20"/>
          <w:szCs w:val="20"/>
          <w:lang w:eastAsia="en-US"/>
        </w:rPr>
        <w:t xml:space="preserve">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{"citationItems":[{"id":"ITEM-1","itemData":{"ISSN":"0390-6663","author":[{"dropping-particle":"","family":"La","given":"R Torre","non-dropping-particle":"","parse-names":false,"suffix":""},{"dropping-particle":"","family":"De","given":"C Felice","non-dropping-particle":"","parse-names":false,"suffix":""},{"dropping-particle":"","family":"De","given":"C Angelis","non-dropping-particle":"","parse-names":false,"suffix":""},{"dropping-particle":"","family":"Coacci","given":"F","non-dropping-particle":"","parse-names":false,"suffix":""},{"dropping-particle":"","family":"Mastrone","given":"M","non-dropping-particle":"","parse-names":false,"suffix":""},{"dropping-particle":"V","family":"Cosmi","given":"E","non-dropping-particle":"","parse-names":false,"suffix":""}],"container-title":"Clinical and experimental obstetrics &amp; gynecology","id":"ITEM-1","issue":"3-4","issued":{"date-parts":[["1999"]]},"page":"171-173","title":"Transvaginal sonographic evaluation of endometrial polyps: a comparison with two dimensional and three dimensional contrast sonography.","type":"article-journal","volume":"26"},"uris":["http://www.mendeley.com/documents/?uuid=046343c1-a6a7-4304-a325-9ad5a9674fa3"]}],"mendeley":{"formattedCitation":"&lt;i&gt;(&lt;b&gt;La et al., 1999&lt;/b&gt;)&lt;/i&gt;","plainTextFormattedCitation":"(La et al., 1999)","previouslyFormattedCitation":"(La et al. 1999)"},"properties":{"noteIndex":0},"schema":"https://github.com/citation-style-language/schema/raw/master/csl-citation.json"}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La et al., 1999</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Pr="00E076F7">
        <w:rPr>
          <w:rFonts w:eastAsia="Calibri"/>
          <w:sz w:val="20"/>
          <w:szCs w:val="20"/>
          <w:lang w:eastAsia="en-US"/>
        </w:rPr>
        <w:t>.</w:t>
      </w:r>
    </w:p>
    <w:p w:rsidR="004751A3" w:rsidRPr="00E076F7" w:rsidRDefault="004751A3" w:rsidP="00694827">
      <w:pPr>
        <w:suppressAutoHyphens w:val="0"/>
        <w:snapToGrid w:val="0"/>
        <w:ind w:firstLine="425"/>
        <w:jc w:val="both"/>
        <w:rPr>
          <w:rFonts w:eastAsia="Calibri"/>
          <w:sz w:val="20"/>
          <w:szCs w:val="20"/>
          <w:lang w:eastAsia="en-US"/>
        </w:rPr>
      </w:pPr>
      <w:r w:rsidRPr="00E076F7">
        <w:rPr>
          <w:rFonts w:eastAsia="Calibri"/>
          <w:b/>
          <w:bCs/>
          <w:noProof/>
          <w:sz w:val="20"/>
          <w:szCs w:val="20"/>
          <w:lang w:eastAsia="en-US"/>
        </w:rPr>
        <w:t>Bingol et al.</w:t>
      </w:r>
      <w:r w:rsidRPr="00E076F7">
        <w:rPr>
          <w:rFonts w:eastAsia="Calibri"/>
          <w:b/>
          <w:bCs/>
          <w:sz w:val="20"/>
          <w:szCs w:val="20"/>
          <w:lang w:eastAsia="en-US"/>
        </w:rPr>
        <w:t>,</w:t>
      </w:r>
      <w:r w:rsidRPr="00E076F7">
        <w:rPr>
          <w:rFonts w:eastAsia="Calibri"/>
          <w:sz w:val="20"/>
          <w:szCs w:val="20"/>
          <w:lang w:eastAsia="en-US"/>
        </w:rPr>
        <w:t xml:space="preserve"> conducted a prospective, investigator-blind trial on 137 postmenopausal women and they reported that TVS revealed false positive results concerning endometrial atrophy (2.1%), endometrial hyperplasia (5.1%) and </w:t>
      </w:r>
      <w:proofErr w:type="spellStart"/>
      <w:r w:rsidRPr="00E076F7">
        <w:rPr>
          <w:rFonts w:eastAsia="Calibri"/>
          <w:sz w:val="20"/>
          <w:szCs w:val="20"/>
          <w:lang w:eastAsia="en-US"/>
        </w:rPr>
        <w:t>submucosal</w:t>
      </w:r>
      <w:proofErr w:type="spellEnd"/>
      <w:r w:rsidRPr="00E076F7">
        <w:rPr>
          <w:rFonts w:eastAsia="Calibri"/>
          <w:sz w:val="20"/>
          <w:szCs w:val="20"/>
          <w:lang w:eastAsia="en-US"/>
        </w:rPr>
        <w:t xml:space="preserve"> </w:t>
      </w:r>
      <w:proofErr w:type="spellStart"/>
      <w:r w:rsidRPr="00E076F7">
        <w:rPr>
          <w:rFonts w:eastAsia="Calibri"/>
          <w:sz w:val="20"/>
          <w:szCs w:val="20"/>
          <w:lang w:eastAsia="en-US"/>
        </w:rPr>
        <w:t>myoma</w:t>
      </w:r>
      <w:proofErr w:type="spellEnd"/>
      <w:r w:rsidRPr="00E076F7">
        <w:rPr>
          <w:rFonts w:eastAsia="Calibri"/>
          <w:sz w:val="20"/>
          <w:szCs w:val="20"/>
          <w:lang w:eastAsia="en-US"/>
        </w:rPr>
        <w:t xml:space="preserve"> (5.8%), whereas false negative results occurred for the diagnosis of endometrial polyps (7.3%) when compared to pathological diagnosis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{"citationItems":[{"id":"ITEM-1","itemData":{"DOI":"10.1007/s00404-010-1604-0","ISBN":"1432-0711 (Electronic)\\r0932-0067 (Linking)","ISSN":"09320067","PMID":"20665218","abstract":"OBJECTIVE: To compare the diagnostic accuracy of transvaginal sonography (TVS), saline infusion sonohysterography (SIS) and hysteroscopy (HS) with respect to pathological diagnosis in the detection of uterine cavity abnormalities associated with abnormal uterine bleeding among postmenopausal women. METHODS: Being a prospective, investigator-blind trial, the present study was conducted on 137 postmenopausal women, with abnormal uterine bleeding, admitted to the Department of Obstetrics and Gynecology of Istanbul Bilim University, Florence Nightingale Hospital and Fertigyn Woman Health and IVF Center. After TVS, all patients underwent SIS using Cook Soft 500 IVF transfer catheter and HS, consecutively. Sensitivity, specificity, and positive and negative predictive values (PPV and NPV) were calculated to compare the diagnostic accuracy of TVS, SIS and HS. RESULTS: Most commonly encountered endometrial lesions were polypoid lesion (38.0%) and hyperplasia (28.4%) among our study population consisting of 137 women (mean age 61.6 +/- 9.6 years) in their postmenopausal stage. Overall sensitivity rates were 70.0% for TVS, 89.6% for SIS and 92.3% for HS, while the overall specificity rates were 50.0, 77.3 and 80.7%, respectively. HS had PPV of 96.2% and NPV of 65.3%, whereas PPV was determined to be 80.9 versus 95.3% and NPV was 35.4 versus 58.3% for TVS and SIS, respectively. CONCLUSIONS: As an easy to perform, safe and well-tolerated procedure yielding high diagnostic accuracy, saline infusion SIS via this catheter seems to be superior to TVS and very close to HS. It may be used as the primary method for the detection of uterine abnormalities among postmenopausal women with abnormal uterine bleeding.","author":[{"dropping-particle":"","family":"Bingol","given":"Banu","non-dropping-particle":"","parse-names":false,"suffix":""},{"dropping-particle":"","family":"Gunenc","given":"M. Ziya","non-dropping-particle":"","parse-names":false,"suffix":""},{"dropping-particle":"","family":"Gedikbasi","given":"Ali","non-dropping-particle":"","parse-names":false,"suffix":""},{"dropping-particle":"","family":"Guner","given":"Haldun","non-dropping-particle":"","parse-names":false,"suffix":""},{"dropping-particle":"","family":"Tasdemir","given":"Seval","non-dropping-particle":"","parse-names":false,"suffix":""},{"dropping-particle":"","family":"Tiras","given":"Bulent","non-dropping-particle":"","parse-names":false,"suffix":""}],"container-title":"Archives of Gynecology and Obstetrics","id":"ITEM-1","issue":"1","issued":{"date-parts":[["2011","7","28"]]},"page":"111-117","title":"Comparison of diagnostic accuracy of saline infusion sonohysterography, transvaginal sonography and hysteroscopy in postmenopausal bleeding","type":"article-journal","volume":"284"},"uris":["http://www.mendeley.com/documents/?uuid=da055964-aa32-3570-a88e-c4e59cbcf486"]}],"mendeley":{"formattedCitation":"&lt;i&gt;(&lt;b&gt;Bingol et al., 2011&lt;/b&gt;)&lt;/i&gt;","plainTextFormattedCitation":"(Bingol et al., 2011)","previouslyFormattedCitation":"(Bingol et al. 2011)"},"properties":{"noteIndex":0},"schema":"https://github.com/citation-style-language/schema/raw/master/csl-citation.json"}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Bingol et al., 2011</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Pr="00E076F7">
        <w:rPr>
          <w:rFonts w:eastAsia="Calibri"/>
          <w:sz w:val="20"/>
          <w:szCs w:val="20"/>
          <w:lang w:eastAsia="en-US"/>
        </w:rPr>
        <w:t>.</w:t>
      </w:r>
    </w:p>
    <w:p w:rsidR="00D84151" w:rsidRPr="00E076F7" w:rsidRDefault="00D84151"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lastRenderedPageBreak/>
        <w:t>Overall TVS sensitivity rate was 88%, specificity rate was 67%, whereas PPV was 85 and NPV was 70.</w:t>
      </w:r>
    </w:p>
    <w:p w:rsidR="00D70436" w:rsidRPr="00E076F7" w:rsidRDefault="00D70436"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 xml:space="preserve">In agreement with a prospective study by </w:t>
      </w:r>
      <w:proofErr w:type="spellStart"/>
      <w:r w:rsidRPr="00E076F7">
        <w:rPr>
          <w:rFonts w:eastAsia="Calibri"/>
          <w:b/>
          <w:bCs/>
          <w:sz w:val="20"/>
          <w:szCs w:val="20"/>
          <w:lang w:eastAsia="en-US"/>
        </w:rPr>
        <w:t>Erdem</w:t>
      </w:r>
      <w:proofErr w:type="spellEnd"/>
      <w:r w:rsidRPr="00E076F7">
        <w:rPr>
          <w:rFonts w:eastAsia="Calibri"/>
          <w:b/>
          <w:bCs/>
          <w:sz w:val="20"/>
          <w:szCs w:val="20"/>
          <w:lang w:eastAsia="en-US"/>
        </w:rPr>
        <w:t xml:space="preserve"> et al.,</w:t>
      </w:r>
      <w:r w:rsidRPr="00E076F7">
        <w:rPr>
          <w:rFonts w:eastAsia="Calibri"/>
          <w:sz w:val="20"/>
          <w:szCs w:val="20"/>
          <w:lang w:eastAsia="en-US"/>
        </w:rPr>
        <w:t xml:space="preserve"> comparing TVUS and concurrent SIS findings of 100 pre- and 33 postmenopausal women. They stated that the sensitivity and specificity of TVUS in diagnosing endometrial pathologies were 83% and 70.6%, respectively.</w:t>
      </w:r>
    </w:p>
    <w:p w:rsidR="0070732B" w:rsidRPr="00E076F7" w:rsidRDefault="0070732B"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 xml:space="preserve">The diagnostic efficacy of </w:t>
      </w:r>
      <w:proofErr w:type="spellStart"/>
      <w:r w:rsidRPr="00E076F7">
        <w:rPr>
          <w:rFonts w:eastAsia="Calibri"/>
          <w:sz w:val="20"/>
          <w:szCs w:val="20"/>
          <w:lang w:eastAsia="en-US"/>
        </w:rPr>
        <w:t>Transvaginal</w:t>
      </w:r>
      <w:proofErr w:type="spellEnd"/>
      <w:r w:rsidRPr="00E076F7">
        <w:rPr>
          <w:rFonts w:eastAsia="Calibri"/>
          <w:sz w:val="20"/>
          <w:szCs w:val="20"/>
          <w:lang w:eastAsia="en-US"/>
        </w:rPr>
        <w:t xml:space="preserve"> ultrasound is increased by using real</w:t>
      </w:r>
      <w:r w:rsidR="00CF31EA" w:rsidRPr="00E076F7">
        <w:rPr>
          <w:rFonts w:eastAsia="Calibri"/>
          <w:sz w:val="20"/>
          <w:szCs w:val="20"/>
          <w:lang w:eastAsia="en-US"/>
        </w:rPr>
        <w:t>-</w:t>
      </w:r>
      <w:r w:rsidRPr="00E076F7">
        <w:rPr>
          <w:rFonts w:eastAsia="Calibri"/>
          <w:sz w:val="20"/>
          <w:szCs w:val="20"/>
          <w:lang w:eastAsia="en-US"/>
        </w:rPr>
        <w:t xml:space="preserve">time </w:t>
      </w:r>
      <w:proofErr w:type="spellStart"/>
      <w:r w:rsidRPr="00E076F7">
        <w:rPr>
          <w:rFonts w:eastAsia="Calibri"/>
          <w:sz w:val="20"/>
          <w:szCs w:val="20"/>
          <w:lang w:eastAsia="en-US"/>
        </w:rPr>
        <w:t>intracavitary</w:t>
      </w:r>
      <w:proofErr w:type="spellEnd"/>
      <w:r w:rsidRPr="00E076F7">
        <w:rPr>
          <w:rFonts w:eastAsia="Calibri"/>
          <w:sz w:val="20"/>
          <w:szCs w:val="20"/>
          <w:lang w:eastAsia="en-US"/>
        </w:rPr>
        <w:t xml:space="preserve"> saline infusion during </w:t>
      </w:r>
      <w:proofErr w:type="spellStart"/>
      <w:r w:rsidRPr="00E076F7">
        <w:rPr>
          <w:rFonts w:eastAsia="Calibri"/>
          <w:sz w:val="20"/>
          <w:szCs w:val="20"/>
          <w:lang w:eastAsia="en-US"/>
        </w:rPr>
        <w:t>Transvaginal</w:t>
      </w:r>
      <w:proofErr w:type="spellEnd"/>
      <w:r w:rsidRPr="00E076F7">
        <w:rPr>
          <w:rFonts w:eastAsia="Calibri"/>
          <w:sz w:val="20"/>
          <w:szCs w:val="20"/>
          <w:lang w:eastAsia="en-US"/>
        </w:rPr>
        <w:t xml:space="preserve"> </w:t>
      </w:r>
      <w:proofErr w:type="spellStart"/>
      <w:r w:rsidRPr="00E076F7">
        <w:rPr>
          <w:rFonts w:eastAsia="Calibri"/>
          <w:sz w:val="20"/>
          <w:szCs w:val="20"/>
          <w:lang w:eastAsia="en-US"/>
        </w:rPr>
        <w:t>ultrasonography</w:t>
      </w:r>
      <w:proofErr w:type="spellEnd"/>
      <w:r w:rsidRPr="00E076F7">
        <w:rPr>
          <w:rFonts w:eastAsia="Calibri"/>
          <w:sz w:val="20"/>
          <w:szCs w:val="20"/>
          <w:lang w:eastAsia="en-US"/>
        </w:rPr>
        <w:t xml:space="preserve"> with a sensitivity of 93.5% and specificity of 99.4%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ISSN":"1072-3714","author":[{"dropping-particle":"","family":"Erdem","given":"Mehmet","non-dropping-particle":"","parse-names":false,"suffix":""},{"dropping-particle":"","family":"Bilgin","given":"Ufuk","non-dropping-particle":"","parse-names":false,"suffix":""},{"dropping-particle":"","family":"Bozkurt","given":"Nuray","non-dropping-particle":"","parse-names":false,"suffix":""},{"dropping-particle":"","family":"Erdem","given":"Ahmet","non-dropping-particle":"","parse-names":false,"suffix":""}],"container-title":"Menopause","id":"ITEM-1","issue":"5","issued":{"date-parts":[["2007"]]},"page":"846-852","publisher":"LWW","title":"Comparison of transvaginal ultrasonography and saline infusion sonohysterography in evaluating the endometrial cavity in pre-and postmenopausal women with abnormal uterine bleeding","type":"article-journal","volume":"14"},"uris":["http://www.mendeley.com/documents/?uuid=9a87cb25-3b16-4315-81fb-176b072f5669"]}],"mendeley":{"formattedCitation":"&lt;i&gt;(&lt;b&gt;Erdem et al., 2007&lt;/b&gt;)&lt;/i&gt;","plainTextFormattedCitation":"(Erdem et al., 2007)","previouslyFormattedCitation":"(Erdem et al. 2007)"},"properties":{"noteIndex":0},"schema":"https://github.com/citation-style-language/schema/raw/master/csl-citation.json"}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Erdem et al., 2007</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Pr="00E076F7">
        <w:rPr>
          <w:rFonts w:eastAsia="Calibri"/>
          <w:sz w:val="20"/>
          <w:szCs w:val="20"/>
          <w:lang w:eastAsia="en-US"/>
        </w:rPr>
        <w:t>.</w:t>
      </w:r>
    </w:p>
    <w:p w:rsidR="00632BD1" w:rsidRPr="00E076F7" w:rsidRDefault="00632BD1"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 xml:space="preserve">Saline infusion </w:t>
      </w:r>
      <w:proofErr w:type="spellStart"/>
      <w:r w:rsidRPr="00E076F7">
        <w:rPr>
          <w:rFonts w:eastAsia="Calibri"/>
          <w:sz w:val="20"/>
          <w:szCs w:val="20"/>
          <w:lang w:eastAsia="en-US"/>
        </w:rPr>
        <w:t>sonography</w:t>
      </w:r>
      <w:proofErr w:type="spellEnd"/>
      <w:r w:rsidRPr="00E076F7">
        <w:rPr>
          <w:rFonts w:eastAsia="Calibri"/>
          <w:sz w:val="20"/>
          <w:szCs w:val="20"/>
          <w:lang w:eastAsia="en-US"/>
        </w:rPr>
        <w:t xml:space="preserve"> was a reliable and accurate method for investigations of the </w:t>
      </w:r>
      <w:proofErr w:type="spellStart"/>
      <w:r w:rsidRPr="00E076F7">
        <w:rPr>
          <w:rFonts w:eastAsia="Calibri"/>
          <w:sz w:val="20"/>
          <w:szCs w:val="20"/>
          <w:lang w:eastAsia="en-US"/>
        </w:rPr>
        <w:t>endometrium</w:t>
      </w:r>
      <w:proofErr w:type="spellEnd"/>
      <w:r w:rsidRPr="00E076F7">
        <w:rPr>
          <w:rFonts w:eastAsia="Calibri"/>
          <w:sz w:val="20"/>
          <w:szCs w:val="20"/>
          <w:lang w:eastAsia="en-US"/>
        </w:rPr>
        <w:t xml:space="preserve"> and uterine cavity. It provides </w:t>
      </w:r>
      <w:r w:rsidR="00CF31EA" w:rsidRPr="00E076F7">
        <w:rPr>
          <w:rFonts w:eastAsia="Calibri"/>
          <w:sz w:val="20"/>
          <w:szCs w:val="20"/>
          <w:lang w:eastAsia="en-US"/>
        </w:rPr>
        <w:t xml:space="preserve">a </w:t>
      </w:r>
      <w:r w:rsidRPr="00E076F7">
        <w:rPr>
          <w:rFonts w:eastAsia="Calibri"/>
          <w:sz w:val="20"/>
          <w:szCs w:val="20"/>
          <w:lang w:eastAsia="en-US"/>
        </w:rPr>
        <w:t>correlative date with histological results as good as more invasive procedures.</w:t>
      </w:r>
    </w:p>
    <w:p w:rsidR="00D70436" w:rsidRPr="00E076F7" w:rsidRDefault="00632BD1"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In our study</w:t>
      </w:r>
      <w:r w:rsidR="00CF31EA" w:rsidRPr="00E076F7">
        <w:rPr>
          <w:rFonts w:eastAsia="Calibri"/>
          <w:sz w:val="20"/>
          <w:szCs w:val="20"/>
          <w:lang w:eastAsia="en-US"/>
        </w:rPr>
        <w:t>,</w:t>
      </w:r>
      <w:r w:rsidRPr="00E076F7">
        <w:rPr>
          <w:rFonts w:eastAsia="Calibri"/>
          <w:sz w:val="20"/>
          <w:szCs w:val="20"/>
          <w:lang w:eastAsia="en-US"/>
        </w:rPr>
        <w:t xml:space="preserve"> SIS was able to detect 10 of 15 cases had endometrial carcinoma in c</w:t>
      </w:r>
      <w:r w:rsidR="00CF31EA" w:rsidRPr="00E076F7">
        <w:rPr>
          <w:rFonts w:eastAsia="Calibri"/>
          <w:sz w:val="20"/>
          <w:szCs w:val="20"/>
          <w:lang w:eastAsia="en-US"/>
        </w:rPr>
        <w:t>omparison with histopathology. The p</w:t>
      </w:r>
      <w:r w:rsidRPr="00E076F7">
        <w:rPr>
          <w:rFonts w:eastAsia="Calibri"/>
          <w:sz w:val="20"/>
          <w:szCs w:val="20"/>
          <w:lang w:eastAsia="en-US"/>
        </w:rPr>
        <w:t>olyp was found in 19 cases in comparison with 18 cases confirmed by histopathology.</w:t>
      </w:r>
      <w:r w:rsidR="00D70436" w:rsidRPr="00E076F7">
        <w:rPr>
          <w:rFonts w:eastAsia="Calibri"/>
          <w:sz w:val="20"/>
          <w:szCs w:val="20"/>
          <w:lang w:eastAsia="en-US"/>
        </w:rPr>
        <w:t xml:space="preserve"> The sensitivity of SIS for detection of </w:t>
      </w:r>
      <w:r w:rsidR="00CF31EA" w:rsidRPr="00E076F7">
        <w:rPr>
          <w:rFonts w:eastAsia="Calibri"/>
          <w:sz w:val="20"/>
          <w:szCs w:val="20"/>
          <w:lang w:eastAsia="en-US"/>
        </w:rPr>
        <w:t xml:space="preserve">the </w:t>
      </w:r>
      <w:r w:rsidR="00D70436" w:rsidRPr="00E076F7">
        <w:rPr>
          <w:rFonts w:eastAsia="Calibri"/>
          <w:sz w:val="20"/>
          <w:szCs w:val="20"/>
          <w:lang w:eastAsia="en-US"/>
        </w:rPr>
        <w:t>lesion is 93-100% and the specificity is 85-96</w:t>
      </w:r>
      <w:r w:rsidR="00707082" w:rsidRPr="00E076F7">
        <w:rPr>
          <w:rFonts w:eastAsia="Calibri"/>
          <w:sz w:val="20"/>
          <w:szCs w:val="20"/>
          <w:lang w:eastAsia="en-US"/>
        </w:rPr>
        <w:t xml:space="preserve"> </w:t>
      </w:r>
      <w:r w:rsidR="00F85A9C" w:rsidRPr="00E076F7">
        <w:rPr>
          <w:rFonts w:eastAsia="Calibri"/>
          <w:sz w:val="20"/>
          <w:szCs w:val="20"/>
          <w:lang w:eastAsia="en-US"/>
        </w:rPr>
        <w:fldChar w:fldCharType="begin" w:fldLock="1"/>
      </w:r>
      <w:r w:rsidR="005D0699" w:rsidRPr="00E076F7">
        <w:rPr>
          <w:rFonts w:eastAsia="Calibri"/>
          <w:sz w:val="20"/>
          <w:szCs w:val="20"/>
          <w:lang w:eastAsia="en-US"/>
        </w:rPr>
        <w:instrText>ADDIN CSL_CITATION {"citationItems":[{"id":"ITEM-1","itemData":{"ISBN":"0001-6349","ISSN":"0001-6349","abstract":"Objective. To determine the diagnostic value of transvaginal ultrasonography and hysteroscopy in patients with postmenopausal bleeding. Material and methods. Between January 1, 1998 and June 30, 1999, 88 outpatient women with postmenopausal bleeding were enrolled in a prospective study. They underwent transvaginal ultrasonography and hysteroscopy, and were submitted to directed biopsy during hysteroscopy. Findings were classified as normal endometrium, suggestive of atrophy, focal abnormality (benign or suspicious), and diffuse thickness (benign or suspicious). Data was compared with the final diagnosis, established by histological examination, as atrophy, benign pathology, atypical hyperplasia and endometrial carcinoma. Results. Among 88 women enrolled, 15 were excluded because hysteroscopy was impossible, and four had abandoned the study. The histological findings were scanty material in 12 (17.4%), atrophy in 24 (34.8%), cystic atrophy in one (1.4%), normal endometrium in five (7.2%), tuberculous endometritis in one (1.4%), polyps in 12 (17.4%), leiomyoma in one (1.4%), non-atypical hyperplasia in three (4.3%), atypical hyperplasia in one (1.4%) and endometrial carcinoma in nine cases (13.0%). For the assessment of endometrial carcinoma, ultrasonography revealed sensitivity 77.8%, specificity 93.3%, positive predictive value 63.6%, negative predictive value 96.6%; and hysteroscopy revealed sensitivity of 88.9%, specificity 98.3%, positive predictive value 88.9%, negative predictive value 98.3%. The combined use of both methods revealed sensitivity 100%, specificity 91.7%, positive predictive value 64.3%, negative predictive value 100%. Conclusions. Both imagiological methods were found to be useful screening tests for endometrial carcinoma. Hysteroscopy was a superior diagnostic procedure.","author":[{"dropping-particle":"","family":"Rita","given":"Sousa","non-dropping-particle":"","parse-names":false,"suffix":""},{"dropping-particle":"","family":"Margarida","given":"Silvestre","non-dropping-particle":"","parse-names":false,"suffix":""},{"dropping-particle":"","family":"Luis Almeida E","given":"Sousa","non-dropping-particle":"","parse-names":false,"suffix":""},{"dropping-particle":"","family":"Francisco","given":"Falcão","non-dropping-particle":"","parse-names":false,"suffix":""},{"dropping-particle":"","family":"Isabel","given":"Dias","non-dropping-particle":"","parse-names":false,"suffix":""},{"dropping-particle":"","family":"Teresa","given":"Silva","non-dropping-particle":"","parse-names":false,"suffix":""},{"dropping-particle":"","family":"Carlos De","given":"Oliveira","non-dropping-particle":"","parse-names":false,"suffix":""},{"dropping-particle":"","family":"Henrique Miguel","given":"Oliveira","non-dropping-particle":"","parse-names":false,"suffix":""}],"container-title":"Acta Obstetricia et Gynecologica Scandinavica","id":"ITEM-1","issue":"9","issued":{"date-parts":[["2001"]]},"page":"856-862","publisher":"Taylor &amp; Francis","title":"Transvaginal ultrasonography and hysteroscopy in postmenopausal bleeding: A prospective study","type":"article-journal","volume":"80"},"uris":["http://www.mendeley.com/documents/?uuid=4e2750e8-0a98-483d-b25a-e84700155d57"]}],"mendeley":{"formattedCitation":"&lt;i&gt;(&lt;b&gt;Rita et al., 2001&lt;/b&gt;)&lt;/i&gt;","plainTextFormattedCitation":"(Rita et al., 2001)","previouslyFormattedCitation":"(Rita et al. 2001)"},"properties":{"noteIndex":0},"schema":"https://github.com/citation-style-language/schema/raw/master/csl-citation.json"}</w:instrText>
      </w:r>
      <w:r w:rsidR="00F85A9C" w:rsidRPr="00E076F7">
        <w:rPr>
          <w:rFonts w:eastAsia="Calibri"/>
          <w:sz w:val="20"/>
          <w:szCs w:val="20"/>
          <w:lang w:eastAsia="en-US"/>
        </w:rPr>
        <w:fldChar w:fldCharType="separate"/>
      </w:r>
      <w:r w:rsidR="005D0699" w:rsidRPr="00E076F7">
        <w:rPr>
          <w:rFonts w:eastAsia="Calibri"/>
          <w:noProof/>
          <w:sz w:val="20"/>
          <w:szCs w:val="20"/>
          <w:lang w:eastAsia="en-US"/>
        </w:rPr>
        <w:t>(</w:t>
      </w:r>
      <w:r w:rsidR="005D0699" w:rsidRPr="00E076F7">
        <w:rPr>
          <w:rFonts w:eastAsia="Calibri"/>
          <w:b/>
          <w:noProof/>
          <w:sz w:val="20"/>
          <w:szCs w:val="20"/>
          <w:lang w:eastAsia="en-US"/>
        </w:rPr>
        <w:t>Rita et al., 2001</w:t>
      </w:r>
      <w:r w:rsidR="005D0699" w:rsidRPr="00E076F7">
        <w:rPr>
          <w:rFonts w:eastAsia="Calibri"/>
          <w:noProof/>
          <w:sz w:val="20"/>
          <w:szCs w:val="20"/>
          <w:lang w:eastAsia="en-US"/>
        </w:rPr>
        <w:t>)</w:t>
      </w:r>
      <w:r w:rsidR="00F85A9C" w:rsidRPr="00E076F7">
        <w:rPr>
          <w:rFonts w:eastAsia="Calibri"/>
          <w:sz w:val="20"/>
          <w:szCs w:val="20"/>
          <w:lang w:eastAsia="en-US"/>
        </w:rPr>
        <w:fldChar w:fldCharType="end"/>
      </w:r>
      <w:r w:rsidR="00707082" w:rsidRPr="00E076F7">
        <w:rPr>
          <w:rFonts w:eastAsia="Calibri"/>
          <w:sz w:val="20"/>
          <w:szCs w:val="20"/>
          <w:lang w:eastAsia="en-US"/>
        </w:rPr>
        <w:t>.</w:t>
      </w:r>
      <w:r w:rsidR="00D70436" w:rsidRPr="00E076F7">
        <w:rPr>
          <w:rFonts w:eastAsia="Calibri"/>
          <w:sz w:val="20"/>
          <w:szCs w:val="20"/>
          <w:lang w:eastAsia="en-US"/>
        </w:rPr>
        <w:t xml:space="preserve"> This is nearly corresponding with our study with a sensitivity of 91%, a specificity 80%, PPV 87%, NPV 89% and accuracy 91%.</w:t>
      </w:r>
    </w:p>
    <w:p w:rsidR="00D70436" w:rsidRPr="00E076F7" w:rsidRDefault="00D70436"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As expected the diagnostic accuracy of diagnostic hysteroscopy was almost 100% in our study for all lesions and gave just 1 false negative result by missing one case of simple endometrial hyperplasia. Hysteroscopy is considered the most sensitive method for diagnosis of different endometrial lesions. It detects all cases of polyps, atrophy</w:t>
      </w:r>
      <w:r w:rsidR="00CF31EA" w:rsidRPr="00E076F7">
        <w:rPr>
          <w:rFonts w:eastAsia="Calibri"/>
          <w:sz w:val="20"/>
          <w:szCs w:val="20"/>
          <w:lang w:eastAsia="en-US"/>
        </w:rPr>
        <w:t>,</w:t>
      </w:r>
      <w:r w:rsidRPr="00E076F7">
        <w:rPr>
          <w:rFonts w:eastAsia="Calibri"/>
          <w:sz w:val="20"/>
          <w:szCs w:val="20"/>
          <w:lang w:eastAsia="en-US"/>
        </w:rPr>
        <w:t xml:space="preserve"> and malignancy with a sensitivity</w:t>
      </w:r>
      <w:r w:rsidR="00CF31EA" w:rsidRPr="00E076F7">
        <w:rPr>
          <w:rFonts w:eastAsia="Calibri"/>
          <w:sz w:val="20"/>
          <w:szCs w:val="20"/>
          <w:lang w:eastAsia="en-US"/>
        </w:rPr>
        <w:t xml:space="preserve"> of</w:t>
      </w:r>
      <w:r w:rsidRPr="00E076F7">
        <w:rPr>
          <w:rFonts w:eastAsia="Calibri"/>
          <w:sz w:val="20"/>
          <w:szCs w:val="20"/>
          <w:lang w:eastAsia="en-US"/>
        </w:rPr>
        <w:t xml:space="preserve"> 98% and accuracy 95%.</w:t>
      </w:r>
      <w:r w:rsidRPr="00E076F7">
        <w:rPr>
          <w:rFonts w:eastAsia="Times New Roman"/>
          <w:sz w:val="20"/>
          <w:szCs w:val="20"/>
          <w:lang w:eastAsia="en-US"/>
        </w:rPr>
        <w:t xml:space="preserve"> </w:t>
      </w:r>
    </w:p>
    <w:p w:rsidR="00B973A7" w:rsidRPr="00E076F7" w:rsidRDefault="00D70436"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 xml:space="preserve">The high accuracy of diagnostic hysteroscopy (approaching almost 100%) is in line with the studies of </w:t>
      </w:r>
      <w:proofErr w:type="spellStart"/>
      <w:r w:rsidRPr="00E076F7">
        <w:rPr>
          <w:rFonts w:eastAsia="Calibri"/>
          <w:b/>
          <w:bCs/>
          <w:sz w:val="20"/>
          <w:szCs w:val="20"/>
          <w:lang w:eastAsia="en-US"/>
        </w:rPr>
        <w:t>Kelekci</w:t>
      </w:r>
      <w:proofErr w:type="spellEnd"/>
      <w:r w:rsidRPr="00E076F7">
        <w:rPr>
          <w:rFonts w:eastAsia="Calibri"/>
          <w:b/>
          <w:bCs/>
          <w:sz w:val="20"/>
          <w:szCs w:val="20"/>
          <w:lang w:eastAsia="en-US"/>
        </w:rPr>
        <w:t xml:space="preserve"> et al.</w:t>
      </w:r>
      <w:r w:rsidRPr="00E076F7">
        <w:rPr>
          <w:rFonts w:eastAsia="Calibri"/>
          <w:sz w:val="20"/>
          <w:szCs w:val="20"/>
          <w:lang w:eastAsia="en-US"/>
        </w:rPr>
        <w:t xml:space="preserve">, </w:t>
      </w:r>
      <w:proofErr w:type="spellStart"/>
      <w:r w:rsidRPr="00E076F7">
        <w:rPr>
          <w:rFonts w:eastAsia="Calibri"/>
          <w:b/>
          <w:bCs/>
          <w:sz w:val="20"/>
          <w:szCs w:val="20"/>
          <w:lang w:eastAsia="en-US"/>
        </w:rPr>
        <w:t>Karageyim</w:t>
      </w:r>
      <w:proofErr w:type="spellEnd"/>
      <w:r w:rsidRPr="00E076F7">
        <w:rPr>
          <w:rFonts w:eastAsia="Calibri"/>
          <w:b/>
          <w:bCs/>
          <w:sz w:val="20"/>
          <w:szCs w:val="20"/>
          <w:lang w:eastAsia="en-US"/>
        </w:rPr>
        <w:t xml:space="preserve"> </w:t>
      </w:r>
      <w:proofErr w:type="spellStart"/>
      <w:r w:rsidRPr="00E076F7">
        <w:rPr>
          <w:rFonts w:eastAsia="Calibri"/>
          <w:b/>
          <w:bCs/>
          <w:sz w:val="20"/>
          <w:szCs w:val="20"/>
          <w:lang w:eastAsia="en-US"/>
        </w:rPr>
        <w:t>Karsidag</w:t>
      </w:r>
      <w:proofErr w:type="spellEnd"/>
      <w:r w:rsidRPr="00E076F7">
        <w:rPr>
          <w:rFonts w:eastAsia="Calibri"/>
          <w:b/>
          <w:bCs/>
          <w:sz w:val="20"/>
          <w:szCs w:val="20"/>
          <w:lang w:eastAsia="en-US"/>
        </w:rPr>
        <w:t xml:space="preserve"> et al. </w:t>
      </w:r>
      <w:r w:rsidRPr="00E076F7">
        <w:rPr>
          <w:rFonts w:eastAsia="Calibri"/>
          <w:sz w:val="20"/>
          <w:szCs w:val="20"/>
          <w:lang w:eastAsia="en-US"/>
        </w:rPr>
        <w:t>and</w:t>
      </w:r>
      <w:r w:rsidRPr="00E076F7">
        <w:rPr>
          <w:rFonts w:eastAsia="Calibri"/>
          <w:b/>
          <w:bCs/>
          <w:sz w:val="20"/>
          <w:szCs w:val="20"/>
          <w:lang w:eastAsia="en-US"/>
        </w:rPr>
        <w:t xml:space="preserve"> </w:t>
      </w:r>
      <w:proofErr w:type="spellStart"/>
      <w:r w:rsidRPr="00E076F7">
        <w:rPr>
          <w:rFonts w:eastAsia="Calibri"/>
          <w:b/>
          <w:bCs/>
          <w:sz w:val="20"/>
          <w:szCs w:val="20"/>
          <w:lang w:eastAsia="en-US"/>
        </w:rPr>
        <w:t>Bingol</w:t>
      </w:r>
      <w:proofErr w:type="spellEnd"/>
      <w:r w:rsidRPr="00E076F7">
        <w:rPr>
          <w:rFonts w:eastAsia="Calibri"/>
          <w:b/>
          <w:bCs/>
          <w:sz w:val="20"/>
          <w:szCs w:val="20"/>
          <w:lang w:eastAsia="en-US"/>
        </w:rPr>
        <w:t xml:space="preserve"> et al., </w:t>
      </w:r>
      <w:r w:rsidRPr="00E076F7">
        <w:rPr>
          <w:rFonts w:eastAsia="Calibri"/>
          <w:sz w:val="20"/>
          <w:szCs w:val="20"/>
          <w:lang w:eastAsia="en-US"/>
        </w:rPr>
        <w:t xml:space="preserve">Due to its high accuracy, it was used in some studies as the gold standard to which other modalities were compared, as in the studies of </w:t>
      </w:r>
      <w:proofErr w:type="spellStart"/>
      <w:r w:rsidRPr="00E076F7">
        <w:rPr>
          <w:rFonts w:eastAsia="Calibri"/>
          <w:b/>
          <w:bCs/>
          <w:sz w:val="20"/>
          <w:szCs w:val="20"/>
          <w:lang w:eastAsia="en-US"/>
        </w:rPr>
        <w:t>Erdem</w:t>
      </w:r>
      <w:proofErr w:type="spellEnd"/>
      <w:r w:rsidRPr="00E076F7">
        <w:rPr>
          <w:rFonts w:eastAsia="Calibri"/>
          <w:b/>
          <w:bCs/>
          <w:sz w:val="20"/>
          <w:szCs w:val="20"/>
          <w:lang w:eastAsia="en-US"/>
        </w:rPr>
        <w:t xml:space="preserve"> et al. </w:t>
      </w:r>
      <w:r w:rsidRPr="00E076F7">
        <w:rPr>
          <w:rFonts w:eastAsia="Calibri"/>
          <w:sz w:val="20"/>
          <w:szCs w:val="20"/>
          <w:lang w:eastAsia="en-US"/>
        </w:rPr>
        <w:t>and</w:t>
      </w:r>
      <w:r w:rsidRPr="00E076F7">
        <w:rPr>
          <w:rFonts w:eastAsia="Calibri"/>
          <w:b/>
          <w:bCs/>
          <w:sz w:val="20"/>
          <w:szCs w:val="20"/>
          <w:lang w:eastAsia="en-US"/>
        </w:rPr>
        <w:t xml:space="preserve"> </w:t>
      </w:r>
      <w:proofErr w:type="spellStart"/>
      <w:r w:rsidR="00707082" w:rsidRPr="00E076F7">
        <w:rPr>
          <w:rFonts w:eastAsia="Calibri"/>
          <w:b/>
          <w:bCs/>
          <w:sz w:val="20"/>
          <w:szCs w:val="20"/>
          <w:lang w:eastAsia="en-US"/>
        </w:rPr>
        <w:t>Luterek</w:t>
      </w:r>
      <w:proofErr w:type="spellEnd"/>
      <w:r w:rsidR="00707082" w:rsidRPr="00E076F7">
        <w:rPr>
          <w:rFonts w:eastAsia="Calibri"/>
          <w:b/>
          <w:bCs/>
          <w:sz w:val="20"/>
          <w:szCs w:val="20"/>
          <w:lang w:eastAsia="en-US"/>
        </w:rPr>
        <w:t xml:space="preserve"> </w:t>
      </w:r>
      <w:r w:rsidRPr="00E076F7">
        <w:rPr>
          <w:rFonts w:eastAsia="Calibri"/>
          <w:b/>
          <w:bCs/>
          <w:sz w:val="20"/>
          <w:szCs w:val="20"/>
          <w:lang w:eastAsia="en-US"/>
        </w:rPr>
        <w:t xml:space="preserve">et al., </w:t>
      </w:r>
      <w:r w:rsidR="00F85A9C" w:rsidRPr="00E076F7">
        <w:rPr>
          <w:rFonts w:eastAsia="Calibri"/>
          <w:b/>
          <w:bCs/>
          <w:sz w:val="20"/>
          <w:szCs w:val="20"/>
          <w:lang w:eastAsia="en-US"/>
        </w:rPr>
        <w:fldChar w:fldCharType="begin" w:fldLock="1"/>
      </w:r>
      <w:r w:rsidR="005D0699" w:rsidRPr="00E076F7">
        <w:rPr>
          <w:rFonts w:eastAsia="Calibri"/>
          <w:b/>
          <w:bCs/>
          <w:sz w:val="20"/>
          <w:szCs w:val="20"/>
          <w:lang w:eastAsia="en-US"/>
        </w:rPr>
        <w:instrText>ADDIN CSL_CITATION {"citationItems":[{"id":"ITEM-1","itemData":{"DOI":"10.1016/j.fertnstert.2005.03.036","ISSN":"00150282","abstract":"Objective: To compare the diagnostic accuracy and acceptability of transvaginal sonography (TVS), saline infusion sonography (SIS), and office hysteroscopy (OHS) for detecting intracavitary abnormalities in women with or without abnormal uterine bleeding (AUB). Design: Prospective double-blind study. Setting: Zekai Tahir Burak Women's Health Education and Research Hospital, Gynecology Clinic (Ankara, Turkey). Patient(s): A total of 26 women with AUB and 24 women without AUB were enrolled in this study. Intervention(s): Transvaginal sonography, SIS, and OHS were performed on women scheduled for hysterectomy. Main Outcome Measure(s): Sensitivity, specificity, and positive and negative predictive values of TVS, SIS, and OHS to detect intracavitary abnormalities (with histopathologic findings used as the gold standard), duration of procedure, and pain scores. Result(s): The sensitivity and specificity of TVS, SIS, and OHS in detecting intracavitary abnormalities were 56.3% and 72%, 81.3% and 100%, and 87.5% and 100%, respectively. The prevalence of endometrial polyps was not different in women with and without AUB. Saline infusion sonography was less painful than OHS (pain scores of 4.3 and 7.2, respectively). Conclusion(s): The diagnostic accuracy of SIS was equal to that of OHS in diagnosing intracavitary abnormalities. Moreover, SIS was less painful than OHS for patients. ©2005 by American Society for Reproductive Medicine.","author":[{"dropping-particle":"","family":"Kelekci","given":"Sefa","non-dropping-particle":"","parse-names":false,"suffix":""},{"dropping-particle":"","family":"Kaya","given":"Erdal","non-dropping-particle":"","parse-names":false,"suffix":""},{"dropping-particle":"","family":"Alan","given":"Murat","non-dropping-particle":"","parse-names":false,"suffix":""},{"dropping-particle":"","family":"Alan","given":"Yasemin","non-dropping-particle":"","parse-names":false,"suffix":""},{"dropping-particle":"","family":"Bilge","given":"Umit","non-dropping-particle":"","parse-names":false,"suffix":""},{"dropping-particle":"","family":"Mollamahmutoglu","given":"Leyla","non-dropping-particle":"","parse-names":false,"suffix":""}],"container-title":"Fertility and Sterility","id":"ITEM-1","issue":"3","issued":{"date-parts":[["2005","9"]]},"page":"682-686","title":"Comparison of transvaginal sonography, saline infusion sonography, and office hysteroscopy in reproductive-aged women with or without abnormal uterine bleeding","type":"article-journal","volume":"84"},"uris":["http://www.mendeley.com/documents/?uuid=60169bc1-d07d-3036-b605-21540dce4f05"]},{"id":"ITEM-2","itemData":{"DOI":"10.1007/s00404-009-1150-9","ISSN":"09320067","PMID":"19533157","abstract":"PURPOSE: To determine the diagnostic accuracy of different diagnostic methods (blind dilatation &amp; curettage (D&amp;C), transvaginal ultrasonography (TVS), sonohysterography (SH), and hysteroscopy) compared with gold standard (hysteroscopic biopsy's histopathologic result) in diagnosis of focal intrauterine lesions of recurrent postmenopausal bleeding.\\n\\nMETHODS: 36 postmenopausal women with recurrent vaginal bleeding after a normal D&amp;C results were enrolled into the study. TVS, SH, hysteroscopy were performed on all patients. Outcomes of blind D&amp;C, TVS, SH, and hysteroscopy were compared with results of gold standard. Sensitivity, specificity, positive predictive value (PPV), negative predictive value (NPV), and likelihood ratios (LR) were calculated.\\n\\nRESULTS: Blind D&amp;C sensitivity, specificity, PPV, and NPV were 47, 68, 57, 59%, respectively in comparison with gold standard. Blind D&amp;C fails to diagnose 70% of all focal intracavitary lesions. TVS sensitivity, specificity, PPV, NPV were 63, 78, 89, 41%, respectively. SH yielded better results; with 93% sensitivity, 56% specificity, 86% PPV, and 71% NPV. Hysteroscopy sensitivity, specificity, PPV, and NPV were 100, 44, 84, 100%, respectively.\\n\\nCONCLUSIONS: In experienced hands, SH can be an initial evaluation method of uterine cavity for detecting focal lesions in women with recurrent postmenopausal bleeding.","author":[{"dropping-particle":"","family":"Karageyim Karsidag","given":"A. Yasemin","non-dropping-particle":"","parse-names":false,"suffix":""},{"dropping-particle":"","family":"Buyukbayrak","given":"Esra Esim","non-dropping-particle":"","parse-names":false,"suffix":""},{"dropping-particle":"","family":"Kars","given":"Bulent","non-dropping-particle":"","parse-names":false,"suffix":""},{"dropping-particle":"","family":"Unal","given":"Orhan","non-dropping-particle":"","parse-names":false,"suffix":""},{"dropping-particle":"","family":"Turan","given":"M. Cem","non-dropping-particle":"","parse-names":false,"suffix":""}],"container-title":"Archives of Gynecology and Obstetrics","id":"ITEM-2","issue":"4","issued":{"date-parts":[["2010","4","17"]]},"page":"637-643","title":"Transvaginal sonography, sonohysterography, and hysteroscopy for investigation of focal intrauterine lesions in women with recurrent postmenopausal bleeding after dilatation &amp; curettage","type":"article-journal","volume":"281"},"uris":["http://www.mendeley.com/documents/?uuid=3c086ccb-90a8-38a0-b500-6284a001a733"]},{"id":"ITEM-3","itemData":{"ISSN":"0172780X","abstract":"OBJECTIVES: To assess the usefulness of SIS and to compare its diagnostic accuracy with conventional transvaginal ultrasound (TVS) and hysteroscopy (HSC) to detect intracavitary abnormalities in peri- and postmenopausal women with abnormal endometrial appearance or abnormal uterine bleeding (AUB) prior to admission.\\n\\nDESIGN AND SETTING: The study group consisted of 40 patients in peri- and postmenopausal period referred to the 1st Department of Obstetrics and Gynecology, Medical University of Warsaw due to AUB or abnormal endometrial appearance on TVS between January 2013 and June 2013. All the participants underwent TVS followed by SIS in order to plan further management. Only the patients with uterine abnormalities on TVS examination, proved by SIS were qualified for HSC. Hysteroscopical guided biopsies were taken in cases with focal lesions. The sensitivity, specificity, positive predictive value (PPV) and negative predictive value (NPV) of TVS, SIS and HSC were calculated by comparison with the final pathological diagnosis as the gold standard.\\n\\nRESULTS: The comparison of the three diagnostic procedures revealed that the diagnostic accuracy of SIS and HSC is superior to conventional TVS. SIS and HSC had identical accuracy for submucosal myomas (PPV and NPV 1.0 for both), while in case of polypoid lesions the accuracy of HSC was higher than of SIS (HSC: PPV 0.8, NPV 1.0; SIS: PPV 0.75; NPV 0.75).\\n\\nCONCLUSIONS: Due to its accuracy and cost-effectiveness, SIS could be regarded as a primary diagnostic method allowing proper qualification for further invasive diagnostic or therapeutic procedures in the detection of uterine abnormalities among peri- and postmenopausal women.","author":[{"dropping-particle":"","family":"Luterek","given":"Katarzyna","non-dropping-particle":"","parse-names":false,"suffix":""},{"dropping-particle":"","family":"Szymusik","given":"Iwona","non-dropping-particle":"","parse-names":false,"suffix":""},{"dropping-particle":"","family":"Bartkowiak","given":"Robert","non-dropping-particle":"","parse-names":false,"suffix":""},{"dropping-particle":"","family":"Wielgos","given":"Miroslaw","non-dropping-particle":"","parse-names":false,"suffix":""}],"container-title":"Neuroendocrinology Letters","id":"ITEM-3","issue":"4","issued":{"date-parts":[["2014"]]},"page":"297-300","title":"Sonohysterography in peri- and postmenopausal women with abnormal uterine bleeding or abnormal endometrial appearance","type":"article-journal","volume":"35"},"uris":["http://www.mendeley.com/documents/?uuid=2fe5a2ed-053e-4bf4-9dc4-39990b80af9d"]},{"id":"ITEM-4","itemData":{"ISSN":"1072-3714","author":[{"dropping-particle":"","family":"Erdem","given":"Mehmet","non-dropping-particle":"","parse-names":false,"suffix":""},{"dropping-particle":"","family":"Bilgin","given":"Ufuk","non-dropping-particle":"","parse-names":false,"suffix":""},{"dropping-particle":"","family":"Bozkurt","given":"Nuray","non-dropping-particle":"","parse-names":false,"suffix":""},{"dropping-particle":"","family":"Erdem","given":"Ahmet","non-dropping-particle":"","parse-names":false,"suffix":""}],"container-title":"Menopause","id":"ITEM-4","issue":"5","issued":{"date-parts":[["2007"]]},"page":"846-852","publisher":"LWW","title":"Comparison of transvaginal ultrasonography and saline infusion sonohysterography in evaluating the endometrial cavity in pre-and postmenopausal women with abnormal uterine bleeding","type":"article-journal","volume":"14"},"uris":["http://www.mendeley.com/documents/?uuid=9a87cb25-3b16-4315-81fb-176b072f5669"]}],"mendeley":{"formattedCitation":"&lt;i&gt;(&lt;b&gt;Erdem et al., 2007&lt;/b&gt;; &lt;b&gt;Karageyim Karsidag et al., 2010&lt;/b&gt;; &lt;b&gt;Kelekci et al., 2005&lt;/b&gt;; &lt;b&gt;Luterek et al., 2014&lt;/b&gt;)&lt;/i&gt;","plainTextFormattedCitation":"(Erdem et al., 2007; Karageyim Karsidag et al., 2010; Kelekci et al., 2005; Luterek et al., 2014)","previouslyFormattedCitation":"(Erdem et al. 2007; Karageyim Karsidag et al. 2010; Kelekci et al. 2005; Luterek et al. 2014)"},"properties":{"noteIndex":0},"schema":"https://github.com/citation-style-language/schema/raw/master/csl-citation.json"}</w:instrText>
      </w:r>
      <w:r w:rsidR="00F85A9C" w:rsidRPr="00E076F7">
        <w:rPr>
          <w:rFonts w:eastAsia="Calibri"/>
          <w:b/>
          <w:bCs/>
          <w:sz w:val="20"/>
          <w:szCs w:val="20"/>
          <w:lang w:eastAsia="en-US"/>
        </w:rPr>
        <w:fldChar w:fldCharType="separate"/>
      </w:r>
      <w:r w:rsidR="005D0699" w:rsidRPr="00E076F7">
        <w:rPr>
          <w:rFonts w:eastAsia="Calibri"/>
          <w:bCs/>
          <w:noProof/>
          <w:sz w:val="20"/>
          <w:szCs w:val="20"/>
          <w:lang w:eastAsia="en-US"/>
        </w:rPr>
        <w:t>(</w:t>
      </w:r>
      <w:r w:rsidR="005D0699" w:rsidRPr="00E076F7">
        <w:rPr>
          <w:rFonts w:eastAsia="Calibri"/>
          <w:b/>
          <w:bCs/>
          <w:noProof/>
          <w:sz w:val="20"/>
          <w:szCs w:val="20"/>
          <w:lang w:eastAsia="en-US"/>
        </w:rPr>
        <w:t>Erdem et al., 2007</w:t>
      </w:r>
      <w:r w:rsidR="005D0699" w:rsidRPr="00E076F7">
        <w:rPr>
          <w:rFonts w:eastAsia="Calibri"/>
          <w:bCs/>
          <w:noProof/>
          <w:sz w:val="20"/>
          <w:szCs w:val="20"/>
          <w:lang w:eastAsia="en-US"/>
        </w:rPr>
        <w:t xml:space="preserve">; </w:t>
      </w:r>
      <w:r w:rsidR="005D0699" w:rsidRPr="00E076F7">
        <w:rPr>
          <w:rFonts w:eastAsia="Calibri"/>
          <w:b/>
          <w:bCs/>
          <w:noProof/>
          <w:sz w:val="20"/>
          <w:szCs w:val="20"/>
          <w:lang w:eastAsia="en-US"/>
        </w:rPr>
        <w:t>Karageyim Karsidag et al., 2010</w:t>
      </w:r>
      <w:r w:rsidR="005D0699" w:rsidRPr="00E076F7">
        <w:rPr>
          <w:rFonts w:eastAsia="Calibri"/>
          <w:bCs/>
          <w:noProof/>
          <w:sz w:val="20"/>
          <w:szCs w:val="20"/>
          <w:lang w:eastAsia="en-US"/>
        </w:rPr>
        <w:t xml:space="preserve">; </w:t>
      </w:r>
      <w:r w:rsidR="005D0699" w:rsidRPr="00E076F7">
        <w:rPr>
          <w:rFonts w:eastAsia="Calibri"/>
          <w:b/>
          <w:bCs/>
          <w:noProof/>
          <w:sz w:val="20"/>
          <w:szCs w:val="20"/>
          <w:lang w:eastAsia="en-US"/>
        </w:rPr>
        <w:t>Kelekci et al., 2005</w:t>
      </w:r>
      <w:r w:rsidR="005D0699" w:rsidRPr="00E076F7">
        <w:rPr>
          <w:rFonts w:eastAsia="Calibri"/>
          <w:bCs/>
          <w:noProof/>
          <w:sz w:val="20"/>
          <w:szCs w:val="20"/>
          <w:lang w:eastAsia="en-US"/>
        </w:rPr>
        <w:t xml:space="preserve">; </w:t>
      </w:r>
      <w:r w:rsidR="005D0699" w:rsidRPr="00E076F7">
        <w:rPr>
          <w:rFonts w:eastAsia="Calibri"/>
          <w:b/>
          <w:bCs/>
          <w:noProof/>
          <w:sz w:val="20"/>
          <w:szCs w:val="20"/>
          <w:lang w:eastAsia="en-US"/>
        </w:rPr>
        <w:t>Luterek et al., 2014</w:t>
      </w:r>
      <w:r w:rsidR="005D0699" w:rsidRPr="00E076F7">
        <w:rPr>
          <w:rFonts w:eastAsia="Calibri"/>
          <w:bCs/>
          <w:noProof/>
          <w:sz w:val="20"/>
          <w:szCs w:val="20"/>
          <w:lang w:eastAsia="en-US"/>
        </w:rPr>
        <w:t>)</w:t>
      </w:r>
      <w:r w:rsidR="00F85A9C" w:rsidRPr="00E076F7">
        <w:rPr>
          <w:rFonts w:eastAsia="Calibri"/>
          <w:b/>
          <w:bCs/>
          <w:sz w:val="20"/>
          <w:szCs w:val="20"/>
          <w:lang w:eastAsia="en-US"/>
        </w:rPr>
        <w:fldChar w:fldCharType="end"/>
      </w:r>
      <w:r w:rsidR="00707082" w:rsidRPr="00E076F7">
        <w:rPr>
          <w:rFonts w:eastAsia="Calibri"/>
          <w:sz w:val="20"/>
          <w:szCs w:val="20"/>
          <w:lang w:eastAsia="en-US"/>
        </w:rPr>
        <w:t>.</w:t>
      </w:r>
    </w:p>
    <w:p w:rsidR="00471E57" w:rsidRPr="00E076F7" w:rsidRDefault="00B973A7" w:rsidP="00694827">
      <w:pPr>
        <w:suppressAutoHyphens w:val="0"/>
        <w:snapToGrid w:val="0"/>
        <w:ind w:firstLine="425"/>
        <w:jc w:val="both"/>
        <w:rPr>
          <w:rFonts w:eastAsia="Calibri"/>
          <w:sz w:val="20"/>
          <w:szCs w:val="20"/>
          <w:lang w:eastAsia="en-US"/>
        </w:rPr>
      </w:pPr>
      <w:r w:rsidRPr="00E076F7">
        <w:rPr>
          <w:rFonts w:eastAsia="Calibri"/>
          <w:sz w:val="20"/>
          <w:szCs w:val="20"/>
          <w:lang w:eastAsia="en-US"/>
        </w:rPr>
        <w:t xml:space="preserve">In conclusion, </w:t>
      </w:r>
      <w:r w:rsidR="005C3E50" w:rsidRPr="00E076F7">
        <w:rPr>
          <w:rFonts w:eastAsia="Calibri"/>
          <w:sz w:val="20"/>
          <w:szCs w:val="20"/>
          <w:lang w:eastAsia="en-US"/>
        </w:rPr>
        <w:t>Measurement of endometrial thickness using TVS has limited value in</w:t>
      </w:r>
      <w:r w:rsidRPr="00E076F7">
        <w:rPr>
          <w:rFonts w:eastAsia="Calibri"/>
          <w:sz w:val="20"/>
          <w:szCs w:val="20"/>
          <w:lang w:eastAsia="en-US"/>
        </w:rPr>
        <w:t xml:space="preserve"> </w:t>
      </w:r>
      <w:r w:rsidR="00CF31EA" w:rsidRPr="00E076F7">
        <w:rPr>
          <w:rFonts w:eastAsia="Calibri"/>
          <w:sz w:val="20"/>
          <w:szCs w:val="20"/>
          <w:lang w:eastAsia="en-US"/>
        </w:rPr>
        <w:t xml:space="preserve">the </w:t>
      </w:r>
      <w:r w:rsidR="005C3E50" w:rsidRPr="00E076F7">
        <w:rPr>
          <w:rFonts w:eastAsia="Calibri"/>
          <w:sz w:val="20"/>
          <w:szCs w:val="20"/>
          <w:lang w:eastAsia="en-US"/>
        </w:rPr>
        <w:t xml:space="preserve">differentiation of causes of thickened </w:t>
      </w:r>
      <w:proofErr w:type="spellStart"/>
      <w:r w:rsidR="005C3E50" w:rsidRPr="00E076F7">
        <w:rPr>
          <w:rFonts w:eastAsia="Calibri"/>
          <w:sz w:val="20"/>
          <w:szCs w:val="20"/>
          <w:lang w:eastAsia="en-US"/>
        </w:rPr>
        <w:t>endometrium</w:t>
      </w:r>
      <w:proofErr w:type="spellEnd"/>
      <w:r w:rsidR="005C3E50" w:rsidRPr="00E076F7">
        <w:rPr>
          <w:rFonts w:eastAsia="Calibri"/>
          <w:sz w:val="20"/>
          <w:szCs w:val="20"/>
          <w:lang w:eastAsia="en-US"/>
        </w:rPr>
        <w:t>.</w:t>
      </w:r>
      <w:r w:rsidRPr="00E076F7">
        <w:rPr>
          <w:rFonts w:eastAsia="Calibri"/>
          <w:sz w:val="20"/>
          <w:szCs w:val="20"/>
          <w:lang w:eastAsia="en-US"/>
        </w:rPr>
        <w:t xml:space="preserve"> </w:t>
      </w:r>
      <w:r w:rsidR="005C3E50" w:rsidRPr="00E076F7">
        <w:rPr>
          <w:rFonts w:eastAsia="Calibri"/>
          <w:sz w:val="20"/>
          <w:szCs w:val="20"/>
          <w:lang w:eastAsia="en-US"/>
        </w:rPr>
        <w:t xml:space="preserve">SIS is superior to TVS </w:t>
      </w:r>
      <w:r w:rsidR="00CF31EA" w:rsidRPr="00E076F7">
        <w:rPr>
          <w:rFonts w:eastAsia="Calibri"/>
          <w:sz w:val="20"/>
          <w:szCs w:val="20"/>
          <w:lang w:eastAsia="en-US"/>
        </w:rPr>
        <w:t xml:space="preserve">–alone– and very close to DH </w:t>
      </w:r>
      <w:proofErr w:type="spellStart"/>
      <w:r w:rsidR="00CF31EA" w:rsidRPr="00E076F7">
        <w:rPr>
          <w:rFonts w:eastAsia="Calibri"/>
          <w:sz w:val="20"/>
          <w:szCs w:val="20"/>
          <w:lang w:eastAsia="en-US"/>
        </w:rPr>
        <w:t>inthe</w:t>
      </w:r>
      <w:proofErr w:type="spellEnd"/>
      <w:r w:rsidR="00CF31EA" w:rsidRPr="00E076F7">
        <w:rPr>
          <w:rFonts w:eastAsia="Calibri"/>
          <w:sz w:val="20"/>
          <w:szCs w:val="20"/>
          <w:lang w:eastAsia="en-US"/>
        </w:rPr>
        <w:t xml:space="preserve"> </w:t>
      </w:r>
      <w:r w:rsidR="005C3E50" w:rsidRPr="00E076F7">
        <w:rPr>
          <w:rFonts w:eastAsia="Calibri"/>
          <w:sz w:val="20"/>
          <w:szCs w:val="20"/>
          <w:lang w:eastAsia="en-US"/>
        </w:rPr>
        <w:t>assessment of</w:t>
      </w:r>
      <w:r w:rsidRPr="00E076F7">
        <w:rPr>
          <w:rFonts w:eastAsia="Calibri"/>
          <w:sz w:val="20"/>
          <w:szCs w:val="20"/>
          <w:lang w:eastAsia="en-US"/>
        </w:rPr>
        <w:t xml:space="preserve"> </w:t>
      </w:r>
      <w:r w:rsidR="005C3E50" w:rsidRPr="00E076F7">
        <w:rPr>
          <w:rFonts w:eastAsia="Calibri"/>
          <w:sz w:val="20"/>
          <w:szCs w:val="20"/>
          <w:lang w:eastAsia="en-US"/>
        </w:rPr>
        <w:t>the uterine cavity. It may be used as the primary method for the</w:t>
      </w:r>
      <w:r w:rsidRPr="00E076F7">
        <w:rPr>
          <w:rFonts w:eastAsia="Calibri"/>
          <w:sz w:val="20"/>
          <w:szCs w:val="20"/>
          <w:lang w:eastAsia="en-US"/>
        </w:rPr>
        <w:t xml:space="preserve"> </w:t>
      </w:r>
      <w:r w:rsidR="005C3E50" w:rsidRPr="00E076F7">
        <w:rPr>
          <w:rFonts w:eastAsia="Calibri"/>
          <w:sz w:val="20"/>
          <w:szCs w:val="20"/>
          <w:lang w:eastAsia="en-US"/>
        </w:rPr>
        <w:t>detection of the uterine cavity among women with AUB.</w:t>
      </w:r>
      <w:r w:rsidRPr="00E076F7">
        <w:rPr>
          <w:rFonts w:eastAsia="Calibri"/>
          <w:sz w:val="20"/>
          <w:szCs w:val="20"/>
          <w:lang w:eastAsia="en-US"/>
        </w:rPr>
        <w:t xml:space="preserve"> </w:t>
      </w:r>
      <w:r w:rsidR="005C3E50" w:rsidRPr="00E076F7">
        <w:rPr>
          <w:rFonts w:eastAsia="Calibri"/>
          <w:sz w:val="20"/>
          <w:szCs w:val="20"/>
          <w:lang w:eastAsia="en-US"/>
        </w:rPr>
        <w:t>SIS improves the efficiency of TVS as a diagnostic tool, especially with</w:t>
      </w:r>
      <w:r w:rsidRPr="00E076F7">
        <w:rPr>
          <w:rFonts w:eastAsia="Calibri"/>
          <w:sz w:val="20"/>
          <w:szCs w:val="20"/>
          <w:lang w:eastAsia="en-US"/>
        </w:rPr>
        <w:t xml:space="preserve"> </w:t>
      </w:r>
      <w:r w:rsidR="005C3E50" w:rsidRPr="00E076F7">
        <w:rPr>
          <w:rFonts w:eastAsia="Calibri"/>
          <w:sz w:val="20"/>
          <w:szCs w:val="20"/>
          <w:lang w:eastAsia="en-US"/>
        </w:rPr>
        <w:t>intra‐</w:t>
      </w:r>
      <w:proofErr w:type="spellStart"/>
      <w:r w:rsidR="005C3E50" w:rsidRPr="00E076F7">
        <w:rPr>
          <w:rFonts w:eastAsia="Calibri"/>
          <w:sz w:val="20"/>
          <w:szCs w:val="20"/>
          <w:lang w:eastAsia="en-US"/>
        </w:rPr>
        <w:t>cavitary</w:t>
      </w:r>
      <w:proofErr w:type="spellEnd"/>
      <w:r w:rsidR="005C3E50" w:rsidRPr="00E076F7">
        <w:rPr>
          <w:rFonts w:eastAsia="Calibri"/>
          <w:sz w:val="20"/>
          <w:szCs w:val="20"/>
          <w:lang w:eastAsia="en-US"/>
        </w:rPr>
        <w:t xml:space="preserve"> lesions as endometrial polyps and </w:t>
      </w:r>
      <w:proofErr w:type="spellStart"/>
      <w:r w:rsidR="005C3E50" w:rsidRPr="00E076F7">
        <w:rPr>
          <w:rFonts w:eastAsia="Calibri"/>
          <w:sz w:val="20"/>
          <w:szCs w:val="20"/>
          <w:lang w:eastAsia="en-US"/>
        </w:rPr>
        <w:lastRenderedPageBreak/>
        <w:t>submucous</w:t>
      </w:r>
      <w:proofErr w:type="spellEnd"/>
      <w:r w:rsidR="005C3E50" w:rsidRPr="00E076F7">
        <w:rPr>
          <w:rFonts w:eastAsia="Calibri"/>
          <w:sz w:val="20"/>
          <w:szCs w:val="20"/>
          <w:lang w:eastAsia="en-US"/>
        </w:rPr>
        <w:t xml:space="preserve"> fibroids.</w:t>
      </w:r>
      <w:r w:rsidRPr="00E076F7">
        <w:rPr>
          <w:rFonts w:eastAsia="Calibri"/>
          <w:sz w:val="20"/>
          <w:szCs w:val="20"/>
          <w:lang w:eastAsia="en-US"/>
        </w:rPr>
        <w:t xml:space="preserve"> </w:t>
      </w:r>
      <w:r w:rsidR="005C3E50" w:rsidRPr="00E076F7">
        <w:rPr>
          <w:rFonts w:eastAsia="Calibri"/>
          <w:sz w:val="20"/>
          <w:szCs w:val="20"/>
          <w:lang w:eastAsia="en-US"/>
        </w:rPr>
        <w:t>DH remains the gold standard for assessment of the uterine cavity, but</w:t>
      </w:r>
      <w:r w:rsidRPr="00E076F7">
        <w:rPr>
          <w:rFonts w:eastAsia="Calibri"/>
          <w:sz w:val="20"/>
          <w:szCs w:val="20"/>
          <w:lang w:eastAsia="en-US"/>
        </w:rPr>
        <w:t xml:space="preserve"> cannot</w:t>
      </w:r>
      <w:r w:rsidR="005C3E50" w:rsidRPr="00E076F7">
        <w:rPr>
          <w:rFonts w:eastAsia="Calibri"/>
          <w:sz w:val="20"/>
          <w:szCs w:val="20"/>
          <w:lang w:eastAsia="en-US"/>
        </w:rPr>
        <w:t xml:space="preserve"> replace the histopathology.</w:t>
      </w:r>
    </w:p>
    <w:p w:rsidR="00C01641" w:rsidRPr="00E076F7" w:rsidRDefault="00C01641" w:rsidP="00694827">
      <w:pPr>
        <w:suppressAutoHyphens w:val="0"/>
        <w:snapToGrid w:val="0"/>
        <w:jc w:val="both"/>
        <w:rPr>
          <w:b/>
          <w:sz w:val="20"/>
          <w:szCs w:val="20"/>
        </w:rPr>
      </w:pPr>
    </w:p>
    <w:p w:rsidR="00471E57" w:rsidRPr="00E076F7" w:rsidRDefault="00471E57" w:rsidP="00694827">
      <w:pPr>
        <w:suppressAutoHyphens w:val="0"/>
        <w:snapToGrid w:val="0"/>
        <w:jc w:val="both"/>
        <w:rPr>
          <w:b/>
          <w:sz w:val="20"/>
          <w:szCs w:val="20"/>
          <w:lang w:eastAsia="zh-CN"/>
        </w:rPr>
      </w:pPr>
      <w:r w:rsidRPr="00E076F7">
        <w:rPr>
          <w:b/>
          <w:sz w:val="20"/>
          <w:szCs w:val="20"/>
        </w:rPr>
        <w:t>References</w:t>
      </w:r>
      <w:r w:rsidR="00014859" w:rsidRPr="00E076F7">
        <w:rPr>
          <w:rFonts w:hint="eastAsia"/>
          <w:b/>
          <w:sz w:val="20"/>
          <w:szCs w:val="20"/>
          <w:lang w:eastAsia="zh-CN"/>
        </w:rPr>
        <w:t xml:space="preserve"> </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Bingol,</w:t>
      </w:r>
      <w:r w:rsidR="00176E9D" w:rsidRPr="00E076F7">
        <w:rPr>
          <w:bCs/>
          <w:noProof/>
          <w:sz w:val="20"/>
          <w:szCs w:val="20"/>
        </w:rPr>
        <w:t xml:space="preserve"> </w:t>
      </w:r>
      <w:r w:rsidRPr="00E076F7">
        <w:rPr>
          <w:bCs/>
          <w:noProof/>
          <w:sz w:val="20"/>
          <w:szCs w:val="20"/>
        </w:rPr>
        <w:t>Banu,</w:t>
      </w:r>
      <w:r w:rsidR="00176E9D" w:rsidRPr="00E076F7">
        <w:rPr>
          <w:bCs/>
          <w:noProof/>
          <w:sz w:val="20"/>
          <w:szCs w:val="20"/>
        </w:rPr>
        <w:t xml:space="preserve"> </w:t>
      </w:r>
      <w:r w:rsidRPr="00E076F7">
        <w:rPr>
          <w:bCs/>
          <w:noProof/>
          <w:sz w:val="20"/>
          <w:szCs w:val="20"/>
        </w:rPr>
        <w:t>M.</w:t>
      </w:r>
      <w:r w:rsidR="00176E9D" w:rsidRPr="00E076F7">
        <w:rPr>
          <w:bCs/>
          <w:noProof/>
          <w:sz w:val="20"/>
          <w:szCs w:val="20"/>
        </w:rPr>
        <w:t xml:space="preserve"> </w:t>
      </w:r>
      <w:r w:rsidRPr="00E076F7">
        <w:rPr>
          <w:bCs/>
          <w:noProof/>
          <w:sz w:val="20"/>
          <w:szCs w:val="20"/>
        </w:rPr>
        <w:t>Ziya</w:t>
      </w:r>
      <w:r w:rsidR="00176E9D" w:rsidRPr="00E076F7">
        <w:rPr>
          <w:bCs/>
          <w:noProof/>
          <w:sz w:val="20"/>
          <w:szCs w:val="20"/>
        </w:rPr>
        <w:t xml:space="preserve"> </w:t>
      </w:r>
      <w:r w:rsidRPr="00E076F7">
        <w:rPr>
          <w:bCs/>
          <w:noProof/>
          <w:sz w:val="20"/>
          <w:szCs w:val="20"/>
        </w:rPr>
        <w:t>Gunenc,</w:t>
      </w:r>
      <w:r w:rsidR="00176E9D" w:rsidRPr="00E076F7">
        <w:rPr>
          <w:bCs/>
          <w:noProof/>
          <w:sz w:val="20"/>
          <w:szCs w:val="20"/>
        </w:rPr>
        <w:t xml:space="preserve"> </w:t>
      </w:r>
      <w:r w:rsidRPr="00E076F7">
        <w:rPr>
          <w:bCs/>
          <w:noProof/>
          <w:sz w:val="20"/>
          <w:szCs w:val="20"/>
        </w:rPr>
        <w:t>Ali</w:t>
      </w:r>
      <w:r w:rsidR="00176E9D" w:rsidRPr="00E076F7">
        <w:rPr>
          <w:bCs/>
          <w:noProof/>
          <w:sz w:val="20"/>
          <w:szCs w:val="20"/>
        </w:rPr>
        <w:t xml:space="preserve"> </w:t>
      </w:r>
      <w:r w:rsidRPr="00E076F7">
        <w:rPr>
          <w:bCs/>
          <w:noProof/>
          <w:sz w:val="20"/>
          <w:szCs w:val="20"/>
        </w:rPr>
        <w:t>Gedikbasi,</w:t>
      </w:r>
      <w:r w:rsidR="00176E9D" w:rsidRPr="00E076F7">
        <w:rPr>
          <w:bCs/>
          <w:noProof/>
          <w:sz w:val="20"/>
          <w:szCs w:val="20"/>
        </w:rPr>
        <w:t xml:space="preserve"> </w:t>
      </w:r>
      <w:r w:rsidRPr="00E076F7">
        <w:rPr>
          <w:bCs/>
          <w:noProof/>
          <w:sz w:val="20"/>
          <w:szCs w:val="20"/>
        </w:rPr>
        <w:t>Haldun</w:t>
      </w:r>
      <w:r w:rsidR="00176E9D" w:rsidRPr="00E076F7">
        <w:rPr>
          <w:bCs/>
          <w:noProof/>
          <w:sz w:val="20"/>
          <w:szCs w:val="20"/>
        </w:rPr>
        <w:t xml:space="preserve"> </w:t>
      </w:r>
      <w:r w:rsidRPr="00E076F7">
        <w:rPr>
          <w:bCs/>
          <w:noProof/>
          <w:sz w:val="20"/>
          <w:szCs w:val="20"/>
        </w:rPr>
        <w:t>Guner,</w:t>
      </w:r>
      <w:r w:rsidR="00176E9D" w:rsidRPr="00E076F7">
        <w:rPr>
          <w:bCs/>
          <w:noProof/>
          <w:sz w:val="20"/>
          <w:szCs w:val="20"/>
        </w:rPr>
        <w:t xml:space="preserve"> </w:t>
      </w:r>
      <w:r w:rsidRPr="00E076F7">
        <w:rPr>
          <w:bCs/>
          <w:noProof/>
          <w:sz w:val="20"/>
          <w:szCs w:val="20"/>
        </w:rPr>
        <w:t>Seval</w:t>
      </w:r>
      <w:r w:rsidR="00176E9D" w:rsidRPr="00E076F7">
        <w:rPr>
          <w:bCs/>
          <w:noProof/>
          <w:sz w:val="20"/>
          <w:szCs w:val="20"/>
        </w:rPr>
        <w:t xml:space="preserve"> </w:t>
      </w:r>
      <w:r w:rsidRPr="00E076F7">
        <w:rPr>
          <w:bCs/>
          <w:noProof/>
          <w:sz w:val="20"/>
          <w:szCs w:val="20"/>
        </w:rPr>
        <w:t>Tasdemir,</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Bulent</w:t>
      </w:r>
      <w:r w:rsidR="00176E9D" w:rsidRPr="00E076F7">
        <w:rPr>
          <w:bCs/>
          <w:noProof/>
          <w:sz w:val="20"/>
          <w:szCs w:val="20"/>
        </w:rPr>
        <w:t xml:space="preserve"> </w:t>
      </w:r>
      <w:r w:rsidRPr="00E076F7">
        <w:rPr>
          <w:bCs/>
          <w:noProof/>
          <w:sz w:val="20"/>
          <w:szCs w:val="20"/>
        </w:rPr>
        <w:t>Tiras</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2011</w:t>
      </w:r>
      <w:r w:rsidRPr="00E076F7">
        <w:rPr>
          <w:noProof/>
          <w:sz w:val="20"/>
          <w:szCs w:val="20"/>
        </w:rPr>
        <w:t>):</w:t>
      </w:r>
      <w:r w:rsidR="00176E9D" w:rsidRPr="00E076F7">
        <w:rPr>
          <w:noProof/>
          <w:sz w:val="20"/>
          <w:szCs w:val="20"/>
        </w:rPr>
        <w:t xml:space="preserve"> </w:t>
      </w:r>
      <w:r w:rsidRPr="00E076F7">
        <w:rPr>
          <w:noProof/>
          <w:sz w:val="20"/>
          <w:szCs w:val="20"/>
        </w:rPr>
        <w:t>“Comparison</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Diagnostic</w:t>
      </w:r>
      <w:r w:rsidR="00176E9D" w:rsidRPr="00E076F7">
        <w:rPr>
          <w:noProof/>
          <w:sz w:val="20"/>
          <w:szCs w:val="20"/>
        </w:rPr>
        <w:t xml:space="preserve"> </w:t>
      </w:r>
      <w:r w:rsidRPr="00E076F7">
        <w:rPr>
          <w:noProof/>
          <w:sz w:val="20"/>
          <w:szCs w:val="20"/>
        </w:rPr>
        <w:t>Accuracy</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Saline</w:t>
      </w:r>
      <w:r w:rsidR="00176E9D" w:rsidRPr="00E076F7">
        <w:rPr>
          <w:noProof/>
          <w:sz w:val="20"/>
          <w:szCs w:val="20"/>
        </w:rPr>
        <w:t xml:space="preserve"> </w:t>
      </w:r>
      <w:r w:rsidRPr="00E076F7">
        <w:rPr>
          <w:noProof/>
          <w:sz w:val="20"/>
          <w:szCs w:val="20"/>
        </w:rPr>
        <w:t>Infusion</w:t>
      </w:r>
      <w:r w:rsidR="00176E9D" w:rsidRPr="00E076F7">
        <w:rPr>
          <w:noProof/>
          <w:sz w:val="20"/>
          <w:szCs w:val="20"/>
        </w:rPr>
        <w:t xml:space="preserve"> </w:t>
      </w:r>
      <w:r w:rsidRPr="00E076F7">
        <w:rPr>
          <w:noProof/>
          <w:sz w:val="20"/>
          <w:szCs w:val="20"/>
        </w:rPr>
        <w:t>Sonohysterography,</w:t>
      </w:r>
      <w:r w:rsidR="00176E9D" w:rsidRPr="00E076F7">
        <w:rPr>
          <w:noProof/>
          <w:sz w:val="20"/>
          <w:szCs w:val="20"/>
        </w:rPr>
        <w:t xml:space="preserve"> </w:t>
      </w:r>
      <w:r w:rsidRPr="00E076F7">
        <w:rPr>
          <w:noProof/>
          <w:sz w:val="20"/>
          <w:szCs w:val="20"/>
        </w:rPr>
        <w:t>Transvaginal</w:t>
      </w:r>
      <w:r w:rsidR="00176E9D" w:rsidRPr="00E076F7">
        <w:rPr>
          <w:noProof/>
          <w:sz w:val="20"/>
          <w:szCs w:val="20"/>
        </w:rPr>
        <w:t xml:space="preserve"> </w:t>
      </w:r>
      <w:r w:rsidRPr="00E076F7">
        <w:rPr>
          <w:noProof/>
          <w:sz w:val="20"/>
          <w:szCs w:val="20"/>
        </w:rPr>
        <w:t>Sonography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Hysteroscopy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Archives</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Gynecology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Obstetrics</w:t>
      </w:r>
      <w:r w:rsidR="00176E9D" w:rsidRPr="00E076F7">
        <w:rPr>
          <w:noProof/>
          <w:sz w:val="20"/>
          <w:szCs w:val="20"/>
        </w:rPr>
        <w:t xml:space="preserve"> </w:t>
      </w:r>
      <w:r w:rsidRPr="00E076F7">
        <w:rPr>
          <w:noProof/>
          <w:sz w:val="20"/>
          <w:szCs w:val="20"/>
        </w:rPr>
        <w:t>284(1):</w:t>
      </w:r>
      <w:r w:rsidR="00176E9D" w:rsidRPr="00E076F7">
        <w:rPr>
          <w:noProof/>
          <w:sz w:val="20"/>
          <w:szCs w:val="20"/>
        </w:rPr>
        <w:t xml:space="preserve"> </w:t>
      </w:r>
      <w:r w:rsidRPr="00E076F7">
        <w:rPr>
          <w:noProof/>
          <w:sz w:val="20"/>
          <w:szCs w:val="20"/>
        </w:rPr>
        <w:t>111–17.</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Choudry,</w:t>
      </w:r>
      <w:r w:rsidR="00176E9D" w:rsidRPr="00E076F7">
        <w:rPr>
          <w:bCs/>
          <w:noProof/>
          <w:sz w:val="20"/>
          <w:szCs w:val="20"/>
        </w:rPr>
        <w:t xml:space="preserve"> </w:t>
      </w:r>
      <w:r w:rsidRPr="00E076F7">
        <w:rPr>
          <w:bCs/>
          <w:noProof/>
          <w:sz w:val="20"/>
          <w:szCs w:val="20"/>
        </w:rPr>
        <w:t>Abeera,</w:t>
      </w:r>
      <w:r w:rsidR="00176E9D" w:rsidRPr="00E076F7">
        <w:rPr>
          <w:bCs/>
          <w:noProof/>
          <w:sz w:val="20"/>
          <w:szCs w:val="20"/>
        </w:rPr>
        <w:t xml:space="preserve"> </w:t>
      </w:r>
      <w:r w:rsidRPr="00E076F7">
        <w:rPr>
          <w:bCs/>
          <w:noProof/>
          <w:sz w:val="20"/>
          <w:szCs w:val="20"/>
        </w:rPr>
        <w:t>Irfan</w:t>
      </w:r>
      <w:r w:rsidR="00176E9D" w:rsidRPr="00E076F7">
        <w:rPr>
          <w:bCs/>
          <w:noProof/>
          <w:sz w:val="20"/>
          <w:szCs w:val="20"/>
        </w:rPr>
        <w:t xml:space="preserve"> </w:t>
      </w:r>
      <w:r w:rsidRPr="00E076F7">
        <w:rPr>
          <w:bCs/>
          <w:noProof/>
          <w:sz w:val="20"/>
          <w:szCs w:val="20"/>
        </w:rPr>
        <w:t>Shukr,</w:t>
      </w:r>
      <w:r w:rsidR="00176E9D" w:rsidRPr="00E076F7">
        <w:rPr>
          <w:bCs/>
          <w:noProof/>
          <w:sz w:val="20"/>
          <w:szCs w:val="20"/>
        </w:rPr>
        <w:t xml:space="preserve"> </w:t>
      </w:r>
      <w:r w:rsidRPr="00E076F7">
        <w:rPr>
          <w:bCs/>
          <w:noProof/>
          <w:sz w:val="20"/>
          <w:szCs w:val="20"/>
        </w:rPr>
        <w:t>Sumaira</w:t>
      </w:r>
      <w:r w:rsidR="00176E9D" w:rsidRPr="00E076F7">
        <w:rPr>
          <w:bCs/>
          <w:noProof/>
          <w:sz w:val="20"/>
          <w:szCs w:val="20"/>
        </w:rPr>
        <w:t xml:space="preserve"> </w:t>
      </w:r>
      <w:r w:rsidRPr="00E076F7">
        <w:rPr>
          <w:bCs/>
          <w:noProof/>
          <w:sz w:val="20"/>
          <w:szCs w:val="20"/>
        </w:rPr>
        <w:t>Khan,</w:t>
      </w:r>
      <w:r w:rsidR="00176E9D" w:rsidRPr="00E076F7">
        <w:rPr>
          <w:bCs/>
          <w:noProof/>
          <w:sz w:val="20"/>
          <w:szCs w:val="20"/>
        </w:rPr>
        <w:t xml:space="preserve"> </w:t>
      </w:r>
      <w:r w:rsidRPr="00E076F7">
        <w:rPr>
          <w:bCs/>
          <w:noProof/>
          <w:sz w:val="20"/>
          <w:szCs w:val="20"/>
        </w:rPr>
        <w:t>Humaira</w:t>
      </w:r>
      <w:r w:rsidR="00176E9D" w:rsidRPr="00E076F7">
        <w:rPr>
          <w:bCs/>
          <w:noProof/>
          <w:sz w:val="20"/>
          <w:szCs w:val="20"/>
        </w:rPr>
        <w:t xml:space="preserve"> </w:t>
      </w:r>
      <w:r w:rsidRPr="00E076F7">
        <w:rPr>
          <w:bCs/>
          <w:noProof/>
          <w:sz w:val="20"/>
          <w:szCs w:val="20"/>
        </w:rPr>
        <w:t>Hafeez,</w:t>
      </w:r>
      <w:r w:rsidR="00176E9D" w:rsidRPr="00E076F7">
        <w:rPr>
          <w:bCs/>
          <w:noProof/>
          <w:sz w:val="20"/>
          <w:szCs w:val="20"/>
        </w:rPr>
        <w:t xml:space="preserve"> </w:t>
      </w:r>
      <w:r w:rsidRPr="00E076F7">
        <w:rPr>
          <w:bCs/>
          <w:noProof/>
          <w:sz w:val="20"/>
          <w:szCs w:val="20"/>
        </w:rPr>
        <w:t>Shahid</w:t>
      </w:r>
      <w:r w:rsidR="00176E9D" w:rsidRPr="00E076F7">
        <w:rPr>
          <w:bCs/>
          <w:noProof/>
          <w:sz w:val="20"/>
          <w:szCs w:val="20"/>
        </w:rPr>
        <w:t xml:space="preserve"> </w:t>
      </w:r>
      <w:r w:rsidRPr="00E076F7">
        <w:rPr>
          <w:bCs/>
          <w:noProof/>
          <w:sz w:val="20"/>
          <w:szCs w:val="20"/>
        </w:rPr>
        <w:t>Jamal,</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Ambreen</w:t>
      </w:r>
      <w:r w:rsidR="00176E9D" w:rsidRPr="00E076F7">
        <w:rPr>
          <w:bCs/>
          <w:noProof/>
          <w:sz w:val="20"/>
          <w:szCs w:val="20"/>
        </w:rPr>
        <w:t xml:space="preserve"> </w:t>
      </w:r>
      <w:r w:rsidRPr="00E076F7">
        <w:rPr>
          <w:bCs/>
          <w:noProof/>
          <w:sz w:val="20"/>
          <w:szCs w:val="20"/>
        </w:rPr>
        <w:t>Anwer</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2010</w:t>
      </w:r>
      <w:r w:rsidRPr="00E076F7">
        <w:rPr>
          <w:noProof/>
          <w:sz w:val="20"/>
          <w:szCs w:val="20"/>
        </w:rPr>
        <w:t>):</w:t>
      </w:r>
      <w:r w:rsidR="00176E9D" w:rsidRPr="00E076F7">
        <w:rPr>
          <w:noProof/>
          <w:sz w:val="20"/>
          <w:szCs w:val="20"/>
        </w:rPr>
        <w:t xml:space="preserve"> </w:t>
      </w:r>
      <w:r w:rsidRPr="00E076F7">
        <w:rPr>
          <w:noProof/>
          <w:sz w:val="20"/>
          <w:szCs w:val="20"/>
        </w:rPr>
        <w:t>“Acceptability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Accuracy</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Saline</w:t>
      </w:r>
      <w:r w:rsidR="00176E9D" w:rsidRPr="00E076F7">
        <w:rPr>
          <w:noProof/>
          <w:sz w:val="20"/>
          <w:szCs w:val="20"/>
        </w:rPr>
        <w:t xml:space="preserve"> </w:t>
      </w:r>
      <w:r w:rsidRPr="00E076F7">
        <w:rPr>
          <w:noProof/>
          <w:sz w:val="20"/>
          <w:szCs w:val="20"/>
        </w:rPr>
        <w:t>Infusion</w:t>
      </w:r>
      <w:r w:rsidR="00176E9D" w:rsidRPr="00E076F7">
        <w:rPr>
          <w:noProof/>
          <w:sz w:val="20"/>
          <w:szCs w:val="20"/>
        </w:rPr>
        <w:t xml:space="preserve"> </w:t>
      </w:r>
      <w:r w:rsidRPr="00E076F7">
        <w:rPr>
          <w:noProof/>
          <w:sz w:val="20"/>
          <w:szCs w:val="20"/>
        </w:rPr>
        <w:t>Sonohysterography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Journal</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the</w:t>
      </w:r>
      <w:r w:rsidR="00176E9D" w:rsidRPr="00E076F7">
        <w:rPr>
          <w:noProof/>
          <w:sz w:val="20"/>
          <w:szCs w:val="20"/>
        </w:rPr>
        <w:t xml:space="preserve"> </w:t>
      </w:r>
      <w:r w:rsidRPr="00E076F7">
        <w:rPr>
          <w:noProof/>
          <w:sz w:val="20"/>
          <w:szCs w:val="20"/>
        </w:rPr>
        <w:t>College</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Physicians</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Surgeons</w:t>
      </w:r>
      <w:r w:rsidR="00176E9D" w:rsidRPr="00E076F7">
        <w:rPr>
          <w:noProof/>
          <w:sz w:val="20"/>
          <w:szCs w:val="20"/>
        </w:rPr>
        <w:t xml:space="preserve"> </w:t>
      </w:r>
      <w:r w:rsidRPr="00E076F7">
        <w:rPr>
          <w:noProof/>
          <w:sz w:val="20"/>
          <w:szCs w:val="20"/>
        </w:rPr>
        <w:t>Pakistan</w:t>
      </w:r>
      <w:r w:rsidR="00176E9D" w:rsidRPr="00E076F7">
        <w:rPr>
          <w:noProof/>
          <w:sz w:val="20"/>
          <w:szCs w:val="20"/>
        </w:rPr>
        <w:t xml:space="preserve"> </w:t>
      </w:r>
      <w:r w:rsidRPr="00E076F7">
        <w:rPr>
          <w:noProof/>
          <w:sz w:val="20"/>
          <w:szCs w:val="20"/>
        </w:rPr>
        <w:t>20(9):</w:t>
      </w:r>
      <w:r w:rsidR="00176E9D" w:rsidRPr="00E076F7">
        <w:rPr>
          <w:noProof/>
          <w:sz w:val="20"/>
          <w:szCs w:val="20"/>
        </w:rPr>
        <w:t xml:space="preserve"> </w:t>
      </w:r>
      <w:r w:rsidRPr="00E076F7">
        <w:rPr>
          <w:noProof/>
          <w:sz w:val="20"/>
          <w:szCs w:val="20"/>
        </w:rPr>
        <w:t>571–75.</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Erdem,</w:t>
      </w:r>
      <w:r w:rsidR="00176E9D" w:rsidRPr="00E076F7">
        <w:rPr>
          <w:bCs/>
          <w:noProof/>
          <w:sz w:val="20"/>
          <w:szCs w:val="20"/>
        </w:rPr>
        <w:t xml:space="preserve"> </w:t>
      </w:r>
      <w:r w:rsidRPr="00E076F7">
        <w:rPr>
          <w:bCs/>
          <w:noProof/>
          <w:sz w:val="20"/>
          <w:szCs w:val="20"/>
        </w:rPr>
        <w:t>Mehmet,</w:t>
      </w:r>
      <w:r w:rsidR="00176E9D" w:rsidRPr="00E076F7">
        <w:rPr>
          <w:bCs/>
          <w:noProof/>
          <w:sz w:val="20"/>
          <w:szCs w:val="20"/>
        </w:rPr>
        <w:t xml:space="preserve"> </w:t>
      </w:r>
      <w:r w:rsidRPr="00E076F7">
        <w:rPr>
          <w:bCs/>
          <w:noProof/>
          <w:sz w:val="20"/>
          <w:szCs w:val="20"/>
        </w:rPr>
        <w:t>Ufuk</w:t>
      </w:r>
      <w:r w:rsidR="00176E9D" w:rsidRPr="00E076F7">
        <w:rPr>
          <w:bCs/>
          <w:noProof/>
          <w:sz w:val="20"/>
          <w:szCs w:val="20"/>
        </w:rPr>
        <w:t xml:space="preserve"> </w:t>
      </w:r>
      <w:r w:rsidRPr="00E076F7">
        <w:rPr>
          <w:bCs/>
          <w:noProof/>
          <w:sz w:val="20"/>
          <w:szCs w:val="20"/>
        </w:rPr>
        <w:t>Bilgin,</w:t>
      </w:r>
      <w:r w:rsidR="00176E9D" w:rsidRPr="00E076F7">
        <w:rPr>
          <w:bCs/>
          <w:noProof/>
          <w:sz w:val="20"/>
          <w:szCs w:val="20"/>
        </w:rPr>
        <w:t xml:space="preserve"> </w:t>
      </w:r>
      <w:r w:rsidRPr="00E076F7">
        <w:rPr>
          <w:bCs/>
          <w:noProof/>
          <w:sz w:val="20"/>
          <w:szCs w:val="20"/>
        </w:rPr>
        <w:t>Nuray</w:t>
      </w:r>
      <w:r w:rsidR="00176E9D" w:rsidRPr="00E076F7">
        <w:rPr>
          <w:bCs/>
          <w:noProof/>
          <w:sz w:val="20"/>
          <w:szCs w:val="20"/>
        </w:rPr>
        <w:t xml:space="preserve"> </w:t>
      </w:r>
      <w:r w:rsidRPr="00E076F7">
        <w:rPr>
          <w:bCs/>
          <w:noProof/>
          <w:sz w:val="20"/>
          <w:szCs w:val="20"/>
        </w:rPr>
        <w:t>Bozkurt,</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Ahmet</w:t>
      </w:r>
      <w:r w:rsidR="00176E9D" w:rsidRPr="00E076F7">
        <w:rPr>
          <w:bCs/>
          <w:noProof/>
          <w:sz w:val="20"/>
          <w:szCs w:val="20"/>
        </w:rPr>
        <w:t xml:space="preserve"> </w:t>
      </w:r>
      <w:r w:rsidRPr="00E076F7">
        <w:rPr>
          <w:bCs/>
          <w:noProof/>
          <w:sz w:val="20"/>
          <w:szCs w:val="20"/>
        </w:rPr>
        <w:t>Erdem</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2007</w:t>
      </w:r>
      <w:r w:rsidRPr="00E076F7">
        <w:rPr>
          <w:noProof/>
          <w:sz w:val="20"/>
          <w:szCs w:val="20"/>
        </w:rPr>
        <w:t>):</w:t>
      </w:r>
      <w:r w:rsidR="00176E9D" w:rsidRPr="00E076F7">
        <w:rPr>
          <w:noProof/>
          <w:sz w:val="20"/>
          <w:szCs w:val="20"/>
        </w:rPr>
        <w:t xml:space="preserve"> </w:t>
      </w:r>
      <w:r w:rsidRPr="00E076F7">
        <w:rPr>
          <w:noProof/>
          <w:sz w:val="20"/>
          <w:szCs w:val="20"/>
        </w:rPr>
        <w:t>“Comparison</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Transvaginal</w:t>
      </w:r>
      <w:r w:rsidR="00176E9D" w:rsidRPr="00E076F7">
        <w:rPr>
          <w:noProof/>
          <w:sz w:val="20"/>
          <w:szCs w:val="20"/>
        </w:rPr>
        <w:t xml:space="preserve"> </w:t>
      </w:r>
      <w:r w:rsidRPr="00E076F7">
        <w:rPr>
          <w:noProof/>
          <w:sz w:val="20"/>
          <w:szCs w:val="20"/>
        </w:rPr>
        <w:t>Ultrasonography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Saline</w:t>
      </w:r>
      <w:r w:rsidR="00176E9D" w:rsidRPr="00E076F7">
        <w:rPr>
          <w:noProof/>
          <w:sz w:val="20"/>
          <w:szCs w:val="20"/>
        </w:rPr>
        <w:t xml:space="preserve"> </w:t>
      </w:r>
      <w:r w:rsidRPr="00E076F7">
        <w:rPr>
          <w:noProof/>
          <w:sz w:val="20"/>
          <w:szCs w:val="20"/>
        </w:rPr>
        <w:t>Infusion</w:t>
      </w:r>
      <w:r w:rsidR="00176E9D" w:rsidRPr="00E076F7">
        <w:rPr>
          <w:noProof/>
          <w:sz w:val="20"/>
          <w:szCs w:val="20"/>
        </w:rPr>
        <w:t xml:space="preserve"> </w:t>
      </w:r>
      <w:r w:rsidRPr="00E076F7">
        <w:rPr>
          <w:noProof/>
          <w:sz w:val="20"/>
          <w:szCs w:val="20"/>
        </w:rPr>
        <w:t>Sonohysterography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Evaluating</w:t>
      </w:r>
      <w:r w:rsidR="00176E9D" w:rsidRPr="00E076F7">
        <w:rPr>
          <w:noProof/>
          <w:sz w:val="20"/>
          <w:szCs w:val="20"/>
        </w:rPr>
        <w:t xml:space="preserve"> </w:t>
      </w:r>
      <w:r w:rsidRPr="00E076F7">
        <w:rPr>
          <w:noProof/>
          <w:sz w:val="20"/>
          <w:szCs w:val="20"/>
        </w:rPr>
        <w:t>the</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Cavity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Pre-and</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Abnormal</w:t>
      </w:r>
      <w:r w:rsidR="00176E9D" w:rsidRPr="00E076F7">
        <w:rPr>
          <w:noProof/>
          <w:sz w:val="20"/>
          <w:szCs w:val="20"/>
        </w:rPr>
        <w:t xml:space="preserve"> </w:t>
      </w:r>
      <w:r w:rsidRPr="00E076F7">
        <w:rPr>
          <w:noProof/>
          <w:sz w:val="20"/>
          <w:szCs w:val="20"/>
        </w:rPr>
        <w:t>Uterine</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Menopause</w:t>
      </w:r>
      <w:r w:rsidR="00176E9D" w:rsidRPr="00E076F7">
        <w:rPr>
          <w:noProof/>
          <w:sz w:val="20"/>
          <w:szCs w:val="20"/>
        </w:rPr>
        <w:t xml:space="preserve"> </w:t>
      </w:r>
      <w:r w:rsidRPr="00E076F7">
        <w:rPr>
          <w:noProof/>
          <w:sz w:val="20"/>
          <w:szCs w:val="20"/>
        </w:rPr>
        <w:t>14(5):</w:t>
      </w:r>
      <w:r w:rsidR="00176E9D" w:rsidRPr="00E076F7">
        <w:rPr>
          <w:noProof/>
          <w:sz w:val="20"/>
          <w:szCs w:val="20"/>
        </w:rPr>
        <w:t xml:space="preserve"> </w:t>
      </w:r>
      <w:r w:rsidRPr="00E076F7">
        <w:rPr>
          <w:noProof/>
          <w:sz w:val="20"/>
          <w:szCs w:val="20"/>
        </w:rPr>
        <w:t>846–52.</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Hobson,</w:t>
      </w:r>
      <w:r w:rsidR="00176E9D" w:rsidRPr="00E076F7">
        <w:rPr>
          <w:bCs/>
          <w:noProof/>
          <w:sz w:val="20"/>
          <w:szCs w:val="20"/>
        </w:rPr>
        <w:t xml:space="preserve"> </w:t>
      </w:r>
      <w:r w:rsidRPr="00E076F7">
        <w:rPr>
          <w:bCs/>
          <w:noProof/>
          <w:sz w:val="20"/>
          <w:szCs w:val="20"/>
        </w:rPr>
        <w:t>Maritza</w:t>
      </w:r>
      <w:r w:rsidR="00176E9D" w:rsidRPr="00E076F7">
        <w:rPr>
          <w:bCs/>
          <w:noProof/>
          <w:sz w:val="20"/>
          <w:szCs w:val="20"/>
        </w:rPr>
        <w:t xml:space="preserve"> </w:t>
      </w:r>
      <w:r w:rsidRPr="00E076F7">
        <w:rPr>
          <w:bCs/>
          <w:noProof/>
          <w:sz w:val="20"/>
          <w:szCs w:val="20"/>
        </w:rPr>
        <w:t>A.,</w:t>
      </w:r>
      <w:r w:rsidR="00176E9D" w:rsidRPr="00E076F7">
        <w:rPr>
          <w:bCs/>
          <w:noProof/>
          <w:sz w:val="20"/>
          <w:szCs w:val="20"/>
        </w:rPr>
        <w:t xml:space="preserve"> </w:t>
      </w:r>
      <w:r w:rsidRPr="00E076F7">
        <w:rPr>
          <w:bCs/>
          <w:noProof/>
          <w:sz w:val="20"/>
          <w:szCs w:val="20"/>
        </w:rPr>
        <w:t>Ernest</w:t>
      </w:r>
      <w:r w:rsidR="00176E9D" w:rsidRPr="00E076F7">
        <w:rPr>
          <w:bCs/>
          <w:noProof/>
          <w:sz w:val="20"/>
          <w:szCs w:val="20"/>
        </w:rPr>
        <w:t xml:space="preserve"> </w:t>
      </w:r>
      <w:r w:rsidRPr="00E076F7">
        <w:rPr>
          <w:bCs/>
          <w:noProof/>
          <w:sz w:val="20"/>
          <w:szCs w:val="20"/>
        </w:rPr>
        <w:t>L.</w:t>
      </w:r>
      <w:r w:rsidR="00176E9D" w:rsidRPr="00E076F7">
        <w:rPr>
          <w:bCs/>
          <w:noProof/>
          <w:sz w:val="20"/>
          <w:szCs w:val="20"/>
        </w:rPr>
        <w:t xml:space="preserve"> </w:t>
      </w:r>
      <w:r w:rsidRPr="00E076F7">
        <w:rPr>
          <w:bCs/>
          <w:noProof/>
          <w:sz w:val="20"/>
          <w:szCs w:val="20"/>
        </w:rPr>
        <w:t>Madsen,</w:t>
      </w:r>
      <w:r w:rsidR="00176E9D" w:rsidRPr="00E076F7">
        <w:rPr>
          <w:bCs/>
          <w:noProof/>
          <w:sz w:val="20"/>
          <w:szCs w:val="20"/>
        </w:rPr>
        <w:t xml:space="preserve"> </w:t>
      </w:r>
      <w:r w:rsidRPr="00E076F7">
        <w:rPr>
          <w:bCs/>
          <w:noProof/>
          <w:sz w:val="20"/>
          <w:szCs w:val="20"/>
        </w:rPr>
        <w:t>Gary</w:t>
      </w:r>
      <w:r w:rsidR="00176E9D" w:rsidRPr="00E076F7">
        <w:rPr>
          <w:bCs/>
          <w:noProof/>
          <w:sz w:val="20"/>
          <w:szCs w:val="20"/>
        </w:rPr>
        <w:t xml:space="preserve"> </w:t>
      </w:r>
      <w:r w:rsidRPr="00E076F7">
        <w:rPr>
          <w:bCs/>
          <w:noProof/>
          <w:sz w:val="20"/>
          <w:szCs w:val="20"/>
        </w:rPr>
        <w:t>R.</w:t>
      </w:r>
      <w:r w:rsidR="00176E9D" w:rsidRPr="00E076F7">
        <w:rPr>
          <w:bCs/>
          <w:noProof/>
          <w:sz w:val="20"/>
          <w:szCs w:val="20"/>
        </w:rPr>
        <w:t xml:space="preserve"> </w:t>
      </w:r>
      <w:r w:rsidRPr="00E076F7">
        <w:rPr>
          <w:bCs/>
          <w:noProof/>
          <w:sz w:val="20"/>
          <w:szCs w:val="20"/>
        </w:rPr>
        <w:t>Frank,</w:t>
      </w:r>
      <w:r w:rsidR="00176E9D" w:rsidRPr="00E076F7">
        <w:rPr>
          <w:bCs/>
          <w:noProof/>
          <w:sz w:val="20"/>
          <w:szCs w:val="20"/>
        </w:rPr>
        <w:t xml:space="preserve"> </w:t>
      </w:r>
      <w:r w:rsidRPr="00E076F7">
        <w:rPr>
          <w:bCs/>
          <w:noProof/>
          <w:sz w:val="20"/>
          <w:szCs w:val="20"/>
        </w:rPr>
        <w:t>Jingfeng</w:t>
      </w:r>
      <w:r w:rsidR="00176E9D" w:rsidRPr="00E076F7">
        <w:rPr>
          <w:bCs/>
          <w:noProof/>
          <w:sz w:val="20"/>
          <w:szCs w:val="20"/>
        </w:rPr>
        <w:t xml:space="preserve"> </w:t>
      </w:r>
      <w:r w:rsidRPr="00E076F7">
        <w:rPr>
          <w:bCs/>
          <w:noProof/>
          <w:sz w:val="20"/>
          <w:szCs w:val="20"/>
        </w:rPr>
        <w:t>Jiang,</w:t>
      </w:r>
      <w:r w:rsidR="00176E9D" w:rsidRPr="00E076F7">
        <w:rPr>
          <w:bCs/>
          <w:noProof/>
          <w:sz w:val="20"/>
          <w:szCs w:val="20"/>
        </w:rPr>
        <w:t xml:space="preserve"> </w:t>
      </w:r>
      <w:r w:rsidRPr="00E076F7">
        <w:rPr>
          <w:bCs/>
          <w:noProof/>
          <w:sz w:val="20"/>
          <w:szCs w:val="20"/>
        </w:rPr>
        <w:t>Hairong</w:t>
      </w:r>
      <w:r w:rsidR="00176E9D" w:rsidRPr="00E076F7">
        <w:rPr>
          <w:bCs/>
          <w:noProof/>
          <w:sz w:val="20"/>
          <w:szCs w:val="20"/>
        </w:rPr>
        <w:t xml:space="preserve"> </w:t>
      </w:r>
      <w:r w:rsidRPr="00E076F7">
        <w:rPr>
          <w:bCs/>
          <w:noProof/>
          <w:sz w:val="20"/>
          <w:szCs w:val="20"/>
        </w:rPr>
        <w:t>Shi,</w:t>
      </w:r>
      <w:r w:rsidR="00176E9D" w:rsidRPr="00E076F7">
        <w:rPr>
          <w:bCs/>
          <w:noProof/>
          <w:sz w:val="20"/>
          <w:szCs w:val="20"/>
        </w:rPr>
        <w:t xml:space="preserve"> </w:t>
      </w:r>
      <w:r w:rsidRPr="00E076F7">
        <w:rPr>
          <w:bCs/>
          <w:noProof/>
          <w:sz w:val="20"/>
          <w:szCs w:val="20"/>
        </w:rPr>
        <w:t>et</w:t>
      </w:r>
      <w:r w:rsidR="00176E9D" w:rsidRPr="00E076F7">
        <w:rPr>
          <w:bCs/>
          <w:noProof/>
          <w:sz w:val="20"/>
          <w:szCs w:val="20"/>
        </w:rPr>
        <w:t xml:space="preserve"> </w:t>
      </w:r>
      <w:r w:rsidRPr="00E076F7">
        <w:rPr>
          <w:bCs/>
          <w:noProof/>
          <w:sz w:val="20"/>
          <w:szCs w:val="20"/>
        </w:rPr>
        <w:t>al.</w:t>
      </w:r>
      <w:r w:rsidR="00176E9D" w:rsidRPr="00E076F7">
        <w:rPr>
          <w:noProof/>
          <w:sz w:val="20"/>
          <w:szCs w:val="20"/>
        </w:rPr>
        <w:t xml:space="preserve"> </w:t>
      </w:r>
      <w:r w:rsidRPr="00E076F7">
        <w:rPr>
          <w:noProof/>
          <w:sz w:val="20"/>
          <w:szCs w:val="20"/>
        </w:rPr>
        <w:t>(</w:t>
      </w:r>
      <w:r w:rsidRPr="00E076F7">
        <w:rPr>
          <w:bCs/>
          <w:noProof/>
          <w:sz w:val="20"/>
          <w:szCs w:val="20"/>
        </w:rPr>
        <w:t>2008</w:t>
      </w:r>
      <w:r w:rsidRPr="00E076F7">
        <w:rPr>
          <w:noProof/>
          <w:sz w:val="20"/>
          <w:szCs w:val="20"/>
        </w:rPr>
        <w:t>):</w:t>
      </w:r>
      <w:r w:rsidR="00176E9D" w:rsidRPr="00E076F7">
        <w:rPr>
          <w:noProof/>
          <w:sz w:val="20"/>
          <w:szCs w:val="20"/>
        </w:rPr>
        <w:t xml:space="preserve"> </w:t>
      </w:r>
      <w:r w:rsidRPr="00E076F7">
        <w:rPr>
          <w:noProof/>
          <w:sz w:val="20"/>
          <w:szCs w:val="20"/>
        </w:rPr>
        <w:t>“Anthropomorphic</w:t>
      </w:r>
      <w:r w:rsidR="00176E9D" w:rsidRPr="00E076F7">
        <w:rPr>
          <w:noProof/>
          <w:sz w:val="20"/>
          <w:szCs w:val="20"/>
        </w:rPr>
        <w:t xml:space="preserve"> </w:t>
      </w:r>
      <w:r w:rsidRPr="00E076F7">
        <w:rPr>
          <w:noProof/>
          <w:sz w:val="20"/>
          <w:szCs w:val="20"/>
        </w:rPr>
        <w:t>Phantoms</w:t>
      </w:r>
      <w:r w:rsidR="00176E9D" w:rsidRPr="00E076F7">
        <w:rPr>
          <w:noProof/>
          <w:sz w:val="20"/>
          <w:szCs w:val="20"/>
        </w:rPr>
        <w:t xml:space="preserve"> </w:t>
      </w:r>
      <w:r w:rsidRPr="00E076F7">
        <w:rPr>
          <w:noProof/>
          <w:sz w:val="20"/>
          <w:szCs w:val="20"/>
        </w:rPr>
        <w:t>for</w:t>
      </w:r>
      <w:r w:rsidR="00176E9D" w:rsidRPr="00E076F7">
        <w:rPr>
          <w:noProof/>
          <w:sz w:val="20"/>
          <w:szCs w:val="20"/>
        </w:rPr>
        <w:t xml:space="preserve"> </w:t>
      </w:r>
      <w:r w:rsidRPr="00E076F7">
        <w:rPr>
          <w:noProof/>
          <w:sz w:val="20"/>
          <w:szCs w:val="20"/>
        </w:rPr>
        <w:t>Assessment</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Strain</w:t>
      </w:r>
      <w:r w:rsidR="00176E9D" w:rsidRPr="00E076F7">
        <w:rPr>
          <w:noProof/>
          <w:sz w:val="20"/>
          <w:szCs w:val="20"/>
        </w:rPr>
        <w:t xml:space="preserve"> </w:t>
      </w:r>
      <w:r w:rsidRPr="00E076F7">
        <w:rPr>
          <w:noProof/>
          <w:sz w:val="20"/>
          <w:szCs w:val="20"/>
        </w:rPr>
        <w:t>Imaging</w:t>
      </w:r>
      <w:r w:rsidR="00176E9D" w:rsidRPr="00E076F7">
        <w:rPr>
          <w:noProof/>
          <w:sz w:val="20"/>
          <w:szCs w:val="20"/>
        </w:rPr>
        <w:t xml:space="preserve"> </w:t>
      </w:r>
      <w:r w:rsidRPr="00E076F7">
        <w:rPr>
          <w:noProof/>
          <w:sz w:val="20"/>
          <w:szCs w:val="20"/>
        </w:rPr>
        <w:t>Methods</w:t>
      </w:r>
      <w:r w:rsidR="00176E9D" w:rsidRPr="00E076F7">
        <w:rPr>
          <w:noProof/>
          <w:sz w:val="20"/>
          <w:szCs w:val="20"/>
        </w:rPr>
        <w:t xml:space="preserve"> </w:t>
      </w:r>
      <w:r w:rsidRPr="00E076F7">
        <w:rPr>
          <w:noProof/>
          <w:sz w:val="20"/>
          <w:szCs w:val="20"/>
        </w:rPr>
        <w:t>Involving</w:t>
      </w:r>
      <w:r w:rsidR="00176E9D" w:rsidRPr="00E076F7">
        <w:rPr>
          <w:noProof/>
          <w:sz w:val="20"/>
          <w:szCs w:val="20"/>
        </w:rPr>
        <w:t xml:space="preserve"> </w:t>
      </w:r>
      <w:r w:rsidRPr="00E076F7">
        <w:rPr>
          <w:noProof/>
          <w:sz w:val="20"/>
          <w:szCs w:val="20"/>
        </w:rPr>
        <w:t>Saline-Infused</w:t>
      </w:r>
      <w:r w:rsidR="00176E9D" w:rsidRPr="00E076F7">
        <w:rPr>
          <w:noProof/>
          <w:sz w:val="20"/>
          <w:szCs w:val="20"/>
        </w:rPr>
        <w:t xml:space="preserve"> </w:t>
      </w:r>
      <w:r w:rsidRPr="00E076F7">
        <w:rPr>
          <w:noProof/>
          <w:sz w:val="20"/>
          <w:szCs w:val="20"/>
        </w:rPr>
        <w:t>Sonohysterography.”</w:t>
      </w:r>
      <w:r w:rsidR="00176E9D" w:rsidRPr="00E076F7">
        <w:rPr>
          <w:noProof/>
          <w:sz w:val="20"/>
          <w:szCs w:val="20"/>
        </w:rPr>
        <w:t xml:space="preserve"> </w:t>
      </w:r>
      <w:r w:rsidRPr="00E076F7">
        <w:rPr>
          <w:noProof/>
          <w:sz w:val="20"/>
          <w:szCs w:val="20"/>
        </w:rPr>
        <w:t>Ultrasound</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Medicine</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Biology</w:t>
      </w:r>
      <w:r w:rsidR="00176E9D" w:rsidRPr="00E076F7">
        <w:rPr>
          <w:noProof/>
          <w:sz w:val="20"/>
          <w:szCs w:val="20"/>
        </w:rPr>
        <w:t xml:space="preserve"> </w:t>
      </w:r>
      <w:r w:rsidRPr="00E076F7">
        <w:rPr>
          <w:noProof/>
          <w:sz w:val="20"/>
          <w:szCs w:val="20"/>
        </w:rPr>
        <w:t>34(10):</w:t>
      </w:r>
      <w:r w:rsidR="00176E9D" w:rsidRPr="00E076F7">
        <w:rPr>
          <w:noProof/>
          <w:sz w:val="20"/>
          <w:szCs w:val="20"/>
        </w:rPr>
        <w:t xml:space="preserve"> </w:t>
      </w:r>
      <w:r w:rsidRPr="00E076F7">
        <w:rPr>
          <w:noProof/>
          <w:sz w:val="20"/>
          <w:szCs w:val="20"/>
        </w:rPr>
        <w:t>1622–37.</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Karageyim</w:t>
      </w:r>
      <w:r w:rsidR="00176E9D" w:rsidRPr="00E076F7">
        <w:rPr>
          <w:bCs/>
          <w:noProof/>
          <w:sz w:val="20"/>
          <w:szCs w:val="20"/>
        </w:rPr>
        <w:t xml:space="preserve"> </w:t>
      </w:r>
      <w:r w:rsidRPr="00E076F7">
        <w:rPr>
          <w:bCs/>
          <w:noProof/>
          <w:sz w:val="20"/>
          <w:szCs w:val="20"/>
        </w:rPr>
        <w:t>Karsidag,</w:t>
      </w:r>
      <w:r w:rsidR="00176E9D" w:rsidRPr="00E076F7">
        <w:rPr>
          <w:bCs/>
          <w:noProof/>
          <w:sz w:val="20"/>
          <w:szCs w:val="20"/>
        </w:rPr>
        <w:t xml:space="preserve"> </w:t>
      </w:r>
      <w:r w:rsidRPr="00E076F7">
        <w:rPr>
          <w:bCs/>
          <w:noProof/>
          <w:sz w:val="20"/>
          <w:szCs w:val="20"/>
        </w:rPr>
        <w:t>A.</w:t>
      </w:r>
      <w:r w:rsidR="00176E9D" w:rsidRPr="00E076F7">
        <w:rPr>
          <w:bCs/>
          <w:noProof/>
          <w:sz w:val="20"/>
          <w:szCs w:val="20"/>
        </w:rPr>
        <w:t xml:space="preserve"> </w:t>
      </w:r>
      <w:r w:rsidRPr="00E076F7">
        <w:rPr>
          <w:bCs/>
          <w:noProof/>
          <w:sz w:val="20"/>
          <w:szCs w:val="20"/>
        </w:rPr>
        <w:t>Yasemin,</w:t>
      </w:r>
      <w:r w:rsidR="00176E9D" w:rsidRPr="00E076F7">
        <w:rPr>
          <w:bCs/>
          <w:noProof/>
          <w:sz w:val="20"/>
          <w:szCs w:val="20"/>
        </w:rPr>
        <w:t xml:space="preserve"> </w:t>
      </w:r>
      <w:r w:rsidRPr="00E076F7">
        <w:rPr>
          <w:bCs/>
          <w:noProof/>
          <w:sz w:val="20"/>
          <w:szCs w:val="20"/>
        </w:rPr>
        <w:t>Esra</w:t>
      </w:r>
      <w:r w:rsidR="00176E9D" w:rsidRPr="00E076F7">
        <w:rPr>
          <w:bCs/>
          <w:noProof/>
          <w:sz w:val="20"/>
          <w:szCs w:val="20"/>
        </w:rPr>
        <w:t xml:space="preserve"> </w:t>
      </w:r>
      <w:r w:rsidRPr="00E076F7">
        <w:rPr>
          <w:bCs/>
          <w:noProof/>
          <w:sz w:val="20"/>
          <w:szCs w:val="20"/>
        </w:rPr>
        <w:t>Esim</w:t>
      </w:r>
      <w:r w:rsidR="00176E9D" w:rsidRPr="00E076F7">
        <w:rPr>
          <w:bCs/>
          <w:noProof/>
          <w:sz w:val="20"/>
          <w:szCs w:val="20"/>
        </w:rPr>
        <w:t xml:space="preserve"> </w:t>
      </w:r>
      <w:r w:rsidRPr="00E076F7">
        <w:rPr>
          <w:bCs/>
          <w:noProof/>
          <w:sz w:val="20"/>
          <w:szCs w:val="20"/>
        </w:rPr>
        <w:t>Buyukbayrak,</w:t>
      </w:r>
      <w:r w:rsidR="00176E9D" w:rsidRPr="00E076F7">
        <w:rPr>
          <w:bCs/>
          <w:noProof/>
          <w:sz w:val="20"/>
          <w:szCs w:val="20"/>
        </w:rPr>
        <w:t xml:space="preserve"> </w:t>
      </w:r>
      <w:r w:rsidRPr="00E076F7">
        <w:rPr>
          <w:bCs/>
          <w:noProof/>
          <w:sz w:val="20"/>
          <w:szCs w:val="20"/>
        </w:rPr>
        <w:t>Bulent</w:t>
      </w:r>
      <w:r w:rsidR="00176E9D" w:rsidRPr="00E076F7">
        <w:rPr>
          <w:bCs/>
          <w:noProof/>
          <w:sz w:val="20"/>
          <w:szCs w:val="20"/>
        </w:rPr>
        <w:t xml:space="preserve"> </w:t>
      </w:r>
      <w:r w:rsidRPr="00E076F7">
        <w:rPr>
          <w:bCs/>
          <w:noProof/>
          <w:sz w:val="20"/>
          <w:szCs w:val="20"/>
        </w:rPr>
        <w:t>Kars,</w:t>
      </w:r>
      <w:r w:rsidR="00176E9D" w:rsidRPr="00E076F7">
        <w:rPr>
          <w:bCs/>
          <w:noProof/>
          <w:sz w:val="20"/>
          <w:szCs w:val="20"/>
        </w:rPr>
        <w:t xml:space="preserve"> </w:t>
      </w:r>
      <w:r w:rsidRPr="00E076F7">
        <w:rPr>
          <w:bCs/>
          <w:noProof/>
          <w:sz w:val="20"/>
          <w:szCs w:val="20"/>
        </w:rPr>
        <w:t>Orhan</w:t>
      </w:r>
      <w:r w:rsidR="00176E9D" w:rsidRPr="00E076F7">
        <w:rPr>
          <w:bCs/>
          <w:noProof/>
          <w:sz w:val="20"/>
          <w:szCs w:val="20"/>
        </w:rPr>
        <w:t xml:space="preserve"> </w:t>
      </w:r>
      <w:r w:rsidRPr="00E076F7">
        <w:rPr>
          <w:bCs/>
          <w:noProof/>
          <w:sz w:val="20"/>
          <w:szCs w:val="20"/>
        </w:rPr>
        <w:t>Unal,</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M.</w:t>
      </w:r>
      <w:r w:rsidR="00176E9D" w:rsidRPr="00E076F7">
        <w:rPr>
          <w:bCs/>
          <w:noProof/>
          <w:sz w:val="20"/>
          <w:szCs w:val="20"/>
        </w:rPr>
        <w:t xml:space="preserve"> </w:t>
      </w:r>
      <w:r w:rsidRPr="00E076F7">
        <w:rPr>
          <w:bCs/>
          <w:noProof/>
          <w:sz w:val="20"/>
          <w:szCs w:val="20"/>
        </w:rPr>
        <w:t>Cem</w:t>
      </w:r>
      <w:r w:rsidR="00176E9D" w:rsidRPr="00E076F7">
        <w:rPr>
          <w:bCs/>
          <w:noProof/>
          <w:sz w:val="20"/>
          <w:szCs w:val="20"/>
        </w:rPr>
        <w:t xml:space="preserve"> </w:t>
      </w:r>
      <w:r w:rsidRPr="00E076F7">
        <w:rPr>
          <w:bCs/>
          <w:noProof/>
          <w:sz w:val="20"/>
          <w:szCs w:val="20"/>
        </w:rPr>
        <w:t>Turan</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2010</w:t>
      </w:r>
      <w:r w:rsidRPr="00E076F7">
        <w:rPr>
          <w:noProof/>
          <w:sz w:val="20"/>
          <w:szCs w:val="20"/>
        </w:rPr>
        <w:t>):</w:t>
      </w:r>
      <w:r w:rsidR="00176E9D" w:rsidRPr="00E076F7">
        <w:rPr>
          <w:noProof/>
          <w:sz w:val="20"/>
          <w:szCs w:val="20"/>
        </w:rPr>
        <w:t xml:space="preserve"> </w:t>
      </w:r>
      <w:r w:rsidRPr="00E076F7">
        <w:rPr>
          <w:noProof/>
          <w:sz w:val="20"/>
          <w:szCs w:val="20"/>
        </w:rPr>
        <w:t>“Transvaginal</w:t>
      </w:r>
      <w:r w:rsidR="00176E9D" w:rsidRPr="00E076F7">
        <w:rPr>
          <w:noProof/>
          <w:sz w:val="20"/>
          <w:szCs w:val="20"/>
        </w:rPr>
        <w:t xml:space="preserve"> </w:t>
      </w:r>
      <w:r w:rsidRPr="00E076F7">
        <w:rPr>
          <w:noProof/>
          <w:sz w:val="20"/>
          <w:szCs w:val="20"/>
        </w:rPr>
        <w:t>Sonography,</w:t>
      </w:r>
      <w:r w:rsidR="00176E9D" w:rsidRPr="00E076F7">
        <w:rPr>
          <w:noProof/>
          <w:sz w:val="20"/>
          <w:szCs w:val="20"/>
        </w:rPr>
        <w:t xml:space="preserve"> </w:t>
      </w:r>
      <w:r w:rsidRPr="00E076F7">
        <w:rPr>
          <w:noProof/>
          <w:sz w:val="20"/>
          <w:szCs w:val="20"/>
        </w:rPr>
        <w:t>Sonohysterography,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Hysteroscopy</w:t>
      </w:r>
      <w:r w:rsidR="00176E9D" w:rsidRPr="00E076F7">
        <w:rPr>
          <w:noProof/>
          <w:sz w:val="20"/>
          <w:szCs w:val="20"/>
        </w:rPr>
        <w:t xml:space="preserve"> </w:t>
      </w:r>
      <w:r w:rsidRPr="00E076F7">
        <w:rPr>
          <w:noProof/>
          <w:sz w:val="20"/>
          <w:szCs w:val="20"/>
        </w:rPr>
        <w:t>for</w:t>
      </w:r>
      <w:r w:rsidR="00176E9D" w:rsidRPr="00E076F7">
        <w:rPr>
          <w:noProof/>
          <w:sz w:val="20"/>
          <w:szCs w:val="20"/>
        </w:rPr>
        <w:t xml:space="preserve"> </w:t>
      </w:r>
      <w:r w:rsidRPr="00E076F7">
        <w:rPr>
          <w:noProof/>
          <w:sz w:val="20"/>
          <w:szCs w:val="20"/>
        </w:rPr>
        <w:t>Investigation</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Focal</w:t>
      </w:r>
      <w:r w:rsidR="00176E9D" w:rsidRPr="00E076F7">
        <w:rPr>
          <w:noProof/>
          <w:sz w:val="20"/>
          <w:szCs w:val="20"/>
        </w:rPr>
        <w:t xml:space="preserve"> </w:t>
      </w:r>
      <w:r w:rsidRPr="00E076F7">
        <w:rPr>
          <w:noProof/>
          <w:sz w:val="20"/>
          <w:szCs w:val="20"/>
        </w:rPr>
        <w:t>Intrauterine</w:t>
      </w:r>
      <w:r w:rsidR="00176E9D" w:rsidRPr="00E076F7">
        <w:rPr>
          <w:noProof/>
          <w:sz w:val="20"/>
          <w:szCs w:val="20"/>
        </w:rPr>
        <w:t xml:space="preserve"> </w:t>
      </w:r>
      <w:r w:rsidRPr="00E076F7">
        <w:rPr>
          <w:noProof/>
          <w:sz w:val="20"/>
          <w:szCs w:val="20"/>
        </w:rPr>
        <w:t>Lesions</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Recurrent</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after</w:t>
      </w:r>
      <w:r w:rsidR="00176E9D" w:rsidRPr="00E076F7">
        <w:rPr>
          <w:noProof/>
          <w:sz w:val="20"/>
          <w:szCs w:val="20"/>
        </w:rPr>
        <w:t xml:space="preserve"> </w:t>
      </w:r>
      <w:r w:rsidRPr="00E076F7">
        <w:rPr>
          <w:noProof/>
          <w:sz w:val="20"/>
          <w:szCs w:val="20"/>
        </w:rPr>
        <w:t>Dilatation</w:t>
      </w:r>
      <w:r w:rsidR="00176E9D" w:rsidRPr="00E076F7">
        <w:rPr>
          <w:noProof/>
          <w:sz w:val="20"/>
          <w:szCs w:val="20"/>
        </w:rPr>
        <w:t xml:space="preserve"> &amp; </w:t>
      </w:r>
      <w:r w:rsidRPr="00E076F7">
        <w:rPr>
          <w:noProof/>
          <w:sz w:val="20"/>
          <w:szCs w:val="20"/>
        </w:rPr>
        <w:t>Curettage.”</w:t>
      </w:r>
      <w:r w:rsidR="00176E9D" w:rsidRPr="00E076F7">
        <w:rPr>
          <w:noProof/>
          <w:sz w:val="20"/>
          <w:szCs w:val="20"/>
        </w:rPr>
        <w:t xml:space="preserve"> </w:t>
      </w:r>
      <w:r w:rsidRPr="00E076F7">
        <w:rPr>
          <w:noProof/>
          <w:sz w:val="20"/>
          <w:szCs w:val="20"/>
        </w:rPr>
        <w:t>Archives</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Gynecology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Obstetrics</w:t>
      </w:r>
      <w:r w:rsidR="00176E9D" w:rsidRPr="00E076F7">
        <w:rPr>
          <w:noProof/>
          <w:sz w:val="20"/>
          <w:szCs w:val="20"/>
        </w:rPr>
        <w:t xml:space="preserve"> </w:t>
      </w:r>
      <w:r w:rsidRPr="00E076F7">
        <w:rPr>
          <w:noProof/>
          <w:sz w:val="20"/>
          <w:szCs w:val="20"/>
        </w:rPr>
        <w:t>281(4):</w:t>
      </w:r>
      <w:r w:rsidR="00176E9D" w:rsidRPr="00E076F7">
        <w:rPr>
          <w:noProof/>
          <w:sz w:val="20"/>
          <w:szCs w:val="20"/>
        </w:rPr>
        <w:t xml:space="preserve"> </w:t>
      </w:r>
      <w:r w:rsidRPr="00E076F7">
        <w:rPr>
          <w:noProof/>
          <w:sz w:val="20"/>
          <w:szCs w:val="20"/>
        </w:rPr>
        <w:t>637–43.</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Kelekci,</w:t>
      </w:r>
      <w:r w:rsidR="00176E9D" w:rsidRPr="00E076F7">
        <w:rPr>
          <w:bCs/>
          <w:noProof/>
          <w:sz w:val="20"/>
          <w:szCs w:val="20"/>
        </w:rPr>
        <w:t xml:space="preserve"> </w:t>
      </w:r>
      <w:r w:rsidRPr="00E076F7">
        <w:rPr>
          <w:bCs/>
          <w:noProof/>
          <w:sz w:val="20"/>
          <w:szCs w:val="20"/>
        </w:rPr>
        <w:t>Sefa,</w:t>
      </w:r>
      <w:r w:rsidR="00176E9D" w:rsidRPr="00E076F7">
        <w:rPr>
          <w:bCs/>
          <w:noProof/>
          <w:sz w:val="20"/>
          <w:szCs w:val="20"/>
        </w:rPr>
        <w:t xml:space="preserve"> </w:t>
      </w:r>
      <w:r w:rsidRPr="00E076F7">
        <w:rPr>
          <w:bCs/>
          <w:noProof/>
          <w:sz w:val="20"/>
          <w:szCs w:val="20"/>
        </w:rPr>
        <w:t>Erdal</w:t>
      </w:r>
      <w:r w:rsidR="00176E9D" w:rsidRPr="00E076F7">
        <w:rPr>
          <w:bCs/>
          <w:noProof/>
          <w:sz w:val="20"/>
          <w:szCs w:val="20"/>
        </w:rPr>
        <w:t xml:space="preserve"> </w:t>
      </w:r>
      <w:r w:rsidRPr="00E076F7">
        <w:rPr>
          <w:bCs/>
          <w:noProof/>
          <w:sz w:val="20"/>
          <w:szCs w:val="20"/>
        </w:rPr>
        <w:t>Kaya,</w:t>
      </w:r>
      <w:r w:rsidR="00176E9D" w:rsidRPr="00E076F7">
        <w:rPr>
          <w:bCs/>
          <w:noProof/>
          <w:sz w:val="20"/>
          <w:szCs w:val="20"/>
        </w:rPr>
        <w:t xml:space="preserve"> </w:t>
      </w:r>
      <w:r w:rsidRPr="00E076F7">
        <w:rPr>
          <w:bCs/>
          <w:noProof/>
          <w:sz w:val="20"/>
          <w:szCs w:val="20"/>
        </w:rPr>
        <w:t>Murat</w:t>
      </w:r>
      <w:r w:rsidR="00176E9D" w:rsidRPr="00E076F7">
        <w:rPr>
          <w:bCs/>
          <w:noProof/>
          <w:sz w:val="20"/>
          <w:szCs w:val="20"/>
        </w:rPr>
        <w:t xml:space="preserve"> </w:t>
      </w:r>
      <w:r w:rsidRPr="00E076F7">
        <w:rPr>
          <w:bCs/>
          <w:noProof/>
          <w:sz w:val="20"/>
          <w:szCs w:val="20"/>
        </w:rPr>
        <w:t>Alan,</w:t>
      </w:r>
      <w:r w:rsidR="00176E9D" w:rsidRPr="00E076F7">
        <w:rPr>
          <w:bCs/>
          <w:noProof/>
          <w:sz w:val="20"/>
          <w:szCs w:val="20"/>
        </w:rPr>
        <w:t xml:space="preserve"> </w:t>
      </w:r>
      <w:r w:rsidRPr="00E076F7">
        <w:rPr>
          <w:bCs/>
          <w:noProof/>
          <w:sz w:val="20"/>
          <w:szCs w:val="20"/>
        </w:rPr>
        <w:t>Yasemin</w:t>
      </w:r>
      <w:r w:rsidR="00176E9D" w:rsidRPr="00E076F7">
        <w:rPr>
          <w:bCs/>
          <w:noProof/>
          <w:sz w:val="20"/>
          <w:szCs w:val="20"/>
        </w:rPr>
        <w:t xml:space="preserve"> </w:t>
      </w:r>
      <w:r w:rsidRPr="00E076F7">
        <w:rPr>
          <w:bCs/>
          <w:noProof/>
          <w:sz w:val="20"/>
          <w:szCs w:val="20"/>
        </w:rPr>
        <w:t>Alan,</w:t>
      </w:r>
      <w:r w:rsidR="00176E9D" w:rsidRPr="00E076F7">
        <w:rPr>
          <w:bCs/>
          <w:noProof/>
          <w:sz w:val="20"/>
          <w:szCs w:val="20"/>
        </w:rPr>
        <w:t xml:space="preserve"> </w:t>
      </w:r>
      <w:r w:rsidRPr="00E076F7">
        <w:rPr>
          <w:bCs/>
          <w:noProof/>
          <w:sz w:val="20"/>
          <w:szCs w:val="20"/>
        </w:rPr>
        <w:t>Umit</w:t>
      </w:r>
      <w:r w:rsidR="00176E9D" w:rsidRPr="00E076F7">
        <w:rPr>
          <w:bCs/>
          <w:noProof/>
          <w:sz w:val="20"/>
          <w:szCs w:val="20"/>
        </w:rPr>
        <w:t xml:space="preserve"> </w:t>
      </w:r>
      <w:r w:rsidRPr="00E076F7">
        <w:rPr>
          <w:bCs/>
          <w:noProof/>
          <w:sz w:val="20"/>
          <w:szCs w:val="20"/>
        </w:rPr>
        <w:t>Bilge,</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Leyla</w:t>
      </w:r>
      <w:r w:rsidR="00176E9D" w:rsidRPr="00E076F7">
        <w:rPr>
          <w:bCs/>
          <w:noProof/>
          <w:sz w:val="20"/>
          <w:szCs w:val="20"/>
        </w:rPr>
        <w:t xml:space="preserve"> </w:t>
      </w:r>
      <w:r w:rsidRPr="00E076F7">
        <w:rPr>
          <w:bCs/>
          <w:noProof/>
          <w:sz w:val="20"/>
          <w:szCs w:val="20"/>
        </w:rPr>
        <w:t>Mollamahmutoglu</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2005</w:t>
      </w:r>
      <w:r w:rsidRPr="00E076F7">
        <w:rPr>
          <w:noProof/>
          <w:sz w:val="20"/>
          <w:szCs w:val="20"/>
        </w:rPr>
        <w:t>):</w:t>
      </w:r>
      <w:r w:rsidR="00176E9D" w:rsidRPr="00E076F7">
        <w:rPr>
          <w:noProof/>
          <w:sz w:val="20"/>
          <w:szCs w:val="20"/>
        </w:rPr>
        <w:t xml:space="preserve"> </w:t>
      </w:r>
      <w:r w:rsidRPr="00E076F7">
        <w:rPr>
          <w:noProof/>
          <w:sz w:val="20"/>
          <w:szCs w:val="20"/>
        </w:rPr>
        <w:t>“Comparison</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Transvaginal</w:t>
      </w:r>
      <w:r w:rsidR="00176E9D" w:rsidRPr="00E076F7">
        <w:rPr>
          <w:noProof/>
          <w:sz w:val="20"/>
          <w:szCs w:val="20"/>
        </w:rPr>
        <w:t xml:space="preserve"> </w:t>
      </w:r>
      <w:r w:rsidRPr="00E076F7">
        <w:rPr>
          <w:noProof/>
          <w:sz w:val="20"/>
          <w:szCs w:val="20"/>
        </w:rPr>
        <w:t>Sonography,</w:t>
      </w:r>
      <w:r w:rsidR="00176E9D" w:rsidRPr="00E076F7">
        <w:rPr>
          <w:noProof/>
          <w:sz w:val="20"/>
          <w:szCs w:val="20"/>
        </w:rPr>
        <w:t xml:space="preserve"> </w:t>
      </w:r>
      <w:r w:rsidRPr="00E076F7">
        <w:rPr>
          <w:noProof/>
          <w:sz w:val="20"/>
          <w:szCs w:val="20"/>
        </w:rPr>
        <w:t>Saline</w:t>
      </w:r>
      <w:r w:rsidR="00176E9D" w:rsidRPr="00E076F7">
        <w:rPr>
          <w:noProof/>
          <w:sz w:val="20"/>
          <w:szCs w:val="20"/>
        </w:rPr>
        <w:t xml:space="preserve"> </w:t>
      </w:r>
      <w:r w:rsidRPr="00E076F7">
        <w:rPr>
          <w:noProof/>
          <w:sz w:val="20"/>
          <w:szCs w:val="20"/>
        </w:rPr>
        <w:t>Infusion</w:t>
      </w:r>
      <w:r w:rsidR="00176E9D" w:rsidRPr="00E076F7">
        <w:rPr>
          <w:noProof/>
          <w:sz w:val="20"/>
          <w:szCs w:val="20"/>
        </w:rPr>
        <w:t xml:space="preserve"> </w:t>
      </w:r>
      <w:r w:rsidRPr="00E076F7">
        <w:rPr>
          <w:noProof/>
          <w:sz w:val="20"/>
          <w:szCs w:val="20"/>
        </w:rPr>
        <w:t>Sonography,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Office</w:t>
      </w:r>
      <w:r w:rsidR="00176E9D" w:rsidRPr="00E076F7">
        <w:rPr>
          <w:noProof/>
          <w:sz w:val="20"/>
          <w:szCs w:val="20"/>
        </w:rPr>
        <w:t xml:space="preserve"> </w:t>
      </w:r>
      <w:r w:rsidRPr="00E076F7">
        <w:rPr>
          <w:noProof/>
          <w:sz w:val="20"/>
          <w:szCs w:val="20"/>
        </w:rPr>
        <w:t>Hysteroscopy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Reproductive-Aged</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or</w:t>
      </w:r>
      <w:r w:rsidR="00176E9D" w:rsidRPr="00E076F7">
        <w:rPr>
          <w:noProof/>
          <w:sz w:val="20"/>
          <w:szCs w:val="20"/>
        </w:rPr>
        <w:t xml:space="preserve"> </w:t>
      </w:r>
      <w:r w:rsidRPr="00E076F7">
        <w:rPr>
          <w:noProof/>
          <w:sz w:val="20"/>
          <w:szCs w:val="20"/>
        </w:rPr>
        <w:t>without</w:t>
      </w:r>
      <w:r w:rsidR="00176E9D" w:rsidRPr="00E076F7">
        <w:rPr>
          <w:noProof/>
          <w:sz w:val="20"/>
          <w:szCs w:val="20"/>
        </w:rPr>
        <w:t xml:space="preserve"> </w:t>
      </w:r>
      <w:r w:rsidRPr="00E076F7">
        <w:rPr>
          <w:noProof/>
          <w:sz w:val="20"/>
          <w:szCs w:val="20"/>
        </w:rPr>
        <w:t>Abnormal</w:t>
      </w:r>
      <w:r w:rsidR="00176E9D" w:rsidRPr="00E076F7">
        <w:rPr>
          <w:noProof/>
          <w:sz w:val="20"/>
          <w:szCs w:val="20"/>
        </w:rPr>
        <w:t xml:space="preserve"> </w:t>
      </w:r>
      <w:r w:rsidRPr="00E076F7">
        <w:rPr>
          <w:noProof/>
          <w:sz w:val="20"/>
          <w:szCs w:val="20"/>
        </w:rPr>
        <w:t>Uterine</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Fertility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Sterility</w:t>
      </w:r>
      <w:r w:rsidR="00176E9D" w:rsidRPr="00E076F7">
        <w:rPr>
          <w:noProof/>
          <w:sz w:val="20"/>
          <w:szCs w:val="20"/>
        </w:rPr>
        <w:t xml:space="preserve"> </w:t>
      </w:r>
      <w:r w:rsidRPr="00E076F7">
        <w:rPr>
          <w:noProof/>
          <w:sz w:val="20"/>
          <w:szCs w:val="20"/>
        </w:rPr>
        <w:t>84(3):</w:t>
      </w:r>
      <w:r w:rsidR="00176E9D" w:rsidRPr="00E076F7">
        <w:rPr>
          <w:noProof/>
          <w:sz w:val="20"/>
          <w:szCs w:val="20"/>
        </w:rPr>
        <w:t xml:space="preserve"> </w:t>
      </w:r>
      <w:r w:rsidRPr="00E076F7">
        <w:rPr>
          <w:noProof/>
          <w:sz w:val="20"/>
          <w:szCs w:val="20"/>
        </w:rPr>
        <w:t>682–86.</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lastRenderedPageBreak/>
        <w:t>La,</w:t>
      </w:r>
      <w:r w:rsidR="00176E9D" w:rsidRPr="00E076F7">
        <w:rPr>
          <w:bCs/>
          <w:noProof/>
          <w:sz w:val="20"/>
          <w:szCs w:val="20"/>
        </w:rPr>
        <w:t xml:space="preserve"> </w:t>
      </w:r>
      <w:r w:rsidRPr="00E076F7">
        <w:rPr>
          <w:bCs/>
          <w:noProof/>
          <w:sz w:val="20"/>
          <w:szCs w:val="20"/>
        </w:rPr>
        <w:t>R</w:t>
      </w:r>
      <w:r w:rsidR="00176E9D" w:rsidRPr="00E076F7">
        <w:rPr>
          <w:bCs/>
          <w:noProof/>
          <w:sz w:val="20"/>
          <w:szCs w:val="20"/>
        </w:rPr>
        <w:t xml:space="preserve"> </w:t>
      </w:r>
      <w:r w:rsidRPr="00E076F7">
        <w:rPr>
          <w:bCs/>
          <w:noProof/>
          <w:sz w:val="20"/>
          <w:szCs w:val="20"/>
        </w:rPr>
        <w:t>Torre,</w:t>
      </w:r>
      <w:r w:rsidR="00176E9D" w:rsidRPr="00E076F7">
        <w:rPr>
          <w:bCs/>
          <w:noProof/>
          <w:sz w:val="20"/>
          <w:szCs w:val="20"/>
        </w:rPr>
        <w:t xml:space="preserve"> </w:t>
      </w:r>
      <w:r w:rsidRPr="00E076F7">
        <w:rPr>
          <w:bCs/>
          <w:noProof/>
          <w:sz w:val="20"/>
          <w:szCs w:val="20"/>
        </w:rPr>
        <w:t>C</w:t>
      </w:r>
      <w:r w:rsidR="00176E9D" w:rsidRPr="00E076F7">
        <w:rPr>
          <w:bCs/>
          <w:noProof/>
          <w:sz w:val="20"/>
          <w:szCs w:val="20"/>
        </w:rPr>
        <w:t xml:space="preserve"> </w:t>
      </w:r>
      <w:r w:rsidRPr="00E076F7">
        <w:rPr>
          <w:bCs/>
          <w:noProof/>
          <w:sz w:val="20"/>
          <w:szCs w:val="20"/>
        </w:rPr>
        <w:t>Felice</w:t>
      </w:r>
      <w:r w:rsidR="00176E9D" w:rsidRPr="00E076F7">
        <w:rPr>
          <w:bCs/>
          <w:noProof/>
          <w:sz w:val="20"/>
          <w:szCs w:val="20"/>
        </w:rPr>
        <w:t xml:space="preserve"> </w:t>
      </w:r>
      <w:r w:rsidRPr="00E076F7">
        <w:rPr>
          <w:bCs/>
          <w:noProof/>
          <w:sz w:val="20"/>
          <w:szCs w:val="20"/>
        </w:rPr>
        <w:t>De,</w:t>
      </w:r>
      <w:r w:rsidR="00176E9D" w:rsidRPr="00E076F7">
        <w:rPr>
          <w:bCs/>
          <w:noProof/>
          <w:sz w:val="20"/>
          <w:szCs w:val="20"/>
        </w:rPr>
        <w:t xml:space="preserve"> </w:t>
      </w:r>
      <w:r w:rsidRPr="00E076F7">
        <w:rPr>
          <w:bCs/>
          <w:noProof/>
          <w:sz w:val="20"/>
          <w:szCs w:val="20"/>
        </w:rPr>
        <w:t>C</w:t>
      </w:r>
      <w:r w:rsidR="00176E9D" w:rsidRPr="00E076F7">
        <w:rPr>
          <w:bCs/>
          <w:noProof/>
          <w:sz w:val="20"/>
          <w:szCs w:val="20"/>
        </w:rPr>
        <w:t xml:space="preserve"> </w:t>
      </w:r>
      <w:r w:rsidRPr="00E076F7">
        <w:rPr>
          <w:bCs/>
          <w:noProof/>
          <w:sz w:val="20"/>
          <w:szCs w:val="20"/>
        </w:rPr>
        <w:t>Angelis</w:t>
      </w:r>
      <w:r w:rsidR="00176E9D" w:rsidRPr="00E076F7">
        <w:rPr>
          <w:bCs/>
          <w:noProof/>
          <w:sz w:val="20"/>
          <w:szCs w:val="20"/>
        </w:rPr>
        <w:t xml:space="preserve"> </w:t>
      </w:r>
      <w:r w:rsidRPr="00E076F7">
        <w:rPr>
          <w:bCs/>
          <w:noProof/>
          <w:sz w:val="20"/>
          <w:szCs w:val="20"/>
        </w:rPr>
        <w:t>De,</w:t>
      </w:r>
      <w:r w:rsidR="00176E9D" w:rsidRPr="00E076F7">
        <w:rPr>
          <w:bCs/>
          <w:noProof/>
          <w:sz w:val="20"/>
          <w:szCs w:val="20"/>
        </w:rPr>
        <w:t xml:space="preserve"> </w:t>
      </w:r>
      <w:r w:rsidRPr="00E076F7">
        <w:rPr>
          <w:bCs/>
          <w:noProof/>
          <w:sz w:val="20"/>
          <w:szCs w:val="20"/>
        </w:rPr>
        <w:t>F</w:t>
      </w:r>
      <w:r w:rsidR="00176E9D" w:rsidRPr="00E076F7">
        <w:rPr>
          <w:bCs/>
          <w:noProof/>
          <w:sz w:val="20"/>
          <w:szCs w:val="20"/>
        </w:rPr>
        <w:t xml:space="preserve"> </w:t>
      </w:r>
      <w:r w:rsidRPr="00E076F7">
        <w:rPr>
          <w:bCs/>
          <w:noProof/>
          <w:sz w:val="20"/>
          <w:szCs w:val="20"/>
        </w:rPr>
        <w:t>Coacci,</w:t>
      </w:r>
      <w:r w:rsidR="00176E9D" w:rsidRPr="00E076F7">
        <w:rPr>
          <w:bCs/>
          <w:noProof/>
          <w:sz w:val="20"/>
          <w:szCs w:val="20"/>
        </w:rPr>
        <w:t xml:space="preserve"> </w:t>
      </w:r>
      <w:r w:rsidRPr="00E076F7">
        <w:rPr>
          <w:bCs/>
          <w:noProof/>
          <w:sz w:val="20"/>
          <w:szCs w:val="20"/>
        </w:rPr>
        <w:t>M</w:t>
      </w:r>
      <w:r w:rsidR="00176E9D" w:rsidRPr="00E076F7">
        <w:rPr>
          <w:bCs/>
          <w:noProof/>
          <w:sz w:val="20"/>
          <w:szCs w:val="20"/>
        </w:rPr>
        <w:t xml:space="preserve"> </w:t>
      </w:r>
      <w:r w:rsidRPr="00E076F7">
        <w:rPr>
          <w:bCs/>
          <w:noProof/>
          <w:sz w:val="20"/>
          <w:szCs w:val="20"/>
        </w:rPr>
        <w:t>Mastrone,</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E</w:t>
      </w:r>
      <w:r w:rsidR="00176E9D" w:rsidRPr="00E076F7">
        <w:rPr>
          <w:bCs/>
          <w:noProof/>
          <w:sz w:val="20"/>
          <w:szCs w:val="20"/>
        </w:rPr>
        <w:t xml:space="preserve"> </w:t>
      </w:r>
      <w:r w:rsidRPr="00E076F7">
        <w:rPr>
          <w:bCs/>
          <w:noProof/>
          <w:sz w:val="20"/>
          <w:szCs w:val="20"/>
        </w:rPr>
        <w:t>V</w:t>
      </w:r>
      <w:r w:rsidR="00176E9D" w:rsidRPr="00E076F7">
        <w:rPr>
          <w:bCs/>
          <w:noProof/>
          <w:sz w:val="20"/>
          <w:szCs w:val="20"/>
        </w:rPr>
        <w:t xml:space="preserve"> </w:t>
      </w:r>
      <w:r w:rsidRPr="00E076F7">
        <w:rPr>
          <w:bCs/>
          <w:noProof/>
          <w:sz w:val="20"/>
          <w:szCs w:val="20"/>
        </w:rPr>
        <w:t>Cosmi</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1999</w:t>
      </w:r>
      <w:r w:rsidRPr="00E076F7">
        <w:rPr>
          <w:noProof/>
          <w:sz w:val="20"/>
          <w:szCs w:val="20"/>
        </w:rPr>
        <w:t>):</w:t>
      </w:r>
      <w:r w:rsidR="00176E9D" w:rsidRPr="00E076F7">
        <w:rPr>
          <w:noProof/>
          <w:sz w:val="20"/>
          <w:szCs w:val="20"/>
        </w:rPr>
        <w:t xml:space="preserve"> </w:t>
      </w:r>
      <w:r w:rsidRPr="00E076F7">
        <w:rPr>
          <w:noProof/>
          <w:sz w:val="20"/>
          <w:szCs w:val="20"/>
        </w:rPr>
        <w:t>“Transvaginal</w:t>
      </w:r>
      <w:r w:rsidR="00176E9D" w:rsidRPr="00E076F7">
        <w:rPr>
          <w:noProof/>
          <w:sz w:val="20"/>
          <w:szCs w:val="20"/>
        </w:rPr>
        <w:t xml:space="preserve"> </w:t>
      </w:r>
      <w:r w:rsidRPr="00E076F7">
        <w:rPr>
          <w:noProof/>
          <w:sz w:val="20"/>
          <w:szCs w:val="20"/>
        </w:rPr>
        <w:t>Sonographic</w:t>
      </w:r>
      <w:r w:rsidR="00176E9D" w:rsidRPr="00E076F7">
        <w:rPr>
          <w:noProof/>
          <w:sz w:val="20"/>
          <w:szCs w:val="20"/>
        </w:rPr>
        <w:t xml:space="preserve"> </w:t>
      </w:r>
      <w:r w:rsidRPr="00E076F7">
        <w:rPr>
          <w:noProof/>
          <w:sz w:val="20"/>
          <w:szCs w:val="20"/>
        </w:rPr>
        <w:t>Evaluation</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Polyps:</w:t>
      </w:r>
      <w:r w:rsidR="00176E9D" w:rsidRPr="00E076F7">
        <w:rPr>
          <w:noProof/>
          <w:sz w:val="20"/>
          <w:szCs w:val="20"/>
        </w:rPr>
        <w:t xml:space="preserve"> </w:t>
      </w:r>
      <w:r w:rsidRPr="00E076F7">
        <w:rPr>
          <w:noProof/>
          <w:sz w:val="20"/>
          <w:szCs w:val="20"/>
        </w:rPr>
        <w:t>A</w:t>
      </w:r>
      <w:r w:rsidR="00176E9D" w:rsidRPr="00E076F7">
        <w:rPr>
          <w:noProof/>
          <w:sz w:val="20"/>
          <w:szCs w:val="20"/>
        </w:rPr>
        <w:t xml:space="preserve"> </w:t>
      </w:r>
      <w:r w:rsidRPr="00E076F7">
        <w:rPr>
          <w:noProof/>
          <w:sz w:val="20"/>
          <w:szCs w:val="20"/>
        </w:rPr>
        <w:t>Comparison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Two</w:t>
      </w:r>
      <w:r w:rsidR="00176E9D" w:rsidRPr="00E076F7">
        <w:rPr>
          <w:noProof/>
          <w:sz w:val="20"/>
          <w:szCs w:val="20"/>
        </w:rPr>
        <w:t xml:space="preserve"> </w:t>
      </w:r>
      <w:r w:rsidRPr="00E076F7">
        <w:rPr>
          <w:noProof/>
          <w:sz w:val="20"/>
          <w:szCs w:val="20"/>
        </w:rPr>
        <w:t>Dimensional</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Three</w:t>
      </w:r>
      <w:r w:rsidR="00176E9D" w:rsidRPr="00E076F7">
        <w:rPr>
          <w:noProof/>
          <w:sz w:val="20"/>
          <w:szCs w:val="20"/>
        </w:rPr>
        <w:t xml:space="preserve"> </w:t>
      </w:r>
      <w:r w:rsidRPr="00E076F7">
        <w:rPr>
          <w:noProof/>
          <w:sz w:val="20"/>
          <w:szCs w:val="20"/>
        </w:rPr>
        <w:t>Dimensional</w:t>
      </w:r>
      <w:r w:rsidR="00176E9D" w:rsidRPr="00E076F7">
        <w:rPr>
          <w:noProof/>
          <w:sz w:val="20"/>
          <w:szCs w:val="20"/>
        </w:rPr>
        <w:t xml:space="preserve"> </w:t>
      </w:r>
      <w:r w:rsidRPr="00E076F7">
        <w:rPr>
          <w:noProof/>
          <w:sz w:val="20"/>
          <w:szCs w:val="20"/>
        </w:rPr>
        <w:t>Contrast</w:t>
      </w:r>
      <w:r w:rsidR="00176E9D" w:rsidRPr="00E076F7">
        <w:rPr>
          <w:noProof/>
          <w:sz w:val="20"/>
          <w:szCs w:val="20"/>
        </w:rPr>
        <w:t xml:space="preserve"> </w:t>
      </w:r>
      <w:r w:rsidRPr="00E076F7">
        <w:rPr>
          <w:noProof/>
          <w:sz w:val="20"/>
          <w:szCs w:val="20"/>
        </w:rPr>
        <w:t>Sonography.”</w:t>
      </w:r>
      <w:r w:rsidR="00176E9D" w:rsidRPr="00E076F7">
        <w:rPr>
          <w:noProof/>
          <w:sz w:val="20"/>
          <w:szCs w:val="20"/>
        </w:rPr>
        <w:t xml:space="preserve"> </w:t>
      </w:r>
      <w:r w:rsidRPr="00E076F7">
        <w:rPr>
          <w:noProof/>
          <w:sz w:val="20"/>
          <w:szCs w:val="20"/>
        </w:rPr>
        <w:t>Clinical</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experimental</w:t>
      </w:r>
      <w:r w:rsidR="00176E9D" w:rsidRPr="00E076F7">
        <w:rPr>
          <w:noProof/>
          <w:sz w:val="20"/>
          <w:szCs w:val="20"/>
        </w:rPr>
        <w:t xml:space="preserve"> </w:t>
      </w:r>
      <w:r w:rsidRPr="00E076F7">
        <w:rPr>
          <w:noProof/>
          <w:sz w:val="20"/>
          <w:szCs w:val="20"/>
        </w:rPr>
        <w:t>obstetrics</w:t>
      </w:r>
      <w:r w:rsidR="00176E9D" w:rsidRPr="00E076F7">
        <w:rPr>
          <w:noProof/>
          <w:sz w:val="20"/>
          <w:szCs w:val="20"/>
        </w:rPr>
        <w:t xml:space="preserve"> &amp; </w:t>
      </w:r>
      <w:r w:rsidRPr="00E076F7">
        <w:rPr>
          <w:noProof/>
          <w:sz w:val="20"/>
          <w:szCs w:val="20"/>
        </w:rPr>
        <w:t>gynecology</w:t>
      </w:r>
      <w:r w:rsidR="00176E9D" w:rsidRPr="00E076F7">
        <w:rPr>
          <w:noProof/>
          <w:sz w:val="20"/>
          <w:szCs w:val="20"/>
        </w:rPr>
        <w:t xml:space="preserve"> </w:t>
      </w:r>
      <w:r w:rsidRPr="00E076F7">
        <w:rPr>
          <w:noProof/>
          <w:sz w:val="20"/>
          <w:szCs w:val="20"/>
        </w:rPr>
        <w:t>26(3–4):</w:t>
      </w:r>
      <w:r w:rsidR="00176E9D" w:rsidRPr="00E076F7">
        <w:rPr>
          <w:noProof/>
          <w:sz w:val="20"/>
          <w:szCs w:val="20"/>
        </w:rPr>
        <w:t xml:space="preserve"> </w:t>
      </w:r>
      <w:r w:rsidRPr="00E076F7">
        <w:rPr>
          <w:noProof/>
          <w:sz w:val="20"/>
          <w:szCs w:val="20"/>
        </w:rPr>
        <w:t>171–73.</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Luterek,</w:t>
      </w:r>
      <w:r w:rsidR="00176E9D" w:rsidRPr="00E076F7">
        <w:rPr>
          <w:bCs/>
          <w:noProof/>
          <w:sz w:val="20"/>
          <w:szCs w:val="20"/>
        </w:rPr>
        <w:t xml:space="preserve"> </w:t>
      </w:r>
      <w:r w:rsidRPr="00E076F7">
        <w:rPr>
          <w:bCs/>
          <w:noProof/>
          <w:sz w:val="20"/>
          <w:szCs w:val="20"/>
        </w:rPr>
        <w:t>Katarzyna,</w:t>
      </w:r>
      <w:r w:rsidR="00176E9D" w:rsidRPr="00E076F7">
        <w:rPr>
          <w:bCs/>
          <w:noProof/>
          <w:sz w:val="20"/>
          <w:szCs w:val="20"/>
        </w:rPr>
        <w:t xml:space="preserve"> </w:t>
      </w:r>
      <w:r w:rsidRPr="00E076F7">
        <w:rPr>
          <w:bCs/>
          <w:noProof/>
          <w:sz w:val="20"/>
          <w:szCs w:val="20"/>
        </w:rPr>
        <w:t>Iwona</w:t>
      </w:r>
      <w:r w:rsidR="00176E9D" w:rsidRPr="00E076F7">
        <w:rPr>
          <w:bCs/>
          <w:noProof/>
          <w:sz w:val="20"/>
          <w:szCs w:val="20"/>
        </w:rPr>
        <w:t xml:space="preserve"> </w:t>
      </w:r>
      <w:r w:rsidRPr="00E076F7">
        <w:rPr>
          <w:bCs/>
          <w:noProof/>
          <w:sz w:val="20"/>
          <w:szCs w:val="20"/>
        </w:rPr>
        <w:t>Szymusik,</w:t>
      </w:r>
      <w:r w:rsidR="00176E9D" w:rsidRPr="00E076F7">
        <w:rPr>
          <w:bCs/>
          <w:noProof/>
          <w:sz w:val="20"/>
          <w:szCs w:val="20"/>
        </w:rPr>
        <w:t xml:space="preserve"> </w:t>
      </w:r>
      <w:r w:rsidRPr="00E076F7">
        <w:rPr>
          <w:bCs/>
          <w:noProof/>
          <w:sz w:val="20"/>
          <w:szCs w:val="20"/>
        </w:rPr>
        <w:t>Robert</w:t>
      </w:r>
      <w:r w:rsidR="00176E9D" w:rsidRPr="00E076F7">
        <w:rPr>
          <w:bCs/>
          <w:noProof/>
          <w:sz w:val="20"/>
          <w:szCs w:val="20"/>
        </w:rPr>
        <w:t xml:space="preserve"> </w:t>
      </w:r>
      <w:r w:rsidRPr="00E076F7">
        <w:rPr>
          <w:bCs/>
          <w:noProof/>
          <w:sz w:val="20"/>
          <w:szCs w:val="20"/>
        </w:rPr>
        <w:t>Bartkowiak,</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Miroslaw</w:t>
      </w:r>
      <w:r w:rsidR="00176E9D" w:rsidRPr="00E076F7">
        <w:rPr>
          <w:bCs/>
          <w:noProof/>
          <w:sz w:val="20"/>
          <w:szCs w:val="20"/>
        </w:rPr>
        <w:t xml:space="preserve"> </w:t>
      </w:r>
      <w:r w:rsidRPr="00E076F7">
        <w:rPr>
          <w:bCs/>
          <w:noProof/>
          <w:sz w:val="20"/>
          <w:szCs w:val="20"/>
        </w:rPr>
        <w:t>Wielgos</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2014</w:t>
      </w:r>
      <w:r w:rsidRPr="00E076F7">
        <w:rPr>
          <w:noProof/>
          <w:sz w:val="20"/>
          <w:szCs w:val="20"/>
        </w:rPr>
        <w:t>):</w:t>
      </w:r>
      <w:r w:rsidR="00176E9D" w:rsidRPr="00E076F7">
        <w:rPr>
          <w:noProof/>
          <w:sz w:val="20"/>
          <w:szCs w:val="20"/>
        </w:rPr>
        <w:t xml:space="preserve"> </w:t>
      </w:r>
      <w:r w:rsidRPr="00E076F7">
        <w:rPr>
          <w:noProof/>
          <w:sz w:val="20"/>
          <w:szCs w:val="20"/>
        </w:rPr>
        <w:t>“Sonohysterography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Peri-</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Abnormal</w:t>
      </w:r>
      <w:r w:rsidR="00176E9D" w:rsidRPr="00E076F7">
        <w:rPr>
          <w:noProof/>
          <w:sz w:val="20"/>
          <w:szCs w:val="20"/>
        </w:rPr>
        <w:t xml:space="preserve"> </w:t>
      </w:r>
      <w:r w:rsidRPr="00E076F7">
        <w:rPr>
          <w:noProof/>
          <w:sz w:val="20"/>
          <w:szCs w:val="20"/>
        </w:rPr>
        <w:t>Uterine</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or</w:t>
      </w:r>
      <w:r w:rsidR="00176E9D" w:rsidRPr="00E076F7">
        <w:rPr>
          <w:noProof/>
          <w:sz w:val="20"/>
          <w:szCs w:val="20"/>
        </w:rPr>
        <w:t xml:space="preserve"> </w:t>
      </w:r>
      <w:r w:rsidRPr="00E076F7">
        <w:rPr>
          <w:noProof/>
          <w:sz w:val="20"/>
          <w:szCs w:val="20"/>
        </w:rPr>
        <w:t>Abnormal</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Appearance.”</w:t>
      </w:r>
      <w:r w:rsidR="00176E9D" w:rsidRPr="00E076F7">
        <w:rPr>
          <w:noProof/>
          <w:sz w:val="20"/>
          <w:szCs w:val="20"/>
        </w:rPr>
        <w:t xml:space="preserve"> </w:t>
      </w:r>
      <w:r w:rsidRPr="00E076F7">
        <w:rPr>
          <w:noProof/>
          <w:sz w:val="20"/>
          <w:szCs w:val="20"/>
        </w:rPr>
        <w:t>Neuroendocrinology</w:t>
      </w:r>
      <w:r w:rsidR="00176E9D" w:rsidRPr="00E076F7">
        <w:rPr>
          <w:noProof/>
          <w:sz w:val="20"/>
          <w:szCs w:val="20"/>
        </w:rPr>
        <w:t xml:space="preserve"> </w:t>
      </w:r>
      <w:r w:rsidRPr="00E076F7">
        <w:rPr>
          <w:noProof/>
          <w:sz w:val="20"/>
          <w:szCs w:val="20"/>
        </w:rPr>
        <w:t>Letters</w:t>
      </w:r>
      <w:r w:rsidR="00176E9D" w:rsidRPr="00E076F7">
        <w:rPr>
          <w:noProof/>
          <w:sz w:val="20"/>
          <w:szCs w:val="20"/>
        </w:rPr>
        <w:t xml:space="preserve"> </w:t>
      </w:r>
      <w:r w:rsidRPr="00E076F7">
        <w:rPr>
          <w:noProof/>
          <w:sz w:val="20"/>
          <w:szCs w:val="20"/>
        </w:rPr>
        <w:t>35(4):</w:t>
      </w:r>
      <w:r w:rsidR="00176E9D" w:rsidRPr="00E076F7">
        <w:rPr>
          <w:noProof/>
          <w:sz w:val="20"/>
          <w:szCs w:val="20"/>
        </w:rPr>
        <w:t xml:space="preserve"> </w:t>
      </w:r>
      <w:r w:rsidRPr="00E076F7">
        <w:rPr>
          <w:noProof/>
          <w:sz w:val="20"/>
          <w:szCs w:val="20"/>
        </w:rPr>
        <w:t>297–300.</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Maged,</w:t>
      </w:r>
      <w:r w:rsidR="00176E9D" w:rsidRPr="00E076F7">
        <w:rPr>
          <w:bCs/>
          <w:noProof/>
          <w:sz w:val="20"/>
          <w:szCs w:val="20"/>
        </w:rPr>
        <w:t xml:space="preserve"> </w:t>
      </w:r>
      <w:r w:rsidRPr="00E076F7">
        <w:rPr>
          <w:bCs/>
          <w:noProof/>
          <w:sz w:val="20"/>
          <w:szCs w:val="20"/>
        </w:rPr>
        <w:t>Ahmed</w:t>
      </w:r>
      <w:r w:rsidR="00176E9D" w:rsidRPr="00E076F7">
        <w:rPr>
          <w:bCs/>
          <w:noProof/>
          <w:sz w:val="20"/>
          <w:szCs w:val="20"/>
        </w:rPr>
        <w:t xml:space="preserve"> </w:t>
      </w:r>
      <w:r w:rsidRPr="00E076F7">
        <w:rPr>
          <w:bCs/>
          <w:noProof/>
          <w:sz w:val="20"/>
          <w:szCs w:val="20"/>
        </w:rPr>
        <w:t>M,</w:t>
      </w:r>
      <w:r w:rsidR="00176E9D" w:rsidRPr="00E076F7">
        <w:rPr>
          <w:bCs/>
          <w:noProof/>
          <w:sz w:val="20"/>
          <w:szCs w:val="20"/>
        </w:rPr>
        <w:t xml:space="preserve"> </w:t>
      </w:r>
      <w:r w:rsidRPr="00E076F7">
        <w:rPr>
          <w:bCs/>
          <w:noProof/>
          <w:sz w:val="20"/>
          <w:szCs w:val="20"/>
        </w:rPr>
        <w:t>Ahmed</w:t>
      </w:r>
      <w:r w:rsidR="00176E9D" w:rsidRPr="00E076F7">
        <w:rPr>
          <w:bCs/>
          <w:noProof/>
          <w:sz w:val="20"/>
          <w:szCs w:val="20"/>
        </w:rPr>
        <w:t xml:space="preserve"> </w:t>
      </w:r>
      <w:r w:rsidRPr="00E076F7">
        <w:rPr>
          <w:bCs/>
          <w:noProof/>
          <w:sz w:val="20"/>
          <w:szCs w:val="20"/>
        </w:rPr>
        <w:t>L</w:t>
      </w:r>
      <w:r w:rsidR="00176E9D" w:rsidRPr="00E076F7">
        <w:rPr>
          <w:bCs/>
          <w:noProof/>
          <w:sz w:val="20"/>
          <w:szCs w:val="20"/>
        </w:rPr>
        <w:t xml:space="preserve"> </w:t>
      </w:r>
      <w:r w:rsidRPr="00E076F7">
        <w:rPr>
          <w:bCs/>
          <w:noProof/>
          <w:sz w:val="20"/>
          <w:szCs w:val="20"/>
        </w:rPr>
        <w:t>Aboul</w:t>
      </w:r>
      <w:r w:rsidR="00176E9D" w:rsidRPr="00E076F7">
        <w:rPr>
          <w:bCs/>
          <w:noProof/>
          <w:sz w:val="20"/>
          <w:szCs w:val="20"/>
        </w:rPr>
        <w:t xml:space="preserve"> </w:t>
      </w:r>
      <w:r w:rsidRPr="00E076F7">
        <w:rPr>
          <w:bCs/>
          <w:noProof/>
          <w:sz w:val="20"/>
          <w:szCs w:val="20"/>
        </w:rPr>
        <w:t>Nasr,</w:t>
      </w:r>
      <w:r w:rsidR="00176E9D" w:rsidRPr="00E076F7">
        <w:rPr>
          <w:bCs/>
          <w:noProof/>
          <w:sz w:val="20"/>
          <w:szCs w:val="20"/>
        </w:rPr>
        <w:t xml:space="preserve"> </w:t>
      </w:r>
      <w:r w:rsidRPr="00E076F7">
        <w:rPr>
          <w:bCs/>
          <w:noProof/>
          <w:sz w:val="20"/>
          <w:szCs w:val="20"/>
        </w:rPr>
        <w:t>Mostafa</w:t>
      </w:r>
      <w:r w:rsidR="00176E9D" w:rsidRPr="00E076F7">
        <w:rPr>
          <w:bCs/>
          <w:noProof/>
          <w:sz w:val="20"/>
          <w:szCs w:val="20"/>
        </w:rPr>
        <w:t xml:space="preserve"> </w:t>
      </w:r>
      <w:r w:rsidRPr="00E076F7">
        <w:rPr>
          <w:bCs/>
          <w:noProof/>
          <w:sz w:val="20"/>
          <w:szCs w:val="20"/>
        </w:rPr>
        <w:t>A</w:t>
      </w:r>
      <w:r w:rsidR="00176E9D" w:rsidRPr="00E076F7">
        <w:rPr>
          <w:bCs/>
          <w:noProof/>
          <w:sz w:val="20"/>
          <w:szCs w:val="20"/>
        </w:rPr>
        <w:t xml:space="preserve"> </w:t>
      </w:r>
      <w:r w:rsidRPr="00E076F7">
        <w:rPr>
          <w:bCs/>
          <w:noProof/>
          <w:sz w:val="20"/>
          <w:szCs w:val="20"/>
        </w:rPr>
        <w:t>Selem,</w:t>
      </w:r>
      <w:r w:rsidR="00176E9D" w:rsidRPr="00E076F7">
        <w:rPr>
          <w:bCs/>
          <w:noProof/>
          <w:sz w:val="20"/>
          <w:szCs w:val="20"/>
        </w:rPr>
        <w:t xml:space="preserve"> </w:t>
      </w:r>
      <w:r w:rsidRPr="00E076F7">
        <w:rPr>
          <w:bCs/>
          <w:noProof/>
          <w:sz w:val="20"/>
          <w:szCs w:val="20"/>
        </w:rPr>
        <w:t>Sherine</w:t>
      </w:r>
      <w:r w:rsidR="00176E9D" w:rsidRPr="00E076F7">
        <w:rPr>
          <w:bCs/>
          <w:noProof/>
          <w:sz w:val="20"/>
          <w:szCs w:val="20"/>
        </w:rPr>
        <w:t xml:space="preserve"> </w:t>
      </w:r>
      <w:r w:rsidRPr="00E076F7">
        <w:rPr>
          <w:bCs/>
          <w:noProof/>
          <w:sz w:val="20"/>
          <w:szCs w:val="20"/>
        </w:rPr>
        <w:t>H</w:t>
      </w:r>
      <w:r w:rsidR="00176E9D" w:rsidRPr="00E076F7">
        <w:rPr>
          <w:bCs/>
          <w:noProof/>
          <w:sz w:val="20"/>
          <w:szCs w:val="20"/>
        </w:rPr>
        <w:t xml:space="preserve"> </w:t>
      </w:r>
      <w:r w:rsidRPr="00E076F7">
        <w:rPr>
          <w:bCs/>
          <w:noProof/>
          <w:sz w:val="20"/>
          <w:szCs w:val="20"/>
        </w:rPr>
        <w:t>Gad</w:t>
      </w:r>
      <w:r w:rsidR="00176E9D" w:rsidRPr="00E076F7">
        <w:rPr>
          <w:bCs/>
          <w:noProof/>
          <w:sz w:val="20"/>
          <w:szCs w:val="20"/>
        </w:rPr>
        <w:t xml:space="preserve"> </w:t>
      </w:r>
      <w:r w:rsidRPr="00E076F7">
        <w:rPr>
          <w:bCs/>
          <w:noProof/>
          <w:sz w:val="20"/>
          <w:szCs w:val="20"/>
        </w:rPr>
        <w:t>Allah,</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Ahmed</w:t>
      </w:r>
      <w:r w:rsidR="00176E9D" w:rsidRPr="00E076F7">
        <w:rPr>
          <w:bCs/>
          <w:noProof/>
          <w:sz w:val="20"/>
          <w:szCs w:val="20"/>
        </w:rPr>
        <w:t xml:space="preserve"> </w:t>
      </w:r>
      <w:r w:rsidRPr="00E076F7">
        <w:rPr>
          <w:bCs/>
          <w:noProof/>
          <w:sz w:val="20"/>
          <w:szCs w:val="20"/>
        </w:rPr>
        <w:t>A</w:t>
      </w:r>
      <w:r w:rsidR="00176E9D" w:rsidRPr="00E076F7">
        <w:rPr>
          <w:bCs/>
          <w:noProof/>
          <w:sz w:val="20"/>
          <w:szCs w:val="20"/>
        </w:rPr>
        <w:t xml:space="preserve"> </w:t>
      </w:r>
      <w:r w:rsidRPr="00E076F7">
        <w:rPr>
          <w:bCs/>
          <w:noProof/>
          <w:sz w:val="20"/>
          <w:szCs w:val="20"/>
        </w:rPr>
        <w:t>Wali</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2017</w:t>
      </w:r>
      <w:r w:rsidRPr="00E076F7">
        <w:rPr>
          <w:noProof/>
          <w:sz w:val="20"/>
          <w:szCs w:val="20"/>
        </w:rPr>
        <w:t>):</w:t>
      </w:r>
      <w:r w:rsidR="00176E9D" w:rsidRPr="00E076F7">
        <w:rPr>
          <w:noProof/>
          <w:sz w:val="20"/>
          <w:szCs w:val="20"/>
        </w:rPr>
        <w:t xml:space="preserve"> </w:t>
      </w:r>
      <w:r w:rsidRPr="00E076F7">
        <w:rPr>
          <w:noProof/>
          <w:sz w:val="20"/>
          <w:szCs w:val="20"/>
        </w:rPr>
        <w:t>“Uterine</w:t>
      </w:r>
      <w:r w:rsidR="00176E9D" w:rsidRPr="00E076F7">
        <w:rPr>
          <w:noProof/>
          <w:sz w:val="20"/>
          <w:szCs w:val="20"/>
        </w:rPr>
        <w:t xml:space="preserve"> </w:t>
      </w:r>
      <w:r w:rsidRPr="00E076F7">
        <w:rPr>
          <w:noProof/>
          <w:sz w:val="20"/>
          <w:szCs w:val="20"/>
        </w:rPr>
        <w:t>Cavity</w:t>
      </w:r>
      <w:r w:rsidR="00176E9D" w:rsidRPr="00E076F7">
        <w:rPr>
          <w:noProof/>
          <w:sz w:val="20"/>
          <w:szCs w:val="20"/>
        </w:rPr>
        <w:t xml:space="preserve"> </w:t>
      </w:r>
      <w:r w:rsidRPr="00E076F7">
        <w:rPr>
          <w:noProof/>
          <w:sz w:val="20"/>
          <w:szCs w:val="20"/>
        </w:rPr>
        <w:t>Assessment</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Hormonal</w:t>
      </w:r>
      <w:r w:rsidR="00176E9D" w:rsidRPr="00E076F7">
        <w:rPr>
          <w:noProof/>
          <w:sz w:val="20"/>
          <w:szCs w:val="20"/>
        </w:rPr>
        <w:t xml:space="preserve"> </w:t>
      </w:r>
      <w:r w:rsidRPr="00E076F7">
        <w:rPr>
          <w:noProof/>
          <w:sz w:val="20"/>
          <w:szCs w:val="20"/>
        </w:rPr>
        <w:t>Receptors</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Peri</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Post</w:t>
      </w:r>
      <w:r w:rsidR="00176E9D" w:rsidRPr="00E076F7">
        <w:rPr>
          <w:noProof/>
          <w:sz w:val="20"/>
          <w:szCs w:val="20"/>
        </w:rPr>
        <w:t xml:space="preserve"> </w:t>
      </w:r>
      <w:r w:rsidRPr="00E076F7">
        <w:rPr>
          <w:noProof/>
          <w:sz w:val="20"/>
          <w:szCs w:val="20"/>
        </w:rPr>
        <w:t>Menopausal</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Gynecology</w:t>
      </w:r>
      <w:r w:rsidR="00176E9D" w:rsidRPr="00E076F7">
        <w:rPr>
          <w:noProof/>
          <w:sz w:val="20"/>
          <w:szCs w:val="20"/>
        </w:rPr>
        <w:t xml:space="preserve"> &amp; </w:t>
      </w:r>
      <w:r w:rsidRPr="00E076F7">
        <w:rPr>
          <w:noProof/>
          <w:sz w:val="20"/>
          <w:szCs w:val="20"/>
        </w:rPr>
        <w:t>Obstetrics</w:t>
      </w:r>
      <w:r w:rsidR="00176E9D" w:rsidRPr="00E076F7">
        <w:rPr>
          <w:noProof/>
          <w:sz w:val="20"/>
          <w:szCs w:val="20"/>
        </w:rPr>
        <w:t xml:space="preserve"> </w:t>
      </w:r>
      <w:r w:rsidRPr="00E076F7">
        <w:rPr>
          <w:noProof/>
          <w:sz w:val="20"/>
          <w:szCs w:val="20"/>
        </w:rPr>
        <w:t>s5(1):</w:t>
      </w:r>
      <w:r w:rsidR="00176E9D" w:rsidRPr="00E076F7">
        <w:rPr>
          <w:noProof/>
          <w:sz w:val="20"/>
          <w:szCs w:val="20"/>
        </w:rPr>
        <w:t xml:space="preserve"> </w:t>
      </w:r>
      <w:r w:rsidRPr="00E076F7">
        <w:rPr>
          <w:noProof/>
          <w:sz w:val="20"/>
          <w:szCs w:val="20"/>
        </w:rPr>
        <w:t>1–7.</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Munro,</w:t>
      </w:r>
      <w:r w:rsidR="00176E9D" w:rsidRPr="00E076F7">
        <w:rPr>
          <w:bCs/>
          <w:noProof/>
          <w:sz w:val="20"/>
          <w:szCs w:val="20"/>
        </w:rPr>
        <w:t xml:space="preserve"> </w:t>
      </w:r>
      <w:r w:rsidRPr="00E076F7">
        <w:rPr>
          <w:bCs/>
          <w:noProof/>
          <w:sz w:val="20"/>
          <w:szCs w:val="20"/>
        </w:rPr>
        <w:t>Malcolm</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2013</w:t>
      </w:r>
      <w:r w:rsidRPr="00E076F7">
        <w:rPr>
          <w:noProof/>
          <w:sz w:val="20"/>
          <w:szCs w:val="20"/>
        </w:rPr>
        <w:t>):</w:t>
      </w:r>
      <w:r w:rsidR="00176E9D" w:rsidRPr="00E076F7">
        <w:rPr>
          <w:noProof/>
          <w:sz w:val="20"/>
          <w:szCs w:val="20"/>
        </w:rPr>
        <w:t xml:space="preserve"> </w:t>
      </w:r>
      <w:r w:rsidRPr="00E076F7">
        <w:rPr>
          <w:noProof/>
          <w:sz w:val="20"/>
          <w:szCs w:val="20"/>
        </w:rPr>
        <w:t>“Investigation</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Women</w:t>
      </w:r>
      <w:r w:rsidR="00176E9D" w:rsidRPr="00E076F7">
        <w:rPr>
          <w:noProof/>
          <w:sz w:val="20"/>
          <w:szCs w:val="20"/>
        </w:rPr>
        <w:t xml:space="preserve"> </w:t>
      </w:r>
      <w:r w:rsidRPr="00E076F7">
        <w:rPr>
          <w:noProof/>
          <w:sz w:val="20"/>
          <w:szCs w:val="20"/>
        </w:rPr>
        <w:t>with</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Uterine</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Clinical</w:t>
      </w:r>
      <w:r w:rsidR="00176E9D" w:rsidRPr="00E076F7">
        <w:rPr>
          <w:noProof/>
          <w:sz w:val="20"/>
          <w:szCs w:val="20"/>
        </w:rPr>
        <w:t xml:space="preserve"> </w:t>
      </w:r>
      <w:r w:rsidRPr="00E076F7">
        <w:rPr>
          <w:noProof/>
          <w:sz w:val="20"/>
          <w:szCs w:val="20"/>
        </w:rPr>
        <w:t>Practice</w:t>
      </w:r>
      <w:r w:rsidR="00176E9D" w:rsidRPr="00E076F7">
        <w:rPr>
          <w:noProof/>
          <w:sz w:val="20"/>
          <w:szCs w:val="20"/>
        </w:rPr>
        <w:t xml:space="preserve"> </w:t>
      </w:r>
      <w:r w:rsidRPr="00E076F7">
        <w:rPr>
          <w:noProof/>
          <w:sz w:val="20"/>
          <w:szCs w:val="20"/>
        </w:rPr>
        <w:t>Recommendations.”</w:t>
      </w:r>
      <w:r w:rsidR="00176E9D" w:rsidRPr="00E076F7">
        <w:rPr>
          <w:noProof/>
          <w:sz w:val="20"/>
          <w:szCs w:val="20"/>
        </w:rPr>
        <w:t xml:space="preserve"> </w:t>
      </w:r>
      <w:r w:rsidRPr="00E076F7">
        <w:rPr>
          <w:noProof/>
          <w:sz w:val="20"/>
          <w:szCs w:val="20"/>
        </w:rPr>
        <w:t>The</w:t>
      </w:r>
      <w:r w:rsidR="00176E9D" w:rsidRPr="00E076F7">
        <w:rPr>
          <w:noProof/>
          <w:sz w:val="20"/>
          <w:szCs w:val="20"/>
        </w:rPr>
        <w:t xml:space="preserve"> </w:t>
      </w:r>
      <w:r w:rsidRPr="00E076F7">
        <w:rPr>
          <w:noProof/>
          <w:sz w:val="20"/>
          <w:szCs w:val="20"/>
        </w:rPr>
        <w:t>Permanente</w:t>
      </w:r>
      <w:r w:rsidR="00176E9D" w:rsidRPr="00E076F7">
        <w:rPr>
          <w:noProof/>
          <w:sz w:val="20"/>
          <w:szCs w:val="20"/>
        </w:rPr>
        <w:t xml:space="preserve"> </w:t>
      </w:r>
      <w:r w:rsidRPr="00E076F7">
        <w:rPr>
          <w:noProof/>
          <w:sz w:val="20"/>
          <w:szCs w:val="20"/>
        </w:rPr>
        <w:t>Journal</w:t>
      </w:r>
      <w:r w:rsidR="00176E9D" w:rsidRPr="00E076F7">
        <w:rPr>
          <w:noProof/>
          <w:sz w:val="20"/>
          <w:szCs w:val="20"/>
        </w:rPr>
        <w:t xml:space="preserve"> </w:t>
      </w:r>
      <w:r w:rsidRPr="00E076F7">
        <w:rPr>
          <w:noProof/>
          <w:sz w:val="20"/>
          <w:szCs w:val="20"/>
        </w:rPr>
        <w:t>18(1):</w:t>
      </w:r>
      <w:r w:rsidR="00176E9D" w:rsidRPr="00E076F7">
        <w:rPr>
          <w:noProof/>
          <w:sz w:val="20"/>
          <w:szCs w:val="20"/>
        </w:rPr>
        <w:t xml:space="preserve"> </w:t>
      </w:r>
      <w:r w:rsidRPr="00E076F7">
        <w:rPr>
          <w:noProof/>
          <w:sz w:val="20"/>
          <w:szCs w:val="20"/>
        </w:rPr>
        <w:t>55–70.</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Otify,</w:t>
      </w:r>
      <w:r w:rsidR="00176E9D" w:rsidRPr="00E076F7">
        <w:rPr>
          <w:bCs/>
          <w:noProof/>
          <w:sz w:val="20"/>
          <w:szCs w:val="20"/>
        </w:rPr>
        <w:t xml:space="preserve"> </w:t>
      </w:r>
      <w:r w:rsidRPr="00E076F7">
        <w:rPr>
          <w:bCs/>
          <w:noProof/>
          <w:sz w:val="20"/>
          <w:szCs w:val="20"/>
        </w:rPr>
        <w:t>Mohamed,</w:t>
      </w:r>
      <w:r w:rsidR="00176E9D" w:rsidRPr="00E076F7">
        <w:rPr>
          <w:bCs/>
          <w:noProof/>
          <w:sz w:val="20"/>
          <w:szCs w:val="20"/>
        </w:rPr>
        <w:t xml:space="preserve"> </w:t>
      </w:r>
      <w:r w:rsidRPr="00E076F7">
        <w:rPr>
          <w:bCs/>
          <w:noProof/>
          <w:sz w:val="20"/>
          <w:szCs w:val="20"/>
        </w:rPr>
        <w:t>Joanna</w:t>
      </w:r>
      <w:r w:rsidR="00176E9D" w:rsidRPr="00E076F7">
        <w:rPr>
          <w:bCs/>
          <w:noProof/>
          <w:sz w:val="20"/>
          <w:szCs w:val="20"/>
        </w:rPr>
        <w:t xml:space="preserve"> </w:t>
      </w:r>
      <w:r w:rsidRPr="00E076F7">
        <w:rPr>
          <w:bCs/>
          <w:noProof/>
          <w:sz w:val="20"/>
          <w:szCs w:val="20"/>
        </w:rPr>
        <w:t>Fuller,</w:t>
      </w:r>
      <w:r w:rsidR="00176E9D" w:rsidRPr="00E076F7">
        <w:rPr>
          <w:bCs/>
          <w:noProof/>
          <w:sz w:val="20"/>
          <w:szCs w:val="20"/>
        </w:rPr>
        <w:t xml:space="preserve"> </w:t>
      </w:r>
      <w:r w:rsidRPr="00E076F7">
        <w:rPr>
          <w:bCs/>
          <w:noProof/>
          <w:sz w:val="20"/>
          <w:szCs w:val="20"/>
        </w:rPr>
        <w:t>Jackie</w:t>
      </w:r>
      <w:r w:rsidR="00176E9D" w:rsidRPr="00E076F7">
        <w:rPr>
          <w:bCs/>
          <w:noProof/>
          <w:sz w:val="20"/>
          <w:szCs w:val="20"/>
        </w:rPr>
        <w:t xml:space="preserve"> </w:t>
      </w:r>
      <w:r w:rsidRPr="00E076F7">
        <w:rPr>
          <w:bCs/>
          <w:noProof/>
          <w:sz w:val="20"/>
          <w:szCs w:val="20"/>
        </w:rPr>
        <w:t>Ross,</w:t>
      </w:r>
      <w:r w:rsidR="00176E9D" w:rsidRPr="00E076F7">
        <w:rPr>
          <w:bCs/>
          <w:noProof/>
          <w:sz w:val="20"/>
          <w:szCs w:val="20"/>
        </w:rPr>
        <w:t xml:space="preserve"> </w:t>
      </w:r>
      <w:r w:rsidRPr="00E076F7">
        <w:rPr>
          <w:bCs/>
          <w:noProof/>
          <w:sz w:val="20"/>
          <w:szCs w:val="20"/>
        </w:rPr>
        <w:t>Hizbullah</w:t>
      </w:r>
      <w:r w:rsidR="00176E9D" w:rsidRPr="00E076F7">
        <w:rPr>
          <w:bCs/>
          <w:noProof/>
          <w:sz w:val="20"/>
          <w:szCs w:val="20"/>
        </w:rPr>
        <w:t xml:space="preserve"> </w:t>
      </w:r>
      <w:r w:rsidRPr="00E076F7">
        <w:rPr>
          <w:bCs/>
          <w:noProof/>
          <w:sz w:val="20"/>
          <w:szCs w:val="20"/>
        </w:rPr>
        <w:t>Shaikh,</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Jemma</w:t>
      </w:r>
      <w:r w:rsidR="00176E9D" w:rsidRPr="00E076F7">
        <w:rPr>
          <w:bCs/>
          <w:noProof/>
          <w:sz w:val="20"/>
          <w:szCs w:val="20"/>
        </w:rPr>
        <w:t xml:space="preserve"> </w:t>
      </w:r>
      <w:r w:rsidRPr="00E076F7">
        <w:rPr>
          <w:bCs/>
          <w:noProof/>
          <w:sz w:val="20"/>
          <w:szCs w:val="20"/>
        </w:rPr>
        <w:t>Johns</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2015</w:t>
      </w:r>
      <w:r w:rsidRPr="00E076F7">
        <w:rPr>
          <w:noProof/>
          <w:sz w:val="20"/>
          <w:szCs w:val="20"/>
        </w:rPr>
        <w:t>):</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Pathology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the</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Woman</w:t>
      </w:r>
      <w:r w:rsidR="00176E9D" w:rsidRPr="00E076F7">
        <w:rPr>
          <w:noProof/>
          <w:sz w:val="20"/>
          <w:szCs w:val="20"/>
        </w:rPr>
        <w:t xml:space="preserve"> </w:t>
      </w:r>
      <w:r w:rsidRPr="00E076F7">
        <w:rPr>
          <w:noProof/>
          <w:sz w:val="20"/>
          <w:szCs w:val="20"/>
        </w:rPr>
        <w:t>-</w:t>
      </w:r>
      <w:r w:rsidR="00176E9D" w:rsidRPr="00E076F7">
        <w:rPr>
          <w:noProof/>
          <w:sz w:val="20"/>
          <w:szCs w:val="20"/>
        </w:rPr>
        <w:t xml:space="preserve"> </w:t>
      </w:r>
      <w:r w:rsidRPr="00E076F7">
        <w:rPr>
          <w:noProof/>
          <w:sz w:val="20"/>
          <w:szCs w:val="20"/>
        </w:rPr>
        <w:t>an</w:t>
      </w:r>
      <w:r w:rsidR="00176E9D" w:rsidRPr="00E076F7">
        <w:rPr>
          <w:noProof/>
          <w:sz w:val="20"/>
          <w:szCs w:val="20"/>
        </w:rPr>
        <w:t xml:space="preserve"> </w:t>
      </w:r>
      <w:r w:rsidRPr="00E076F7">
        <w:rPr>
          <w:noProof/>
          <w:sz w:val="20"/>
          <w:szCs w:val="20"/>
        </w:rPr>
        <w:t>Evidence</w:t>
      </w:r>
      <w:r w:rsidR="00176E9D" w:rsidRPr="00E076F7">
        <w:rPr>
          <w:noProof/>
          <w:sz w:val="20"/>
          <w:szCs w:val="20"/>
        </w:rPr>
        <w:t xml:space="preserve"> </w:t>
      </w:r>
      <w:r w:rsidRPr="00E076F7">
        <w:rPr>
          <w:noProof/>
          <w:sz w:val="20"/>
          <w:szCs w:val="20"/>
        </w:rPr>
        <w:t>Based</w:t>
      </w:r>
      <w:r w:rsidR="00176E9D" w:rsidRPr="00E076F7">
        <w:rPr>
          <w:noProof/>
          <w:sz w:val="20"/>
          <w:szCs w:val="20"/>
        </w:rPr>
        <w:t xml:space="preserve"> </w:t>
      </w:r>
      <w:r w:rsidRPr="00E076F7">
        <w:rPr>
          <w:noProof/>
          <w:sz w:val="20"/>
          <w:szCs w:val="20"/>
        </w:rPr>
        <w:t>Approach</w:t>
      </w:r>
      <w:r w:rsidR="00176E9D" w:rsidRPr="00E076F7">
        <w:rPr>
          <w:noProof/>
          <w:sz w:val="20"/>
          <w:szCs w:val="20"/>
        </w:rPr>
        <w:t xml:space="preserve"> </w:t>
      </w:r>
      <w:r w:rsidRPr="00E076F7">
        <w:rPr>
          <w:noProof/>
          <w:sz w:val="20"/>
          <w:szCs w:val="20"/>
        </w:rPr>
        <w:t>to</w:t>
      </w:r>
      <w:r w:rsidR="00176E9D" w:rsidRPr="00E076F7">
        <w:rPr>
          <w:noProof/>
          <w:sz w:val="20"/>
          <w:szCs w:val="20"/>
        </w:rPr>
        <w:t xml:space="preserve"> </w:t>
      </w:r>
      <w:r w:rsidRPr="00E076F7">
        <w:rPr>
          <w:noProof/>
          <w:sz w:val="20"/>
          <w:szCs w:val="20"/>
        </w:rPr>
        <w:t>Management.”</w:t>
      </w:r>
      <w:r w:rsidR="00176E9D" w:rsidRPr="00E076F7">
        <w:rPr>
          <w:noProof/>
          <w:sz w:val="20"/>
          <w:szCs w:val="20"/>
        </w:rPr>
        <w:t xml:space="preserve"> </w:t>
      </w:r>
      <w:r w:rsidRPr="00E076F7">
        <w:rPr>
          <w:noProof/>
          <w:sz w:val="20"/>
          <w:szCs w:val="20"/>
        </w:rPr>
        <w:t>The</w:t>
      </w:r>
      <w:r w:rsidR="00176E9D" w:rsidRPr="00E076F7">
        <w:rPr>
          <w:noProof/>
          <w:sz w:val="20"/>
          <w:szCs w:val="20"/>
        </w:rPr>
        <w:t xml:space="preserve"> </w:t>
      </w:r>
      <w:r w:rsidRPr="00E076F7">
        <w:rPr>
          <w:noProof/>
          <w:sz w:val="20"/>
          <w:szCs w:val="20"/>
        </w:rPr>
        <w:t>Obstetrician</w:t>
      </w:r>
      <w:r w:rsidR="00176E9D" w:rsidRPr="00E076F7">
        <w:rPr>
          <w:noProof/>
          <w:sz w:val="20"/>
          <w:szCs w:val="20"/>
        </w:rPr>
        <w:t xml:space="preserve"> &amp; </w:t>
      </w:r>
      <w:r w:rsidRPr="00E076F7">
        <w:rPr>
          <w:noProof/>
          <w:sz w:val="20"/>
          <w:szCs w:val="20"/>
        </w:rPr>
        <w:t>Gynaecologist</w:t>
      </w:r>
      <w:r w:rsidR="00176E9D" w:rsidRPr="00E076F7">
        <w:rPr>
          <w:noProof/>
          <w:sz w:val="20"/>
          <w:szCs w:val="20"/>
        </w:rPr>
        <w:t xml:space="preserve"> </w:t>
      </w:r>
      <w:r w:rsidRPr="00E076F7">
        <w:rPr>
          <w:noProof/>
          <w:sz w:val="20"/>
          <w:szCs w:val="20"/>
        </w:rPr>
        <w:t>17(1):</w:t>
      </w:r>
      <w:r w:rsidR="00176E9D" w:rsidRPr="00E076F7">
        <w:rPr>
          <w:noProof/>
          <w:sz w:val="20"/>
          <w:szCs w:val="20"/>
        </w:rPr>
        <w:t xml:space="preserve"> </w:t>
      </w:r>
      <w:r w:rsidRPr="00E076F7">
        <w:rPr>
          <w:noProof/>
          <w:sz w:val="20"/>
          <w:szCs w:val="20"/>
        </w:rPr>
        <w:t>29–38.</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Revel,</w:t>
      </w:r>
      <w:r w:rsidR="00176E9D" w:rsidRPr="00E076F7">
        <w:rPr>
          <w:bCs/>
          <w:noProof/>
          <w:sz w:val="20"/>
          <w:szCs w:val="20"/>
        </w:rPr>
        <w:t xml:space="preserve"> </w:t>
      </w:r>
      <w:r w:rsidRPr="00E076F7">
        <w:rPr>
          <w:bCs/>
          <w:noProof/>
          <w:sz w:val="20"/>
          <w:szCs w:val="20"/>
        </w:rPr>
        <w:t>Ariel,</w:t>
      </w:r>
      <w:r w:rsidR="00176E9D" w:rsidRPr="00E076F7">
        <w:rPr>
          <w:bCs/>
          <w:noProof/>
          <w:sz w:val="20"/>
          <w:szCs w:val="20"/>
        </w:rPr>
        <w:t xml:space="preserve"> </w:t>
      </w:r>
      <w:r w:rsidRPr="00E076F7">
        <w:rPr>
          <w:bCs/>
          <w:noProof/>
          <w:sz w:val="20"/>
          <w:szCs w:val="20"/>
        </w:rPr>
        <w:t>Avi</w:t>
      </w:r>
      <w:r w:rsidR="00176E9D" w:rsidRPr="00E076F7">
        <w:rPr>
          <w:bCs/>
          <w:noProof/>
          <w:sz w:val="20"/>
          <w:szCs w:val="20"/>
        </w:rPr>
        <w:t xml:space="preserve"> </w:t>
      </w:r>
      <w:r w:rsidRPr="00E076F7">
        <w:rPr>
          <w:bCs/>
          <w:noProof/>
          <w:sz w:val="20"/>
          <w:szCs w:val="20"/>
        </w:rPr>
        <w:t>Tsafrir,</w:t>
      </w:r>
      <w:r w:rsidR="00176E9D" w:rsidRPr="00E076F7">
        <w:rPr>
          <w:bCs/>
          <w:noProof/>
          <w:sz w:val="20"/>
          <w:szCs w:val="20"/>
        </w:rPr>
        <w:t xml:space="preserve"> </w:t>
      </w:r>
      <w:r w:rsidRPr="00E076F7">
        <w:rPr>
          <w:bCs/>
          <w:noProof/>
          <w:sz w:val="20"/>
          <w:szCs w:val="20"/>
        </w:rPr>
        <w:t>Shaul</w:t>
      </w:r>
      <w:r w:rsidR="00176E9D" w:rsidRPr="00E076F7">
        <w:rPr>
          <w:bCs/>
          <w:noProof/>
          <w:sz w:val="20"/>
          <w:szCs w:val="20"/>
        </w:rPr>
        <w:t xml:space="preserve"> </w:t>
      </w:r>
      <w:r w:rsidRPr="00E076F7">
        <w:rPr>
          <w:bCs/>
          <w:noProof/>
          <w:sz w:val="20"/>
          <w:szCs w:val="20"/>
        </w:rPr>
        <w:t>O</w:t>
      </w:r>
      <w:r w:rsidR="00176E9D" w:rsidRPr="00E076F7">
        <w:rPr>
          <w:bCs/>
          <w:noProof/>
          <w:sz w:val="20"/>
          <w:szCs w:val="20"/>
        </w:rPr>
        <w:t xml:space="preserve"> </w:t>
      </w:r>
      <w:r w:rsidRPr="00E076F7">
        <w:rPr>
          <w:bCs/>
          <w:noProof/>
          <w:sz w:val="20"/>
          <w:szCs w:val="20"/>
        </w:rPr>
        <w:t>Anteby,</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Asher</w:t>
      </w:r>
      <w:r w:rsidR="00176E9D" w:rsidRPr="00E076F7">
        <w:rPr>
          <w:bCs/>
          <w:noProof/>
          <w:sz w:val="20"/>
          <w:szCs w:val="20"/>
        </w:rPr>
        <w:t xml:space="preserve"> </w:t>
      </w:r>
      <w:r w:rsidRPr="00E076F7">
        <w:rPr>
          <w:bCs/>
          <w:noProof/>
          <w:sz w:val="20"/>
          <w:szCs w:val="20"/>
        </w:rPr>
        <w:t>Shushan</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2004</w:t>
      </w:r>
      <w:r w:rsidRPr="00E076F7">
        <w:rPr>
          <w:noProof/>
          <w:sz w:val="20"/>
          <w:szCs w:val="20"/>
        </w:rPr>
        <w:t>):</w:t>
      </w:r>
      <w:r w:rsidR="00176E9D" w:rsidRPr="00E076F7">
        <w:rPr>
          <w:noProof/>
          <w:sz w:val="20"/>
          <w:szCs w:val="20"/>
        </w:rPr>
        <w:t xml:space="preserve"> </w:t>
      </w:r>
      <w:r w:rsidRPr="00E076F7">
        <w:rPr>
          <w:noProof/>
          <w:sz w:val="20"/>
          <w:szCs w:val="20"/>
        </w:rPr>
        <w:t>“Does</w:t>
      </w:r>
      <w:r w:rsidR="00176E9D" w:rsidRPr="00E076F7">
        <w:rPr>
          <w:noProof/>
          <w:sz w:val="20"/>
          <w:szCs w:val="20"/>
        </w:rPr>
        <w:t xml:space="preserve"> </w:t>
      </w:r>
      <w:r w:rsidRPr="00E076F7">
        <w:rPr>
          <w:noProof/>
          <w:sz w:val="20"/>
          <w:szCs w:val="20"/>
        </w:rPr>
        <w:t>Hysteroscopy</w:t>
      </w:r>
      <w:r w:rsidR="00176E9D" w:rsidRPr="00E076F7">
        <w:rPr>
          <w:noProof/>
          <w:sz w:val="20"/>
          <w:szCs w:val="20"/>
        </w:rPr>
        <w:t xml:space="preserve"> </w:t>
      </w:r>
      <w:r w:rsidRPr="00E076F7">
        <w:rPr>
          <w:noProof/>
          <w:sz w:val="20"/>
          <w:szCs w:val="20"/>
        </w:rPr>
        <w:t>Produce</w:t>
      </w:r>
      <w:r w:rsidR="00176E9D" w:rsidRPr="00E076F7">
        <w:rPr>
          <w:noProof/>
          <w:sz w:val="20"/>
          <w:szCs w:val="20"/>
        </w:rPr>
        <w:t xml:space="preserve"> </w:t>
      </w:r>
      <w:r w:rsidRPr="00E076F7">
        <w:rPr>
          <w:noProof/>
          <w:sz w:val="20"/>
          <w:szCs w:val="20"/>
        </w:rPr>
        <w:t>Intraperitoneal</w:t>
      </w:r>
      <w:r w:rsidR="00176E9D" w:rsidRPr="00E076F7">
        <w:rPr>
          <w:noProof/>
          <w:sz w:val="20"/>
          <w:szCs w:val="20"/>
        </w:rPr>
        <w:t xml:space="preserve"> </w:t>
      </w:r>
      <w:r w:rsidRPr="00E076F7">
        <w:rPr>
          <w:noProof/>
          <w:sz w:val="20"/>
          <w:szCs w:val="20"/>
        </w:rPr>
        <w:t>Spread</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Cancer</w:t>
      </w:r>
      <w:r w:rsidR="00176E9D" w:rsidRPr="00E076F7">
        <w:rPr>
          <w:noProof/>
          <w:sz w:val="20"/>
          <w:szCs w:val="20"/>
        </w:rPr>
        <w:t xml:space="preserve"> </w:t>
      </w:r>
      <w:r w:rsidRPr="00E076F7">
        <w:rPr>
          <w:noProof/>
          <w:sz w:val="20"/>
          <w:szCs w:val="20"/>
        </w:rPr>
        <w:t>Cells?”</w:t>
      </w:r>
      <w:r w:rsidR="00176E9D" w:rsidRPr="00E076F7">
        <w:rPr>
          <w:noProof/>
          <w:sz w:val="20"/>
          <w:szCs w:val="20"/>
        </w:rPr>
        <w:t xml:space="preserve"> </w:t>
      </w:r>
      <w:r w:rsidRPr="00E076F7">
        <w:rPr>
          <w:noProof/>
          <w:sz w:val="20"/>
          <w:szCs w:val="20"/>
        </w:rPr>
        <w:t>Obstetrical</w:t>
      </w:r>
      <w:r w:rsidR="00176E9D" w:rsidRPr="00E076F7">
        <w:rPr>
          <w:noProof/>
          <w:sz w:val="20"/>
          <w:szCs w:val="20"/>
        </w:rPr>
        <w:t xml:space="preserve"> &amp; </w:t>
      </w:r>
      <w:r w:rsidRPr="00E076F7">
        <w:rPr>
          <w:noProof/>
          <w:sz w:val="20"/>
          <w:szCs w:val="20"/>
        </w:rPr>
        <w:t>gynecological</w:t>
      </w:r>
      <w:r w:rsidR="00176E9D" w:rsidRPr="00E076F7">
        <w:rPr>
          <w:noProof/>
          <w:sz w:val="20"/>
          <w:szCs w:val="20"/>
        </w:rPr>
        <w:t xml:space="preserve"> </w:t>
      </w:r>
      <w:r w:rsidRPr="00E076F7">
        <w:rPr>
          <w:noProof/>
          <w:sz w:val="20"/>
          <w:szCs w:val="20"/>
        </w:rPr>
        <w:t>survey</w:t>
      </w:r>
      <w:r w:rsidR="00176E9D" w:rsidRPr="00E076F7">
        <w:rPr>
          <w:noProof/>
          <w:sz w:val="20"/>
          <w:szCs w:val="20"/>
        </w:rPr>
        <w:t xml:space="preserve"> </w:t>
      </w:r>
      <w:r w:rsidRPr="00E076F7">
        <w:rPr>
          <w:noProof/>
          <w:sz w:val="20"/>
          <w:szCs w:val="20"/>
        </w:rPr>
        <w:t>59(4):</w:t>
      </w:r>
      <w:r w:rsidR="00176E9D" w:rsidRPr="00E076F7">
        <w:rPr>
          <w:noProof/>
          <w:sz w:val="20"/>
          <w:szCs w:val="20"/>
        </w:rPr>
        <w:t xml:space="preserve"> </w:t>
      </w:r>
      <w:r w:rsidRPr="00E076F7">
        <w:rPr>
          <w:noProof/>
          <w:sz w:val="20"/>
          <w:szCs w:val="20"/>
        </w:rPr>
        <w:t>280–84.</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Rita,</w:t>
      </w:r>
      <w:r w:rsidR="00176E9D" w:rsidRPr="00E076F7">
        <w:rPr>
          <w:bCs/>
          <w:noProof/>
          <w:sz w:val="20"/>
          <w:szCs w:val="20"/>
        </w:rPr>
        <w:t xml:space="preserve"> </w:t>
      </w:r>
      <w:r w:rsidRPr="00E076F7">
        <w:rPr>
          <w:bCs/>
          <w:noProof/>
          <w:sz w:val="20"/>
          <w:szCs w:val="20"/>
        </w:rPr>
        <w:t>Sousa,</w:t>
      </w:r>
      <w:r w:rsidR="00176E9D" w:rsidRPr="00E076F7">
        <w:rPr>
          <w:bCs/>
          <w:noProof/>
          <w:sz w:val="20"/>
          <w:szCs w:val="20"/>
        </w:rPr>
        <w:t xml:space="preserve"> </w:t>
      </w:r>
      <w:r w:rsidRPr="00E076F7">
        <w:rPr>
          <w:bCs/>
          <w:noProof/>
          <w:sz w:val="20"/>
          <w:szCs w:val="20"/>
        </w:rPr>
        <w:t>Silvestre</w:t>
      </w:r>
      <w:r w:rsidR="00176E9D" w:rsidRPr="00E076F7">
        <w:rPr>
          <w:bCs/>
          <w:noProof/>
          <w:sz w:val="20"/>
          <w:szCs w:val="20"/>
        </w:rPr>
        <w:t xml:space="preserve"> </w:t>
      </w:r>
      <w:r w:rsidRPr="00E076F7">
        <w:rPr>
          <w:bCs/>
          <w:noProof/>
          <w:sz w:val="20"/>
          <w:szCs w:val="20"/>
        </w:rPr>
        <w:t>Margarida,</w:t>
      </w:r>
      <w:r w:rsidR="00176E9D" w:rsidRPr="00E076F7">
        <w:rPr>
          <w:bCs/>
          <w:noProof/>
          <w:sz w:val="20"/>
          <w:szCs w:val="20"/>
        </w:rPr>
        <w:t xml:space="preserve"> </w:t>
      </w:r>
      <w:r w:rsidRPr="00E076F7">
        <w:rPr>
          <w:bCs/>
          <w:noProof/>
          <w:sz w:val="20"/>
          <w:szCs w:val="20"/>
        </w:rPr>
        <w:t>Sousa</w:t>
      </w:r>
      <w:r w:rsidR="00176E9D" w:rsidRPr="00E076F7">
        <w:rPr>
          <w:bCs/>
          <w:noProof/>
          <w:sz w:val="20"/>
          <w:szCs w:val="20"/>
        </w:rPr>
        <w:t xml:space="preserve"> </w:t>
      </w:r>
      <w:r w:rsidRPr="00E076F7">
        <w:rPr>
          <w:bCs/>
          <w:noProof/>
          <w:sz w:val="20"/>
          <w:szCs w:val="20"/>
        </w:rPr>
        <w:t>Luis</w:t>
      </w:r>
      <w:r w:rsidR="00176E9D" w:rsidRPr="00E076F7">
        <w:rPr>
          <w:bCs/>
          <w:noProof/>
          <w:sz w:val="20"/>
          <w:szCs w:val="20"/>
        </w:rPr>
        <w:t xml:space="preserve"> </w:t>
      </w:r>
      <w:r w:rsidRPr="00E076F7">
        <w:rPr>
          <w:bCs/>
          <w:noProof/>
          <w:sz w:val="20"/>
          <w:szCs w:val="20"/>
        </w:rPr>
        <w:t>Almeida</w:t>
      </w:r>
      <w:r w:rsidR="00176E9D" w:rsidRPr="00E076F7">
        <w:rPr>
          <w:bCs/>
          <w:noProof/>
          <w:sz w:val="20"/>
          <w:szCs w:val="20"/>
        </w:rPr>
        <w:t xml:space="preserve"> </w:t>
      </w:r>
      <w:r w:rsidRPr="00E076F7">
        <w:rPr>
          <w:bCs/>
          <w:noProof/>
          <w:sz w:val="20"/>
          <w:szCs w:val="20"/>
        </w:rPr>
        <w:t>E,</w:t>
      </w:r>
      <w:r w:rsidR="00176E9D" w:rsidRPr="00E076F7">
        <w:rPr>
          <w:bCs/>
          <w:noProof/>
          <w:sz w:val="20"/>
          <w:szCs w:val="20"/>
        </w:rPr>
        <w:t xml:space="preserve"> </w:t>
      </w:r>
      <w:r w:rsidRPr="00E076F7">
        <w:rPr>
          <w:bCs/>
          <w:noProof/>
          <w:sz w:val="20"/>
          <w:szCs w:val="20"/>
        </w:rPr>
        <w:t>Falcão</w:t>
      </w:r>
      <w:r w:rsidR="00176E9D" w:rsidRPr="00E076F7">
        <w:rPr>
          <w:bCs/>
          <w:noProof/>
          <w:sz w:val="20"/>
          <w:szCs w:val="20"/>
        </w:rPr>
        <w:t xml:space="preserve"> </w:t>
      </w:r>
      <w:r w:rsidRPr="00E076F7">
        <w:rPr>
          <w:bCs/>
          <w:noProof/>
          <w:sz w:val="20"/>
          <w:szCs w:val="20"/>
        </w:rPr>
        <w:t>Francisco,</w:t>
      </w:r>
      <w:r w:rsidR="00176E9D" w:rsidRPr="00E076F7">
        <w:rPr>
          <w:bCs/>
          <w:noProof/>
          <w:sz w:val="20"/>
          <w:szCs w:val="20"/>
        </w:rPr>
        <w:t xml:space="preserve"> </w:t>
      </w:r>
      <w:r w:rsidRPr="00E076F7">
        <w:rPr>
          <w:bCs/>
          <w:noProof/>
          <w:sz w:val="20"/>
          <w:szCs w:val="20"/>
        </w:rPr>
        <w:t>Dias</w:t>
      </w:r>
      <w:r w:rsidR="00176E9D" w:rsidRPr="00E076F7">
        <w:rPr>
          <w:bCs/>
          <w:noProof/>
          <w:sz w:val="20"/>
          <w:szCs w:val="20"/>
        </w:rPr>
        <w:t xml:space="preserve"> </w:t>
      </w:r>
      <w:r w:rsidRPr="00E076F7">
        <w:rPr>
          <w:bCs/>
          <w:noProof/>
          <w:sz w:val="20"/>
          <w:szCs w:val="20"/>
        </w:rPr>
        <w:t>Isabel,</w:t>
      </w:r>
      <w:r w:rsidR="00176E9D" w:rsidRPr="00E076F7">
        <w:rPr>
          <w:bCs/>
          <w:noProof/>
          <w:sz w:val="20"/>
          <w:szCs w:val="20"/>
        </w:rPr>
        <w:t xml:space="preserve"> </w:t>
      </w:r>
      <w:r w:rsidRPr="00E076F7">
        <w:rPr>
          <w:bCs/>
          <w:noProof/>
          <w:sz w:val="20"/>
          <w:szCs w:val="20"/>
        </w:rPr>
        <w:t>et</w:t>
      </w:r>
      <w:r w:rsidR="00176E9D" w:rsidRPr="00E076F7">
        <w:rPr>
          <w:bCs/>
          <w:noProof/>
          <w:sz w:val="20"/>
          <w:szCs w:val="20"/>
        </w:rPr>
        <w:t xml:space="preserve"> </w:t>
      </w:r>
      <w:r w:rsidRPr="00E076F7">
        <w:rPr>
          <w:bCs/>
          <w:noProof/>
          <w:sz w:val="20"/>
          <w:szCs w:val="20"/>
        </w:rPr>
        <w:t>al.</w:t>
      </w:r>
      <w:r w:rsidR="00176E9D" w:rsidRPr="00E076F7">
        <w:rPr>
          <w:noProof/>
          <w:sz w:val="20"/>
          <w:szCs w:val="20"/>
        </w:rPr>
        <w:t xml:space="preserve"> </w:t>
      </w:r>
      <w:r w:rsidRPr="00E076F7">
        <w:rPr>
          <w:noProof/>
          <w:sz w:val="20"/>
          <w:szCs w:val="20"/>
        </w:rPr>
        <w:t>(</w:t>
      </w:r>
      <w:r w:rsidRPr="00E076F7">
        <w:rPr>
          <w:bCs/>
          <w:noProof/>
          <w:sz w:val="20"/>
          <w:szCs w:val="20"/>
        </w:rPr>
        <w:t>2001</w:t>
      </w:r>
      <w:r w:rsidRPr="00E076F7">
        <w:rPr>
          <w:noProof/>
          <w:sz w:val="20"/>
          <w:szCs w:val="20"/>
        </w:rPr>
        <w:t>):</w:t>
      </w:r>
      <w:r w:rsidR="00176E9D" w:rsidRPr="00E076F7">
        <w:rPr>
          <w:noProof/>
          <w:sz w:val="20"/>
          <w:szCs w:val="20"/>
        </w:rPr>
        <w:t xml:space="preserve"> </w:t>
      </w:r>
      <w:r w:rsidRPr="00E076F7">
        <w:rPr>
          <w:noProof/>
          <w:sz w:val="20"/>
          <w:szCs w:val="20"/>
        </w:rPr>
        <w:t>“Transvaginal</w:t>
      </w:r>
      <w:r w:rsidR="00176E9D" w:rsidRPr="00E076F7">
        <w:rPr>
          <w:noProof/>
          <w:sz w:val="20"/>
          <w:szCs w:val="20"/>
        </w:rPr>
        <w:t xml:space="preserve"> </w:t>
      </w:r>
      <w:r w:rsidRPr="00E076F7">
        <w:rPr>
          <w:noProof/>
          <w:sz w:val="20"/>
          <w:szCs w:val="20"/>
        </w:rPr>
        <w:t>Ultrasonography</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Hysteroscopy</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Postmenopausal</w:t>
      </w:r>
      <w:r w:rsidR="00176E9D" w:rsidRPr="00E076F7">
        <w:rPr>
          <w:noProof/>
          <w:sz w:val="20"/>
          <w:szCs w:val="20"/>
        </w:rPr>
        <w:t xml:space="preserve"> </w:t>
      </w:r>
      <w:r w:rsidRPr="00E076F7">
        <w:rPr>
          <w:noProof/>
          <w:sz w:val="20"/>
          <w:szCs w:val="20"/>
        </w:rPr>
        <w:t>Bleeding:</w:t>
      </w:r>
      <w:r w:rsidR="00176E9D" w:rsidRPr="00E076F7">
        <w:rPr>
          <w:noProof/>
          <w:sz w:val="20"/>
          <w:szCs w:val="20"/>
        </w:rPr>
        <w:t xml:space="preserve"> </w:t>
      </w:r>
      <w:r w:rsidRPr="00E076F7">
        <w:rPr>
          <w:noProof/>
          <w:sz w:val="20"/>
          <w:szCs w:val="20"/>
        </w:rPr>
        <w:t>A</w:t>
      </w:r>
      <w:r w:rsidR="00176E9D" w:rsidRPr="00E076F7">
        <w:rPr>
          <w:noProof/>
          <w:sz w:val="20"/>
          <w:szCs w:val="20"/>
        </w:rPr>
        <w:t xml:space="preserve"> </w:t>
      </w:r>
      <w:r w:rsidRPr="00E076F7">
        <w:rPr>
          <w:noProof/>
          <w:sz w:val="20"/>
          <w:szCs w:val="20"/>
        </w:rPr>
        <w:t>Prospective</w:t>
      </w:r>
      <w:r w:rsidR="00176E9D" w:rsidRPr="00E076F7">
        <w:rPr>
          <w:noProof/>
          <w:sz w:val="20"/>
          <w:szCs w:val="20"/>
        </w:rPr>
        <w:t xml:space="preserve"> </w:t>
      </w:r>
      <w:r w:rsidRPr="00E076F7">
        <w:rPr>
          <w:noProof/>
          <w:sz w:val="20"/>
          <w:szCs w:val="20"/>
        </w:rPr>
        <w:t>Study.”</w:t>
      </w:r>
      <w:r w:rsidR="00176E9D" w:rsidRPr="00E076F7">
        <w:rPr>
          <w:noProof/>
          <w:sz w:val="20"/>
          <w:szCs w:val="20"/>
        </w:rPr>
        <w:t xml:space="preserve"> </w:t>
      </w:r>
      <w:r w:rsidRPr="00E076F7">
        <w:rPr>
          <w:noProof/>
          <w:sz w:val="20"/>
          <w:szCs w:val="20"/>
        </w:rPr>
        <w:t>Acta</w:t>
      </w:r>
      <w:r w:rsidR="00176E9D" w:rsidRPr="00E076F7">
        <w:rPr>
          <w:noProof/>
          <w:sz w:val="20"/>
          <w:szCs w:val="20"/>
        </w:rPr>
        <w:t xml:space="preserve"> </w:t>
      </w:r>
      <w:r w:rsidRPr="00E076F7">
        <w:rPr>
          <w:noProof/>
          <w:sz w:val="20"/>
          <w:szCs w:val="20"/>
        </w:rPr>
        <w:t>Obstetricia</w:t>
      </w:r>
      <w:r w:rsidR="00176E9D" w:rsidRPr="00E076F7">
        <w:rPr>
          <w:noProof/>
          <w:sz w:val="20"/>
          <w:szCs w:val="20"/>
        </w:rPr>
        <w:t xml:space="preserve"> </w:t>
      </w:r>
      <w:r w:rsidRPr="00E076F7">
        <w:rPr>
          <w:noProof/>
          <w:sz w:val="20"/>
          <w:szCs w:val="20"/>
        </w:rPr>
        <w:t>et</w:t>
      </w:r>
      <w:r w:rsidR="00176E9D" w:rsidRPr="00E076F7">
        <w:rPr>
          <w:noProof/>
          <w:sz w:val="20"/>
          <w:szCs w:val="20"/>
        </w:rPr>
        <w:t xml:space="preserve"> </w:t>
      </w:r>
      <w:r w:rsidRPr="00E076F7">
        <w:rPr>
          <w:noProof/>
          <w:sz w:val="20"/>
          <w:szCs w:val="20"/>
        </w:rPr>
        <w:t>Gynecologica</w:t>
      </w:r>
      <w:r w:rsidR="00176E9D" w:rsidRPr="00E076F7">
        <w:rPr>
          <w:noProof/>
          <w:sz w:val="20"/>
          <w:szCs w:val="20"/>
        </w:rPr>
        <w:t xml:space="preserve"> </w:t>
      </w:r>
      <w:r w:rsidRPr="00E076F7">
        <w:rPr>
          <w:noProof/>
          <w:sz w:val="20"/>
          <w:szCs w:val="20"/>
        </w:rPr>
        <w:t>Scandinavica</w:t>
      </w:r>
      <w:r w:rsidR="00176E9D" w:rsidRPr="00E076F7">
        <w:rPr>
          <w:noProof/>
          <w:sz w:val="20"/>
          <w:szCs w:val="20"/>
        </w:rPr>
        <w:t xml:space="preserve"> </w:t>
      </w:r>
      <w:r w:rsidRPr="00E076F7">
        <w:rPr>
          <w:noProof/>
          <w:sz w:val="20"/>
          <w:szCs w:val="20"/>
        </w:rPr>
        <w:t>80(9):</w:t>
      </w:r>
      <w:r w:rsidR="00176E9D" w:rsidRPr="00E076F7">
        <w:rPr>
          <w:noProof/>
          <w:sz w:val="20"/>
          <w:szCs w:val="20"/>
        </w:rPr>
        <w:t xml:space="preserve"> </w:t>
      </w:r>
      <w:r w:rsidRPr="00E076F7">
        <w:rPr>
          <w:noProof/>
          <w:sz w:val="20"/>
          <w:szCs w:val="20"/>
        </w:rPr>
        <w:t>856–62.</w:t>
      </w:r>
    </w:p>
    <w:p w:rsidR="005D0699" w:rsidRPr="00E076F7" w:rsidRDefault="005D0699" w:rsidP="00014859">
      <w:pPr>
        <w:pStyle w:val="ListParagraph"/>
        <w:widowControl w:val="0"/>
        <w:numPr>
          <w:ilvl w:val="0"/>
          <w:numId w:val="9"/>
        </w:numPr>
        <w:suppressAutoHyphens w:val="0"/>
        <w:autoSpaceDE w:val="0"/>
        <w:autoSpaceDN w:val="0"/>
        <w:adjustRightInd w:val="0"/>
        <w:snapToGrid w:val="0"/>
        <w:ind w:firstLineChars="0"/>
        <w:jc w:val="both"/>
        <w:rPr>
          <w:noProof/>
          <w:sz w:val="20"/>
          <w:szCs w:val="20"/>
        </w:rPr>
      </w:pPr>
      <w:r w:rsidRPr="00E076F7">
        <w:rPr>
          <w:bCs/>
          <w:noProof/>
          <w:sz w:val="20"/>
          <w:szCs w:val="20"/>
        </w:rPr>
        <w:t>Stubert,</w:t>
      </w:r>
      <w:r w:rsidR="00176E9D" w:rsidRPr="00E076F7">
        <w:rPr>
          <w:bCs/>
          <w:noProof/>
          <w:sz w:val="20"/>
          <w:szCs w:val="20"/>
        </w:rPr>
        <w:t xml:space="preserve"> </w:t>
      </w:r>
      <w:r w:rsidRPr="00E076F7">
        <w:rPr>
          <w:bCs/>
          <w:noProof/>
          <w:sz w:val="20"/>
          <w:szCs w:val="20"/>
        </w:rPr>
        <w:t>J,</w:t>
      </w:r>
      <w:r w:rsidR="00176E9D" w:rsidRPr="00E076F7">
        <w:rPr>
          <w:bCs/>
          <w:noProof/>
          <w:sz w:val="20"/>
          <w:szCs w:val="20"/>
        </w:rPr>
        <w:t xml:space="preserve"> </w:t>
      </w:r>
      <w:r w:rsidRPr="00E076F7">
        <w:rPr>
          <w:bCs/>
          <w:noProof/>
          <w:sz w:val="20"/>
          <w:szCs w:val="20"/>
        </w:rPr>
        <w:t>and</w:t>
      </w:r>
      <w:r w:rsidR="00176E9D" w:rsidRPr="00E076F7">
        <w:rPr>
          <w:bCs/>
          <w:noProof/>
          <w:sz w:val="20"/>
          <w:szCs w:val="20"/>
        </w:rPr>
        <w:t xml:space="preserve"> </w:t>
      </w:r>
      <w:r w:rsidRPr="00E076F7">
        <w:rPr>
          <w:bCs/>
          <w:noProof/>
          <w:sz w:val="20"/>
          <w:szCs w:val="20"/>
        </w:rPr>
        <w:t>B</w:t>
      </w:r>
      <w:r w:rsidR="00176E9D" w:rsidRPr="00E076F7">
        <w:rPr>
          <w:bCs/>
          <w:noProof/>
          <w:sz w:val="20"/>
          <w:szCs w:val="20"/>
        </w:rPr>
        <w:t xml:space="preserve"> </w:t>
      </w:r>
      <w:r w:rsidRPr="00E076F7">
        <w:rPr>
          <w:bCs/>
          <w:noProof/>
          <w:sz w:val="20"/>
          <w:szCs w:val="20"/>
        </w:rPr>
        <w:t>Gerber</w:t>
      </w:r>
      <w:r w:rsidRPr="00E076F7">
        <w:rPr>
          <w:noProof/>
          <w:sz w:val="20"/>
          <w:szCs w:val="20"/>
        </w:rPr>
        <w:t>.</w:t>
      </w:r>
      <w:r w:rsidR="00176E9D" w:rsidRPr="00E076F7">
        <w:rPr>
          <w:noProof/>
          <w:sz w:val="20"/>
          <w:szCs w:val="20"/>
        </w:rPr>
        <w:t xml:space="preserve"> </w:t>
      </w:r>
      <w:r w:rsidRPr="00E076F7">
        <w:rPr>
          <w:noProof/>
          <w:sz w:val="20"/>
          <w:szCs w:val="20"/>
        </w:rPr>
        <w:t>(</w:t>
      </w:r>
      <w:r w:rsidRPr="00E076F7">
        <w:rPr>
          <w:bCs/>
          <w:noProof/>
          <w:sz w:val="20"/>
          <w:szCs w:val="20"/>
        </w:rPr>
        <w:t>2016</w:t>
      </w:r>
      <w:r w:rsidRPr="00E076F7">
        <w:rPr>
          <w:noProof/>
          <w:sz w:val="20"/>
          <w:szCs w:val="20"/>
        </w:rPr>
        <w:t>):</w:t>
      </w:r>
      <w:r w:rsidR="00176E9D" w:rsidRPr="00E076F7">
        <w:rPr>
          <w:noProof/>
          <w:sz w:val="20"/>
          <w:szCs w:val="20"/>
        </w:rPr>
        <w:t xml:space="preserve"> </w:t>
      </w:r>
      <w:r w:rsidRPr="00E076F7">
        <w:rPr>
          <w:noProof/>
          <w:sz w:val="20"/>
          <w:szCs w:val="20"/>
        </w:rPr>
        <w:t>“Current</w:t>
      </w:r>
      <w:r w:rsidR="00176E9D" w:rsidRPr="00E076F7">
        <w:rPr>
          <w:noProof/>
          <w:sz w:val="20"/>
          <w:szCs w:val="20"/>
        </w:rPr>
        <w:t xml:space="preserve"> </w:t>
      </w:r>
      <w:r w:rsidRPr="00E076F7">
        <w:rPr>
          <w:noProof/>
          <w:sz w:val="20"/>
          <w:szCs w:val="20"/>
        </w:rPr>
        <w:t>Issues</w:t>
      </w:r>
      <w:r w:rsidR="00176E9D" w:rsidRPr="00E076F7">
        <w:rPr>
          <w:noProof/>
          <w:sz w:val="20"/>
          <w:szCs w:val="20"/>
        </w:rPr>
        <w:t xml:space="preserve"> </w:t>
      </w:r>
      <w:r w:rsidRPr="00E076F7">
        <w:rPr>
          <w:noProof/>
          <w:sz w:val="20"/>
          <w:szCs w:val="20"/>
        </w:rPr>
        <w:t>in</w:t>
      </w:r>
      <w:r w:rsidR="00176E9D" w:rsidRPr="00E076F7">
        <w:rPr>
          <w:noProof/>
          <w:sz w:val="20"/>
          <w:szCs w:val="20"/>
        </w:rPr>
        <w:t xml:space="preserve"> </w:t>
      </w:r>
      <w:r w:rsidRPr="00E076F7">
        <w:rPr>
          <w:noProof/>
          <w:sz w:val="20"/>
          <w:szCs w:val="20"/>
        </w:rPr>
        <w:t>the</w:t>
      </w:r>
      <w:r w:rsidR="00176E9D" w:rsidRPr="00E076F7">
        <w:rPr>
          <w:noProof/>
          <w:sz w:val="20"/>
          <w:szCs w:val="20"/>
        </w:rPr>
        <w:t xml:space="preserve"> </w:t>
      </w:r>
      <w:r w:rsidRPr="00E076F7">
        <w:rPr>
          <w:noProof/>
          <w:sz w:val="20"/>
          <w:szCs w:val="20"/>
        </w:rPr>
        <w:t>Diagnosis</w:t>
      </w:r>
      <w:r w:rsidR="00176E9D" w:rsidRPr="00E076F7">
        <w:rPr>
          <w:noProof/>
          <w:sz w:val="20"/>
          <w:szCs w:val="20"/>
        </w:rPr>
        <w:t xml:space="preserve"> </w:t>
      </w:r>
      <w:r w:rsidRPr="00E076F7">
        <w:rPr>
          <w:noProof/>
          <w:sz w:val="20"/>
          <w:szCs w:val="20"/>
        </w:rPr>
        <w:t>and</w:t>
      </w:r>
      <w:r w:rsidR="00176E9D" w:rsidRPr="00E076F7">
        <w:rPr>
          <w:noProof/>
          <w:sz w:val="20"/>
          <w:szCs w:val="20"/>
        </w:rPr>
        <w:t xml:space="preserve"> </w:t>
      </w:r>
      <w:r w:rsidRPr="00E076F7">
        <w:rPr>
          <w:noProof/>
          <w:sz w:val="20"/>
          <w:szCs w:val="20"/>
        </w:rPr>
        <w:t>Treatment</w:t>
      </w:r>
      <w:r w:rsidR="00176E9D" w:rsidRPr="00E076F7">
        <w:rPr>
          <w:noProof/>
          <w:sz w:val="20"/>
          <w:szCs w:val="20"/>
        </w:rPr>
        <w:t xml:space="preserve"> </w:t>
      </w:r>
      <w:r w:rsidRPr="00E076F7">
        <w:rPr>
          <w:noProof/>
          <w:sz w:val="20"/>
          <w:szCs w:val="20"/>
        </w:rPr>
        <w:t>of</w:t>
      </w:r>
      <w:r w:rsidR="00176E9D" w:rsidRPr="00E076F7">
        <w:rPr>
          <w:noProof/>
          <w:sz w:val="20"/>
          <w:szCs w:val="20"/>
        </w:rPr>
        <w:t xml:space="preserve"> </w:t>
      </w:r>
      <w:r w:rsidRPr="00E076F7">
        <w:rPr>
          <w:noProof/>
          <w:sz w:val="20"/>
          <w:szCs w:val="20"/>
        </w:rPr>
        <w:t>Endometrial</w:t>
      </w:r>
      <w:r w:rsidR="00176E9D" w:rsidRPr="00E076F7">
        <w:rPr>
          <w:noProof/>
          <w:sz w:val="20"/>
          <w:szCs w:val="20"/>
        </w:rPr>
        <w:t xml:space="preserve"> </w:t>
      </w:r>
      <w:r w:rsidRPr="00E076F7">
        <w:rPr>
          <w:noProof/>
          <w:sz w:val="20"/>
          <w:szCs w:val="20"/>
        </w:rPr>
        <w:t>Carcinoma.”</w:t>
      </w:r>
      <w:r w:rsidR="00176E9D" w:rsidRPr="00E076F7">
        <w:rPr>
          <w:noProof/>
          <w:sz w:val="20"/>
          <w:szCs w:val="20"/>
        </w:rPr>
        <w:t xml:space="preserve"> </w:t>
      </w:r>
      <w:r w:rsidRPr="00E076F7">
        <w:rPr>
          <w:noProof/>
          <w:sz w:val="20"/>
          <w:szCs w:val="20"/>
        </w:rPr>
        <w:t>Geburtshilfe</w:t>
      </w:r>
      <w:r w:rsidR="00176E9D" w:rsidRPr="00E076F7">
        <w:rPr>
          <w:noProof/>
          <w:sz w:val="20"/>
          <w:szCs w:val="20"/>
        </w:rPr>
        <w:t xml:space="preserve"> </w:t>
      </w:r>
      <w:r w:rsidRPr="00E076F7">
        <w:rPr>
          <w:noProof/>
          <w:sz w:val="20"/>
          <w:szCs w:val="20"/>
        </w:rPr>
        <w:t>und</w:t>
      </w:r>
      <w:r w:rsidR="00176E9D" w:rsidRPr="00E076F7">
        <w:rPr>
          <w:noProof/>
          <w:sz w:val="20"/>
          <w:szCs w:val="20"/>
        </w:rPr>
        <w:t xml:space="preserve"> </w:t>
      </w:r>
      <w:r w:rsidRPr="00E076F7">
        <w:rPr>
          <w:noProof/>
          <w:sz w:val="20"/>
          <w:szCs w:val="20"/>
        </w:rPr>
        <w:t>Frauenheilkunde</w:t>
      </w:r>
      <w:r w:rsidR="00176E9D" w:rsidRPr="00E076F7">
        <w:rPr>
          <w:noProof/>
          <w:sz w:val="20"/>
          <w:szCs w:val="20"/>
        </w:rPr>
        <w:t xml:space="preserve"> </w:t>
      </w:r>
      <w:r w:rsidRPr="00E076F7">
        <w:rPr>
          <w:noProof/>
          <w:sz w:val="20"/>
          <w:szCs w:val="20"/>
        </w:rPr>
        <w:t>76(2):</w:t>
      </w:r>
      <w:r w:rsidR="00176E9D" w:rsidRPr="00E076F7">
        <w:rPr>
          <w:noProof/>
          <w:sz w:val="20"/>
          <w:szCs w:val="20"/>
        </w:rPr>
        <w:t xml:space="preserve"> </w:t>
      </w:r>
      <w:r w:rsidRPr="00E076F7">
        <w:rPr>
          <w:noProof/>
          <w:sz w:val="20"/>
          <w:szCs w:val="20"/>
        </w:rPr>
        <w:t>170–75.</w:t>
      </w:r>
    </w:p>
    <w:p w:rsidR="00014859" w:rsidRPr="00E076F7" w:rsidRDefault="00014859" w:rsidP="00694827">
      <w:pPr>
        <w:suppressAutoHyphens w:val="0"/>
        <w:snapToGrid w:val="0"/>
        <w:ind w:left="425" w:hanging="425"/>
        <w:jc w:val="both"/>
        <w:rPr>
          <w:sz w:val="20"/>
          <w:szCs w:val="20"/>
        </w:rPr>
        <w:sectPr w:rsidR="00014859" w:rsidRPr="00E076F7" w:rsidSect="00014859">
          <w:footnotePr>
            <w:pos w:val="beneathText"/>
          </w:footnotePr>
          <w:type w:val="continuous"/>
          <w:pgSz w:w="12240" w:h="15840" w:code="1"/>
          <w:pgMar w:top="1440" w:right="1440" w:bottom="1440" w:left="1440" w:header="720" w:footer="720" w:gutter="0"/>
          <w:cols w:num="2" w:space="600"/>
          <w:docGrid w:linePitch="360"/>
        </w:sectPr>
      </w:pPr>
    </w:p>
    <w:p w:rsidR="00176E9D" w:rsidRPr="00E076F7" w:rsidRDefault="00176E9D" w:rsidP="00694827">
      <w:pPr>
        <w:suppressAutoHyphens w:val="0"/>
        <w:snapToGrid w:val="0"/>
        <w:ind w:left="425" w:hanging="425"/>
        <w:jc w:val="both"/>
        <w:rPr>
          <w:sz w:val="20"/>
          <w:szCs w:val="20"/>
        </w:rPr>
      </w:pPr>
    </w:p>
    <w:p w:rsidR="00AF2084" w:rsidRPr="00E076F7" w:rsidRDefault="00176E9D" w:rsidP="00E076F7">
      <w:pPr>
        <w:suppressAutoHyphens w:val="0"/>
        <w:snapToGrid w:val="0"/>
        <w:ind w:firstLine="425"/>
        <w:jc w:val="both"/>
        <w:rPr>
          <w:sz w:val="20"/>
          <w:szCs w:val="20"/>
        </w:rPr>
      </w:pPr>
      <w:r w:rsidRPr="00E076F7">
        <w:rPr>
          <w:sz w:val="20"/>
          <w:szCs w:val="20"/>
        </w:rPr>
        <w:cr/>
        <w:t>4/23/2019</w:t>
      </w:r>
    </w:p>
    <w:sectPr w:rsidR="00AF2084" w:rsidRPr="00E076F7" w:rsidSect="00176E9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3EB" w:rsidRDefault="009373EB">
      <w:r>
        <w:separator/>
      </w:r>
    </w:p>
  </w:endnote>
  <w:endnote w:type="continuationSeparator" w:id="0">
    <w:p w:rsidR="009373EB" w:rsidRDefault="009373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51" w:rsidRDefault="00F85A9C" w:rsidP="00B3167C">
    <w:pPr>
      <w:pStyle w:val="Footer"/>
      <w:framePr w:wrap="around" w:vAnchor="text" w:hAnchor="margin" w:xAlign="center" w:y="1"/>
      <w:rPr>
        <w:rStyle w:val="PageNumber"/>
      </w:rPr>
    </w:pPr>
    <w:r>
      <w:rPr>
        <w:rStyle w:val="PageNumber"/>
      </w:rPr>
      <w:fldChar w:fldCharType="begin"/>
    </w:r>
    <w:r w:rsidR="00D84151">
      <w:rPr>
        <w:rStyle w:val="PageNumber"/>
      </w:rPr>
      <w:instrText xml:space="preserve">PAGE  </w:instrText>
    </w:r>
    <w:r>
      <w:rPr>
        <w:rStyle w:val="PageNumber"/>
      </w:rPr>
      <w:fldChar w:fldCharType="end"/>
    </w:r>
  </w:p>
  <w:p w:rsidR="00D84151" w:rsidRDefault="00D841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51" w:rsidRPr="00EB2297" w:rsidRDefault="00F85A9C" w:rsidP="00EB2297">
    <w:pPr>
      <w:jc w:val="center"/>
      <w:rPr>
        <w:sz w:val="20"/>
      </w:rPr>
    </w:pPr>
    <w:r w:rsidRPr="00EB2297">
      <w:rPr>
        <w:sz w:val="20"/>
      </w:rPr>
      <w:fldChar w:fldCharType="begin"/>
    </w:r>
    <w:r w:rsidR="00EB2297" w:rsidRPr="00EB2297">
      <w:rPr>
        <w:sz w:val="20"/>
      </w:rPr>
      <w:instrText xml:space="preserve"> page </w:instrText>
    </w:r>
    <w:r w:rsidRPr="00EB2297">
      <w:rPr>
        <w:sz w:val="20"/>
      </w:rPr>
      <w:fldChar w:fldCharType="separate"/>
    </w:r>
    <w:r w:rsidR="00E076F7">
      <w:rPr>
        <w:noProof/>
        <w:sz w:val="20"/>
      </w:rPr>
      <w:t>42</w:t>
    </w:r>
    <w:r w:rsidRPr="00EB229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3EB" w:rsidRDefault="009373EB">
      <w:r>
        <w:separator/>
      </w:r>
    </w:p>
  </w:footnote>
  <w:footnote w:type="continuationSeparator" w:id="0">
    <w:p w:rsidR="009373EB" w:rsidRDefault="00937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97" w:rsidRPr="00EB2297" w:rsidRDefault="00EB2297" w:rsidP="00EB2297">
    <w:pPr>
      <w:pBdr>
        <w:bottom w:val="thinThickMediumGap" w:sz="12" w:space="1" w:color="auto"/>
      </w:pBdr>
      <w:tabs>
        <w:tab w:val="left" w:pos="851"/>
        <w:tab w:val="right" w:pos="8364"/>
      </w:tabs>
      <w:adjustRightInd w:val="0"/>
      <w:snapToGrid w:val="0"/>
      <w:jc w:val="both"/>
      <w:rPr>
        <w:iCs/>
        <w:sz w:val="20"/>
        <w:szCs w:val="20"/>
      </w:rPr>
    </w:pPr>
    <w:r w:rsidRPr="00EB2297">
      <w:rPr>
        <w:rFonts w:hint="eastAsia"/>
        <w:iCs/>
        <w:color w:val="000000"/>
        <w:sz w:val="20"/>
        <w:szCs w:val="20"/>
      </w:rPr>
      <w:tab/>
    </w:r>
    <w:r w:rsidRPr="00EB2297">
      <w:rPr>
        <w:iCs/>
        <w:color w:val="000000"/>
        <w:sz w:val="20"/>
        <w:szCs w:val="20"/>
      </w:rPr>
      <w:t xml:space="preserve">Researcher </w:t>
    </w:r>
    <w:r w:rsidRPr="00EB2297">
      <w:rPr>
        <w:iCs/>
        <w:sz w:val="20"/>
        <w:szCs w:val="20"/>
      </w:rPr>
      <w:t>201</w:t>
    </w:r>
    <w:r w:rsidRPr="00EB2297">
      <w:rPr>
        <w:rFonts w:hint="eastAsia"/>
        <w:iCs/>
        <w:sz w:val="20"/>
        <w:szCs w:val="20"/>
      </w:rPr>
      <w:t>9</w:t>
    </w:r>
    <w:r w:rsidRPr="00EB2297">
      <w:rPr>
        <w:iCs/>
        <w:sz w:val="20"/>
        <w:szCs w:val="20"/>
      </w:rPr>
      <w:t>;</w:t>
    </w:r>
    <w:r w:rsidRPr="00EB2297">
      <w:rPr>
        <w:rFonts w:hint="eastAsia"/>
        <w:iCs/>
        <w:sz w:val="20"/>
        <w:szCs w:val="20"/>
      </w:rPr>
      <w:t>11</w:t>
    </w:r>
    <w:r w:rsidRPr="00EB2297">
      <w:rPr>
        <w:iCs/>
        <w:sz w:val="20"/>
        <w:szCs w:val="20"/>
      </w:rPr>
      <w:t>(</w:t>
    </w:r>
    <w:r w:rsidRPr="00EB2297">
      <w:rPr>
        <w:rFonts w:hint="eastAsia"/>
        <w:iCs/>
        <w:sz w:val="20"/>
        <w:szCs w:val="20"/>
      </w:rPr>
      <w:t>4</w:t>
    </w:r>
    <w:r w:rsidRPr="00EB2297">
      <w:rPr>
        <w:iCs/>
        <w:sz w:val="20"/>
        <w:szCs w:val="20"/>
      </w:rPr>
      <w:t xml:space="preserve">)  </w:t>
    </w:r>
    <w:r w:rsidRPr="00EB2297">
      <w:rPr>
        <w:rFonts w:hint="eastAsia"/>
        <w:iCs/>
        <w:sz w:val="20"/>
        <w:szCs w:val="20"/>
      </w:rPr>
      <w:t xml:space="preserve"> </w:t>
    </w:r>
    <w:r w:rsidRPr="00EB2297">
      <w:rPr>
        <w:iCs/>
        <w:sz w:val="20"/>
        <w:szCs w:val="20"/>
      </w:rPr>
      <w:t xml:space="preserve"> </w:t>
    </w:r>
    <w:r w:rsidRPr="00EB2297">
      <w:rPr>
        <w:rFonts w:hint="eastAsia"/>
        <w:iCs/>
        <w:sz w:val="20"/>
        <w:szCs w:val="20"/>
      </w:rPr>
      <w:tab/>
    </w:r>
    <w:r w:rsidRPr="00EB2297">
      <w:rPr>
        <w:iCs/>
        <w:sz w:val="20"/>
        <w:szCs w:val="20"/>
      </w:rPr>
      <w:t xml:space="preserve">    </w:t>
    </w:r>
    <w:r w:rsidRPr="00EB2297">
      <w:rPr>
        <w:sz w:val="20"/>
        <w:szCs w:val="20"/>
      </w:rPr>
      <w:t xml:space="preserve"> </w:t>
    </w:r>
    <w:hyperlink r:id="rId1" w:history="1">
      <w:r w:rsidRPr="00EB2297">
        <w:rPr>
          <w:rStyle w:val="Hyperlink"/>
          <w:sz w:val="20"/>
          <w:szCs w:val="20"/>
        </w:rPr>
        <w:t>http://www.sciencepub.net/researcher</w:t>
      </w:r>
    </w:hyperlink>
  </w:p>
  <w:p w:rsidR="00EB2297" w:rsidRPr="00EB2297" w:rsidRDefault="00EB2297" w:rsidP="00EB229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B60D67"/>
    <w:multiLevelType w:val="hybridMultilevel"/>
    <w:tmpl w:val="959E3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2A6667"/>
    <w:multiLevelType w:val="hybridMultilevel"/>
    <w:tmpl w:val="70E22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C05F2D"/>
    <w:multiLevelType w:val="hybridMultilevel"/>
    <w:tmpl w:val="2930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9043B5"/>
    <w:multiLevelType w:val="hybridMultilevel"/>
    <w:tmpl w:val="6DEA2298"/>
    <w:lvl w:ilvl="0" w:tplc="BD0043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E51343"/>
    <w:multiLevelType w:val="hybridMultilevel"/>
    <w:tmpl w:val="8E54B596"/>
    <w:lvl w:ilvl="0" w:tplc="BD0043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8"/>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1506"/>
  </w:hdrShapeDefaults>
  <w:footnotePr>
    <w:pos w:val="beneathTex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tDQ0sTC1MDEzMTGyMLVU0lEKTi0uzszPAykwqgUA25zYniwAAAA="/>
  </w:docVars>
  <w:rsids>
    <w:rsidRoot w:val="009459B3"/>
    <w:rsid w:val="00000358"/>
    <w:rsid w:val="00005C8E"/>
    <w:rsid w:val="000075A2"/>
    <w:rsid w:val="00012408"/>
    <w:rsid w:val="00014859"/>
    <w:rsid w:val="000562AB"/>
    <w:rsid w:val="0006091F"/>
    <w:rsid w:val="00080CE9"/>
    <w:rsid w:val="000827B7"/>
    <w:rsid w:val="000844D7"/>
    <w:rsid w:val="00086790"/>
    <w:rsid w:val="00090A06"/>
    <w:rsid w:val="000A0250"/>
    <w:rsid w:val="00102F12"/>
    <w:rsid w:val="00106F1B"/>
    <w:rsid w:val="00117E65"/>
    <w:rsid w:val="0012342C"/>
    <w:rsid w:val="0013522D"/>
    <w:rsid w:val="0017296E"/>
    <w:rsid w:val="0017469B"/>
    <w:rsid w:val="00176E9D"/>
    <w:rsid w:val="0018040C"/>
    <w:rsid w:val="001817C7"/>
    <w:rsid w:val="00183764"/>
    <w:rsid w:val="001964D0"/>
    <w:rsid w:val="001B41B8"/>
    <w:rsid w:val="001B650D"/>
    <w:rsid w:val="001C3D42"/>
    <w:rsid w:val="001E248E"/>
    <w:rsid w:val="001F6C67"/>
    <w:rsid w:val="002019BD"/>
    <w:rsid w:val="00205E97"/>
    <w:rsid w:val="00245C21"/>
    <w:rsid w:val="00254789"/>
    <w:rsid w:val="00255F01"/>
    <w:rsid w:val="00255FC2"/>
    <w:rsid w:val="002721F1"/>
    <w:rsid w:val="00277001"/>
    <w:rsid w:val="00282FA1"/>
    <w:rsid w:val="00283A74"/>
    <w:rsid w:val="002B5613"/>
    <w:rsid w:val="002D3558"/>
    <w:rsid w:val="002D589A"/>
    <w:rsid w:val="002F20CD"/>
    <w:rsid w:val="002F49EF"/>
    <w:rsid w:val="00302971"/>
    <w:rsid w:val="00305B49"/>
    <w:rsid w:val="00314F95"/>
    <w:rsid w:val="003169A5"/>
    <w:rsid w:val="00322FAB"/>
    <w:rsid w:val="003340EE"/>
    <w:rsid w:val="00345581"/>
    <w:rsid w:val="0034702D"/>
    <w:rsid w:val="003679A0"/>
    <w:rsid w:val="003820B9"/>
    <w:rsid w:val="00394B65"/>
    <w:rsid w:val="003A785E"/>
    <w:rsid w:val="003B10A1"/>
    <w:rsid w:val="003B528E"/>
    <w:rsid w:val="003B55FF"/>
    <w:rsid w:val="003B651F"/>
    <w:rsid w:val="003B7046"/>
    <w:rsid w:val="003C0116"/>
    <w:rsid w:val="003C3439"/>
    <w:rsid w:val="003C4C28"/>
    <w:rsid w:val="003D6FE1"/>
    <w:rsid w:val="00402F79"/>
    <w:rsid w:val="00434640"/>
    <w:rsid w:val="0043645D"/>
    <w:rsid w:val="00454A59"/>
    <w:rsid w:val="00456753"/>
    <w:rsid w:val="004644B8"/>
    <w:rsid w:val="00471E57"/>
    <w:rsid w:val="004751A3"/>
    <w:rsid w:val="00480715"/>
    <w:rsid w:val="004825A8"/>
    <w:rsid w:val="00484D70"/>
    <w:rsid w:val="00490F64"/>
    <w:rsid w:val="0049143E"/>
    <w:rsid w:val="004A31C7"/>
    <w:rsid w:val="004A449C"/>
    <w:rsid w:val="004C7E2A"/>
    <w:rsid w:val="004D01D3"/>
    <w:rsid w:val="004D0467"/>
    <w:rsid w:val="004D5908"/>
    <w:rsid w:val="004F4AFB"/>
    <w:rsid w:val="004F5052"/>
    <w:rsid w:val="00520D1A"/>
    <w:rsid w:val="0052512B"/>
    <w:rsid w:val="005404A1"/>
    <w:rsid w:val="00553F9B"/>
    <w:rsid w:val="00593132"/>
    <w:rsid w:val="005A21B0"/>
    <w:rsid w:val="005A5E42"/>
    <w:rsid w:val="005B5E3D"/>
    <w:rsid w:val="005C2F35"/>
    <w:rsid w:val="005C3E50"/>
    <w:rsid w:val="005D0699"/>
    <w:rsid w:val="005D1DA6"/>
    <w:rsid w:val="005F11C2"/>
    <w:rsid w:val="005F5E04"/>
    <w:rsid w:val="00632BD1"/>
    <w:rsid w:val="0065209A"/>
    <w:rsid w:val="00657995"/>
    <w:rsid w:val="00675DAB"/>
    <w:rsid w:val="00694827"/>
    <w:rsid w:val="006A4603"/>
    <w:rsid w:val="006B5399"/>
    <w:rsid w:val="006D0A47"/>
    <w:rsid w:val="006D5C2E"/>
    <w:rsid w:val="006E27E6"/>
    <w:rsid w:val="006E368A"/>
    <w:rsid w:val="006E6ACB"/>
    <w:rsid w:val="006E7156"/>
    <w:rsid w:val="006F1706"/>
    <w:rsid w:val="006F2EAD"/>
    <w:rsid w:val="00707082"/>
    <w:rsid w:val="0070732B"/>
    <w:rsid w:val="00744442"/>
    <w:rsid w:val="007725E7"/>
    <w:rsid w:val="007840C0"/>
    <w:rsid w:val="0078507E"/>
    <w:rsid w:val="007B01CC"/>
    <w:rsid w:val="007D3D09"/>
    <w:rsid w:val="007D746F"/>
    <w:rsid w:val="007F763B"/>
    <w:rsid w:val="008113D7"/>
    <w:rsid w:val="008131CF"/>
    <w:rsid w:val="00814FA7"/>
    <w:rsid w:val="008233D0"/>
    <w:rsid w:val="008259A9"/>
    <w:rsid w:val="00826338"/>
    <w:rsid w:val="00842BF8"/>
    <w:rsid w:val="0085007D"/>
    <w:rsid w:val="00875C08"/>
    <w:rsid w:val="0089746C"/>
    <w:rsid w:val="008A02AC"/>
    <w:rsid w:val="008A20AC"/>
    <w:rsid w:val="008A67B6"/>
    <w:rsid w:val="008D08C7"/>
    <w:rsid w:val="0091208A"/>
    <w:rsid w:val="00914558"/>
    <w:rsid w:val="00925E63"/>
    <w:rsid w:val="00934044"/>
    <w:rsid w:val="00935CF7"/>
    <w:rsid w:val="009373EB"/>
    <w:rsid w:val="0094140D"/>
    <w:rsid w:val="009459B3"/>
    <w:rsid w:val="00952EB8"/>
    <w:rsid w:val="00997A8E"/>
    <w:rsid w:val="009A3681"/>
    <w:rsid w:val="009C7440"/>
    <w:rsid w:val="00A1557F"/>
    <w:rsid w:val="00A3476D"/>
    <w:rsid w:val="00A47072"/>
    <w:rsid w:val="00A67749"/>
    <w:rsid w:val="00A8056F"/>
    <w:rsid w:val="00A8623B"/>
    <w:rsid w:val="00AB3520"/>
    <w:rsid w:val="00AB3FC9"/>
    <w:rsid w:val="00AF2084"/>
    <w:rsid w:val="00B3167C"/>
    <w:rsid w:val="00B32ECE"/>
    <w:rsid w:val="00B36B45"/>
    <w:rsid w:val="00B60E8D"/>
    <w:rsid w:val="00B80C0E"/>
    <w:rsid w:val="00B918AE"/>
    <w:rsid w:val="00B94E19"/>
    <w:rsid w:val="00B973A7"/>
    <w:rsid w:val="00BB1AC4"/>
    <w:rsid w:val="00BD2A8D"/>
    <w:rsid w:val="00BF6579"/>
    <w:rsid w:val="00C01641"/>
    <w:rsid w:val="00C0761F"/>
    <w:rsid w:val="00C0791C"/>
    <w:rsid w:val="00C101C9"/>
    <w:rsid w:val="00C408DA"/>
    <w:rsid w:val="00C44596"/>
    <w:rsid w:val="00C60D61"/>
    <w:rsid w:val="00C823E6"/>
    <w:rsid w:val="00C92003"/>
    <w:rsid w:val="00CA0689"/>
    <w:rsid w:val="00CA1AED"/>
    <w:rsid w:val="00CC4109"/>
    <w:rsid w:val="00CC4387"/>
    <w:rsid w:val="00CE1F6F"/>
    <w:rsid w:val="00CE2E0E"/>
    <w:rsid w:val="00CE7B2F"/>
    <w:rsid w:val="00CF24FB"/>
    <w:rsid w:val="00CF31EA"/>
    <w:rsid w:val="00CF4DF0"/>
    <w:rsid w:val="00CF6616"/>
    <w:rsid w:val="00D04C27"/>
    <w:rsid w:val="00D059B8"/>
    <w:rsid w:val="00D13147"/>
    <w:rsid w:val="00D26F2E"/>
    <w:rsid w:val="00D3777A"/>
    <w:rsid w:val="00D56002"/>
    <w:rsid w:val="00D70436"/>
    <w:rsid w:val="00D7404D"/>
    <w:rsid w:val="00D778C9"/>
    <w:rsid w:val="00D84151"/>
    <w:rsid w:val="00DB3EA2"/>
    <w:rsid w:val="00DC1017"/>
    <w:rsid w:val="00DF6507"/>
    <w:rsid w:val="00DF7353"/>
    <w:rsid w:val="00E015B9"/>
    <w:rsid w:val="00E01F17"/>
    <w:rsid w:val="00E02322"/>
    <w:rsid w:val="00E076F7"/>
    <w:rsid w:val="00E12567"/>
    <w:rsid w:val="00E201F1"/>
    <w:rsid w:val="00E34501"/>
    <w:rsid w:val="00E34DBD"/>
    <w:rsid w:val="00E52EA0"/>
    <w:rsid w:val="00E57761"/>
    <w:rsid w:val="00E617EB"/>
    <w:rsid w:val="00E73E1D"/>
    <w:rsid w:val="00EB2297"/>
    <w:rsid w:val="00EB51F4"/>
    <w:rsid w:val="00EC565A"/>
    <w:rsid w:val="00EC5C53"/>
    <w:rsid w:val="00ED4441"/>
    <w:rsid w:val="00ED4A29"/>
    <w:rsid w:val="00ED4ED9"/>
    <w:rsid w:val="00EE1CEE"/>
    <w:rsid w:val="00EE1F4B"/>
    <w:rsid w:val="00EF4D35"/>
    <w:rsid w:val="00F03305"/>
    <w:rsid w:val="00F056C2"/>
    <w:rsid w:val="00F2228B"/>
    <w:rsid w:val="00F422D1"/>
    <w:rsid w:val="00F62573"/>
    <w:rsid w:val="00F83A62"/>
    <w:rsid w:val="00F85A9C"/>
    <w:rsid w:val="00FA6D77"/>
    <w:rsid w:val="00FA7753"/>
    <w:rsid w:val="00FB5B6A"/>
    <w:rsid w:val="00FC4906"/>
    <w:rsid w:val="00FD6894"/>
    <w:rsid w:val="00FE4971"/>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644B8"/>
    <w:pPr>
      <w:keepNext/>
      <w:numPr>
        <w:numId w:val="1"/>
      </w:numPr>
      <w:outlineLvl w:val="0"/>
    </w:pPr>
    <w:rPr>
      <w:b/>
      <w:bCs/>
      <w:sz w:val="32"/>
    </w:rPr>
  </w:style>
  <w:style w:type="paragraph" w:styleId="Heading2">
    <w:name w:val="heading 2"/>
    <w:basedOn w:val="Normal"/>
    <w:next w:val="Normal"/>
    <w:qFormat/>
    <w:rsid w:val="004644B8"/>
    <w:pPr>
      <w:keepNext/>
      <w:numPr>
        <w:ilvl w:val="1"/>
        <w:numId w:val="1"/>
      </w:numPr>
      <w:jc w:val="both"/>
      <w:outlineLvl w:val="1"/>
    </w:pPr>
    <w:rPr>
      <w:b/>
      <w:sz w:val="28"/>
    </w:rPr>
  </w:style>
  <w:style w:type="paragraph" w:styleId="Heading3">
    <w:name w:val="heading 3"/>
    <w:basedOn w:val="Normal"/>
    <w:next w:val="Normal"/>
    <w:qFormat/>
    <w:rsid w:val="004644B8"/>
    <w:pPr>
      <w:keepNext/>
      <w:numPr>
        <w:ilvl w:val="2"/>
        <w:numId w:val="1"/>
      </w:numPr>
      <w:spacing w:line="360" w:lineRule="auto"/>
      <w:jc w:val="both"/>
      <w:outlineLvl w:val="2"/>
    </w:pPr>
    <w:rPr>
      <w:b/>
      <w:bCs/>
    </w:rPr>
  </w:style>
  <w:style w:type="paragraph" w:styleId="Heading6">
    <w:name w:val="heading 6"/>
    <w:basedOn w:val="Normal"/>
    <w:next w:val="Normal"/>
    <w:qFormat/>
    <w:rsid w:val="004644B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644B8"/>
  </w:style>
  <w:style w:type="character" w:customStyle="1" w:styleId="WW-Absatz-Standardschriftart">
    <w:name w:val="WW-Absatz-Standardschriftart"/>
    <w:rsid w:val="004644B8"/>
  </w:style>
  <w:style w:type="character" w:customStyle="1" w:styleId="WW-Absatz-Standardschriftart1">
    <w:name w:val="WW-Absatz-Standardschriftart1"/>
    <w:rsid w:val="004644B8"/>
  </w:style>
  <w:style w:type="character" w:customStyle="1" w:styleId="WW-Absatz-Standardschriftart11">
    <w:name w:val="WW-Absatz-Standardschriftart11"/>
    <w:rsid w:val="004644B8"/>
  </w:style>
  <w:style w:type="character" w:customStyle="1" w:styleId="WW-Absatz-Standardschriftart111">
    <w:name w:val="WW-Absatz-Standardschriftart111"/>
    <w:rsid w:val="004644B8"/>
  </w:style>
  <w:style w:type="character" w:customStyle="1" w:styleId="WW-Absatz-Standardschriftart1111">
    <w:name w:val="WW-Absatz-Standardschriftart1111"/>
    <w:rsid w:val="004644B8"/>
  </w:style>
  <w:style w:type="character" w:customStyle="1" w:styleId="WW-Absatz-Standardschriftart11111">
    <w:name w:val="WW-Absatz-Standardschriftart11111"/>
    <w:rsid w:val="004644B8"/>
  </w:style>
  <w:style w:type="character" w:customStyle="1" w:styleId="WW-Absatz-Standardschriftart111111">
    <w:name w:val="WW-Absatz-Standardschriftart111111"/>
    <w:rsid w:val="004644B8"/>
  </w:style>
  <w:style w:type="character" w:customStyle="1" w:styleId="WW-Absatz-Standardschriftart1111111">
    <w:name w:val="WW-Absatz-Standardschriftart1111111"/>
    <w:rsid w:val="004644B8"/>
  </w:style>
  <w:style w:type="character" w:customStyle="1" w:styleId="WW-Absatz-Standardschriftart11111111">
    <w:name w:val="WW-Absatz-Standardschriftart11111111"/>
    <w:rsid w:val="004644B8"/>
  </w:style>
  <w:style w:type="character" w:customStyle="1" w:styleId="WW-Absatz-Standardschriftart111111111">
    <w:name w:val="WW-Absatz-Standardschriftart111111111"/>
    <w:rsid w:val="004644B8"/>
  </w:style>
  <w:style w:type="character" w:customStyle="1" w:styleId="WW-Absatz-Standardschriftart1111111111">
    <w:name w:val="WW-Absatz-Standardschriftart1111111111"/>
    <w:rsid w:val="004644B8"/>
  </w:style>
  <w:style w:type="character" w:customStyle="1" w:styleId="WW-Absatz-Standardschriftart11111111111">
    <w:name w:val="WW-Absatz-Standardschriftart11111111111"/>
    <w:rsid w:val="004644B8"/>
  </w:style>
  <w:style w:type="character" w:customStyle="1" w:styleId="WW-Absatz-Standardschriftart111111111111">
    <w:name w:val="WW-Absatz-Standardschriftart111111111111"/>
    <w:rsid w:val="004644B8"/>
  </w:style>
  <w:style w:type="character" w:customStyle="1" w:styleId="WW-Absatz-Standardschriftart1111111111111">
    <w:name w:val="WW-Absatz-Standardschriftart1111111111111"/>
    <w:rsid w:val="004644B8"/>
  </w:style>
  <w:style w:type="character" w:customStyle="1" w:styleId="WW-Absatz-Standardschriftart11111111111111">
    <w:name w:val="WW-Absatz-Standardschriftart11111111111111"/>
    <w:rsid w:val="004644B8"/>
  </w:style>
  <w:style w:type="character" w:customStyle="1" w:styleId="WW-Absatz-Standardschriftart111111111111111">
    <w:name w:val="WW-Absatz-Standardschriftart111111111111111"/>
    <w:rsid w:val="004644B8"/>
  </w:style>
  <w:style w:type="character" w:customStyle="1" w:styleId="WW-Absatz-Standardschriftart1111111111111111">
    <w:name w:val="WW-Absatz-Standardschriftart1111111111111111"/>
    <w:rsid w:val="004644B8"/>
  </w:style>
  <w:style w:type="character" w:customStyle="1" w:styleId="WW8Num1z0">
    <w:name w:val="WW8Num1z0"/>
    <w:rsid w:val="004644B8"/>
    <w:rPr>
      <w:rFonts w:ascii="Symbol" w:eastAsia="Times New Roman" w:hAnsi="Symbol" w:cs="Times New Roman"/>
    </w:rPr>
  </w:style>
  <w:style w:type="character" w:customStyle="1" w:styleId="WW8Num1z1">
    <w:name w:val="WW8Num1z1"/>
    <w:rsid w:val="004644B8"/>
    <w:rPr>
      <w:rFonts w:ascii="Courier New" w:hAnsi="Courier New" w:cs="Courier New"/>
    </w:rPr>
  </w:style>
  <w:style w:type="character" w:customStyle="1" w:styleId="WW8Num1z2">
    <w:name w:val="WW8Num1z2"/>
    <w:rsid w:val="004644B8"/>
    <w:rPr>
      <w:rFonts w:ascii="Wingdings" w:hAnsi="Wingdings"/>
    </w:rPr>
  </w:style>
  <w:style w:type="character" w:customStyle="1" w:styleId="WW8Num1z3">
    <w:name w:val="WW8Num1z3"/>
    <w:rsid w:val="004644B8"/>
    <w:rPr>
      <w:rFonts w:ascii="Symbol" w:hAnsi="Symbol"/>
    </w:rPr>
  </w:style>
  <w:style w:type="character" w:styleId="PageNumber">
    <w:name w:val="page number"/>
    <w:basedOn w:val="DefaultParagraphFont"/>
    <w:rsid w:val="004644B8"/>
  </w:style>
  <w:style w:type="character" w:styleId="Hyperlink">
    <w:name w:val="Hyperlink"/>
    <w:uiPriority w:val="99"/>
    <w:rsid w:val="004644B8"/>
    <w:rPr>
      <w:color w:val="0000FF"/>
      <w:u w:val="single"/>
    </w:rPr>
  </w:style>
  <w:style w:type="character" w:styleId="FollowedHyperlink">
    <w:name w:val="FollowedHyperlink"/>
    <w:rsid w:val="004644B8"/>
    <w:rPr>
      <w:color w:val="800080"/>
      <w:u w:val="single"/>
    </w:rPr>
  </w:style>
  <w:style w:type="character" w:customStyle="1" w:styleId="NumberingSymbols">
    <w:name w:val="Numbering Symbols"/>
    <w:rsid w:val="004644B8"/>
  </w:style>
  <w:style w:type="paragraph" w:customStyle="1" w:styleId="Heading">
    <w:name w:val="Heading"/>
    <w:basedOn w:val="Normal"/>
    <w:next w:val="BodyText"/>
    <w:rsid w:val="004644B8"/>
    <w:pPr>
      <w:keepNext/>
      <w:spacing w:before="240" w:after="120"/>
    </w:pPr>
    <w:rPr>
      <w:rFonts w:ascii="Nimbus Sans L" w:eastAsia="DejaVu Sans" w:hAnsi="Nimbus Sans L" w:cs="DejaVu Sans"/>
      <w:sz w:val="28"/>
      <w:szCs w:val="28"/>
    </w:rPr>
  </w:style>
  <w:style w:type="paragraph" w:styleId="BodyText">
    <w:name w:val="Body Text"/>
    <w:basedOn w:val="Normal"/>
    <w:rsid w:val="004644B8"/>
    <w:pPr>
      <w:spacing w:line="360" w:lineRule="auto"/>
    </w:pPr>
  </w:style>
  <w:style w:type="paragraph" w:styleId="List">
    <w:name w:val="List"/>
    <w:basedOn w:val="BodyText"/>
    <w:rsid w:val="004644B8"/>
  </w:style>
  <w:style w:type="paragraph" w:styleId="Caption">
    <w:name w:val="caption"/>
    <w:basedOn w:val="Normal"/>
    <w:qFormat/>
    <w:rsid w:val="004644B8"/>
    <w:pPr>
      <w:suppressLineNumbers/>
      <w:spacing w:before="120" w:after="120"/>
    </w:pPr>
    <w:rPr>
      <w:i/>
      <w:iCs/>
    </w:rPr>
  </w:style>
  <w:style w:type="paragraph" w:customStyle="1" w:styleId="Index">
    <w:name w:val="Index"/>
    <w:basedOn w:val="Normal"/>
    <w:rsid w:val="004644B8"/>
    <w:pPr>
      <w:suppressLineNumbers/>
    </w:pPr>
  </w:style>
  <w:style w:type="paragraph" w:styleId="Header">
    <w:name w:val="header"/>
    <w:basedOn w:val="Normal"/>
    <w:next w:val="Heading1"/>
    <w:link w:val="HeaderChar"/>
    <w:rsid w:val="004644B8"/>
    <w:pPr>
      <w:tabs>
        <w:tab w:val="center" w:pos="4320"/>
        <w:tab w:val="right" w:pos="8640"/>
      </w:tabs>
    </w:pPr>
  </w:style>
  <w:style w:type="paragraph" w:styleId="BodyTextIndent3">
    <w:name w:val="Body Text Indent 3"/>
    <w:basedOn w:val="Normal"/>
    <w:rsid w:val="004644B8"/>
    <w:pPr>
      <w:spacing w:line="360" w:lineRule="auto"/>
      <w:ind w:firstLine="720"/>
      <w:jc w:val="both"/>
    </w:pPr>
    <w:rPr>
      <w:b/>
      <w:bCs/>
    </w:rPr>
  </w:style>
  <w:style w:type="paragraph" w:styleId="BodyTextIndent">
    <w:name w:val="Body Text Indent"/>
    <w:basedOn w:val="Normal"/>
    <w:rsid w:val="004644B8"/>
    <w:pPr>
      <w:ind w:left="540" w:hanging="720"/>
      <w:jc w:val="both"/>
    </w:pPr>
  </w:style>
  <w:style w:type="paragraph" w:styleId="BodyTextIndent2">
    <w:name w:val="Body Text Indent 2"/>
    <w:basedOn w:val="Normal"/>
    <w:rsid w:val="004644B8"/>
    <w:pPr>
      <w:spacing w:line="360" w:lineRule="auto"/>
      <w:ind w:firstLine="720"/>
      <w:jc w:val="both"/>
    </w:pPr>
  </w:style>
  <w:style w:type="paragraph" w:styleId="BodyText2">
    <w:name w:val="Body Text 2"/>
    <w:basedOn w:val="Normal"/>
    <w:rsid w:val="004644B8"/>
    <w:pPr>
      <w:spacing w:line="360" w:lineRule="auto"/>
      <w:jc w:val="both"/>
    </w:pPr>
  </w:style>
  <w:style w:type="paragraph" w:styleId="Footer">
    <w:name w:val="footer"/>
    <w:basedOn w:val="Normal"/>
    <w:rsid w:val="004644B8"/>
    <w:pPr>
      <w:tabs>
        <w:tab w:val="center" w:pos="4320"/>
        <w:tab w:val="right" w:pos="8640"/>
      </w:tabs>
    </w:pPr>
    <w:rPr>
      <w:sz w:val="32"/>
    </w:rPr>
  </w:style>
  <w:style w:type="paragraph" w:customStyle="1" w:styleId="TableContents">
    <w:name w:val="Table Contents"/>
    <w:basedOn w:val="Normal"/>
    <w:rsid w:val="004644B8"/>
    <w:pPr>
      <w:suppressLineNumbers/>
    </w:pPr>
  </w:style>
  <w:style w:type="paragraph" w:customStyle="1" w:styleId="TableHeading">
    <w:name w:val="Table Heading"/>
    <w:basedOn w:val="TableContents"/>
    <w:rsid w:val="004644B8"/>
    <w:pPr>
      <w:jc w:val="center"/>
    </w:pPr>
    <w:rPr>
      <w:b/>
      <w:bCs/>
    </w:rPr>
  </w:style>
  <w:style w:type="paragraph" w:customStyle="1" w:styleId="Framecontents">
    <w:name w:val="Frame contents"/>
    <w:basedOn w:val="BodyText"/>
    <w:rsid w:val="004644B8"/>
  </w:style>
  <w:style w:type="paragraph" w:customStyle="1" w:styleId="Text">
    <w:name w:val="Text"/>
    <w:basedOn w:val="Normal"/>
    <w:rsid w:val="004644B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msonormal0">
    <w:name w:val="msonormal0"/>
    <w:basedOn w:val="DefaultParagraphFont"/>
    <w:rsid w:val="00925E63"/>
  </w:style>
  <w:style w:type="paragraph" w:styleId="NormalWeb">
    <w:name w:val="Normal (Web)"/>
    <w:basedOn w:val="Normal"/>
    <w:rsid w:val="006E27E6"/>
    <w:pPr>
      <w:suppressAutoHyphens w:val="0"/>
      <w:spacing w:line="276" w:lineRule="auto"/>
    </w:pPr>
    <w:rPr>
      <w:rFonts w:eastAsia="Times New Roman"/>
      <w:lang w:eastAsia="en-US"/>
    </w:rPr>
  </w:style>
  <w:style w:type="table" w:customStyle="1" w:styleId="GridTable5Dark-Accent1">
    <w:name w:val="Grid Table 5 Dark - Accent 1"/>
    <w:basedOn w:val="TableNormal"/>
    <w:uiPriority w:val="50"/>
    <w:rsid w:val="00C408DA"/>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PlainTable2">
    <w:name w:val="Plain Table 2"/>
    <w:basedOn w:val="TableNormal"/>
    <w:uiPriority w:val="42"/>
    <w:rsid w:val="00C408D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5Dark-Accent11">
    <w:name w:val="Grid Table 5 Dark - Accent 11"/>
    <w:basedOn w:val="TableNormal"/>
    <w:next w:val="GridTable5Dark-Accent1"/>
    <w:uiPriority w:val="50"/>
    <w:rsid w:val="00FA7753"/>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istParagraph">
    <w:name w:val="List Paragraph"/>
    <w:basedOn w:val="Normal"/>
    <w:uiPriority w:val="34"/>
    <w:qFormat/>
    <w:rsid w:val="00014859"/>
    <w:pPr>
      <w:ind w:firstLineChars="200" w:firstLine="420"/>
    </w:pPr>
  </w:style>
</w:styles>
</file>

<file path=word/webSettings.xml><?xml version="1.0" encoding="utf-8"?>
<w:webSettings xmlns:r="http://schemas.openxmlformats.org/officeDocument/2006/relationships" xmlns:w="http://schemas.openxmlformats.org/wordprocessingml/2006/main">
  <w:divs>
    <w:div w:id="223375821">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49417601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_nowara@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0419.06"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6B463F-7E73-4E93-B2E3-47AE4EE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9571</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64004</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4587612</vt:i4>
      </vt:variant>
      <vt:variant>
        <vt:i4>0</vt:i4>
      </vt:variant>
      <vt:variant>
        <vt:i4>0</vt:i4>
      </vt:variant>
      <vt:variant>
        <vt:i4>5</vt:i4>
      </vt:variant>
      <vt:variant>
        <vt:lpwstr>mailto:dr_nowara@yahoo.com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2019-04-08T19:38:00Z</cp:lastPrinted>
  <dcterms:created xsi:type="dcterms:W3CDTF">2019-04-25T14:21:00Z</dcterms:created>
  <dcterms:modified xsi:type="dcterms:W3CDTF">2019-04-26T04:20:00Z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http://www.zotero.org/styles/acta-orthopaedica</vt:lpwstr>
  </property>
  <property fmtid="{D5CDD505-2E9C-101B-9397-08002B2CF9AE}" pid="3" name="Mendeley Recent Style Name 0_1">
    <vt:lpwstr>Acta Orthopaedica</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http://csl.mendeley.com/styles/455358711/APSA</vt:lpwstr>
  </property>
  <property fmtid="{D5CDD505-2E9C-101B-9397-08002B2CF9AE}" pid="7" name="Mendeley Recent Style Name 2_1">
    <vt:lpwstr>American Political Science Association - Mohamed Elzayat</vt:lpwstr>
  </property>
  <property fmtid="{D5CDD505-2E9C-101B-9397-08002B2CF9AE}" pid="8" name="Mendeley Recent Style Id 3_1">
    <vt:lpwstr>http://www.zotero.org/styles/biomed-central</vt:lpwstr>
  </property>
  <property fmtid="{D5CDD505-2E9C-101B-9397-08002B2CF9AE}" pid="9" name="Mendeley Recent Style Name 3_1">
    <vt:lpwstr>BioMed Central</vt:lpwstr>
  </property>
  <property fmtid="{D5CDD505-2E9C-101B-9397-08002B2CF9AE}" pid="10" name="Mendeley Recent Style Id 4_1">
    <vt:lpwstr>https://csl.mendeley.com/styles/521463831/biomed-central</vt:lpwstr>
  </property>
  <property fmtid="{D5CDD505-2E9C-101B-9397-08002B2CF9AE}" pid="11" name="Mendeley Recent Style Name 4_1">
    <vt:lpwstr>BioMed Central - Mohamed Elzayat</vt:lpwstr>
  </property>
  <property fmtid="{D5CDD505-2E9C-101B-9397-08002B2CF9AE}" pid="12" name="Mendeley Recent Style Id 5_1">
    <vt:lpwstr>http://www.zotero.org/styles/cell-numeric-superscript</vt:lpwstr>
  </property>
  <property fmtid="{D5CDD505-2E9C-101B-9397-08002B2CF9AE}" pid="13" name="Mendeley Recent Style Name 5_1">
    <vt:lpwstr>Cell journals (numeric, superscript)</vt:lpwstr>
  </property>
  <property fmtid="{D5CDD505-2E9C-101B-9397-08002B2CF9AE}" pid="14" name="Mendeley Recent Style Id 6_1">
    <vt:lpwstr>http://csl.mendeley.com/styles/521463831/ALPHAB</vt:lpwstr>
  </property>
  <property fmtid="{D5CDD505-2E9C-101B-9397-08002B2CF9AE}" pid="15" name="Mendeley Recent Style Name 6_1">
    <vt:lpwstr>Springer - Basic (author-date) - Mohamed Elzayat</vt:lpwstr>
  </property>
  <property fmtid="{D5CDD505-2E9C-101B-9397-08002B2CF9AE}" pid="16" name="Mendeley Recent Style Id 7_1">
    <vt:lpwstr>http://www.zotero.org/styles/the-open-university-numeric-superscript</vt:lpwstr>
  </property>
  <property fmtid="{D5CDD505-2E9C-101B-9397-08002B2CF9AE}" pid="17" name="Mendeley Recent Style Name 7_1">
    <vt:lpwstr>The Open University (numeric, superscript)</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http://csl.mendeley.com/styles/521463831/vancouver-superscript-12</vt:lpwstr>
  </property>
  <property fmtid="{D5CDD505-2E9C-101B-9397-08002B2CF9AE}" pid="21" name="Mendeley Recent Style Name 9_1">
    <vt:lpwstr>Vancouver (superscript) - Mohamed Elzayat</vt:lpwstr>
  </property>
  <property fmtid="{D5CDD505-2E9C-101B-9397-08002B2CF9AE}" pid="22" name="Mendeley Document_1">
    <vt:lpwstr>True</vt:lpwstr>
  </property>
  <property fmtid="{D5CDD505-2E9C-101B-9397-08002B2CF9AE}" pid="23" name="Mendeley Unique User Id_1">
    <vt:lpwstr>c44488ed-f6c1-319f-80b1-4dc264227f7f</vt:lpwstr>
  </property>
  <property fmtid="{D5CDD505-2E9C-101B-9397-08002B2CF9AE}" pid="24" name="Mendeley Citation Style_1">
    <vt:lpwstr>http://csl.mendeley.com/styles/455358711/APSA</vt:lpwstr>
  </property>
</Properties>
</file>