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52" w:rsidRDefault="006A2252" w:rsidP="00FF4C83">
      <w:pPr>
        <w:snapToGrid w:val="0"/>
        <w:jc w:val="center"/>
        <w:rPr>
          <w:rFonts w:eastAsiaTheme="minorEastAsia" w:hint="eastAsia"/>
          <w:b/>
          <w:bCs/>
          <w:sz w:val="20"/>
          <w:szCs w:val="20"/>
          <w:lang w:eastAsia="zh-CN"/>
        </w:rPr>
      </w:pPr>
    </w:p>
    <w:p w:rsidR="009677D1" w:rsidRPr="006A2252" w:rsidRDefault="00AB5777" w:rsidP="00FF4C83">
      <w:pPr>
        <w:snapToGrid w:val="0"/>
        <w:jc w:val="center"/>
        <w:rPr>
          <w:b/>
          <w:bCs/>
          <w:sz w:val="20"/>
          <w:szCs w:val="20"/>
        </w:rPr>
      </w:pPr>
      <w:r w:rsidRPr="006A2252">
        <w:rPr>
          <w:b/>
          <w:bCs/>
          <w:sz w:val="20"/>
          <w:szCs w:val="20"/>
        </w:rPr>
        <w:t>Effect of Early Postoperative Intravenous Glutamine</w:t>
      </w:r>
      <w:r w:rsidR="001176ED" w:rsidRPr="006A2252">
        <w:rPr>
          <w:b/>
          <w:bCs/>
          <w:sz w:val="20"/>
          <w:szCs w:val="20"/>
        </w:rPr>
        <w:t xml:space="preserve"> </w:t>
      </w:r>
      <w:r w:rsidRPr="006A2252">
        <w:rPr>
          <w:b/>
          <w:bCs/>
          <w:sz w:val="20"/>
          <w:szCs w:val="20"/>
        </w:rPr>
        <w:t>Supplementation on the Outcome after Colorectal</w:t>
      </w:r>
      <w:r w:rsidR="001176ED" w:rsidRPr="006A2252">
        <w:rPr>
          <w:b/>
          <w:bCs/>
          <w:sz w:val="20"/>
          <w:szCs w:val="20"/>
        </w:rPr>
        <w:t xml:space="preserve"> </w:t>
      </w:r>
      <w:r w:rsidRPr="006A2252">
        <w:rPr>
          <w:b/>
          <w:bCs/>
          <w:sz w:val="20"/>
          <w:szCs w:val="20"/>
        </w:rPr>
        <w:t>Cancer Surgery</w:t>
      </w:r>
    </w:p>
    <w:p w:rsidR="009677D1" w:rsidRPr="006A2252" w:rsidRDefault="009677D1" w:rsidP="00FF4C83">
      <w:pPr>
        <w:snapToGrid w:val="0"/>
        <w:jc w:val="center"/>
        <w:rPr>
          <w:b/>
          <w:bCs/>
          <w:sz w:val="20"/>
          <w:szCs w:val="20"/>
        </w:rPr>
      </w:pPr>
    </w:p>
    <w:p w:rsidR="009677D1" w:rsidRPr="006A2252" w:rsidRDefault="00AB5777" w:rsidP="00FF4C83">
      <w:pPr>
        <w:snapToGrid w:val="0"/>
        <w:jc w:val="center"/>
        <w:rPr>
          <w:sz w:val="20"/>
          <w:szCs w:val="20"/>
        </w:rPr>
      </w:pPr>
      <w:r w:rsidRPr="006A2252">
        <w:rPr>
          <w:sz w:val="20"/>
          <w:szCs w:val="20"/>
        </w:rPr>
        <w:t>Dr. Mustafa Kamel Reyad, Dr. Mahmoud Hassan Mohamed Hassan</w:t>
      </w:r>
      <w:r w:rsidR="001176ED" w:rsidRPr="006A2252">
        <w:rPr>
          <w:sz w:val="20"/>
          <w:szCs w:val="20"/>
        </w:rPr>
        <w:t xml:space="preserve">, </w:t>
      </w:r>
      <w:r w:rsidRPr="006A2252">
        <w:rPr>
          <w:sz w:val="20"/>
          <w:szCs w:val="20"/>
        </w:rPr>
        <w:t>Dr. Rania Hassan Abd El-Hafiez</w:t>
      </w:r>
      <w:r w:rsidR="001176ED" w:rsidRPr="006A2252">
        <w:rPr>
          <w:sz w:val="20"/>
          <w:szCs w:val="20"/>
        </w:rPr>
        <w:t xml:space="preserve"> and</w:t>
      </w:r>
      <w:r w:rsidRPr="006A2252">
        <w:rPr>
          <w:sz w:val="20"/>
          <w:szCs w:val="20"/>
        </w:rPr>
        <w:t xml:space="preserve"> Tasneem Ameen Abd El-Sattar Kabeel</w:t>
      </w:r>
    </w:p>
    <w:p w:rsidR="009677D1" w:rsidRPr="006A2252" w:rsidRDefault="009677D1" w:rsidP="00FF4C83">
      <w:pPr>
        <w:snapToGrid w:val="0"/>
        <w:jc w:val="center"/>
        <w:rPr>
          <w:sz w:val="20"/>
          <w:szCs w:val="20"/>
        </w:rPr>
      </w:pPr>
    </w:p>
    <w:p w:rsidR="00AB5777" w:rsidRPr="006A2252" w:rsidRDefault="00AB5777" w:rsidP="00FF4C83">
      <w:pPr>
        <w:snapToGrid w:val="0"/>
        <w:jc w:val="center"/>
        <w:rPr>
          <w:sz w:val="20"/>
          <w:szCs w:val="20"/>
        </w:rPr>
      </w:pPr>
      <w:r w:rsidRPr="006A2252">
        <w:rPr>
          <w:sz w:val="20"/>
          <w:szCs w:val="20"/>
        </w:rPr>
        <w:t>Anesthesia, Intensive Care</w:t>
      </w:r>
      <w:r w:rsidR="009677D1" w:rsidRPr="006A2252">
        <w:rPr>
          <w:sz w:val="20"/>
          <w:szCs w:val="20"/>
        </w:rPr>
        <w:t xml:space="preserve"> &amp; </w:t>
      </w:r>
      <w:r w:rsidRPr="006A2252">
        <w:rPr>
          <w:sz w:val="20"/>
          <w:szCs w:val="20"/>
        </w:rPr>
        <w:t>Pain Management Department, Faculty of Medicine, Ain Shams University</w:t>
      </w:r>
      <w:r w:rsidR="001176ED" w:rsidRPr="006A2252">
        <w:rPr>
          <w:sz w:val="20"/>
          <w:szCs w:val="20"/>
        </w:rPr>
        <w:t>, Egypt</w:t>
      </w:r>
      <w:r w:rsidR="00F837BF" w:rsidRPr="006A2252">
        <w:rPr>
          <w:sz w:val="20"/>
          <w:szCs w:val="20"/>
        </w:rPr>
        <w:t>.</w:t>
      </w:r>
    </w:p>
    <w:p w:rsidR="009677D1" w:rsidRPr="006A2252" w:rsidRDefault="003A54B7" w:rsidP="00FF4C83">
      <w:pPr>
        <w:snapToGrid w:val="0"/>
        <w:jc w:val="center"/>
        <w:rPr>
          <w:sz w:val="20"/>
          <w:szCs w:val="20"/>
        </w:rPr>
      </w:pPr>
      <w:hyperlink r:id="rId8" w:history="1">
        <w:r w:rsidR="00F837BF" w:rsidRPr="006A2252">
          <w:rPr>
            <w:rStyle w:val="Hyperlink"/>
            <w:sz w:val="20"/>
            <w:szCs w:val="20"/>
          </w:rPr>
          <w:t>tasneemkabeel33@gmail.com</w:t>
        </w:r>
      </w:hyperlink>
    </w:p>
    <w:p w:rsidR="009677D1" w:rsidRPr="006A2252" w:rsidRDefault="009677D1" w:rsidP="00FF4C83">
      <w:pPr>
        <w:snapToGrid w:val="0"/>
        <w:jc w:val="center"/>
        <w:rPr>
          <w:sz w:val="20"/>
          <w:szCs w:val="20"/>
        </w:rPr>
      </w:pPr>
    </w:p>
    <w:p w:rsidR="00AB5777" w:rsidRPr="006A2252" w:rsidRDefault="00F837BF" w:rsidP="00FF4C83">
      <w:pPr>
        <w:snapToGrid w:val="0"/>
        <w:jc w:val="both"/>
        <w:rPr>
          <w:b/>
          <w:bCs/>
          <w:sz w:val="20"/>
          <w:szCs w:val="20"/>
        </w:rPr>
      </w:pPr>
      <w:r w:rsidRPr="006A2252">
        <w:rPr>
          <w:b/>
          <w:bCs/>
          <w:sz w:val="20"/>
          <w:szCs w:val="20"/>
        </w:rPr>
        <w:t xml:space="preserve">Abstract: </w:t>
      </w:r>
      <w:r w:rsidR="00AB5777" w:rsidRPr="006A2252">
        <w:rPr>
          <w:b/>
          <w:bCs/>
          <w:sz w:val="20"/>
          <w:szCs w:val="20"/>
        </w:rPr>
        <w:t>Background:</w:t>
      </w:r>
      <w:r w:rsidRPr="006A2252">
        <w:rPr>
          <w:sz w:val="20"/>
          <w:szCs w:val="20"/>
        </w:rPr>
        <w:t xml:space="preserve"> </w:t>
      </w:r>
      <w:r w:rsidR="00AB5777" w:rsidRPr="006A2252">
        <w:rPr>
          <w:sz w:val="20"/>
          <w:szCs w:val="20"/>
        </w:rPr>
        <w:t xml:space="preserve">Glutamine is the most abundant amino acid in the body and constitutes 61% of the total pool of amino acids in the human muscle. It is the most important circulating “nitrogen shuttle” accounting for 30%-35% of all amino acid nitrogen transported in the blood and serves as important precursor for the de novo synthesis of nucleotides, nucleic acids, amino </w:t>
      </w:r>
      <w:r w:rsidR="00105277" w:rsidRPr="006A2252">
        <w:rPr>
          <w:sz w:val="20"/>
          <w:szCs w:val="20"/>
        </w:rPr>
        <w:t>acid</w:t>
      </w:r>
      <w:r w:rsidR="00AB5777" w:rsidRPr="006A2252">
        <w:rPr>
          <w:sz w:val="20"/>
          <w:szCs w:val="20"/>
        </w:rPr>
        <w:t>s, proteins, and glutathione.</w:t>
      </w:r>
      <w:r w:rsidRPr="006A2252">
        <w:rPr>
          <w:b/>
          <w:bCs/>
          <w:sz w:val="20"/>
          <w:szCs w:val="20"/>
        </w:rPr>
        <w:t xml:space="preserve"> </w:t>
      </w:r>
      <w:r w:rsidR="00AB5777" w:rsidRPr="006A2252">
        <w:rPr>
          <w:b/>
          <w:bCs/>
          <w:sz w:val="20"/>
          <w:szCs w:val="20"/>
        </w:rPr>
        <w:t xml:space="preserve">Objectives: </w:t>
      </w:r>
      <w:r w:rsidR="00AB5777" w:rsidRPr="006A2252">
        <w:rPr>
          <w:sz w:val="20"/>
          <w:szCs w:val="20"/>
        </w:rPr>
        <w:t>To evaluate the effect of intravenous glutamine supplementation on the postoperative complication rate and duration of hospital stay in colorectal cancer patients.</w:t>
      </w:r>
      <w:r w:rsidRPr="006A2252">
        <w:rPr>
          <w:sz w:val="20"/>
          <w:szCs w:val="20"/>
        </w:rPr>
        <w:t xml:space="preserve"> </w:t>
      </w:r>
      <w:r w:rsidR="00AB5777" w:rsidRPr="006A2252">
        <w:rPr>
          <w:b/>
          <w:bCs/>
          <w:sz w:val="20"/>
          <w:szCs w:val="20"/>
        </w:rPr>
        <w:t>Patients and Methods:</w:t>
      </w:r>
      <w:r w:rsidRPr="006A2252">
        <w:rPr>
          <w:sz w:val="20"/>
          <w:szCs w:val="20"/>
        </w:rPr>
        <w:t xml:space="preserve"> </w:t>
      </w:r>
      <w:r w:rsidR="00AB5777" w:rsidRPr="006A2252">
        <w:rPr>
          <w:sz w:val="20"/>
          <w:szCs w:val="20"/>
        </w:rPr>
        <w:t>Type of Study: Prospective analytic study, study Setting: Ain-Shams University Hospitals and Tanta Cancer Institute, Study Period: from May 2018 to December 2018, Study Population: Patients underwent colorectal cancer surgery.</w:t>
      </w:r>
      <w:r w:rsidRPr="006A2252">
        <w:rPr>
          <w:b/>
          <w:bCs/>
          <w:sz w:val="20"/>
          <w:szCs w:val="20"/>
        </w:rPr>
        <w:t xml:space="preserve"> </w:t>
      </w:r>
      <w:r w:rsidR="00AB5777" w:rsidRPr="006A2252">
        <w:rPr>
          <w:b/>
          <w:bCs/>
          <w:sz w:val="20"/>
          <w:szCs w:val="20"/>
        </w:rPr>
        <w:t>Results:</w:t>
      </w:r>
      <w:r w:rsidRPr="006A2252">
        <w:rPr>
          <w:b/>
          <w:bCs/>
          <w:sz w:val="20"/>
          <w:szCs w:val="20"/>
        </w:rPr>
        <w:t xml:space="preserve"> </w:t>
      </w:r>
      <w:r w:rsidR="00AB5777" w:rsidRPr="006A2252">
        <w:rPr>
          <w:sz w:val="20"/>
          <w:szCs w:val="20"/>
        </w:rPr>
        <w:t>In our study, the median C-reactive protein levels were significantly lower from day 7 in glutamine group in comparison with control group but still higher than normal range. At days 10 and 14, the CRP level reached the normal range. These suggests the positive effects of glutamine in relieving the stress response in colon cancer patients. The detected high C-reactive protein levels could result from the presence of some factors that affect the CRP levels like fever, leukocytosis, the surgical maneuver and the presence of inflammation.</w:t>
      </w:r>
      <w:r w:rsidRPr="006A2252">
        <w:rPr>
          <w:b/>
          <w:bCs/>
          <w:sz w:val="20"/>
          <w:szCs w:val="20"/>
        </w:rPr>
        <w:t xml:space="preserve"> </w:t>
      </w:r>
      <w:r w:rsidR="00AB5777" w:rsidRPr="006A2252">
        <w:rPr>
          <w:b/>
          <w:bCs/>
          <w:sz w:val="20"/>
          <w:szCs w:val="20"/>
        </w:rPr>
        <w:t>Conclusion:</w:t>
      </w:r>
      <w:r w:rsidRPr="006A2252">
        <w:rPr>
          <w:sz w:val="20"/>
          <w:szCs w:val="20"/>
        </w:rPr>
        <w:t xml:space="preserve"> </w:t>
      </w:r>
      <w:r w:rsidR="00AB5777" w:rsidRPr="006A2252">
        <w:rPr>
          <w:sz w:val="20"/>
          <w:szCs w:val="20"/>
        </w:rPr>
        <w:t>We found that early postoperative supplementation of parenteral glutamine in addition to standard nutritional support in patients that underwent colorectal cancer surgeries reduced the incidence of postoperative complications and improved the outcome in those patients.</w:t>
      </w:r>
    </w:p>
    <w:p w:rsidR="00FF4C83" w:rsidRPr="006A2252" w:rsidRDefault="00F837BF" w:rsidP="00FF4C83">
      <w:pPr>
        <w:snapToGrid w:val="0"/>
        <w:jc w:val="both"/>
        <w:rPr>
          <w:sz w:val="20"/>
          <w:szCs w:val="20"/>
        </w:rPr>
      </w:pPr>
      <w:r w:rsidRPr="006A2252">
        <w:rPr>
          <w:b/>
          <w:bCs/>
          <w:sz w:val="20"/>
          <w:szCs w:val="20"/>
        </w:rPr>
        <w:t>[</w:t>
      </w:r>
      <w:r w:rsidRPr="006A2252">
        <w:rPr>
          <w:sz w:val="20"/>
          <w:szCs w:val="20"/>
        </w:rPr>
        <w:t xml:space="preserve">Mustafa Kamel Reyad, Mahmoud Hassan Mohamed Hassan, Rania Hassan Abd El-Hafiez and Tasneem Ameen Abd El-Sattar Kabeel. </w:t>
      </w:r>
      <w:r w:rsidRPr="006A2252">
        <w:rPr>
          <w:b/>
          <w:bCs/>
          <w:sz w:val="20"/>
          <w:szCs w:val="20"/>
        </w:rPr>
        <w:t>Effect of Early Postoperative Intravenous Glutamine Supplementation on the Outcome after Colorectal Cancer Surgery</w:t>
      </w:r>
      <w:r w:rsidR="00FF4C83" w:rsidRPr="006A2252">
        <w:rPr>
          <w:b/>
          <w:bCs/>
          <w:sz w:val="20"/>
          <w:szCs w:val="20"/>
          <w:lang w:bidi="fa-IR"/>
        </w:rPr>
        <w:t>.</w:t>
      </w:r>
      <w:r w:rsidR="00FF4C83" w:rsidRPr="006A2252">
        <w:rPr>
          <w:bCs/>
          <w:i/>
          <w:sz w:val="20"/>
          <w:szCs w:val="20"/>
        </w:rPr>
        <w:t xml:space="preserve"> Researcher</w:t>
      </w:r>
      <w:r w:rsidR="00FF4C83" w:rsidRPr="006A2252">
        <w:rPr>
          <w:bCs/>
          <w:sz w:val="20"/>
          <w:szCs w:val="20"/>
        </w:rPr>
        <w:t xml:space="preserve"> 201</w:t>
      </w:r>
      <w:r w:rsidR="00FF4C83" w:rsidRPr="006A2252">
        <w:rPr>
          <w:rFonts w:hint="eastAsia"/>
          <w:bCs/>
          <w:sz w:val="20"/>
          <w:szCs w:val="20"/>
        </w:rPr>
        <w:t>9</w:t>
      </w:r>
      <w:r w:rsidR="00FF4C83" w:rsidRPr="006A2252">
        <w:rPr>
          <w:bCs/>
          <w:sz w:val="20"/>
          <w:szCs w:val="20"/>
        </w:rPr>
        <w:t>;</w:t>
      </w:r>
      <w:r w:rsidR="00FF4C83" w:rsidRPr="006A2252">
        <w:rPr>
          <w:rFonts w:hint="eastAsia"/>
          <w:bCs/>
          <w:sz w:val="20"/>
          <w:szCs w:val="20"/>
        </w:rPr>
        <w:t>11</w:t>
      </w:r>
      <w:r w:rsidR="00FF4C83" w:rsidRPr="006A2252">
        <w:rPr>
          <w:bCs/>
          <w:sz w:val="20"/>
          <w:szCs w:val="20"/>
        </w:rPr>
        <w:t>(</w:t>
      </w:r>
      <w:r w:rsidR="00FF4C83" w:rsidRPr="006A2252">
        <w:rPr>
          <w:rFonts w:hint="eastAsia"/>
          <w:bCs/>
          <w:sz w:val="20"/>
          <w:szCs w:val="20"/>
        </w:rPr>
        <w:t>5</w:t>
      </w:r>
      <w:r w:rsidR="00FF4C83" w:rsidRPr="006A2252">
        <w:rPr>
          <w:bCs/>
          <w:sz w:val="20"/>
          <w:szCs w:val="20"/>
        </w:rPr>
        <w:t>):</w:t>
      </w:r>
      <w:r w:rsidR="006E6880" w:rsidRPr="006A2252">
        <w:rPr>
          <w:noProof/>
          <w:color w:val="000000"/>
          <w:sz w:val="20"/>
          <w:szCs w:val="20"/>
        </w:rPr>
        <w:t>14-2</w:t>
      </w:r>
      <w:r w:rsidR="008E215A">
        <w:rPr>
          <w:rFonts w:eastAsiaTheme="minorEastAsia" w:hint="eastAsia"/>
          <w:noProof/>
          <w:color w:val="000000"/>
          <w:sz w:val="20"/>
          <w:szCs w:val="20"/>
          <w:lang w:eastAsia="zh-CN"/>
        </w:rPr>
        <w:t>1</w:t>
      </w:r>
      <w:r w:rsidR="00FF4C83" w:rsidRPr="006A2252">
        <w:rPr>
          <w:bCs/>
          <w:sz w:val="20"/>
          <w:szCs w:val="20"/>
        </w:rPr>
        <w:t xml:space="preserve">]. </w:t>
      </w:r>
      <w:r w:rsidR="00FF4C83" w:rsidRPr="006A2252">
        <w:rPr>
          <w:sz w:val="20"/>
          <w:szCs w:val="20"/>
        </w:rPr>
        <w:t>ISSN 1553-9865 (print); ISSN 2163-8950 (online)</w:t>
      </w:r>
      <w:r w:rsidR="00FF4C83" w:rsidRPr="006A2252">
        <w:rPr>
          <w:bCs/>
          <w:sz w:val="20"/>
          <w:szCs w:val="20"/>
        </w:rPr>
        <w:t xml:space="preserve">. </w:t>
      </w:r>
      <w:hyperlink r:id="rId9" w:history="1">
        <w:r w:rsidR="00FF4C83" w:rsidRPr="006A2252">
          <w:rPr>
            <w:rStyle w:val="Hyperlink"/>
            <w:color w:val="0000FF"/>
            <w:sz w:val="20"/>
            <w:szCs w:val="20"/>
          </w:rPr>
          <w:t>http://www.sciencepub.net/researcher</w:t>
        </w:r>
      </w:hyperlink>
      <w:r w:rsidR="00FF4C83" w:rsidRPr="006A2252">
        <w:rPr>
          <w:bCs/>
          <w:sz w:val="20"/>
          <w:szCs w:val="20"/>
        </w:rPr>
        <w:t>.</w:t>
      </w:r>
      <w:r w:rsidR="00FF4C83" w:rsidRPr="006A2252">
        <w:rPr>
          <w:rFonts w:hint="eastAsia"/>
          <w:bCs/>
          <w:sz w:val="20"/>
          <w:szCs w:val="20"/>
        </w:rPr>
        <w:t xml:space="preserve"> </w:t>
      </w:r>
      <w:r w:rsidR="00FF4C83" w:rsidRPr="006A2252">
        <w:rPr>
          <w:rFonts w:eastAsiaTheme="minorEastAsia" w:hint="eastAsia"/>
          <w:bCs/>
          <w:sz w:val="20"/>
          <w:szCs w:val="20"/>
          <w:lang w:eastAsia="zh-CN"/>
        </w:rPr>
        <w:t>3</w:t>
      </w:r>
      <w:r w:rsidR="00FF4C83" w:rsidRPr="006A2252">
        <w:rPr>
          <w:rFonts w:hint="eastAsia"/>
          <w:bCs/>
          <w:sz w:val="20"/>
          <w:szCs w:val="20"/>
        </w:rPr>
        <w:t xml:space="preserve">. </w:t>
      </w:r>
      <w:r w:rsidR="00FF4C83" w:rsidRPr="006A2252">
        <w:rPr>
          <w:color w:val="000000"/>
          <w:sz w:val="20"/>
          <w:szCs w:val="20"/>
          <w:shd w:val="clear" w:color="auto" w:fill="FFFFFF"/>
        </w:rPr>
        <w:t>doi:</w:t>
      </w:r>
      <w:hyperlink r:id="rId10" w:history="1">
        <w:r w:rsidR="00FF4C83" w:rsidRPr="006A2252">
          <w:rPr>
            <w:rStyle w:val="Hyperlink"/>
            <w:color w:val="0000FF"/>
            <w:sz w:val="20"/>
            <w:szCs w:val="20"/>
            <w:shd w:val="clear" w:color="auto" w:fill="FFFFFF"/>
          </w:rPr>
          <w:t>10.7537/mars</w:t>
        </w:r>
        <w:r w:rsidR="00FF4C83" w:rsidRPr="006A2252">
          <w:rPr>
            <w:rStyle w:val="Hyperlink"/>
            <w:rFonts w:hint="eastAsia"/>
            <w:color w:val="0000FF"/>
            <w:sz w:val="20"/>
            <w:szCs w:val="20"/>
            <w:shd w:val="clear" w:color="auto" w:fill="FFFFFF"/>
          </w:rPr>
          <w:t>r</w:t>
        </w:r>
        <w:r w:rsidR="00FF4C83" w:rsidRPr="006A2252">
          <w:rPr>
            <w:rStyle w:val="Hyperlink"/>
            <w:color w:val="0000FF"/>
            <w:sz w:val="20"/>
            <w:szCs w:val="20"/>
            <w:shd w:val="clear" w:color="auto" w:fill="FFFFFF"/>
          </w:rPr>
          <w:t>sj</w:t>
        </w:r>
        <w:r w:rsidR="00FF4C83" w:rsidRPr="006A2252">
          <w:rPr>
            <w:rStyle w:val="Hyperlink"/>
            <w:rFonts w:hint="eastAsia"/>
            <w:color w:val="0000FF"/>
            <w:sz w:val="20"/>
            <w:szCs w:val="20"/>
            <w:shd w:val="clear" w:color="auto" w:fill="FFFFFF"/>
          </w:rPr>
          <w:t>110519.</w:t>
        </w:r>
        <w:r w:rsidR="00FF4C83" w:rsidRPr="006A2252">
          <w:rPr>
            <w:rStyle w:val="Hyperlink"/>
            <w:color w:val="0000FF"/>
            <w:sz w:val="20"/>
            <w:szCs w:val="20"/>
            <w:shd w:val="clear" w:color="auto" w:fill="FFFFFF"/>
          </w:rPr>
          <w:t>0</w:t>
        </w:r>
        <w:r w:rsidR="00FF4C83" w:rsidRPr="006A2252">
          <w:rPr>
            <w:rStyle w:val="Hyperlink"/>
            <w:rFonts w:eastAsiaTheme="minorEastAsia" w:hint="eastAsia"/>
            <w:color w:val="0000FF"/>
            <w:sz w:val="20"/>
            <w:szCs w:val="20"/>
            <w:shd w:val="clear" w:color="auto" w:fill="FFFFFF"/>
            <w:lang w:eastAsia="zh-CN"/>
          </w:rPr>
          <w:t>3</w:t>
        </w:r>
      </w:hyperlink>
      <w:r w:rsidR="00FF4C83" w:rsidRPr="006A2252">
        <w:rPr>
          <w:color w:val="000000"/>
          <w:sz w:val="20"/>
          <w:szCs w:val="20"/>
          <w:shd w:val="clear" w:color="auto" w:fill="FFFFFF"/>
        </w:rPr>
        <w:t>.</w:t>
      </w:r>
    </w:p>
    <w:p w:rsidR="00F837BF" w:rsidRPr="006A2252" w:rsidRDefault="00F837BF" w:rsidP="00FF4C83">
      <w:pPr>
        <w:snapToGrid w:val="0"/>
        <w:jc w:val="both"/>
        <w:rPr>
          <w:b/>
          <w:bCs/>
          <w:sz w:val="20"/>
          <w:szCs w:val="20"/>
        </w:rPr>
      </w:pPr>
    </w:p>
    <w:p w:rsidR="00AB5777" w:rsidRPr="006A2252" w:rsidRDefault="00AB5777" w:rsidP="00FF4C83">
      <w:pPr>
        <w:snapToGrid w:val="0"/>
        <w:jc w:val="both"/>
        <w:rPr>
          <w:sz w:val="20"/>
          <w:szCs w:val="20"/>
        </w:rPr>
      </w:pPr>
      <w:r w:rsidRPr="006A2252">
        <w:rPr>
          <w:b/>
          <w:bCs/>
          <w:sz w:val="20"/>
          <w:szCs w:val="20"/>
        </w:rPr>
        <w:t>Keywords:</w:t>
      </w:r>
      <w:r w:rsidRPr="006A2252">
        <w:rPr>
          <w:sz w:val="20"/>
          <w:szCs w:val="20"/>
        </w:rPr>
        <w:t xml:space="preserve"> Intravenous Glutamine, Colorectal Cancer Surgery</w:t>
      </w:r>
      <w:r w:rsidR="00F837BF" w:rsidRPr="006A2252">
        <w:rPr>
          <w:sz w:val="20"/>
          <w:szCs w:val="20"/>
        </w:rPr>
        <w:t>.</w:t>
      </w:r>
    </w:p>
    <w:p w:rsidR="00F837BF" w:rsidRDefault="00F837BF" w:rsidP="00FF4C83">
      <w:pPr>
        <w:snapToGrid w:val="0"/>
        <w:ind w:firstLine="425"/>
        <w:jc w:val="both"/>
        <w:rPr>
          <w:rFonts w:eastAsiaTheme="minorEastAsia" w:hint="eastAsia"/>
          <w:sz w:val="20"/>
          <w:szCs w:val="20"/>
          <w:lang w:eastAsia="zh-CN"/>
        </w:rPr>
      </w:pPr>
    </w:p>
    <w:p w:rsidR="006A2252" w:rsidRPr="006A2252" w:rsidRDefault="006A2252" w:rsidP="00FF4C83">
      <w:pPr>
        <w:snapToGrid w:val="0"/>
        <w:ind w:firstLine="425"/>
        <w:jc w:val="both"/>
        <w:rPr>
          <w:rFonts w:eastAsiaTheme="minorEastAsia" w:hint="eastAsia"/>
          <w:sz w:val="20"/>
          <w:szCs w:val="20"/>
          <w:lang w:eastAsia="zh-CN"/>
        </w:rPr>
      </w:pPr>
    </w:p>
    <w:p w:rsidR="00FF4C83" w:rsidRPr="006A2252" w:rsidRDefault="00FF4C83" w:rsidP="00FF4C83">
      <w:pPr>
        <w:snapToGrid w:val="0"/>
        <w:jc w:val="both"/>
        <w:rPr>
          <w:b/>
          <w:bCs/>
          <w:sz w:val="20"/>
          <w:szCs w:val="20"/>
        </w:rPr>
        <w:sectPr w:rsidR="00FF4C83" w:rsidRPr="006A2252" w:rsidSect="006E6880">
          <w:headerReference w:type="default" r:id="rId11"/>
          <w:footerReference w:type="even" r:id="rId12"/>
          <w:footerReference w:type="default" r:id="rId13"/>
          <w:type w:val="continuous"/>
          <w:pgSz w:w="12240" w:h="15840" w:code="9"/>
          <w:pgMar w:top="1440" w:right="1440" w:bottom="1440" w:left="1440" w:header="720" w:footer="720" w:gutter="0"/>
          <w:pgNumType w:start="14"/>
          <w:cols w:space="720"/>
          <w:docGrid w:linePitch="360"/>
        </w:sectPr>
      </w:pPr>
      <w:bookmarkStart w:id="0" w:name="_Toc6307709"/>
    </w:p>
    <w:p w:rsidR="00F837BF" w:rsidRPr="006A2252" w:rsidRDefault="00F837BF" w:rsidP="00FF4C83">
      <w:pPr>
        <w:snapToGrid w:val="0"/>
        <w:jc w:val="both"/>
        <w:rPr>
          <w:sz w:val="20"/>
          <w:szCs w:val="20"/>
        </w:rPr>
      </w:pPr>
      <w:r w:rsidRPr="006A2252">
        <w:rPr>
          <w:b/>
          <w:bCs/>
          <w:sz w:val="20"/>
          <w:szCs w:val="20"/>
        </w:rPr>
        <w:lastRenderedPageBreak/>
        <w:t xml:space="preserve">1. </w:t>
      </w:r>
      <w:bookmarkEnd w:id="0"/>
      <w:r w:rsidRPr="006A2252">
        <w:rPr>
          <w:b/>
          <w:bCs/>
          <w:sz w:val="20"/>
          <w:szCs w:val="20"/>
        </w:rPr>
        <w:t>Introduction</w:t>
      </w:r>
    </w:p>
    <w:p w:rsidR="00F837BF" w:rsidRPr="006A2252" w:rsidRDefault="00F837BF" w:rsidP="00FF4C83">
      <w:pPr>
        <w:snapToGrid w:val="0"/>
        <w:ind w:firstLine="425"/>
        <w:jc w:val="both"/>
        <w:rPr>
          <w:b/>
          <w:bCs/>
          <w:i/>
          <w:iCs/>
          <w:sz w:val="20"/>
          <w:szCs w:val="20"/>
        </w:rPr>
      </w:pPr>
      <w:r w:rsidRPr="006A2252">
        <w:rPr>
          <w:sz w:val="20"/>
          <w:szCs w:val="20"/>
        </w:rPr>
        <w:t xml:space="preserve">Glutamine is the most abundant amino acid in the body and constitutes 61% of the total pool of amino acids in the human muscle. It is the most important circulating “nitrogen shuttle” accounting for 30%-35% of all amino acid nitrogen transported in the blood and serves as important precursor for the de novo synthesis of nucleotides, nucleic acids, amino sugars, proteins, and glutathione </w:t>
      </w:r>
      <w:r w:rsidRPr="006A2252">
        <w:rPr>
          <w:b/>
          <w:bCs/>
          <w:i/>
          <w:iCs/>
          <w:sz w:val="20"/>
          <w:szCs w:val="20"/>
        </w:rPr>
        <w:t>(Kraemer et al., 2009)</w:t>
      </w:r>
      <w:r w:rsidR="00FF4C83" w:rsidRPr="006A2252">
        <w:rPr>
          <w:b/>
          <w:bCs/>
          <w:i/>
          <w:iCs/>
          <w:sz w:val="20"/>
          <w:szCs w:val="20"/>
        </w:rPr>
        <w:t xml:space="preserve">. </w:t>
      </w:r>
      <w:r w:rsidR="00FF4C83" w:rsidRPr="006A2252">
        <w:rPr>
          <w:sz w:val="20"/>
          <w:szCs w:val="20"/>
        </w:rPr>
        <w:t>I</w:t>
      </w:r>
      <w:r w:rsidRPr="006A2252">
        <w:rPr>
          <w:sz w:val="20"/>
          <w:szCs w:val="20"/>
        </w:rPr>
        <w:t xml:space="preserve">t is mainly synthesized in muscles and the lungs through glutamine synthetase. It is a vital fuel source for the intestines and immune system that helps to keep defenses up against microbes. By nourishing these cells, it maintains the integrity of the gastro intestinal tract </w:t>
      </w:r>
      <w:r w:rsidRPr="006A2252">
        <w:rPr>
          <w:b/>
          <w:bCs/>
          <w:i/>
          <w:iCs/>
          <w:sz w:val="20"/>
          <w:szCs w:val="20"/>
        </w:rPr>
        <w:t xml:space="preserve">(Wernerman, 2008). </w:t>
      </w:r>
    </w:p>
    <w:p w:rsidR="00F837BF" w:rsidRPr="006A2252" w:rsidRDefault="00F837BF" w:rsidP="00FF4C83">
      <w:pPr>
        <w:snapToGrid w:val="0"/>
        <w:ind w:firstLine="425"/>
        <w:jc w:val="both"/>
        <w:rPr>
          <w:b/>
          <w:bCs/>
          <w:i/>
          <w:iCs/>
          <w:sz w:val="20"/>
          <w:szCs w:val="20"/>
        </w:rPr>
      </w:pPr>
      <w:r w:rsidRPr="006A2252">
        <w:rPr>
          <w:sz w:val="20"/>
          <w:szCs w:val="20"/>
        </w:rPr>
        <w:t xml:space="preserve">There are studies reporting that muscle and plasma glutamine levels are reduced up to 50% in patients with critical illness, or following major surgery, stress, trauma, and muscular dystrophy suggesting that the body's demand for glutamine is increased in these situations </w:t>
      </w:r>
      <w:r w:rsidRPr="006A2252">
        <w:rPr>
          <w:b/>
          <w:bCs/>
          <w:i/>
          <w:iCs/>
          <w:sz w:val="20"/>
          <w:szCs w:val="20"/>
        </w:rPr>
        <w:t xml:space="preserve">(Tao et al., 2014). </w:t>
      </w:r>
    </w:p>
    <w:p w:rsidR="00F837BF" w:rsidRPr="006A2252" w:rsidRDefault="00F837BF" w:rsidP="00FF4C83">
      <w:pPr>
        <w:snapToGrid w:val="0"/>
        <w:ind w:firstLine="425"/>
        <w:jc w:val="both"/>
        <w:rPr>
          <w:b/>
          <w:bCs/>
          <w:i/>
          <w:iCs/>
          <w:sz w:val="20"/>
          <w:szCs w:val="20"/>
        </w:rPr>
      </w:pPr>
      <w:r w:rsidRPr="006A2252">
        <w:rPr>
          <w:sz w:val="20"/>
          <w:szCs w:val="20"/>
        </w:rPr>
        <w:t xml:space="preserve">Cancer is a hyper inflammatory cytokine release pattern combined with an insufficient endogenous </w:t>
      </w:r>
      <w:r w:rsidRPr="006A2252">
        <w:rPr>
          <w:sz w:val="20"/>
          <w:szCs w:val="20"/>
        </w:rPr>
        <w:lastRenderedPageBreak/>
        <w:t xml:space="preserve">availability of glutamine due to increased consumption. Overall glutamine deprivation is associated with reduced protein synthesis, muscle loss and possibly physical as well as emotional fatigue. Consequently, glutamine is considered a “conditionally indispensable amino acid” in hyper metabolic and hyper catabolic situations </w:t>
      </w:r>
      <w:r w:rsidRPr="006A2252">
        <w:rPr>
          <w:b/>
          <w:bCs/>
          <w:i/>
          <w:iCs/>
          <w:sz w:val="20"/>
          <w:szCs w:val="20"/>
        </w:rPr>
        <w:t xml:space="preserve">(Kuhn et al., 2010). </w:t>
      </w:r>
    </w:p>
    <w:p w:rsidR="00F837BF" w:rsidRPr="006A2252" w:rsidRDefault="00F837BF" w:rsidP="00FF4C83">
      <w:pPr>
        <w:snapToGrid w:val="0"/>
        <w:ind w:firstLine="425"/>
        <w:jc w:val="both"/>
        <w:rPr>
          <w:sz w:val="20"/>
          <w:szCs w:val="20"/>
        </w:rPr>
      </w:pPr>
      <w:r w:rsidRPr="006A2252">
        <w:rPr>
          <w:sz w:val="20"/>
          <w:szCs w:val="20"/>
        </w:rPr>
        <w:t>Malnutrition, pro-inflammatory reactions, and weight loss occur at prevalence of 38% in cancer diseases</w:t>
      </w:r>
      <w:r w:rsidRPr="006A2252">
        <w:rPr>
          <w:b/>
          <w:bCs/>
          <w:i/>
          <w:iCs/>
          <w:sz w:val="20"/>
          <w:szCs w:val="20"/>
        </w:rPr>
        <w:t xml:space="preserve">. </w:t>
      </w:r>
      <w:r w:rsidRPr="006A2252">
        <w:rPr>
          <w:sz w:val="20"/>
          <w:szCs w:val="20"/>
        </w:rPr>
        <w:t>In addition, the location of the tumor, the advancement and severity of the underlying disease, as well as the modalities and lines of treatment may influence these hyper catabolic reactions</w:t>
      </w:r>
      <w:r w:rsidRPr="006A2252">
        <w:rPr>
          <w:b/>
          <w:bCs/>
          <w:i/>
          <w:iCs/>
          <w:sz w:val="20"/>
          <w:szCs w:val="20"/>
        </w:rPr>
        <w:t xml:space="preserve"> (Peter et al., 2014). </w:t>
      </w:r>
    </w:p>
    <w:p w:rsidR="00F837BF" w:rsidRPr="006A2252" w:rsidRDefault="00F837BF" w:rsidP="00FF4C83">
      <w:pPr>
        <w:snapToGrid w:val="0"/>
        <w:ind w:firstLine="425"/>
        <w:jc w:val="both"/>
        <w:rPr>
          <w:sz w:val="20"/>
          <w:szCs w:val="20"/>
        </w:rPr>
      </w:pPr>
      <w:r w:rsidRPr="006A2252">
        <w:rPr>
          <w:sz w:val="20"/>
          <w:szCs w:val="20"/>
        </w:rPr>
        <w:t xml:space="preserve">Colorectal surgical procedures carry a high risk of postoperative complications due to altered host defense, homeostasis and inflammatory complications. Furthermore, surgical stress, full mechanical bowel preparation, increased metabolic rate, potential risk for the </w:t>
      </w:r>
      <w:proofErr w:type="spellStart"/>
      <w:r w:rsidRPr="006A2252">
        <w:rPr>
          <w:sz w:val="20"/>
          <w:szCs w:val="20"/>
        </w:rPr>
        <w:t>intraoperative</w:t>
      </w:r>
      <w:proofErr w:type="spellEnd"/>
      <w:r w:rsidRPr="006A2252">
        <w:rPr>
          <w:sz w:val="20"/>
          <w:szCs w:val="20"/>
        </w:rPr>
        <w:t xml:space="preserve"> bacterial contamination of peritoneal cavity and surgical wound are important factors enhancing the risk of </w:t>
      </w:r>
      <w:r w:rsidRPr="006A2252">
        <w:rPr>
          <w:sz w:val="20"/>
          <w:szCs w:val="20"/>
        </w:rPr>
        <w:lastRenderedPageBreak/>
        <w:t>postoperative infectious complications</w:t>
      </w:r>
      <w:r w:rsidRPr="006A2252">
        <w:rPr>
          <w:b/>
          <w:bCs/>
          <w:i/>
          <w:iCs/>
          <w:sz w:val="20"/>
          <w:szCs w:val="20"/>
        </w:rPr>
        <w:t xml:space="preserve"> (Singer et al., 2011). </w:t>
      </w:r>
    </w:p>
    <w:p w:rsidR="00F837BF" w:rsidRPr="006A2252" w:rsidRDefault="00F837BF" w:rsidP="00FF4C83">
      <w:pPr>
        <w:snapToGrid w:val="0"/>
        <w:ind w:firstLine="425"/>
        <w:jc w:val="both"/>
        <w:rPr>
          <w:b/>
          <w:bCs/>
          <w:i/>
          <w:iCs/>
          <w:sz w:val="20"/>
          <w:szCs w:val="20"/>
        </w:rPr>
      </w:pPr>
      <w:r w:rsidRPr="006A2252">
        <w:rPr>
          <w:sz w:val="20"/>
          <w:szCs w:val="20"/>
        </w:rPr>
        <w:t xml:space="preserve">In addition, inadequate nutrition in these patients has an additive effect for these complications. Approximately one-third of patients with colorectal cancer have malnutrition at the time of admission. Nutritional depletion not only can adversely affect a surgical patient’s clinical condition, but it may also increase his or her risk of a poor postoperative outcome, thereby increasing healthcare costs for both patients and health insurance companies </w:t>
      </w:r>
      <w:r w:rsidRPr="006A2252">
        <w:rPr>
          <w:b/>
          <w:bCs/>
          <w:i/>
          <w:iCs/>
          <w:sz w:val="20"/>
          <w:szCs w:val="20"/>
        </w:rPr>
        <w:t xml:space="preserve">(Gupta et al., 2005). </w:t>
      </w:r>
    </w:p>
    <w:p w:rsidR="00F837BF" w:rsidRPr="006A2252" w:rsidRDefault="00F837BF" w:rsidP="00FF4C83">
      <w:pPr>
        <w:snapToGrid w:val="0"/>
        <w:ind w:firstLine="425"/>
        <w:jc w:val="both"/>
        <w:rPr>
          <w:sz w:val="20"/>
          <w:szCs w:val="20"/>
        </w:rPr>
      </w:pPr>
      <w:r w:rsidRPr="006A2252">
        <w:rPr>
          <w:sz w:val="20"/>
          <w:szCs w:val="20"/>
        </w:rPr>
        <w:t>In addition to the nutritional support, recent studies suggested that supplementation of specific nutrients such as glutamine enhances gut mucosal growth, repair and function, decreases gut related sepsis and improves intestinal atrophies, intestinal injuries and improves postoperative outcome</w:t>
      </w:r>
      <w:r w:rsidRPr="006A2252">
        <w:rPr>
          <w:b/>
          <w:bCs/>
          <w:i/>
          <w:iCs/>
          <w:sz w:val="20"/>
          <w:szCs w:val="20"/>
        </w:rPr>
        <w:t xml:space="preserve"> (Kuhn et al., 2010).</w:t>
      </w:r>
    </w:p>
    <w:p w:rsidR="00F837BF" w:rsidRPr="006A2252" w:rsidRDefault="00F837BF" w:rsidP="00FF4C83">
      <w:pPr>
        <w:snapToGrid w:val="0"/>
        <w:jc w:val="both"/>
        <w:rPr>
          <w:b/>
          <w:bCs/>
          <w:sz w:val="20"/>
          <w:szCs w:val="20"/>
        </w:rPr>
      </w:pPr>
      <w:r w:rsidRPr="006A2252">
        <w:rPr>
          <w:b/>
          <w:bCs/>
          <w:sz w:val="20"/>
          <w:szCs w:val="20"/>
        </w:rPr>
        <w:t>Aim of the Work</w:t>
      </w:r>
    </w:p>
    <w:p w:rsidR="00F837BF" w:rsidRPr="006A2252" w:rsidRDefault="00F837BF" w:rsidP="00FF4C83">
      <w:pPr>
        <w:snapToGrid w:val="0"/>
        <w:ind w:firstLine="425"/>
        <w:jc w:val="both"/>
        <w:rPr>
          <w:sz w:val="20"/>
          <w:szCs w:val="20"/>
        </w:rPr>
      </w:pPr>
      <w:r w:rsidRPr="006A2252">
        <w:rPr>
          <w:sz w:val="20"/>
          <w:szCs w:val="20"/>
        </w:rPr>
        <w:t>To evaluate the effect of intravenous glutamine supplementation on the postoperative complication rate and duration of hospital stay in colorectal cancer patients.</w:t>
      </w:r>
    </w:p>
    <w:p w:rsidR="00F837BF" w:rsidRPr="006A2252" w:rsidRDefault="00F837BF" w:rsidP="00FF4C83">
      <w:pPr>
        <w:snapToGrid w:val="0"/>
        <w:ind w:firstLine="425"/>
        <w:jc w:val="both"/>
        <w:rPr>
          <w:sz w:val="20"/>
          <w:szCs w:val="20"/>
        </w:rPr>
      </w:pPr>
    </w:p>
    <w:p w:rsidR="00F837BF" w:rsidRPr="006A2252" w:rsidRDefault="00F837BF" w:rsidP="00FF4C83">
      <w:pPr>
        <w:snapToGrid w:val="0"/>
        <w:jc w:val="both"/>
        <w:rPr>
          <w:b/>
          <w:bCs/>
          <w:sz w:val="20"/>
          <w:szCs w:val="20"/>
        </w:rPr>
      </w:pPr>
      <w:bookmarkStart w:id="1" w:name="_Toc6307712"/>
      <w:r w:rsidRPr="006A2252">
        <w:rPr>
          <w:b/>
          <w:bCs/>
          <w:sz w:val="20"/>
          <w:szCs w:val="20"/>
        </w:rPr>
        <w:t>2. Patients and Methods</w:t>
      </w:r>
      <w:bookmarkEnd w:id="1"/>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Type of Study:</w:t>
      </w:r>
      <w:r w:rsidRPr="006A2252">
        <w:rPr>
          <w:sz w:val="20"/>
          <w:szCs w:val="20"/>
        </w:rPr>
        <w:t xml:space="preserve"> Prospective analytic study. </w:t>
      </w:r>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Study Setting:</w:t>
      </w:r>
      <w:r w:rsidRPr="006A2252">
        <w:rPr>
          <w:sz w:val="20"/>
          <w:szCs w:val="20"/>
        </w:rPr>
        <w:t xml:space="preserve"> Ain-Shams University Hospitals and Tanta Cancer Institute. </w:t>
      </w:r>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Study Period:</w:t>
      </w:r>
      <w:r w:rsidRPr="006A2252">
        <w:rPr>
          <w:sz w:val="20"/>
          <w:szCs w:val="20"/>
        </w:rPr>
        <w:t xml:space="preserve"> from May 2018 to December 2018. </w:t>
      </w:r>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Study Population:</w:t>
      </w:r>
      <w:r w:rsidRPr="006A2252">
        <w:rPr>
          <w:sz w:val="20"/>
          <w:szCs w:val="20"/>
        </w:rPr>
        <w:t xml:space="preserve"> Patients underwent colorectal cancer surgery. </w:t>
      </w:r>
    </w:p>
    <w:p w:rsidR="00F837BF" w:rsidRPr="006A2252" w:rsidRDefault="00F837BF" w:rsidP="00FF4C83">
      <w:pPr>
        <w:snapToGrid w:val="0"/>
        <w:ind w:firstLine="425"/>
        <w:jc w:val="both"/>
        <w:rPr>
          <w:b/>
          <w:bCs/>
          <w:i/>
          <w:iCs/>
          <w:sz w:val="20"/>
          <w:szCs w:val="20"/>
          <w:u w:val="single"/>
        </w:rPr>
      </w:pPr>
      <w:r w:rsidRPr="006A2252">
        <w:rPr>
          <w:b/>
          <w:bCs/>
          <w:sz w:val="20"/>
          <w:szCs w:val="20"/>
        </w:rPr>
        <w:t>- Inclusion Criteria:</w:t>
      </w:r>
      <w:r w:rsidR="009677D1" w:rsidRPr="006A2252">
        <w:rPr>
          <w:b/>
          <w:bCs/>
          <w:i/>
          <w:iCs/>
          <w:sz w:val="20"/>
          <w:szCs w:val="20"/>
          <w:u w:val="single"/>
        </w:rPr>
        <w:t xml:space="preserve"> </w:t>
      </w:r>
      <w:r w:rsidRPr="006A2252">
        <w:rPr>
          <w:sz w:val="20"/>
          <w:szCs w:val="20"/>
        </w:rPr>
        <w:t>Adult patients (more than 18 years old), both sexes</w:t>
      </w:r>
      <w:r w:rsidR="00FF4C83" w:rsidRPr="006A2252">
        <w:rPr>
          <w:b/>
          <w:bCs/>
          <w:i/>
          <w:iCs/>
          <w:sz w:val="20"/>
          <w:szCs w:val="20"/>
        </w:rPr>
        <w:t xml:space="preserve">, </w:t>
      </w:r>
      <w:r w:rsidR="00FF4C83" w:rsidRPr="006A2252">
        <w:rPr>
          <w:sz w:val="20"/>
          <w:szCs w:val="20"/>
        </w:rPr>
        <w:t>d</w:t>
      </w:r>
      <w:r w:rsidRPr="006A2252">
        <w:rPr>
          <w:sz w:val="20"/>
          <w:szCs w:val="20"/>
        </w:rPr>
        <w:t>iagnosed by CT or MRI</w:t>
      </w:r>
      <w:r w:rsidR="006A2252" w:rsidRPr="006A2252">
        <w:rPr>
          <w:rFonts w:eastAsiaTheme="minorEastAsia" w:hint="eastAsia"/>
          <w:sz w:val="20"/>
          <w:szCs w:val="20"/>
          <w:lang w:eastAsia="zh-CN"/>
        </w:rPr>
        <w:t xml:space="preserve"> </w:t>
      </w:r>
      <w:r w:rsidRPr="006A2252">
        <w:rPr>
          <w:sz w:val="20"/>
          <w:szCs w:val="20"/>
        </w:rPr>
        <w:t>and</w:t>
      </w:r>
      <w:r w:rsidR="006A2252" w:rsidRPr="006A2252">
        <w:rPr>
          <w:rFonts w:eastAsiaTheme="minorEastAsia" w:hint="eastAsia"/>
          <w:sz w:val="20"/>
          <w:szCs w:val="20"/>
          <w:lang w:eastAsia="zh-CN"/>
        </w:rPr>
        <w:t xml:space="preserve"> </w:t>
      </w:r>
      <w:r w:rsidRPr="006A2252">
        <w:rPr>
          <w:sz w:val="20"/>
          <w:szCs w:val="20"/>
        </w:rPr>
        <w:t xml:space="preserve">underwent anterior resection either with end to end </w:t>
      </w:r>
      <w:proofErr w:type="spellStart"/>
      <w:r w:rsidRPr="006A2252">
        <w:rPr>
          <w:sz w:val="20"/>
          <w:szCs w:val="20"/>
        </w:rPr>
        <w:t>anastomosis</w:t>
      </w:r>
      <w:proofErr w:type="spellEnd"/>
      <w:r w:rsidRPr="006A2252">
        <w:rPr>
          <w:sz w:val="20"/>
          <w:szCs w:val="20"/>
        </w:rPr>
        <w:t xml:space="preserve"> or with colostomy.</w:t>
      </w:r>
    </w:p>
    <w:p w:rsidR="00FF4C83" w:rsidRPr="006A2252" w:rsidRDefault="00F837BF" w:rsidP="00FF4C83">
      <w:pPr>
        <w:snapToGrid w:val="0"/>
        <w:ind w:firstLine="425"/>
        <w:jc w:val="both"/>
        <w:rPr>
          <w:sz w:val="20"/>
          <w:szCs w:val="20"/>
        </w:rPr>
      </w:pPr>
      <w:r w:rsidRPr="006A2252">
        <w:rPr>
          <w:b/>
          <w:bCs/>
          <w:sz w:val="20"/>
          <w:szCs w:val="20"/>
        </w:rPr>
        <w:t>- Exclusion Criteria</w:t>
      </w:r>
      <w:r w:rsidR="00FF4C83" w:rsidRPr="006A2252">
        <w:rPr>
          <w:b/>
          <w:bCs/>
          <w:sz w:val="20"/>
          <w:szCs w:val="20"/>
        </w:rPr>
        <w:t xml:space="preserve">: </w:t>
      </w:r>
      <w:r w:rsidR="00FF4C83" w:rsidRPr="006A2252">
        <w:rPr>
          <w:sz w:val="20"/>
          <w:szCs w:val="20"/>
        </w:rPr>
        <w:t>P</w:t>
      </w:r>
      <w:r w:rsidRPr="006A2252">
        <w:rPr>
          <w:sz w:val="20"/>
          <w:szCs w:val="20"/>
        </w:rPr>
        <w:t>atient refusal</w:t>
      </w:r>
      <w:r w:rsidR="00FF4C83" w:rsidRPr="006A2252">
        <w:rPr>
          <w:b/>
          <w:bCs/>
          <w:i/>
          <w:iCs/>
          <w:sz w:val="20"/>
          <w:szCs w:val="20"/>
        </w:rPr>
        <w:t xml:space="preserve">, </w:t>
      </w:r>
      <w:r w:rsidR="00FF4C83" w:rsidRPr="006A2252">
        <w:rPr>
          <w:sz w:val="20"/>
          <w:szCs w:val="20"/>
        </w:rPr>
        <w:t>p</w:t>
      </w:r>
      <w:r w:rsidRPr="006A2252">
        <w:rPr>
          <w:sz w:val="20"/>
          <w:szCs w:val="20"/>
        </w:rPr>
        <w:t>atients received chemotherapy or radiotherapy, metastases, recurrence</w:t>
      </w:r>
      <w:r w:rsidR="00FF4C83" w:rsidRPr="006A2252">
        <w:rPr>
          <w:sz w:val="20"/>
          <w:szCs w:val="20"/>
        </w:rPr>
        <w:t>, p</w:t>
      </w:r>
      <w:r w:rsidRPr="006A2252">
        <w:rPr>
          <w:sz w:val="20"/>
          <w:szCs w:val="20"/>
        </w:rPr>
        <w:t xml:space="preserve">alliative or </w:t>
      </w:r>
      <w:proofErr w:type="spellStart"/>
      <w:r w:rsidRPr="006A2252">
        <w:rPr>
          <w:sz w:val="20"/>
          <w:szCs w:val="20"/>
        </w:rPr>
        <w:t>abdomenoperineal</w:t>
      </w:r>
      <w:proofErr w:type="spellEnd"/>
      <w:r w:rsidRPr="006A2252">
        <w:rPr>
          <w:sz w:val="20"/>
          <w:szCs w:val="20"/>
        </w:rPr>
        <w:t xml:space="preserve"> surgeries</w:t>
      </w:r>
      <w:r w:rsidR="00FF4C83" w:rsidRPr="006A2252">
        <w:rPr>
          <w:sz w:val="20"/>
          <w:szCs w:val="20"/>
        </w:rPr>
        <w:t>, h</w:t>
      </w:r>
      <w:r w:rsidRPr="006A2252">
        <w:rPr>
          <w:sz w:val="20"/>
          <w:szCs w:val="20"/>
        </w:rPr>
        <w:t>epatic or renal patient</w:t>
      </w:r>
      <w:r w:rsidR="00FF4C83" w:rsidRPr="006A2252">
        <w:rPr>
          <w:sz w:val="20"/>
          <w:szCs w:val="20"/>
        </w:rPr>
        <w:t>s.</w:t>
      </w:r>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Sampling Method:</w:t>
      </w:r>
      <w:r w:rsidRPr="006A2252">
        <w:rPr>
          <w:sz w:val="20"/>
          <w:szCs w:val="20"/>
        </w:rPr>
        <w:t xml:space="preserve"> Sample size was calculated using PASS version 11 program, setting the type-1 error α at 0.05 with a power of 80%. Results from a previous study </w:t>
      </w:r>
      <w:r w:rsidRPr="006A2252">
        <w:rPr>
          <w:b/>
          <w:bCs/>
          <w:i/>
          <w:iCs/>
          <w:sz w:val="20"/>
          <w:szCs w:val="20"/>
        </w:rPr>
        <w:t>(</w:t>
      </w:r>
      <w:proofErr w:type="spellStart"/>
      <w:r w:rsidRPr="006A2252">
        <w:rPr>
          <w:b/>
          <w:bCs/>
          <w:i/>
          <w:iCs/>
          <w:sz w:val="20"/>
          <w:szCs w:val="20"/>
        </w:rPr>
        <w:t>Oguz</w:t>
      </w:r>
      <w:proofErr w:type="spellEnd"/>
      <w:r w:rsidRPr="006A2252">
        <w:rPr>
          <w:b/>
          <w:bCs/>
          <w:i/>
          <w:iCs/>
          <w:sz w:val="20"/>
          <w:szCs w:val="20"/>
        </w:rPr>
        <w:t xml:space="preserve"> et al., 2006)</w:t>
      </w:r>
      <w:r w:rsidRPr="006A2252">
        <w:rPr>
          <w:sz w:val="20"/>
          <w:szCs w:val="20"/>
        </w:rPr>
        <w:t xml:space="preserve"> reported </w:t>
      </w:r>
      <w:r w:rsidRPr="006A2252">
        <w:rPr>
          <w:sz w:val="20"/>
          <w:szCs w:val="20"/>
        </w:rPr>
        <w:lastRenderedPageBreak/>
        <w:t>that abdominal abscess and wound dehiscence were detected among 8% of control group compared to 0% among glutamine group. Calculation according to these values produced a minimal sample size of 55 participants per group.</w:t>
      </w:r>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Sample Size:</w:t>
      </w:r>
      <w:r w:rsidRPr="006A2252">
        <w:rPr>
          <w:sz w:val="20"/>
          <w:szCs w:val="20"/>
          <w:lang w:bidi="ar-EG"/>
        </w:rPr>
        <w:t>120 patients divided into two groups:</w:t>
      </w:r>
    </w:p>
    <w:p w:rsidR="00F837BF" w:rsidRPr="006A2252" w:rsidRDefault="00F837BF" w:rsidP="00FF4C83">
      <w:pPr>
        <w:numPr>
          <w:ilvl w:val="1"/>
          <w:numId w:val="1"/>
        </w:numPr>
        <w:tabs>
          <w:tab w:val="num" w:pos="720"/>
        </w:tabs>
        <w:snapToGrid w:val="0"/>
        <w:ind w:left="0" w:firstLine="425"/>
        <w:jc w:val="both"/>
        <w:rPr>
          <w:sz w:val="20"/>
          <w:szCs w:val="20"/>
        </w:rPr>
      </w:pPr>
      <w:r w:rsidRPr="006A2252">
        <w:rPr>
          <w:sz w:val="20"/>
          <w:szCs w:val="20"/>
        </w:rPr>
        <w:t>Control group didn’t receive glutamine.</w:t>
      </w:r>
    </w:p>
    <w:p w:rsidR="00F837BF" w:rsidRPr="006A2252" w:rsidRDefault="00F837BF" w:rsidP="00FF4C83">
      <w:pPr>
        <w:numPr>
          <w:ilvl w:val="1"/>
          <w:numId w:val="1"/>
        </w:numPr>
        <w:tabs>
          <w:tab w:val="num" w:pos="720"/>
        </w:tabs>
        <w:snapToGrid w:val="0"/>
        <w:ind w:left="0" w:firstLine="425"/>
        <w:jc w:val="both"/>
        <w:rPr>
          <w:sz w:val="20"/>
          <w:szCs w:val="20"/>
        </w:rPr>
      </w:pPr>
      <w:r w:rsidRPr="006A2252">
        <w:rPr>
          <w:sz w:val="20"/>
          <w:szCs w:val="20"/>
        </w:rPr>
        <w:t>Glutamine group received IV glutamine for 14 days postoperatively.</w:t>
      </w:r>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Ethical Considerations:</w:t>
      </w:r>
      <w:r w:rsidRPr="006A2252">
        <w:rPr>
          <w:sz w:val="20"/>
          <w:szCs w:val="20"/>
        </w:rPr>
        <w:t xml:space="preserve"> All patients were consented after explaining the detailed study. Moreover, their privacy was maintained and no personal or medical data was disclosed to third party.</w:t>
      </w:r>
    </w:p>
    <w:p w:rsidR="00F837BF" w:rsidRPr="006A2252" w:rsidRDefault="00F837BF" w:rsidP="00FF4C83">
      <w:pPr>
        <w:numPr>
          <w:ilvl w:val="0"/>
          <w:numId w:val="1"/>
        </w:numPr>
        <w:tabs>
          <w:tab w:val="clear" w:pos="1440"/>
          <w:tab w:val="num" w:pos="360"/>
        </w:tabs>
        <w:snapToGrid w:val="0"/>
        <w:ind w:left="0" w:firstLine="0"/>
        <w:jc w:val="both"/>
        <w:rPr>
          <w:sz w:val="20"/>
          <w:szCs w:val="20"/>
        </w:rPr>
      </w:pPr>
      <w:r w:rsidRPr="006A2252">
        <w:rPr>
          <w:b/>
          <w:bCs/>
          <w:sz w:val="20"/>
          <w:szCs w:val="20"/>
        </w:rPr>
        <w:t>Study Tools:</w:t>
      </w:r>
    </w:p>
    <w:p w:rsidR="00F837BF" w:rsidRPr="006A2252" w:rsidRDefault="00F837BF" w:rsidP="00FF4C83">
      <w:pPr>
        <w:snapToGrid w:val="0"/>
        <w:ind w:firstLine="425"/>
        <w:jc w:val="both"/>
        <w:rPr>
          <w:sz w:val="20"/>
          <w:szCs w:val="20"/>
        </w:rPr>
      </w:pPr>
      <w:r w:rsidRPr="006A2252">
        <w:rPr>
          <w:sz w:val="20"/>
          <w:szCs w:val="20"/>
        </w:rPr>
        <w:t xml:space="preserve">1) Measurement of serum pre-albumin, serum </w:t>
      </w:r>
      <w:proofErr w:type="spellStart"/>
      <w:r w:rsidRPr="006A2252">
        <w:rPr>
          <w:sz w:val="20"/>
          <w:szCs w:val="20"/>
        </w:rPr>
        <w:t>transferrin</w:t>
      </w:r>
      <w:proofErr w:type="spellEnd"/>
      <w:r w:rsidRPr="006A2252">
        <w:rPr>
          <w:sz w:val="20"/>
          <w:szCs w:val="20"/>
        </w:rPr>
        <w:t xml:space="preserve"> and blood culture post ICU admission, at day 0,2,7,10,14.</w:t>
      </w:r>
    </w:p>
    <w:p w:rsidR="00F837BF" w:rsidRPr="006A2252" w:rsidRDefault="00F837BF" w:rsidP="00FF4C83">
      <w:pPr>
        <w:snapToGrid w:val="0"/>
        <w:ind w:firstLine="425"/>
        <w:jc w:val="both"/>
        <w:rPr>
          <w:sz w:val="20"/>
          <w:szCs w:val="20"/>
        </w:rPr>
      </w:pPr>
      <w:r w:rsidRPr="006A2252">
        <w:rPr>
          <w:sz w:val="20"/>
          <w:szCs w:val="20"/>
        </w:rPr>
        <w:t xml:space="preserve">2) Routine laboratory investigations including ESR, CRP, CBC, liver enzymes, urea, </w:t>
      </w:r>
      <w:proofErr w:type="spellStart"/>
      <w:r w:rsidRPr="006A2252">
        <w:rPr>
          <w:sz w:val="20"/>
          <w:szCs w:val="20"/>
        </w:rPr>
        <w:t>creatinine</w:t>
      </w:r>
      <w:proofErr w:type="spellEnd"/>
      <w:r w:rsidRPr="006A2252">
        <w:rPr>
          <w:sz w:val="20"/>
          <w:szCs w:val="20"/>
        </w:rPr>
        <w:t xml:space="preserve"> and electrolytes</w:t>
      </w:r>
      <w:r w:rsidR="006A2252" w:rsidRPr="006A2252">
        <w:rPr>
          <w:rFonts w:eastAsiaTheme="minorEastAsia" w:hint="eastAsia"/>
          <w:sz w:val="20"/>
          <w:szCs w:val="20"/>
          <w:lang w:eastAsia="zh-CN"/>
        </w:rPr>
        <w:t xml:space="preserve"> </w:t>
      </w:r>
      <w:r w:rsidRPr="006A2252">
        <w:rPr>
          <w:sz w:val="20"/>
          <w:szCs w:val="20"/>
        </w:rPr>
        <w:t>at day 0,2,7,10,14.</w:t>
      </w:r>
    </w:p>
    <w:p w:rsidR="00F837BF" w:rsidRPr="006A2252" w:rsidRDefault="00F837BF" w:rsidP="00FF4C83">
      <w:pPr>
        <w:snapToGrid w:val="0"/>
        <w:ind w:firstLine="425"/>
        <w:jc w:val="both"/>
        <w:rPr>
          <w:sz w:val="20"/>
          <w:szCs w:val="20"/>
        </w:rPr>
      </w:pPr>
      <w:r w:rsidRPr="006A2252">
        <w:rPr>
          <w:sz w:val="20"/>
          <w:szCs w:val="20"/>
        </w:rPr>
        <w:t>3) Full clinical evaluation including medical history, heart rate, temperature, mean arterial blood pressure and urine output and wound healing for 10 days postoperative at day 0,2,7,10,14.</w:t>
      </w:r>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Study Procedures:</w:t>
      </w:r>
      <w:r w:rsidRPr="006A2252">
        <w:rPr>
          <w:sz w:val="20"/>
          <w:szCs w:val="20"/>
        </w:rPr>
        <w:t xml:space="preserve"> Serial blood samples of </w:t>
      </w:r>
      <w:proofErr w:type="spellStart"/>
      <w:r w:rsidRPr="006A2252">
        <w:rPr>
          <w:sz w:val="20"/>
          <w:szCs w:val="20"/>
        </w:rPr>
        <w:t>prealbumin</w:t>
      </w:r>
      <w:proofErr w:type="spellEnd"/>
      <w:r w:rsidRPr="006A2252">
        <w:rPr>
          <w:sz w:val="20"/>
          <w:szCs w:val="20"/>
        </w:rPr>
        <w:t xml:space="preserve"> and </w:t>
      </w:r>
      <w:proofErr w:type="spellStart"/>
      <w:r w:rsidRPr="006A2252">
        <w:rPr>
          <w:sz w:val="20"/>
          <w:szCs w:val="20"/>
        </w:rPr>
        <w:t>transferrin</w:t>
      </w:r>
      <w:proofErr w:type="spellEnd"/>
      <w:r w:rsidRPr="006A2252">
        <w:rPr>
          <w:sz w:val="20"/>
          <w:szCs w:val="20"/>
        </w:rPr>
        <w:t xml:space="preserve"> were analyzed by ELISA. Specimen collection of 1ml of venous blood of selected patients and were collected in anticoagulant tubes. No specimen preparation was required. Samples were stored at 2-8˚C if the assay was performed within 72hrs.</w:t>
      </w:r>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Study Interventions:</w:t>
      </w:r>
      <w:r w:rsidRPr="006A2252">
        <w:rPr>
          <w:sz w:val="20"/>
          <w:szCs w:val="20"/>
        </w:rPr>
        <w:t xml:space="preserve"> This study measures serum pre-albumin, serum </w:t>
      </w:r>
      <w:proofErr w:type="spellStart"/>
      <w:r w:rsidRPr="006A2252">
        <w:rPr>
          <w:sz w:val="20"/>
          <w:szCs w:val="20"/>
        </w:rPr>
        <w:t>transferrin</w:t>
      </w:r>
      <w:proofErr w:type="spellEnd"/>
      <w:r w:rsidRPr="006A2252">
        <w:rPr>
          <w:sz w:val="20"/>
          <w:szCs w:val="20"/>
        </w:rPr>
        <w:t xml:space="preserve"> and blood culture to evaluate the effect of intravenous glutamine supplementation postoperatively in colorectal cancer patients. </w:t>
      </w:r>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Statistical Analysis:</w:t>
      </w:r>
      <w:r w:rsidRPr="006A2252">
        <w:rPr>
          <w:sz w:val="20"/>
          <w:szCs w:val="20"/>
        </w:rPr>
        <w:t xml:space="preserve"> All data was collected and analyzed statistically. </w:t>
      </w:r>
    </w:p>
    <w:p w:rsidR="00F837BF" w:rsidRPr="006A2252" w:rsidRDefault="00F837BF" w:rsidP="00FF4C83">
      <w:pPr>
        <w:numPr>
          <w:ilvl w:val="0"/>
          <w:numId w:val="1"/>
        </w:numPr>
        <w:tabs>
          <w:tab w:val="clear" w:pos="1440"/>
          <w:tab w:val="num" w:pos="360"/>
        </w:tabs>
        <w:snapToGrid w:val="0"/>
        <w:ind w:left="0" w:firstLine="425"/>
        <w:jc w:val="both"/>
        <w:rPr>
          <w:sz w:val="20"/>
          <w:szCs w:val="20"/>
        </w:rPr>
      </w:pPr>
      <w:r w:rsidRPr="006A2252">
        <w:rPr>
          <w:b/>
          <w:bCs/>
          <w:sz w:val="20"/>
          <w:szCs w:val="20"/>
        </w:rPr>
        <w:t>Statistical Package:</w:t>
      </w:r>
      <w:r w:rsidRPr="006A2252">
        <w:rPr>
          <w:sz w:val="20"/>
          <w:szCs w:val="20"/>
        </w:rPr>
        <w:t xml:space="preserve"> Data was analyzed using Statistical Program for Social Science (SPSS) version 20.</w:t>
      </w:r>
    </w:p>
    <w:p w:rsidR="00F837BF" w:rsidRPr="006A2252" w:rsidRDefault="00F837BF" w:rsidP="00FF4C83">
      <w:pPr>
        <w:snapToGrid w:val="0"/>
        <w:jc w:val="both"/>
        <w:rPr>
          <w:b/>
          <w:bCs/>
          <w:sz w:val="20"/>
          <w:szCs w:val="20"/>
        </w:rPr>
      </w:pPr>
    </w:p>
    <w:p w:rsidR="00F837BF" w:rsidRPr="006A2252" w:rsidRDefault="00F837BF" w:rsidP="00FF4C83">
      <w:pPr>
        <w:snapToGrid w:val="0"/>
        <w:jc w:val="both"/>
        <w:rPr>
          <w:b/>
          <w:bCs/>
          <w:sz w:val="20"/>
          <w:szCs w:val="20"/>
        </w:rPr>
      </w:pPr>
      <w:r w:rsidRPr="006A2252">
        <w:rPr>
          <w:b/>
          <w:bCs/>
          <w:sz w:val="20"/>
          <w:szCs w:val="20"/>
        </w:rPr>
        <w:t xml:space="preserve">3. Results </w:t>
      </w:r>
    </w:p>
    <w:p w:rsidR="00FF4C83" w:rsidRPr="006A2252" w:rsidRDefault="00FF4C83" w:rsidP="00FF4C83">
      <w:pPr>
        <w:snapToGrid w:val="0"/>
        <w:jc w:val="center"/>
        <w:rPr>
          <w:sz w:val="20"/>
          <w:szCs w:val="20"/>
        </w:rPr>
        <w:sectPr w:rsidR="00FF4C83" w:rsidRPr="006A2252" w:rsidSect="00851763">
          <w:type w:val="continuous"/>
          <w:pgSz w:w="12240" w:h="15840" w:code="9"/>
          <w:pgMar w:top="1440" w:right="1440" w:bottom="1440" w:left="1440" w:header="720" w:footer="720" w:gutter="0"/>
          <w:cols w:num="2" w:space="600"/>
          <w:docGrid w:linePitch="360"/>
        </w:sectPr>
      </w:pPr>
    </w:p>
    <w:p w:rsidR="00F837BF" w:rsidRPr="006A2252" w:rsidRDefault="00F837BF" w:rsidP="00FF4C83">
      <w:pPr>
        <w:snapToGrid w:val="0"/>
        <w:jc w:val="center"/>
        <w:rPr>
          <w:sz w:val="20"/>
          <w:szCs w:val="20"/>
        </w:rPr>
      </w:pPr>
    </w:p>
    <w:p w:rsidR="006A2252" w:rsidRDefault="006A2252" w:rsidP="00FF4C83">
      <w:pPr>
        <w:snapToGrid w:val="0"/>
        <w:jc w:val="center"/>
        <w:rPr>
          <w:rFonts w:eastAsiaTheme="minorEastAsia" w:hint="eastAsia"/>
          <w:b/>
          <w:bCs/>
          <w:sz w:val="20"/>
          <w:szCs w:val="20"/>
          <w:lang w:eastAsia="zh-CN"/>
        </w:rPr>
      </w:pPr>
      <w:bookmarkStart w:id="2" w:name="_Toc6307612"/>
    </w:p>
    <w:p w:rsidR="006A2252" w:rsidRDefault="006A2252" w:rsidP="00FF4C83">
      <w:pPr>
        <w:snapToGrid w:val="0"/>
        <w:jc w:val="center"/>
        <w:rPr>
          <w:rFonts w:eastAsiaTheme="minorEastAsia" w:hint="eastAsia"/>
          <w:b/>
          <w:bCs/>
          <w:sz w:val="20"/>
          <w:szCs w:val="20"/>
          <w:lang w:eastAsia="zh-CN"/>
        </w:rPr>
      </w:pPr>
    </w:p>
    <w:p w:rsidR="006A2252" w:rsidRDefault="006A2252" w:rsidP="00FF4C83">
      <w:pPr>
        <w:snapToGrid w:val="0"/>
        <w:jc w:val="center"/>
        <w:rPr>
          <w:rFonts w:eastAsiaTheme="minorEastAsia" w:hint="eastAsia"/>
          <w:b/>
          <w:bCs/>
          <w:sz w:val="20"/>
          <w:szCs w:val="20"/>
          <w:lang w:eastAsia="zh-CN"/>
        </w:rPr>
      </w:pPr>
    </w:p>
    <w:p w:rsidR="006A2252" w:rsidRDefault="006A2252" w:rsidP="00FF4C83">
      <w:pPr>
        <w:snapToGrid w:val="0"/>
        <w:jc w:val="center"/>
        <w:rPr>
          <w:rFonts w:eastAsiaTheme="minorEastAsia" w:hint="eastAsia"/>
          <w:b/>
          <w:bCs/>
          <w:sz w:val="20"/>
          <w:szCs w:val="20"/>
          <w:lang w:eastAsia="zh-CN"/>
        </w:rPr>
      </w:pPr>
    </w:p>
    <w:p w:rsidR="006A2252" w:rsidRDefault="006A2252" w:rsidP="00FF4C83">
      <w:pPr>
        <w:snapToGrid w:val="0"/>
        <w:jc w:val="center"/>
        <w:rPr>
          <w:rFonts w:eastAsiaTheme="minorEastAsia" w:hint="eastAsia"/>
          <w:b/>
          <w:bCs/>
          <w:sz w:val="20"/>
          <w:szCs w:val="20"/>
          <w:lang w:eastAsia="zh-CN"/>
        </w:rPr>
      </w:pPr>
    </w:p>
    <w:p w:rsidR="006A2252" w:rsidRDefault="006A2252" w:rsidP="00FF4C83">
      <w:pPr>
        <w:snapToGrid w:val="0"/>
        <w:jc w:val="center"/>
        <w:rPr>
          <w:rFonts w:eastAsiaTheme="minorEastAsia" w:hint="eastAsia"/>
          <w:b/>
          <w:bCs/>
          <w:sz w:val="20"/>
          <w:szCs w:val="20"/>
          <w:lang w:eastAsia="zh-CN"/>
        </w:rPr>
      </w:pPr>
    </w:p>
    <w:p w:rsidR="006A2252" w:rsidRDefault="006A2252" w:rsidP="00FF4C83">
      <w:pPr>
        <w:snapToGrid w:val="0"/>
        <w:jc w:val="center"/>
        <w:rPr>
          <w:rFonts w:eastAsiaTheme="minorEastAsia" w:hint="eastAsia"/>
          <w:b/>
          <w:bCs/>
          <w:sz w:val="20"/>
          <w:szCs w:val="20"/>
          <w:lang w:eastAsia="zh-CN"/>
        </w:rPr>
      </w:pPr>
    </w:p>
    <w:p w:rsidR="006A2252" w:rsidRDefault="006A2252" w:rsidP="00FF4C83">
      <w:pPr>
        <w:snapToGrid w:val="0"/>
        <w:jc w:val="center"/>
        <w:rPr>
          <w:rFonts w:eastAsiaTheme="minorEastAsia" w:hint="eastAsia"/>
          <w:b/>
          <w:bCs/>
          <w:sz w:val="20"/>
          <w:szCs w:val="20"/>
          <w:lang w:eastAsia="zh-CN"/>
        </w:rPr>
      </w:pPr>
    </w:p>
    <w:p w:rsidR="006A2252" w:rsidRDefault="006A2252" w:rsidP="00FF4C83">
      <w:pPr>
        <w:snapToGrid w:val="0"/>
        <w:jc w:val="center"/>
        <w:rPr>
          <w:rFonts w:eastAsiaTheme="minorEastAsia" w:hint="eastAsia"/>
          <w:b/>
          <w:bCs/>
          <w:sz w:val="20"/>
          <w:szCs w:val="20"/>
          <w:lang w:eastAsia="zh-CN"/>
        </w:rPr>
      </w:pPr>
    </w:p>
    <w:p w:rsidR="006A2252" w:rsidRDefault="006A2252" w:rsidP="00FF4C83">
      <w:pPr>
        <w:snapToGrid w:val="0"/>
        <w:jc w:val="center"/>
        <w:rPr>
          <w:rFonts w:eastAsiaTheme="minorEastAsia" w:hint="eastAsia"/>
          <w:b/>
          <w:bCs/>
          <w:sz w:val="20"/>
          <w:szCs w:val="20"/>
          <w:lang w:eastAsia="zh-CN"/>
        </w:rPr>
      </w:pPr>
    </w:p>
    <w:p w:rsidR="00F837BF" w:rsidRPr="006A2252" w:rsidRDefault="00F837BF" w:rsidP="00FF4C83">
      <w:pPr>
        <w:snapToGrid w:val="0"/>
        <w:jc w:val="center"/>
        <w:rPr>
          <w:b/>
          <w:bCs/>
          <w:sz w:val="20"/>
          <w:szCs w:val="20"/>
        </w:rPr>
      </w:pPr>
      <w:r w:rsidRPr="006A2252">
        <w:rPr>
          <w:b/>
          <w:bCs/>
          <w:sz w:val="20"/>
          <w:szCs w:val="20"/>
        </w:rPr>
        <w:lastRenderedPageBreak/>
        <w:t>Table (1)</w:t>
      </w:r>
      <w:r w:rsidR="00FF4C83" w:rsidRPr="006A2252">
        <w:rPr>
          <w:b/>
          <w:bCs/>
          <w:sz w:val="20"/>
          <w:szCs w:val="20"/>
        </w:rPr>
        <w:t xml:space="preserve">: </w:t>
      </w:r>
      <w:r w:rsidR="00FF4C83" w:rsidRPr="006A2252">
        <w:rPr>
          <w:sz w:val="20"/>
          <w:szCs w:val="20"/>
        </w:rPr>
        <w:t>C</w:t>
      </w:r>
      <w:r w:rsidRPr="006A2252">
        <w:rPr>
          <w:sz w:val="20"/>
          <w:szCs w:val="20"/>
        </w:rPr>
        <w:t>omparison between two studied groups regarding CRP</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460"/>
        <w:gridCol w:w="1048"/>
        <w:gridCol w:w="1561"/>
        <w:gridCol w:w="1561"/>
        <w:gridCol w:w="1144"/>
        <w:gridCol w:w="1700"/>
      </w:tblGrid>
      <w:tr w:rsidR="00F837BF" w:rsidRPr="006A2252" w:rsidTr="009677D1">
        <w:trPr>
          <w:cantSplit/>
          <w:jc w:val="center"/>
        </w:trPr>
        <w:tc>
          <w:tcPr>
            <w:tcW w:w="1851" w:type="pct"/>
            <w:gridSpan w:val="2"/>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b/>
                <w:bCs/>
                <w:sz w:val="20"/>
                <w:szCs w:val="20"/>
              </w:rPr>
            </w:pPr>
            <w:r w:rsidRPr="006A2252">
              <w:rPr>
                <w:rFonts w:eastAsia="Calibri"/>
                <w:b/>
                <w:bCs/>
                <w:sz w:val="20"/>
                <w:szCs w:val="20"/>
              </w:rPr>
              <w:t>CRP</w:t>
            </w:r>
          </w:p>
        </w:tc>
        <w:tc>
          <w:tcPr>
            <w:tcW w:w="1648" w:type="pct"/>
            <w:gridSpan w:val="2"/>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GROUPS</w:t>
            </w:r>
          </w:p>
        </w:tc>
        <w:tc>
          <w:tcPr>
            <w:tcW w:w="1502" w:type="pct"/>
            <w:gridSpan w:val="2"/>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Mann-Whitney U test</w:t>
            </w:r>
          </w:p>
        </w:tc>
      </w:tr>
      <w:tr w:rsidR="00F837BF" w:rsidRPr="006A2252" w:rsidTr="009677D1">
        <w:trPr>
          <w:cantSplit/>
          <w:jc w:val="center"/>
        </w:trPr>
        <w:tc>
          <w:tcPr>
            <w:tcW w:w="1851" w:type="pct"/>
            <w:gridSpan w:val="2"/>
            <w:vMerge/>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Glutamine</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Control</w:t>
            </w:r>
          </w:p>
        </w:tc>
        <w:tc>
          <w:tcPr>
            <w:tcW w:w="604"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 xml:space="preserve">Z </w:t>
            </w:r>
            <w:r w:rsidRPr="006A2252">
              <w:rPr>
                <w:rFonts w:eastAsia="Calibri"/>
                <w:b/>
                <w:bCs/>
                <w:color w:val="000000"/>
                <w:sz w:val="20"/>
                <w:szCs w:val="20"/>
                <w:vertAlign w:val="subscript"/>
              </w:rPr>
              <w:t>mw</w:t>
            </w:r>
          </w:p>
        </w:tc>
        <w:tc>
          <w:tcPr>
            <w:tcW w:w="897"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P value</w:t>
            </w:r>
          </w:p>
        </w:tc>
      </w:tr>
      <w:tr w:rsidR="00F837BF" w:rsidRPr="006A2252" w:rsidTr="009677D1">
        <w:trPr>
          <w:cantSplit/>
          <w:jc w:val="center"/>
        </w:trPr>
        <w:tc>
          <w:tcPr>
            <w:tcW w:w="1298"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D0</w:t>
            </w:r>
          </w:p>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(on ICU admission)</w:t>
            </w:r>
          </w:p>
        </w:tc>
        <w:tc>
          <w:tcPr>
            <w:tcW w:w="553"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3.14-201.00</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1.98-196.00</w:t>
            </w:r>
          </w:p>
        </w:tc>
        <w:tc>
          <w:tcPr>
            <w:tcW w:w="60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.978</w:t>
            </w:r>
          </w:p>
        </w:tc>
        <w:tc>
          <w:tcPr>
            <w:tcW w:w="89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.328</w:t>
            </w:r>
          </w:p>
        </w:tc>
      </w:tr>
      <w:tr w:rsidR="00F837BF" w:rsidRPr="006A2252" w:rsidTr="009677D1">
        <w:trPr>
          <w:cantSplit/>
          <w:jc w:val="center"/>
        </w:trPr>
        <w:tc>
          <w:tcPr>
            <w:tcW w:w="1298"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highlight w:val="cyan"/>
              </w:rPr>
            </w:pPr>
          </w:p>
        </w:tc>
        <w:tc>
          <w:tcPr>
            <w:tcW w:w="553"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37.00</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47.00</w:t>
            </w:r>
          </w:p>
        </w:tc>
        <w:tc>
          <w:tcPr>
            <w:tcW w:w="60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9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298"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D2</w:t>
            </w:r>
          </w:p>
        </w:tc>
        <w:tc>
          <w:tcPr>
            <w:tcW w:w="553"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6.00-211.00</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4.00-204.00</w:t>
            </w:r>
          </w:p>
        </w:tc>
        <w:tc>
          <w:tcPr>
            <w:tcW w:w="60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.65</w:t>
            </w:r>
          </w:p>
        </w:tc>
        <w:tc>
          <w:tcPr>
            <w:tcW w:w="89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.52</w:t>
            </w:r>
          </w:p>
        </w:tc>
      </w:tr>
      <w:tr w:rsidR="00F837BF" w:rsidRPr="006A2252" w:rsidTr="009677D1">
        <w:trPr>
          <w:cantSplit/>
          <w:jc w:val="center"/>
        </w:trPr>
        <w:tc>
          <w:tcPr>
            <w:tcW w:w="1298"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53"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52.00</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50.00</w:t>
            </w:r>
          </w:p>
        </w:tc>
        <w:tc>
          <w:tcPr>
            <w:tcW w:w="60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9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298"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D7</w:t>
            </w:r>
          </w:p>
        </w:tc>
        <w:tc>
          <w:tcPr>
            <w:tcW w:w="553"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3.00-158.00</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5.00-186.30</w:t>
            </w:r>
          </w:p>
        </w:tc>
        <w:tc>
          <w:tcPr>
            <w:tcW w:w="60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3.37</w:t>
            </w:r>
          </w:p>
        </w:tc>
        <w:tc>
          <w:tcPr>
            <w:tcW w:w="89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.001*</w:t>
            </w:r>
          </w:p>
        </w:tc>
      </w:tr>
      <w:tr w:rsidR="00F837BF" w:rsidRPr="006A2252" w:rsidTr="009677D1">
        <w:trPr>
          <w:cantSplit/>
          <w:jc w:val="center"/>
        </w:trPr>
        <w:tc>
          <w:tcPr>
            <w:tcW w:w="1298"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53"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15.00</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44.00</w:t>
            </w:r>
          </w:p>
        </w:tc>
        <w:tc>
          <w:tcPr>
            <w:tcW w:w="60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9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298"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D10</w:t>
            </w:r>
          </w:p>
        </w:tc>
        <w:tc>
          <w:tcPr>
            <w:tcW w:w="553"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3.00-127.90</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3.00-87.80</w:t>
            </w:r>
          </w:p>
        </w:tc>
        <w:tc>
          <w:tcPr>
            <w:tcW w:w="60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2.62</w:t>
            </w:r>
          </w:p>
        </w:tc>
        <w:tc>
          <w:tcPr>
            <w:tcW w:w="89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.009*</w:t>
            </w:r>
          </w:p>
        </w:tc>
      </w:tr>
      <w:tr w:rsidR="00F837BF" w:rsidRPr="006A2252" w:rsidTr="009677D1">
        <w:trPr>
          <w:cantSplit/>
          <w:jc w:val="center"/>
        </w:trPr>
        <w:tc>
          <w:tcPr>
            <w:tcW w:w="1298"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53"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5.90</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20.00</w:t>
            </w:r>
          </w:p>
        </w:tc>
        <w:tc>
          <w:tcPr>
            <w:tcW w:w="60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9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298"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D14</w:t>
            </w:r>
          </w:p>
        </w:tc>
        <w:tc>
          <w:tcPr>
            <w:tcW w:w="553"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1.50-78.70</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2.50-54.50</w:t>
            </w:r>
          </w:p>
        </w:tc>
        <w:tc>
          <w:tcPr>
            <w:tcW w:w="60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4.18</w:t>
            </w:r>
          </w:p>
        </w:tc>
        <w:tc>
          <w:tcPr>
            <w:tcW w:w="89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&lt;.001*</w:t>
            </w:r>
          </w:p>
        </w:tc>
      </w:tr>
      <w:tr w:rsidR="00F837BF" w:rsidRPr="006A2252" w:rsidTr="009677D1">
        <w:trPr>
          <w:cantSplit/>
          <w:jc w:val="center"/>
        </w:trPr>
        <w:tc>
          <w:tcPr>
            <w:tcW w:w="1298"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53"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3.80</w:t>
            </w:r>
          </w:p>
        </w:tc>
        <w:tc>
          <w:tcPr>
            <w:tcW w:w="82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8.30</w:t>
            </w:r>
          </w:p>
        </w:tc>
        <w:tc>
          <w:tcPr>
            <w:tcW w:w="60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9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bl>
    <w:p w:rsidR="00F837BF" w:rsidRPr="006A2252" w:rsidRDefault="00F837BF" w:rsidP="00FF4C83">
      <w:pPr>
        <w:snapToGrid w:val="0"/>
        <w:jc w:val="both"/>
        <w:outlineLvl w:val="0"/>
        <w:rPr>
          <w:sz w:val="20"/>
          <w:szCs w:val="20"/>
        </w:rPr>
      </w:pPr>
      <w:r w:rsidRPr="006A2252">
        <w:rPr>
          <w:sz w:val="20"/>
          <w:szCs w:val="20"/>
        </w:rPr>
        <w:t>*significant at p&lt;.05</w:t>
      </w:r>
    </w:p>
    <w:bookmarkEnd w:id="2"/>
    <w:p w:rsidR="00FF4C83" w:rsidRPr="006A2252" w:rsidRDefault="00FF4C83" w:rsidP="00FF4C83">
      <w:pPr>
        <w:autoSpaceDE w:val="0"/>
        <w:autoSpaceDN w:val="0"/>
        <w:adjustRightInd w:val="0"/>
        <w:snapToGrid w:val="0"/>
        <w:ind w:firstLine="425"/>
        <w:jc w:val="both"/>
        <w:rPr>
          <w:rFonts w:eastAsiaTheme="minorEastAsia" w:hint="eastAsia"/>
          <w:sz w:val="20"/>
          <w:szCs w:val="20"/>
          <w:lang w:eastAsia="zh-CN"/>
        </w:rPr>
      </w:pPr>
    </w:p>
    <w:p w:rsidR="006A2252" w:rsidRPr="006A2252" w:rsidRDefault="006A2252" w:rsidP="00FF4C83">
      <w:pPr>
        <w:autoSpaceDE w:val="0"/>
        <w:autoSpaceDN w:val="0"/>
        <w:adjustRightInd w:val="0"/>
        <w:snapToGrid w:val="0"/>
        <w:ind w:firstLine="425"/>
        <w:jc w:val="both"/>
        <w:rPr>
          <w:rFonts w:eastAsiaTheme="minorEastAsia" w:hint="eastAsia"/>
          <w:sz w:val="20"/>
          <w:szCs w:val="20"/>
          <w:lang w:eastAsia="zh-CN"/>
        </w:rPr>
        <w:sectPr w:rsidR="006A2252" w:rsidRPr="006A2252" w:rsidSect="00851763">
          <w:type w:val="continuous"/>
          <w:pgSz w:w="12240" w:h="15840" w:code="9"/>
          <w:pgMar w:top="1440" w:right="1440" w:bottom="1440" w:left="1440" w:header="720" w:footer="720" w:gutter="0"/>
          <w:cols w:space="720"/>
          <w:docGrid w:linePitch="360"/>
        </w:sectPr>
      </w:pPr>
    </w:p>
    <w:p w:rsidR="00F837BF" w:rsidRPr="006A2252" w:rsidRDefault="00F837BF" w:rsidP="00FF4C83">
      <w:pPr>
        <w:autoSpaceDE w:val="0"/>
        <w:autoSpaceDN w:val="0"/>
        <w:adjustRightInd w:val="0"/>
        <w:snapToGrid w:val="0"/>
        <w:ind w:firstLine="425"/>
        <w:jc w:val="both"/>
        <w:rPr>
          <w:rFonts w:eastAsia="Calibri"/>
          <w:sz w:val="20"/>
          <w:szCs w:val="20"/>
        </w:rPr>
      </w:pPr>
      <w:r w:rsidRPr="006A2252">
        <w:rPr>
          <w:rFonts w:eastAsia="Calibri"/>
          <w:sz w:val="20"/>
          <w:szCs w:val="20"/>
        </w:rPr>
        <w:lastRenderedPageBreak/>
        <w:t>At D0 and D2, there were no significant difference between the two groups (p&gt;.05).</w:t>
      </w:r>
      <w:r w:rsidR="009677D1" w:rsidRPr="006A2252">
        <w:rPr>
          <w:rFonts w:eastAsia="Calibri"/>
          <w:sz w:val="20"/>
          <w:szCs w:val="20"/>
        </w:rPr>
        <w:t xml:space="preserve"> </w:t>
      </w:r>
      <w:r w:rsidRPr="006A2252">
        <w:rPr>
          <w:rFonts w:eastAsia="Calibri"/>
          <w:sz w:val="20"/>
          <w:szCs w:val="20"/>
        </w:rPr>
        <w:t xml:space="preserve">However, the median CRP levels were significantly lower in </w:t>
      </w:r>
      <w:r w:rsidRPr="006A2252">
        <w:rPr>
          <w:rFonts w:eastAsia="Calibri"/>
          <w:sz w:val="20"/>
          <w:szCs w:val="20"/>
        </w:rPr>
        <w:lastRenderedPageBreak/>
        <w:t>glutamine than control group at D7 (15 and 44</w:t>
      </w:r>
      <w:r w:rsidR="006A2252" w:rsidRPr="006A2252">
        <w:rPr>
          <w:rFonts w:eastAsiaTheme="minorEastAsia" w:hint="eastAsia"/>
          <w:sz w:val="20"/>
          <w:szCs w:val="20"/>
          <w:lang w:eastAsia="zh-CN"/>
        </w:rPr>
        <w:t xml:space="preserve"> </w:t>
      </w:r>
      <w:r w:rsidRPr="006A2252">
        <w:rPr>
          <w:rFonts w:eastAsia="Calibri"/>
          <w:sz w:val="20"/>
          <w:szCs w:val="20"/>
        </w:rPr>
        <w:t>respectively), at D10 (5.9 and 20 respectively), and at D14 (3.8 and 8.3 respectively).</w:t>
      </w:r>
    </w:p>
    <w:p w:rsidR="00FF4C83" w:rsidRPr="006A2252" w:rsidRDefault="00FF4C83" w:rsidP="00FF4C83">
      <w:pPr>
        <w:snapToGrid w:val="0"/>
        <w:jc w:val="center"/>
        <w:rPr>
          <w:b/>
          <w:bCs/>
          <w:sz w:val="20"/>
          <w:szCs w:val="20"/>
        </w:rPr>
        <w:sectPr w:rsidR="00FF4C83" w:rsidRPr="006A2252" w:rsidSect="00851763">
          <w:type w:val="continuous"/>
          <w:pgSz w:w="12240" w:h="15840" w:code="9"/>
          <w:pgMar w:top="1440" w:right="1440" w:bottom="1440" w:left="1440" w:header="720" w:footer="720" w:gutter="0"/>
          <w:cols w:num="2" w:space="600"/>
          <w:docGrid w:linePitch="360"/>
        </w:sectPr>
      </w:pPr>
      <w:bookmarkStart w:id="3" w:name="_Toc6307613"/>
    </w:p>
    <w:p w:rsidR="00F837BF" w:rsidRPr="006A2252" w:rsidRDefault="00F837BF" w:rsidP="00FF4C83">
      <w:pPr>
        <w:snapToGrid w:val="0"/>
        <w:jc w:val="center"/>
        <w:rPr>
          <w:b/>
          <w:bCs/>
          <w:sz w:val="20"/>
          <w:szCs w:val="20"/>
        </w:rPr>
      </w:pPr>
    </w:p>
    <w:p w:rsidR="00F837BF" w:rsidRPr="006A2252" w:rsidRDefault="00F837BF" w:rsidP="00FF4C83">
      <w:pPr>
        <w:snapToGrid w:val="0"/>
        <w:jc w:val="center"/>
        <w:rPr>
          <w:sz w:val="20"/>
          <w:szCs w:val="20"/>
        </w:rPr>
      </w:pPr>
      <w:r w:rsidRPr="006A2252">
        <w:rPr>
          <w:b/>
          <w:bCs/>
          <w:sz w:val="20"/>
          <w:szCs w:val="20"/>
        </w:rPr>
        <w:t xml:space="preserve">Table (2): </w:t>
      </w:r>
      <w:r w:rsidRPr="006A2252">
        <w:rPr>
          <w:sz w:val="20"/>
          <w:szCs w:val="20"/>
        </w:rPr>
        <w:t>Comparison between two studied groups regarding ESR</w:t>
      </w:r>
      <w:bookmarkEnd w:id="3"/>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560"/>
        <w:gridCol w:w="1090"/>
        <w:gridCol w:w="1542"/>
        <w:gridCol w:w="1324"/>
        <w:gridCol w:w="1279"/>
        <w:gridCol w:w="1679"/>
      </w:tblGrid>
      <w:tr w:rsidR="00F837BF" w:rsidRPr="006A2252" w:rsidTr="009677D1">
        <w:trPr>
          <w:cantSplit/>
          <w:jc w:val="center"/>
        </w:trPr>
        <w:tc>
          <w:tcPr>
            <w:tcW w:w="1925" w:type="pct"/>
            <w:gridSpan w:val="2"/>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b/>
                <w:bCs/>
                <w:sz w:val="20"/>
                <w:szCs w:val="20"/>
              </w:rPr>
            </w:pPr>
            <w:r w:rsidRPr="006A2252">
              <w:rPr>
                <w:rFonts w:eastAsia="Calibri"/>
                <w:b/>
                <w:bCs/>
                <w:color w:val="000000"/>
                <w:sz w:val="20"/>
                <w:szCs w:val="20"/>
              </w:rPr>
              <w:t>ESR</w:t>
            </w:r>
          </w:p>
        </w:tc>
        <w:tc>
          <w:tcPr>
            <w:tcW w:w="1512" w:type="pct"/>
            <w:gridSpan w:val="2"/>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GROUPS</w:t>
            </w:r>
          </w:p>
        </w:tc>
        <w:tc>
          <w:tcPr>
            <w:tcW w:w="1562" w:type="pct"/>
            <w:gridSpan w:val="2"/>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Mann-Whitney U test</w:t>
            </w:r>
          </w:p>
        </w:tc>
      </w:tr>
      <w:tr w:rsidR="00F837BF" w:rsidRPr="006A2252" w:rsidTr="009677D1">
        <w:trPr>
          <w:cantSplit/>
          <w:jc w:val="center"/>
        </w:trPr>
        <w:tc>
          <w:tcPr>
            <w:tcW w:w="1925" w:type="pct"/>
            <w:gridSpan w:val="2"/>
            <w:vMerge/>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Glutamine</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Control</w:t>
            </w:r>
          </w:p>
        </w:tc>
        <w:tc>
          <w:tcPr>
            <w:tcW w:w="675"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 xml:space="preserve">Z </w:t>
            </w:r>
            <w:r w:rsidRPr="006A2252">
              <w:rPr>
                <w:rFonts w:eastAsia="Calibri"/>
                <w:b/>
                <w:bCs/>
                <w:color w:val="000000"/>
                <w:sz w:val="20"/>
                <w:szCs w:val="20"/>
                <w:vertAlign w:val="subscript"/>
              </w:rPr>
              <w:t>mw</w:t>
            </w:r>
          </w:p>
        </w:tc>
        <w:tc>
          <w:tcPr>
            <w:tcW w:w="887"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P value</w:t>
            </w:r>
          </w:p>
        </w:tc>
      </w:tr>
      <w:tr w:rsidR="00F837BF" w:rsidRPr="006A2252" w:rsidTr="009677D1">
        <w:trPr>
          <w:cantSplit/>
          <w:jc w:val="center"/>
        </w:trPr>
        <w:tc>
          <w:tcPr>
            <w:tcW w:w="1351"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D0</w:t>
            </w:r>
          </w:p>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(on ICU admission)</w:t>
            </w:r>
          </w:p>
        </w:tc>
        <w:tc>
          <w:tcPr>
            <w:tcW w:w="575"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4.0-106.0</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5.0-99.0</w:t>
            </w:r>
          </w:p>
        </w:tc>
        <w:tc>
          <w:tcPr>
            <w:tcW w:w="675"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1.96</w:t>
            </w:r>
          </w:p>
        </w:tc>
        <w:tc>
          <w:tcPr>
            <w:tcW w:w="88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0.050</w:t>
            </w:r>
          </w:p>
        </w:tc>
      </w:tr>
      <w:tr w:rsidR="00F837BF" w:rsidRPr="006A2252" w:rsidTr="009677D1">
        <w:trPr>
          <w:cantSplit/>
          <w:jc w:val="center"/>
        </w:trPr>
        <w:tc>
          <w:tcPr>
            <w:tcW w:w="1351"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75"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28.0</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36.0</w:t>
            </w:r>
          </w:p>
        </w:tc>
        <w:tc>
          <w:tcPr>
            <w:tcW w:w="675"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351"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D2</w:t>
            </w:r>
          </w:p>
        </w:tc>
        <w:tc>
          <w:tcPr>
            <w:tcW w:w="575"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13.0-93.0</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5.0-115.0</w:t>
            </w:r>
          </w:p>
        </w:tc>
        <w:tc>
          <w:tcPr>
            <w:tcW w:w="675"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1.272</w:t>
            </w:r>
          </w:p>
        </w:tc>
        <w:tc>
          <w:tcPr>
            <w:tcW w:w="88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.203</w:t>
            </w:r>
          </w:p>
        </w:tc>
      </w:tr>
      <w:tr w:rsidR="00F837BF" w:rsidRPr="006A2252" w:rsidTr="009677D1">
        <w:trPr>
          <w:cantSplit/>
          <w:jc w:val="center"/>
        </w:trPr>
        <w:tc>
          <w:tcPr>
            <w:tcW w:w="1351"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75"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34.0</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39.0</w:t>
            </w:r>
          </w:p>
        </w:tc>
        <w:tc>
          <w:tcPr>
            <w:tcW w:w="675"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351"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D7</w:t>
            </w:r>
          </w:p>
        </w:tc>
        <w:tc>
          <w:tcPr>
            <w:tcW w:w="575"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2.0-68.0</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3.0-93.0</w:t>
            </w:r>
          </w:p>
        </w:tc>
        <w:tc>
          <w:tcPr>
            <w:tcW w:w="675"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3.0</w:t>
            </w:r>
          </w:p>
        </w:tc>
        <w:tc>
          <w:tcPr>
            <w:tcW w:w="88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.003*</w:t>
            </w:r>
          </w:p>
        </w:tc>
      </w:tr>
      <w:tr w:rsidR="00F837BF" w:rsidRPr="006A2252" w:rsidTr="009677D1">
        <w:trPr>
          <w:cantSplit/>
          <w:jc w:val="center"/>
        </w:trPr>
        <w:tc>
          <w:tcPr>
            <w:tcW w:w="1351"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75"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22.0</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36.0</w:t>
            </w:r>
          </w:p>
        </w:tc>
        <w:tc>
          <w:tcPr>
            <w:tcW w:w="675"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351"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D10</w:t>
            </w:r>
          </w:p>
        </w:tc>
        <w:tc>
          <w:tcPr>
            <w:tcW w:w="575"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.00-83.0</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3.0-53.0</w:t>
            </w:r>
          </w:p>
        </w:tc>
        <w:tc>
          <w:tcPr>
            <w:tcW w:w="675"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4.05</w:t>
            </w:r>
          </w:p>
        </w:tc>
        <w:tc>
          <w:tcPr>
            <w:tcW w:w="88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&lt;.001*</w:t>
            </w:r>
          </w:p>
        </w:tc>
      </w:tr>
      <w:tr w:rsidR="00F837BF" w:rsidRPr="006A2252" w:rsidTr="009677D1">
        <w:trPr>
          <w:cantSplit/>
          <w:jc w:val="center"/>
        </w:trPr>
        <w:tc>
          <w:tcPr>
            <w:tcW w:w="1351"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75"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7.0</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22.0</w:t>
            </w:r>
          </w:p>
        </w:tc>
        <w:tc>
          <w:tcPr>
            <w:tcW w:w="675"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351"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D14</w:t>
            </w:r>
          </w:p>
        </w:tc>
        <w:tc>
          <w:tcPr>
            <w:tcW w:w="575"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.00-50.0</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.00-47.0</w:t>
            </w:r>
          </w:p>
        </w:tc>
        <w:tc>
          <w:tcPr>
            <w:tcW w:w="675"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3.09</w:t>
            </w:r>
          </w:p>
        </w:tc>
        <w:tc>
          <w:tcPr>
            <w:tcW w:w="88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.002*</w:t>
            </w:r>
          </w:p>
        </w:tc>
      </w:tr>
      <w:tr w:rsidR="00F837BF" w:rsidRPr="006A2252" w:rsidTr="009677D1">
        <w:trPr>
          <w:cantSplit/>
          <w:jc w:val="center"/>
        </w:trPr>
        <w:tc>
          <w:tcPr>
            <w:tcW w:w="1351"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75"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14"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2.0</w:t>
            </w:r>
          </w:p>
        </w:tc>
        <w:tc>
          <w:tcPr>
            <w:tcW w:w="699"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9.0</w:t>
            </w:r>
          </w:p>
        </w:tc>
        <w:tc>
          <w:tcPr>
            <w:tcW w:w="675"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bl>
    <w:p w:rsidR="00F837BF" w:rsidRPr="006A2252" w:rsidRDefault="00F837BF" w:rsidP="00FF4C83">
      <w:pPr>
        <w:snapToGrid w:val="0"/>
        <w:jc w:val="both"/>
        <w:rPr>
          <w:rFonts w:eastAsia="Calibri"/>
          <w:sz w:val="20"/>
          <w:szCs w:val="20"/>
        </w:rPr>
      </w:pPr>
      <w:r w:rsidRPr="006A2252">
        <w:rPr>
          <w:rFonts w:eastAsia="Calibri"/>
          <w:sz w:val="20"/>
          <w:szCs w:val="20"/>
        </w:rPr>
        <w:t>*significant at p&lt;.05</w:t>
      </w:r>
    </w:p>
    <w:p w:rsidR="00F837BF" w:rsidRPr="006A2252" w:rsidRDefault="00F837BF" w:rsidP="00FF4C83">
      <w:pPr>
        <w:snapToGrid w:val="0"/>
        <w:ind w:firstLine="425"/>
        <w:jc w:val="both"/>
        <w:rPr>
          <w:rFonts w:eastAsia="Calibri"/>
          <w:sz w:val="20"/>
          <w:szCs w:val="20"/>
        </w:rPr>
      </w:pPr>
    </w:p>
    <w:p w:rsidR="00FF4C83" w:rsidRPr="006A2252" w:rsidRDefault="00FF4C83" w:rsidP="00FF4C83">
      <w:pPr>
        <w:autoSpaceDE w:val="0"/>
        <w:autoSpaceDN w:val="0"/>
        <w:adjustRightInd w:val="0"/>
        <w:snapToGrid w:val="0"/>
        <w:ind w:firstLine="425"/>
        <w:jc w:val="both"/>
        <w:rPr>
          <w:rFonts w:eastAsia="Calibri"/>
          <w:sz w:val="20"/>
          <w:szCs w:val="20"/>
        </w:rPr>
        <w:sectPr w:rsidR="00FF4C83" w:rsidRPr="006A2252" w:rsidSect="00851763">
          <w:type w:val="continuous"/>
          <w:pgSz w:w="12240" w:h="15840" w:code="9"/>
          <w:pgMar w:top="1440" w:right="1440" w:bottom="1440" w:left="1440" w:header="720" w:footer="720" w:gutter="0"/>
          <w:cols w:space="720"/>
          <w:docGrid w:linePitch="360"/>
        </w:sectPr>
      </w:pPr>
      <w:bookmarkStart w:id="4" w:name="_Toc6307614"/>
    </w:p>
    <w:p w:rsidR="00F837BF" w:rsidRPr="006A2252" w:rsidRDefault="00F837BF" w:rsidP="00FF4C83">
      <w:pPr>
        <w:autoSpaceDE w:val="0"/>
        <w:autoSpaceDN w:val="0"/>
        <w:adjustRightInd w:val="0"/>
        <w:snapToGrid w:val="0"/>
        <w:ind w:firstLine="425"/>
        <w:jc w:val="both"/>
        <w:rPr>
          <w:rFonts w:eastAsia="Calibri"/>
          <w:sz w:val="20"/>
          <w:szCs w:val="20"/>
        </w:rPr>
      </w:pPr>
      <w:r w:rsidRPr="006A2252">
        <w:rPr>
          <w:rFonts w:eastAsia="Calibri"/>
          <w:sz w:val="20"/>
          <w:szCs w:val="20"/>
        </w:rPr>
        <w:lastRenderedPageBreak/>
        <w:t xml:space="preserve">There were no significant differences between the two groups at D0 and D2. However, the median ESR levels were significantly lower in glutamine </w:t>
      </w:r>
      <w:r w:rsidRPr="006A2252">
        <w:rPr>
          <w:rFonts w:eastAsia="Calibri"/>
          <w:sz w:val="20"/>
          <w:szCs w:val="20"/>
        </w:rPr>
        <w:lastRenderedPageBreak/>
        <w:t>group than control group at D7 (22 and 36 respectively), at D10 (7 and 22 respectively), at D14 (2 and 9 respectively).</w:t>
      </w:r>
    </w:p>
    <w:p w:rsidR="00FF4C83" w:rsidRPr="006A2252" w:rsidRDefault="00FF4C83" w:rsidP="00FF4C83">
      <w:pPr>
        <w:snapToGrid w:val="0"/>
        <w:jc w:val="center"/>
        <w:rPr>
          <w:b/>
          <w:bCs/>
          <w:sz w:val="20"/>
          <w:szCs w:val="20"/>
        </w:rPr>
        <w:sectPr w:rsidR="00FF4C83" w:rsidRPr="006A2252" w:rsidSect="00851763">
          <w:type w:val="continuous"/>
          <w:pgSz w:w="12240" w:h="15840" w:code="9"/>
          <w:pgMar w:top="1440" w:right="1440" w:bottom="1440" w:left="1440" w:header="720" w:footer="720" w:gutter="0"/>
          <w:cols w:num="2" w:space="600"/>
          <w:docGrid w:linePitch="360"/>
        </w:sectPr>
      </w:pPr>
    </w:p>
    <w:p w:rsidR="00F837BF" w:rsidRPr="006A2252" w:rsidRDefault="00F837BF" w:rsidP="00FF4C83">
      <w:pPr>
        <w:snapToGrid w:val="0"/>
        <w:jc w:val="center"/>
        <w:rPr>
          <w:b/>
          <w:bCs/>
          <w:sz w:val="20"/>
          <w:szCs w:val="20"/>
        </w:rPr>
      </w:pPr>
    </w:p>
    <w:p w:rsidR="00F837BF" w:rsidRPr="006A2252" w:rsidRDefault="00F837BF" w:rsidP="00FF4C83">
      <w:pPr>
        <w:snapToGrid w:val="0"/>
        <w:jc w:val="center"/>
        <w:rPr>
          <w:sz w:val="20"/>
          <w:szCs w:val="20"/>
        </w:rPr>
      </w:pPr>
      <w:r w:rsidRPr="006A2252">
        <w:rPr>
          <w:b/>
          <w:bCs/>
          <w:sz w:val="20"/>
          <w:szCs w:val="20"/>
        </w:rPr>
        <w:t xml:space="preserve">Table (3): </w:t>
      </w:r>
      <w:r w:rsidRPr="006A2252">
        <w:rPr>
          <w:sz w:val="20"/>
          <w:szCs w:val="20"/>
        </w:rPr>
        <w:t xml:space="preserve">Comparison between two studied groups regarding </w:t>
      </w:r>
      <w:proofErr w:type="spellStart"/>
      <w:r w:rsidRPr="006A2252">
        <w:rPr>
          <w:sz w:val="20"/>
          <w:szCs w:val="20"/>
        </w:rPr>
        <w:t>WBCs</w:t>
      </w:r>
      <w:bookmarkEnd w:id="4"/>
      <w:proofErr w:type="spellEnd"/>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519"/>
        <w:gridCol w:w="1072"/>
        <w:gridCol w:w="1518"/>
        <w:gridCol w:w="1451"/>
        <w:gridCol w:w="1258"/>
        <w:gridCol w:w="1656"/>
      </w:tblGrid>
      <w:tr w:rsidR="00F837BF" w:rsidRPr="006A2252" w:rsidTr="009677D1">
        <w:trPr>
          <w:cantSplit/>
          <w:jc w:val="center"/>
        </w:trPr>
        <w:tc>
          <w:tcPr>
            <w:tcW w:w="1895" w:type="pct"/>
            <w:gridSpan w:val="2"/>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b/>
                <w:bCs/>
                <w:sz w:val="20"/>
                <w:szCs w:val="20"/>
              </w:rPr>
            </w:pPr>
            <w:proofErr w:type="spellStart"/>
            <w:r w:rsidRPr="006A2252">
              <w:rPr>
                <w:rFonts w:eastAsia="Calibri"/>
                <w:b/>
                <w:bCs/>
                <w:color w:val="000000"/>
                <w:sz w:val="20"/>
                <w:szCs w:val="20"/>
              </w:rPr>
              <w:t>WBCs</w:t>
            </w:r>
            <w:proofErr w:type="spellEnd"/>
          </w:p>
        </w:tc>
        <w:tc>
          <w:tcPr>
            <w:tcW w:w="1567" w:type="pct"/>
            <w:gridSpan w:val="2"/>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GROUPS</w:t>
            </w:r>
          </w:p>
        </w:tc>
        <w:tc>
          <w:tcPr>
            <w:tcW w:w="1538" w:type="pct"/>
            <w:gridSpan w:val="2"/>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Mann-Whitney U test</w:t>
            </w:r>
          </w:p>
        </w:tc>
      </w:tr>
      <w:tr w:rsidR="00F837BF" w:rsidRPr="006A2252" w:rsidTr="009677D1">
        <w:trPr>
          <w:cantSplit/>
          <w:jc w:val="center"/>
        </w:trPr>
        <w:tc>
          <w:tcPr>
            <w:tcW w:w="1895" w:type="pct"/>
            <w:gridSpan w:val="2"/>
            <w:vMerge/>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Glutamine</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Control</w:t>
            </w:r>
          </w:p>
        </w:tc>
        <w:tc>
          <w:tcPr>
            <w:tcW w:w="664"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proofErr w:type="spellStart"/>
            <w:r w:rsidRPr="006A2252">
              <w:rPr>
                <w:rFonts w:eastAsia="Calibri"/>
                <w:b/>
                <w:bCs/>
                <w:color w:val="000000"/>
                <w:sz w:val="20"/>
                <w:szCs w:val="20"/>
              </w:rPr>
              <w:t>Z</w:t>
            </w:r>
            <w:r w:rsidRPr="006A2252">
              <w:rPr>
                <w:rFonts w:eastAsia="Calibri"/>
                <w:b/>
                <w:bCs/>
                <w:color w:val="000000"/>
                <w:sz w:val="20"/>
                <w:szCs w:val="20"/>
                <w:vertAlign w:val="subscript"/>
              </w:rPr>
              <w:t>mw</w:t>
            </w:r>
            <w:proofErr w:type="spellEnd"/>
          </w:p>
        </w:tc>
        <w:tc>
          <w:tcPr>
            <w:tcW w:w="874"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P value</w:t>
            </w:r>
          </w:p>
        </w:tc>
      </w:tr>
      <w:tr w:rsidR="00F837BF" w:rsidRPr="006A2252" w:rsidTr="009677D1">
        <w:trPr>
          <w:cantSplit/>
          <w:jc w:val="center"/>
        </w:trPr>
        <w:tc>
          <w:tcPr>
            <w:tcW w:w="1329"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D0</w:t>
            </w:r>
          </w:p>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(on ICU admission)</w:t>
            </w:r>
          </w:p>
        </w:tc>
        <w:tc>
          <w:tcPr>
            <w:tcW w:w="5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4.90-19.90</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3.20-27.00</w:t>
            </w:r>
          </w:p>
        </w:tc>
        <w:tc>
          <w:tcPr>
            <w:tcW w:w="66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1.02</w:t>
            </w:r>
          </w:p>
        </w:tc>
        <w:tc>
          <w:tcPr>
            <w:tcW w:w="87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.308</w:t>
            </w:r>
          </w:p>
        </w:tc>
      </w:tr>
      <w:tr w:rsidR="00F837BF" w:rsidRPr="006A2252" w:rsidTr="009677D1">
        <w:trPr>
          <w:cantSplit/>
          <w:jc w:val="center"/>
        </w:trPr>
        <w:tc>
          <w:tcPr>
            <w:tcW w:w="1329"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12.70</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13.20</w:t>
            </w:r>
          </w:p>
        </w:tc>
        <w:tc>
          <w:tcPr>
            <w:tcW w:w="66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329"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D2</w:t>
            </w:r>
          </w:p>
        </w:tc>
        <w:tc>
          <w:tcPr>
            <w:tcW w:w="5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3.20-26.47</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4.70-20.70</w:t>
            </w:r>
          </w:p>
        </w:tc>
        <w:tc>
          <w:tcPr>
            <w:tcW w:w="66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1.862</w:t>
            </w:r>
          </w:p>
        </w:tc>
        <w:tc>
          <w:tcPr>
            <w:tcW w:w="87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.062</w:t>
            </w:r>
          </w:p>
        </w:tc>
      </w:tr>
      <w:tr w:rsidR="00F837BF" w:rsidRPr="006A2252" w:rsidTr="009677D1">
        <w:trPr>
          <w:cantSplit/>
          <w:jc w:val="center"/>
        </w:trPr>
        <w:tc>
          <w:tcPr>
            <w:tcW w:w="1329"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13.40</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15.50</w:t>
            </w:r>
          </w:p>
        </w:tc>
        <w:tc>
          <w:tcPr>
            <w:tcW w:w="66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329"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D7</w:t>
            </w:r>
          </w:p>
        </w:tc>
        <w:tc>
          <w:tcPr>
            <w:tcW w:w="5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5.10-14.07</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2.50-23.70</w:t>
            </w:r>
          </w:p>
        </w:tc>
        <w:tc>
          <w:tcPr>
            <w:tcW w:w="66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2.63</w:t>
            </w:r>
          </w:p>
        </w:tc>
        <w:tc>
          <w:tcPr>
            <w:tcW w:w="87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.008*</w:t>
            </w:r>
          </w:p>
        </w:tc>
      </w:tr>
      <w:tr w:rsidR="00F837BF" w:rsidRPr="006A2252" w:rsidTr="009677D1">
        <w:trPr>
          <w:cantSplit/>
          <w:jc w:val="center"/>
        </w:trPr>
        <w:tc>
          <w:tcPr>
            <w:tcW w:w="1329"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9.50</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11.45</w:t>
            </w:r>
          </w:p>
        </w:tc>
        <w:tc>
          <w:tcPr>
            <w:tcW w:w="66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329"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D10</w:t>
            </w:r>
          </w:p>
        </w:tc>
        <w:tc>
          <w:tcPr>
            <w:tcW w:w="5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6.20-23.90</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3.30-18.50</w:t>
            </w:r>
          </w:p>
        </w:tc>
        <w:tc>
          <w:tcPr>
            <w:tcW w:w="66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.556</w:t>
            </w:r>
          </w:p>
        </w:tc>
        <w:tc>
          <w:tcPr>
            <w:tcW w:w="87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.578</w:t>
            </w:r>
          </w:p>
        </w:tc>
      </w:tr>
      <w:tr w:rsidR="00F837BF" w:rsidRPr="006A2252" w:rsidTr="009677D1">
        <w:trPr>
          <w:cantSplit/>
          <w:jc w:val="center"/>
        </w:trPr>
        <w:tc>
          <w:tcPr>
            <w:tcW w:w="1329"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8.50</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8.20</w:t>
            </w:r>
          </w:p>
        </w:tc>
        <w:tc>
          <w:tcPr>
            <w:tcW w:w="66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F837BF" w:rsidRPr="006A2252" w:rsidTr="009677D1">
        <w:trPr>
          <w:cantSplit/>
          <w:jc w:val="center"/>
        </w:trPr>
        <w:tc>
          <w:tcPr>
            <w:tcW w:w="1329"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D14</w:t>
            </w:r>
          </w:p>
        </w:tc>
        <w:tc>
          <w:tcPr>
            <w:tcW w:w="5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Range</w:t>
            </w: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3.90-12.00</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2.50-23.70</w:t>
            </w:r>
          </w:p>
        </w:tc>
        <w:tc>
          <w:tcPr>
            <w:tcW w:w="66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1.57</w:t>
            </w:r>
          </w:p>
        </w:tc>
        <w:tc>
          <w:tcPr>
            <w:tcW w:w="87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.116</w:t>
            </w:r>
          </w:p>
        </w:tc>
      </w:tr>
      <w:tr w:rsidR="00F837BF" w:rsidRPr="006A2252" w:rsidTr="009677D1">
        <w:trPr>
          <w:cantSplit/>
          <w:jc w:val="center"/>
        </w:trPr>
        <w:tc>
          <w:tcPr>
            <w:tcW w:w="1329"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5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Median</w:t>
            </w:r>
          </w:p>
        </w:tc>
        <w:tc>
          <w:tcPr>
            <w:tcW w:w="801"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6.90</w:t>
            </w:r>
          </w:p>
        </w:tc>
        <w:tc>
          <w:tcPr>
            <w:tcW w:w="76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5.20</w:t>
            </w:r>
          </w:p>
        </w:tc>
        <w:tc>
          <w:tcPr>
            <w:tcW w:w="66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8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bl>
    <w:p w:rsidR="00F837BF" w:rsidRPr="006A2252" w:rsidRDefault="00F837BF" w:rsidP="00FF4C83">
      <w:pPr>
        <w:autoSpaceDE w:val="0"/>
        <w:autoSpaceDN w:val="0"/>
        <w:adjustRightInd w:val="0"/>
        <w:snapToGrid w:val="0"/>
        <w:jc w:val="both"/>
        <w:rPr>
          <w:rFonts w:eastAsia="Calibri"/>
          <w:sz w:val="20"/>
          <w:szCs w:val="20"/>
        </w:rPr>
      </w:pPr>
      <w:r w:rsidRPr="006A2252">
        <w:rPr>
          <w:rFonts w:eastAsia="Calibri"/>
          <w:sz w:val="20"/>
          <w:szCs w:val="20"/>
        </w:rPr>
        <w:t>*significant at p&lt;.05</w:t>
      </w:r>
    </w:p>
    <w:p w:rsidR="00F837BF" w:rsidRPr="006A2252" w:rsidRDefault="00F837BF" w:rsidP="00FF4C83">
      <w:pPr>
        <w:autoSpaceDE w:val="0"/>
        <w:autoSpaceDN w:val="0"/>
        <w:adjustRightInd w:val="0"/>
        <w:snapToGrid w:val="0"/>
        <w:ind w:firstLine="425"/>
        <w:jc w:val="both"/>
        <w:rPr>
          <w:rFonts w:eastAsia="Calibri"/>
          <w:sz w:val="20"/>
          <w:szCs w:val="20"/>
        </w:rPr>
      </w:pPr>
    </w:p>
    <w:p w:rsidR="00F837BF" w:rsidRPr="006A2252" w:rsidRDefault="00F837BF" w:rsidP="00FF4C83">
      <w:pPr>
        <w:autoSpaceDE w:val="0"/>
        <w:autoSpaceDN w:val="0"/>
        <w:adjustRightInd w:val="0"/>
        <w:snapToGrid w:val="0"/>
        <w:ind w:firstLine="425"/>
        <w:jc w:val="both"/>
        <w:rPr>
          <w:rFonts w:eastAsia="Calibri"/>
          <w:sz w:val="20"/>
          <w:szCs w:val="20"/>
        </w:rPr>
      </w:pPr>
      <w:r w:rsidRPr="006A2252">
        <w:rPr>
          <w:rFonts w:eastAsia="Calibri"/>
          <w:sz w:val="20"/>
          <w:szCs w:val="20"/>
        </w:rPr>
        <w:lastRenderedPageBreak/>
        <w:softHyphen/>
        <w:t xml:space="preserve">The median </w:t>
      </w:r>
      <w:proofErr w:type="spellStart"/>
      <w:r w:rsidRPr="006A2252">
        <w:rPr>
          <w:rFonts w:eastAsia="Calibri"/>
          <w:sz w:val="20"/>
          <w:szCs w:val="20"/>
        </w:rPr>
        <w:t>WBCs</w:t>
      </w:r>
      <w:proofErr w:type="spellEnd"/>
      <w:r w:rsidRPr="006A2252">
        <w:rPr>
          <w:rFonts w:eastAsia="Calibri"/>
          <w:sz w:val="20"/>
          <w:szCs w:val="20"/>
        </w:rPr>
        <w:t xml:space="preserve"> levels were significantly lower in glutamine than control group at D7 (9.5 and 11.45 respectively). Otherwise, they were insignificant.</w:t>
      </w:r>
    </w:p>
    <w:p w:rsidR="00F837BF" w:rsidRPr="006A2252" w:rsidRDefault="00F837BF" w:rsidP="00FF4C83">
      <w:pPr>
        <w:snapToGrid w:val="0"/>
        <w:jc w:val="center"/>
        <w:rPr>
          <w:b/>
          <w:bCs/>
          <w:sz w:val="20"/>
          <w:szCs w:val="20"/>
        </w:rPr>
      </w:pPr>
      <w:bookmarkStart w:id="5" w:name="_Toc6307615"/>
    </w:p>
    <w:p w:rsidR="00F837BF" w:rsidRPr="006A2252" w:rsidRDefault="00F837BF" w:rsidP="00FF4C83">
      <w:pPr>
        <w:snapToGrid w:val="0"/>
        <w:jc w:val="center"/>
        <w:rPr>
          <w:sz w:val="20"/>
          <w:szCs w:val="20"/>
        </w:rPr>
      </w:pPr>
      <w:r w:rsidRPr="006A2252">
        <w:rPr>
          <w:b/>
          <w:bCs/>
          <w:sz w:val="20"/>
          <w:szCs w:val="20"/>
        </w:rPr>
        <w:t xml:space="preserve">Table (4): </w:t>
      </w:r>
      <w:r w:rsidRPr="006A2252">
        <w:rPr>
          <w:sz w:val="20"/>
          <w:szCs w:val="20"/>
        </w:rPr>
        <w:t>Comparison between two studied groups regarding D0 (on ICU admission) and D10</w:t>
      </w:r>
      <w:bookmarkEnd w:id="5"/>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439"/>
        <w:gridCol w:w="1963"/>
        <w:gridCol w:w="404"/>
        <w:gridCol w:w="1470"/>
        <w:gridCol w:w="1118"/>
        <w:gridCol w:w="898"/>
        <w:gridCol w:w="1182"/>
      </w:tblGrid>
      <w:tr w:rsidR="00F837BF" w:rsidRPr="006A2252" w:rsidTr="009677D1">
        <w:trPr>
          <w:cantSplit/>
          <w:jc w:val="center"/>
        </w:trPr>
        <w:tc>
          <w:tcPr>
            <w:tcW w:w="2536" w:type="pct"/>
            <w:gridSpan w:val="3"/>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b/>
                <w:bCs/>
                <w:sz w:val="20"/>
                <w:szCs w:val="20"/>
              </w:rPr>
            </w:pPr>
            <w:r w:rsidRPr="006A2252">
              <w:rPr>
                <w:rFonts w:eastAsia="Calibri"/>
                <w:b/>
                <w:bCs/>
                <w:sz w:val="20"/>
                <w:szCs w:val="20"/>
              </w:rPr>
              <w:t>Blood cultures</w:t>
            </w:r>
          </w:p>
        </w:tc>
        <w:tc>
          <w:tcPr>
            <w:tcW w:w="1366" w:type="pct"/>
            <w:gridSpan w:val="2"/>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GROUPS</w:t>
            </w:r>
          </w:p>
        </w:tc>
        <w:tc>
          <w:tcPr>
            <w:tcW w:w="1098" w:type="pct"/>
            <w:gridSpan w:val="2"/>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Chi-Square test</w:t>
            </w:r>
          </w:p>
        </w:tc>
      </w:tr>
      <w:tr w:rsidR="00F837BF" w:rsidRPr="006A2252" w:rsidTr="009677D1">
        <w:trPr>
          <w:cantSplit/>
          <w:jc w:val="center"/>
        </w:trPr>
        <w:tc>
          <w:tcPr>
            <w:tcW w:w="2536" w:type="pct"/>
            <w:gridSpan w:val="3"/>
            <w:vMerge/>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Glutamine</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Control</w:t>
            </w:r>
          </w:p>
        </w:tc>
        <w:tc>
          <w:tcPr>
            <w:tcW w:w="474"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X</w:t>
            </w:r>
            <w:r w:rsidRPr="006A2252">
              <w:rPr>
                <w:rFonts w:eastAsia="Calibri"/>
                <w:b/>
                <w:bCs/>
                <w:color w:val="000000"/>
                <w:sz w:val="20"/>
                <w:szCs w:val="20"/>
                <w:vertAlign w:val="superscript"/>
              </w:rPr>
              <w:t>2</w:t>
            </w:r>
          </w:p>
        </w:tc>
        <w:tc>
          <w:tcPr>
            <w:tcW w:w="624" w:type="pc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P value</w:t>
            </w:r>
          </w:p>
        </w:tc>
      </w:tr>
      <w:tr w:rsidR="009677D1" w:rsidRPr="006A2252" w:rsidTr="009677D1">
        <w:trPr>
          <w:cantSplit/>
          <w:jc w:val="center"/>
        </w:trPr>
        <w:tc>
          <w:tcPr>
            <w:tcW w:w="128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D0</w:t>
            </w:r>
          </w:p>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(on ICU admission)</w:t>
            </w:r>
          </w:p>
        </w:tc>
        <w:tc>
          <w:tcPr>
            <w:tcW w:w="1036"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No growth</w:t>
            </w: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N</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37</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29</w:t>
            </w:r>
          </w:p>
        </w:tc>
        <w:tc>
          <w:tcPr>
            <w:tcW w:w="47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5.515</w:t>
            </w:r>
          </w:p>
        </w:tc>
        <w:tc>
          <w:tcPr>
            <w:tcW w:w="62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.063</w:t>
            </w: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67.3%</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52.7%</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Growth</w:t>
            </w: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N</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18</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26</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32.8%</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47.3%</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MRSA</w:t>
            </w: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N</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15</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15</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27.3%</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27.3%</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roofErr w:type="spellStart"/>
            <w:r w:rsidRPr="006A2252">
              <w:rPr>
                <w:rFonts w:eastAsia="Calibri"/>
                <w:color w:val="000000"/>
                <w:sz w:val="20"/>
                <w:szCs w:val="20"/>
              </w:rPr>
              <w:t>Klebsiella</w:t>
            </w:r>
            <w:proofErr w:type="spellEnd"/>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N</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11</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5.5%</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20.0%</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D10</w:t>
            </w:r>
          </w:p>
        </w:tc>
        <w:tc>
          <w:tcPr>
            <w:tcW w:w="1036"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No growth</w:t>
            </w: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N</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49</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36</w:t>
            </w:r>
          </w:p>
        </w:tc>
        <w:tc>
          <w:tcPr>
            <w:tcW w:w="47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14.86</w:t>
            </w:r>
          </w:p>
        </w:tc>
        <w:tc>
          <w:tcPr>
            <w:tcW w:w="624"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.002*</w:t>
            </w: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89.1%</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69.2%</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b/>
                <w:bCs/>
                <w:color w:val="000000"/>
                <w:sz w:val="20"/>
                <w:szCs w:val="20"/>
              </w:rPr>
            </w:pPr>
            <w:r w:rsidRPr="006A2252">
              <w:rPr>
                <w:rFonts w:eastAsia="Calibri"/>
                <w:b/>
                <w:bCs/>
                <w:color w:val="000000"/>
                <w:sz w:val="20"/>
                <w:szCs w:val="20"/>
              </w:rPr>
              <w:t>Growth</w:t>
            </w: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N</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6</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16</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11%</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30.7%</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MRSA</w:t>
            </w: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N</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10</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5.5%</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19.2%</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roofErr w:type="spellStart"/>
            <w:r w:rsidRPr="006A2252">
              <w:rPr>
                <w:rFonts w:eastAsia="Calibri"/>
                <w:color w:val="000000"/>
                <w:sz w:val="20"/>
                <w:szCs w:val="20"/>
              </w:rPr>
              <w:t>Klebsiella</w:t>
            </w:r>
            <w:proofErr w:type="spellEnd"/>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N</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6</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11.5%</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val="restar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Staphylococcus</w:t>
            </w: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N</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3</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r w:rsidR="009677D1" w:rsidRPr="006A2252" w:rsidTr="009677D1">
        <w:trPr>
          <w:cantSplit/>
          <w:jc w:val="center"/>
        </w:trPr>
        <w:tc>
          <w:tcPr>
            <w:tcW w:w="1287"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1036"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212"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w:t>
            </w:r>
          </w:p>
        </w:tc>
        <w:tc>
          <w:tcPr>
            <w:tcW w:w="776"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5.5%</w:t>
            </w:r>
          </w:p>
        </w:tc>
        <w:tc>
          <w:tcPr>
            <w:tcW w:w="590" w:type="pct"/>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r w:rsidRPr="006A2252">
              <w:rPr>
                <w:rFonts w:eastAsia="Calibri"/>
                <w:color w:val="000000"/>
                <w:sz w:val="20"/>
                <w:szCs w:val="20"/>
              </w:rPr>
              <w:t>0.0%</w:t>
            </w:r>
          </w:p>
        </w:tc>
        <w:tc>
          <w:tcPr>
            <w:tcW w:w="47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c>
          <w:tcPr>
            <w:tcW w:w="624" w:type="pct"/>
            <w:vMerge/>
            <w:shd w:val="clear" w:color="auto" w:fill="FFFFFF"/>
            <w:vAlign w:val="center"/>
          </w:tcPr>
          <w:p w:rsidR="00F837BF" w:rsidRPr="006A2252" w:rsidRDefault="00F837BF" w:rsidP="00FF4C83">
            <w:pPr>
              <w:autoSpaceDE w:val="0"/>
              <w:autoSpaceDN w:val="0"/>
              <w:adjustRightInd w:val="0"/>
              <w:snapToGrid w:val="0"/>
              <w:jc w:val="both"/>
              <w:rPr>
                <w:rFonts w:eastAsia="Calibri"/>
                <w:color w:val="000000"/>
                <w:sz w:val="20"/>
                <w:szCs w:val="20"/>
              </w:rPr>
            </w:pPr>
          </w:p>
        </w:tc>
      </w:tr>
    </w:tbl>
    <w:p w:rsidR="00F837BF" w:rsidRPr="006A2252" w:rsidRDefault="00F837BF" w:rsidP="00FF4C83">
      <w:pPr>
        <w:autoSpaceDE w:val="0"/>
        <w:autoSpaceDN w:val="0"/>
        <w:adjustRightInd w:val="0"/>
        <w:snapToGrid w:val="0"/>
        <w:jc w:val="both"/>
        <w:rPr>
          <w:rFonts w:eastAsia="Calibri"/>
          <w:sz w:val="20"/>
          <w:szCs w:val="20"/>
        </w:rPr>
      </w:pPr>
      <w:r w:rsidRPr="006A2252">
        <w:rPr>
          <w:rFonts w:eastAsia="Calibri"/>
          <w:sz w:val="20"/>
          <w:szCs w:val="20"/>
        </w:rPr>
        <w:t>*significant at p&lt;.05</w:t>
      </w:r>
    </w:p>
    <w:p w:rsidR="00DE776F" w:rsidRPr="006A2252" w:rsidRDefault="00DE776F" w:rsidP="00FF4C83">
      <w:pPr>
        <w:autoSpaceDE w:val="0"/>
        <w:autoSpaceDN w:val="0"/>
        <w:adjustRightInd w:val="0"/>
        <w:snapToGrid w:val="0"/>
        <w:ind w:firstLine="425"/>
        <w:jc w:val="both"/>
        <w:rPr>
          <w:rFonts w:eastAsiaTheme="minorEastAsia"/>
          <w:sz w:val="20"/>
          <w:szCs w:val="20"/>
          <w:lang w:eastAsia="zh-CN"/>
        </w:rPr>
      </w:pPr>
    </w:p>
    <w:p w:rsidR="00FF4C83" w:rsidRPr="006A2252" w:rsidRDefault="00FF4C83" w:rsidP="00FF4C83">
      <w:pPr>
        <w:autoSpaceDE w:val="0"/>
        <w:autoSpaceDN w:val="0"/>
        <w:adjustRightInd w:val="0"/>
        <w:snapToGrid w:val="0"/>
        <w:ind w:firstLine="425"/>
        <w:jc w:val="both"/>
        <w:rPr>
          <w:rFonts w:eastAsia="Calibri"/>
          <w:sz w:val="20"/>
          <w:szCs w:val="20"/>
        </w:rPr>
        <w:sectPr w:rsidR="00FF4C83" w:rsidRPr="006A2252" w:rsidSect="00851763">
          <w:type w:val="continuous"/>
          <w:pgSz w:w="12240" w:h="15840" w:code="9"/>
          <w:pgMar w:top="1440" w:right="1440" w:bottom="1440" w:left="1440" w:header="720" w:footer="720" w:gutter="0"/>
          <w:cols w:space="720"/>
          <w:docGrid w:linePitch="360"/>
        </w:sectPr>
      </w:pPr>
    </w:p>
    <w:p w:rsidR="00F837BF" w:rsidRPr="006A2252" w:rsidRDefault="00F837BF" w:rsidP="00FF4C83">
      <w:pPr>
        <w:autoSpaceDE w:val="0"/>
        <w:autoSpaceDN w:val="0"/>
        <w:adjustRightInd w:val="0"/>
        <w:snapToGrid w:val="0"/>
        <w:ind w:firstLine="425"/>
        <w:jc w:val="both"/>
        <w:rPr>
          <w:rFonts w:eastAsia="Calibri"/>
          <w:sz w:val="20"/>
          <w:szCs w:val="20"/>
        </w:rPr>
      </w:pPr>
      <w:r w:rsidRPr="006A2252">
        <w:rPr>
          <w:rFonts w:eastAsia="Calibri"/>
          <w:sz w:val="20"/>
          <w:szCs w:val="20"/>
        </w:rPr>
        <w:lastRenderedPageBreak/>
        <w:t>At D0, there were no significant differences between the two groups.</w:t>
      </w:r>
    </w:p>
    <w:p w:rsidR="00F837BF" w:rsidRPr="006A2252" w:rsidRDefault="00F837BF" w:rsidP="00FF4C83">
      <w:pPr>
        <w:autoSpaceDE w:val="0"/>
        <w:autoSpaceDN w:val="0"/>
        <w:adjustRightInd w:val="0"/>
        <w:snapToGrid w:val="0"/>
        <w:ind w:firstLine="425"/>
        <w:jc w:val="both"/>
        <w:rPr>
          <w:rFonts w:eastAsia="Calibri"/>
          <w:sz w:val="20"/>
          <w:szCs w:val="20"/>
        </w:rPr>
      </w:pPr>
      <w:r w:rsidRPr="006A2252">
        <w:rPr>
          <w:rFonts w:eastAsia="Calibri"/>
          <w:sz w:val="20"/>
          <w:szCs w:val="20"/>
        </w:rPr>
        <w:t xml:space="preserve">At D10, significantly higher percent of patients in glutamine group showed no growth in blood culture compared to control group (89.1% and 69.2% respectively). Likewise, the growth of MRSA and </w:t>
      </w:r>
      <w:proofErr w:type="spellStart"/>
      <w:r w:rsidRPr="006A2252">
        <w:rPr>
          <w:rFonts w:eastAsia="Calibri"/>
          <w:sz w:val="20"/>
          <w:szCs w:val="20"/>
        </w:rPr>
        <w:lastRenderedPageBreak/>
        <w:t>Klebsiella</w:t>
      </w:r>
      <w:proofErr w:type="spellEnd"/>
      <w:r w:rsidRPr="006A2252">
        <w:rPr>
          <w:rFonts w:eastAsia="Calibri"/>
          <w:sz w:val="20"/>
          <w:szCs w:val="20"/>
        </w:rPr>
        <w:t xml:space="preserve"> was significantly higher in control group than in glutamine group (19.2% and 5.55 respectively) and (6% and 0% respectively). However, the growth of </w:t>
      </w:r>
      <w:r w:rsidRPr="006A2252">
        <w:rPr>
          <w:rFonts w:eastAsia="Calibri"/>
          <w:color w:val="000000"/>
          <w:sz w:val="20"/>
          <w:szCs w:val="20"/>
        </w:rPr>
        <w:t>staphylococcus was detected only in glutamine group.</w:t>
      </w:r>
    </w:p>
    <w:p w:rsidR="00FF4C83" w:rsidRPr="006A2252" w:rsidRDefault="00FF4C83" w:rsidP="00FF4C83">
      <w:pPr>
        <w:snapToGrid w:val="0"/>
        <w:jc w:val="center"/>
        <w:rPr>
          <w:b/>
          <w:bCs/>
          <w:sz w:val="20"/>
          <w:szCs w:val="20"/>
        </w:rPr>
        <w:sectPr w:rsidR="00FF4C83" w:rsidRPr="006A2252" w:rsidSect="00851763">
          <w:type w:val="continuous"/>
          <w:pgSz w:w="12240" w:h="15840" w:code="9"/>
          <w:pgMar w:top="1440" w:right="1440" w:bottom="1440" w:left="1440" w:header="720" w:footer="720" w:gutter="0"/>
          <w:cols w:num="2" w:space="600"/>
          <w:docGrid w:linePitch="360"/>
        </w:sectPr>
      </w:pPr>
      <w:bookmarkStart w:id="6" w:name="_Toc6307616"/>
    </w:p>
    <w:p w:rsidR="00DE776F" w:rsidRPr="006A2252" w:rsidRDefault="00DE776F" w:rsidP="00FF4C83">
      <w:pPr>
        <w:snapToGrid w:val="0"/>
        <w:jc w:val="center"/>
        <w:rPr>
          <w:b/>
          <w:bCs/>
          <w:sz w:val="20"/>
          <w:szCs w:val="20"/>
        </w:rPr>
      </w:pPr>
    </w:p>
    <w:p w:rsidR="00F837BF" w:rsidRPr="006A2252" w:rsidRDefault="00F837BF" w:rsidP="00FF4C83">
      <w:pPr>
        <w:snapToGrid w:val="0"/>
        <w:jc w:val="center"/>
        <w:rPr>
          <w:sz w:val="20"/>
          <w:szCs w:val="20"/>
        </w:rPr>
      </w:pPr>
      <w:r w:rsidRPr="006A2252">
        <w:rPr>
          <w:b/>
          <w:bCs/>
          <w:sz w:val="20"/>
          <w:szCs w:val="20"/>
        </w:rPr>
        <w:t xml:space="preserve">Table (5): </w:t>
      </w:r>
      <w:r w:rsidRPr="006A2252">
        <w:rPr>
          <w:sz w:val="20"/>
          <w:szCs w:val="20"/>
        </w:rPr>
        <w:t xml:space="preserve">Comparison between two studied groups regarding </w:t>
      </w:r>
      <w:proofErr w:type="spellStart"/>
      <w:r w:rsidRPr="006A2252">
        <w:rPr>
          <w:sz w:val="20"/>
          <w:szCs w:val="20"/>
        </w:rPr>
        <w:t>Prealbumin</w:t>
      </w:r>
      <w:bookmarkEnd w:id="6"/>
      <w:proofErr w:type="spellEnd"/>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2498"/>
        <w:gridCol w:w="1063"/>
        <w:gridCol w:w="1586"/>
        <w:gridCol w:w="1438"/>
        <w:gridCol w:w="1205"/>
        <w:gridCol w:w="1684"/>
      </w:tblGrid>
      <w:tr w:rsidR="00F837BF" w:rsidRPr="006A2252" w:rsidTr="009677D1">
        <w:trPr>
          <w:cantSplit/>
          <w:jc w:val="center"/>
        </w:trPr>
        <w:tc>
          <w:tcPr>
            <w:tcW w:w="1879" w:type="pct"/>
            <w:gridSpan w:val="2"/>
            <w:vMerge w:val="restart"/>
            <w:shd w:val="clear" w:color="auto" w:fill="FFFFFF"/>
            <w:vAlign w:val="center"/>
          </w:tcPr>
          <w:p w:rsidR="00F837BF" w:rsidRPr="006A2252" w:rsidRDefault="00F837BF" w:rsidP="00FF4C83">
            <w:pPr>
              <w:snapToGrid w:val="0"/>
              <w:jc w:val="both"/>
              <w:rPr>
                <w:b/>
                <w:bCs/>
                <w:sz w:val="20"/>
                <w:szCs w:val="20"/>
              </w:rPr>
            </w:pPr>
            <w:proofErr w:type="spellStart"/>
            <w:r w:rsidRPr="006A2252">
              <w:rPr>
                <w:b/>
                <w:bCs/>
                <w:sz w:val="20"/>
                <w:szCs w:val="20"/>
              </w:rPr>
              <w:t>Prealbumin</w:t>
            </w:r>
            <w:proofErr w:type="spellEnd"/>
          </w:p>
        </w:tc>
        <w:tc>
          <w:tcPr>
            <w:tcW w:w="1596" w:type="pct"/>
            <w:gridSpan w:val="2"/>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GROUPS</w:t>
            </w:r>
          </w:p>
        </w:tc>
        <w:tc>
          <w:tcPr>
            <w:tcW w:w="1525" w:type="pct"/>
            <w:gridSpan w:val="2"/>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Mann-Whitney U test</w:t>
            </w:r>
          </w:p>
        </w:tc>
      </w:tr>
      <w:tr w:rsidR="00F837BF" w:rsidRPr="006A2252" w:rsidTr="009677D1">
        <w:trPr>
          <w:cantSplit/>
          <w:jc w:val="center"/>
        </w:trPr>
        <w:tc>
          <w:tcPr>
            <w:tcW w:w="1879" w:type="pct"/>
            <w:gridSpan w:val="2"/>
            <w:vMerge/>
            <w:vAlign w:val="center"/>
          </w:tcPr>
          <w:p w:rsidR="00F837BF" w:rsidRPr="006A2252" w:rsidRDefault="00F837BF" w:rsidP="00FF4C83">
            <w:pPr>
              <w:snapToGrid w:val="0"/>
              <w:jc w:val="both"/>
              <w:rPr>
                <w:b/>
                <w:bCs/>
                <w:sz w:val="20"/>
                <w:szCs w:val="20"/>
              </w:rPr>
            </w:pPr>
          </w:p>
        </w:tc>
        <w:tc>
          <w:tcPr>
            <w:tcW w:w="837" w:type="pct"/>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Glutamine</w:t>
            </w:r>
          </w:p>
        </w:tc>
        <w:tc>
          <w:tcPr>
            <w:tcW w:w="759" w:type="pct"/>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control</w:t>
            </w:r>
          </w:p>
        </w:tc>
        <w:tc>
          <w:tcPr>
            <w:tcW w:w="636" w:type="pct"/>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 xml:space="preserve">Z </w:t>
            </w:r>
            <w:r w:rsidRPr="006A2252">
              <w:rPr>
                <w:b/>
                <w:bCs/>
                <w:sz w:val="20"/>
                <w:szCs w:val="20"/>
                <w:vertAlign w:val="subscript"/>
              </w:rPr>
              <w:t>mw</w:t>
            </w:r>
          </w:p>
        </w:tc>
        <w:tc>
          <w:tcPr>
            <w:tcW w:w="889" w:type="pct"/>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P value</w:t>
            </w:r>
          </w:p>
        </w:tc>
      </w:tr>
      <w:tr w:rsidR="009677D1" w:rsidRPr="006A2252" w:rsidTr="009677D1">
        <w:trPr>
          <w:cantSplit/>
          <w:jc w:val="center"/>
        </w:trPr>
        <w:tc>
          <w:tcPr>
            <w:tcW w:w="1318"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D0</w:t>
            </w:r>
          </w:p>
          <w:p w:rsidR="00F837BF" w:rsidRPr="006A2252" w:rsidRDefault="00F837BF" w:rsidP="00FF4C83">
            <w:pPr>
              <w:snapToGrid w:val="0"/>
              <w:jc w:val="both"/>
              <w:rPr>
                <w:sz w:val="20"/>
                <w:szCs w:val="20"/>
              </w:rPr>
            </w:pPr>
            <w:r w:rsidRPr="006A2252">
              <w:rPr>
                <w:sz w:val="20"/>
                <w:szCs w:val="20"/>
              </w:rPr>
              <w:t>(on ICU admission)</w:t>
            </w:r>
          </w:p>
        </w:tc>
        <w:tc>
          <w:tcPr>
            <w:tcW w:w="561" w:type="pct"/>
            <w:shd w:val="clear" w:color="auto" w:fill="FFFFFF"/>
            <w:vAlign w:val="center"/>
          </w:tcPr>
          <w:p w:rsidR="00F837BF" w:rsidRPr="006A2252" w:rsidRDefault="00F837BF" w:rsidP="00FF4C83">
            <w:pPr>
              <w:snapToGrid w:val="0"/>
              <w:jc w:val="both"/>
              <w:rPr>
                <w:sz w:val="20"/>
                <w:szCs w:val="20"/>
              </w:rPr>
            </w:pPr>
            <w:r w:rsidRPr="006A2252">
              <w:rPr>
                <w:sz w:val="20"/>
                <w:szCs w:val="20"/>
              </w:rPr>
              <w:t>Range</w:t>
            </w:r>
          </w:p>
        </w:tc>
        <w:tc>
          <w:tcPr>
            <w:tcW w:w="837" w:type="pct"/>
            <w:shd w:val="clear" w:color="auto" w:fill="FFFFFF"/>
            <w:vAlign w:val="center"/>
          </w:tcPr>
          <w:p w:rsidR="00F837BF" w:rsidRPr="006A2252" w:rsidRDefault="00F837BF" w:rsidP="00FF4C83">
            <w:pPr>
              <w:snapToGrid w:val="0"/>
              <w:jc w:val="both"/>
              <w:rPr>
                <w:sz w:val="20"/>
                <w:szCs w:val="20"/>
              </w:rPr>
            </w:pPr>
            <w:r w:rsidRPr="006A2252">
              <w:rPr>
                <w:sz w:val="20"/>
                <w:szCs w:val="20"/>
              </w:rPr>
              <w:t>8.10-27.10</w:t>
            </w:r>
          </w:p>
        </w:tc>
        <w:tc>
          <w:tcPr>
            <w:tcW w:w="759" w:type="pct"/>
            <w:shd w:val="clear" w:color="auto" w:fill="FFFFFF"/>
            <w:vAlign w:val="center"/>
          </w:tcPr>
          <w:p w:rsidR="00F837BF" w:rsidRPr="006A2252" w:rsidRDefault="00F837BF" w:rsidP="00FF4C83">
            <w:pPr>
              <w:snapToGrid w:val="0"/>
              <w:jc w:val="both"/>
              <w:rPr>
                <w:sz w:val="20"/>
                <w:szCs w:val="20"/>
              </w:rPr>
            </w:pPr>
            <w:r w:rsidRPr="006A2252">
              <w:rPr>
                <w:sz w:val="20"/>
                <w:szCs w:val="20"/>
              </w:rPr>
              <w:t>8.70-27.00</w:t>
            </w:r>
          </w:p>
        </w:tc>
        <w:tc>
          <w:tcPr>
            <w:tcW w:w="636"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.039</w:t>
            </w:r>
          </w:p>
        </w:tc>
        <w:tc>
          <w:tcPr>
            <w:tcW w:w="889"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.96</w:t>
            </w:r>
          </w:p>
        </w:tc>
      </w:tr>
      <w:tr w:rsidR="00F837BF" w:rsidRPr="006A2252" w:rsidTr="009677D1">
        <w:trPr>
          <w:cantSplit/>
          <w:jc w:val="center"/>
        </w:trPr>
        <w:tc>
          <w:tcPr>
            <w:tcW w:w="1318" w:type="pct"/>
            <w:vMerge/>
            <w:vAlign w:val="center"/>
          </w:tcPr>
          <w:p w:rsidR="00F837BF" w:rsidRPr="006A2252" w:rsidRDefault="00F837BF" w:rsidP="00FF4C83">
            <w:pPr>
              <w:snapToGrid w:val="0"/>
              <w:jc w:val="both"/>
              <w:rPr>
                <w:sz w:val="20"/>
                <w:szCs w:val="20"/>
              </w:rPr>
            </w:pPr>
          </w:p>
        </w:tc>
        <w:tc>
          <w:tcPr>
            <w:tcW w:w="561" w:type="pct"/>
            <w:shd w:val="clear" w:color="auto" w:fill="FFFFFF"/>
            <w:vAlign w:val="center"/>
          </w:tcPr>
          <w:p w:rsidR="00F837BF" w:rsidRPr="006A2252" w:rsidRDefault="00F837BF" w:rsidP="00FF4C83">
            <w:pPr>
              <w:snapToGrid w:val="0"/>
              <w:jc w:val="both"/>
              <w:rPr>
                <w:sz w:val="20"/>
                <w:szCs w:val="20"/>
              </w:rPr>
            </w:pPr>
            <w:r w:rsidRPr="006A2252">
              <w:rPr>
                <w:sz w:val="20"/>
                <w:szCs w:val="20"/>
              </w:rPr>
              <w:t>Median</w:t>
            </w:r>
          </w:p>
        </w:tc>
        <w:tc>
          <w:tcPr>
            <w:tcW w:w="837" w:type="pct"/>
            <w:shd w:val="clear" w:color="auto" w:fill="FFFFFF"/>
            <w:vAlign w:val="center"/>
          </w:tcPr>
          <w:p w:rsidR="00F837BF" w:rsidRPr="006A2252" w:rsidRDefault="00F837BF" w:rsidP="00FF4C83">
            <w:pPr>
              <w:snapToGrid w:val="0"/>
              <w:jc w:val="both"/>
              <w:rPr>
                <w:sz w:val="20"/>
                <w:szCs w:val="20"/>
              </w:rPr>
            </w:pPr>
            <w:r w:rsidRPr="006A2252">
              <w:rPr>
                <w:sz w:val="20"/>
                <w:szCs w:val="20"/>
              </w:rPr>
              <w:t>16.00</w:t>
            </w:r>
          </w:p>
        </w:tc>
        <w:tc>
          <w:tcPr>
            <w:tcW w:w="759" w:type="pct"/>
            <w:shd w:val="clear" w:color="auto" w:fill="FFFFFF"/>
            <w:vAlign w:val="center"/>
          </w:tcPr>
          <w:p w:rsidR="00F837BF" w:rsidRPr="006A2252" w:rsidRDefault="00F837BF" w:rsidP="00FF4C83">
            <w:pPr>
              <w:snapToGrid w:val="0"/>
              <w:jc w:val="both"/>
              <w:rPr>
                <w:sz w:val="20"/>
                <w:szCs w:val="20"/>
              </w:rPr>
            </w:pPr>
            <w:r w:rsidRPr="006A2252">
              <w:rPr>
                <w:sz w:val="20"/>
                <w:szCs w:val="20"/>
              </w:rPr>
              <w:t>15.80</w:t>
            </w:r>
          </w:p>
        </w:tc>
        <w:tc>
          <w:tcPr>
            <w:tcW w:w="636" w:type="pct"/>
            <w:vMerge/>
            <w:vAlign w:val="center"/>
          </w:tcPr>
          <w:p w:rsidR="00F837BF" w:rsidRPr="006A2252" w:rsidRDefault="00F837BF" w:rsidP="00FF4C83">
            <w:pPr>
              <w:snapToGrid w:val="0"/>
              <w:jc w:val="both"/>
              <w:rPr>
                <w:sz w:val="20"/>
                <w:szCs w:val="20"/>
              </w:rPr>
            </w:pPr>
          </w:p>
        </w:tc>
        <w:tc>
          <w:tcPr>
            <w:tcW w:w="889" w:type="pct"/>
            <w:vMerge/>
            <w:vAlign w:val="center"/>
          </w:tcPr>
          <w:p w:rsidR="00F837BF" w:rsidRPr="006A2252" w:rsidRDefault="00F837BF" w:rsidP="00FF4C83">
            <w:pPr>
              <w:snapToGrid w:val="0"/>
              <w:jc w:val="both"/>
              <w:rPr>
                <w:sz w:val="20"/>
                <w:szCs w:val="20"/>
              </w:rPr>
            </w:pPr>
          </w:p>
        </w:tc>
      </w:tr>
      <w:tr w:rsidR="009677D1" w:rsidRPr="006A2252" w:rsidTr="009677D1">
        <w:trPr>
          <w:cantSplit/>
          <w:jc w:val="center"/>
        </w:trPr>
        <w:tc>
          <w:tcPr>
            <w:tcW w:w="1318"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D2</w:t>
            </w:r>
          </w:p>
        </w:tc>
        <w:tc>
          <w:tcPr>
            <w:tcW w:w="561" w:type="pct"/>
            <w:shd w:val="clear" w:color="auto" w:fill="FFFFFF"/>
            <w:vAlign w:val="center"/>
          </w:tcPr>
          <w:p w:rsidR="00F837BF" w:rsidRPr="006A2252" w:rsidRDefault="00F837BF" w:rsidP="00FF4C83">
            <w:pPr>
              <w:snapToGrid w:val="0"/>
              <w:jc w:val="both"/>
              <w:rPr>
                <w:sz w:val="20"/>
                <w:szCs w:val="20"/>
              </w:rPr>
            </w:pPr>
            <w:r w:rsidRPr="006A2252">
              <w:rPr>
                <w:sz w:val="20"/>
                <w:szCs w:val="20"/>
              </w:rPr>
              <w:t>Range</w:t>
            </w:r>
          </w:p>
        </w:tc>
        <w:tc>
          <w:tcPr>
            <w:tcW w:w="837" w:type="pct"/>
            <w:shd w:val="clear" w:color="auto" w:fill="FFFFFF"/>
            <w:vAlign w:val="center"/>
          </w:tcPr>
          <w:p w:rsidR="00F837BF" w:rsidRPr="006A2252" w:rsidRDefault="00F837BF" w:rsidP="00FF4C83">
            <w:pPr>
              <w:snapToGrid w:val="0"/>
              <w:jc w:val="both"/>
              <w:rPr>
                <w:sz w:val="20"/>
                <w:szCs w:val="20"/>
              </w:rPr>
            </w:pPr>
            <w:r w:rsidRPr="006A2252">
              <w:rPr>
                <w:sz w:val="20"/>
                <w:szCs w:val="20"/>
              </w:rPr>
              <w:t>8.00-24.20</w:t>
            </w:r>
          </w:p>
        </w:tc>
        <w:tc>
          <w:tcPr>
            <w:tcW w:w="759" w:type="pct"/>
            <w:shd w:val="clear" w:color="auto" w:fill="FFFFFF"/>
            <w:vAlign w:val="center"/>
          </w:tcPr>
          <w:p w:rsidR="00F837BF" w:rsidRPr="006A2252" w:rsidRDefault="00F837BF" w:rsidP="00FF4C83">
            <w:pPr>
              <w:snapToGrid w:val="0"/>
              <w:jc w:val="both"/>
              <w:rPr>
                <w:sz w:val="20"/>
                <w:szCs w:val="20"/>
              </w:rPr>
            </w:pPr>
            <w:r w:rsidRPr="006A2252">
              <w:rPr>
                <w:sz w:val="20"/>
                <w:szCs w:val="20"/>
              </w:rPr>
              <w:t>7.30-25.30</w:t>
            </w:r>
          </w:p>
        </w:tc>
        <w:tc>
          <w:tcPr>
            <w:tcW w:w="636"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1.43</w:t>
            </w:r>
          </w:p>
        </w:tc>
        <w:tc>
          <w:tcPr>
            <w:tcW w:w="889"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.15</w:t>
            </w:r>
          </w:p>
        </w:tc>
      </w:tr>
      <w:tr w:rsidR="00F837BF" w:rsidRPr="006A2252" w:rsidTr="009677D1">
        <w:trPr>
          <w:cantSplit/>
          <w:jc w:val="center"/>
        </w:trPr>
        <w:tc>
          <w:tcPr>
            <w:tcW w:w="1318" w:type="pct"/>
            <w:vMerge/>
            <w:vAlign w:val="center"/>
          </w:tcPr>
          <w:p w:rsidR="00F837BF" w:rsidRPr="006A2252" w:rsidRDefault="00F837BF" w:rsidP="00FF4C83">
            <w:pPr>
              <w:snapToGrid w:val="0"/>
              <w:jc w:val="both"/>
              <w:rPr>
                <w:sz w:val="20"/>
                <w:szCs w:val="20"/>
              </w:rPr>
            </w:pPr>
          </w:p>
        </w:tc>
        <w:tc>
          <w:tcPr>
            <w:tcW w:w="561" w:type="pct"/>
            <w:shd w:val="clear" w:color="auto" w:fill="FFFFFF"/>
            <w:vAlign w:val="center"/>
          </w:tcPr>
          <w:p w:rsidR="00F837BF" w:rsidRPr="006A2252" w:rsidRDefault="00F837BF" w:rsidP="00FF4C83">
            <w:pPr>
              <w:snapToGrid w:val="0"/>
              <w:jc w:val="both"/>
              <w:rPr>
                <w:sz w:val="20"/>
                <w:szCs w:val="20"/>
              </w:rPr>
            </w:pPr>
            <w:r w:rsidRPr="006A2252">
              <w:rPr>
                <w:sz w:val="20"/>
                <w:szCs w:val="20"/>
              </w:rPr>
              <w:t>Median</w:t>
            </w:r>
          </w:p>
        </w:tc>
        <w:tc>
          <w:tcPr>
            <w:tcW w:w="837" w:type="pct"/>
            <w:shd w:val="clear" w:color="auto" w:fill="FFFFFF"/>
            <w:vAlign w:val="center"/>
          </w:tcPr>
          <w:p w:rsidR="00F837BF" w:rsidRPr="006A2252" w:rsidRDefault="00F837BF" w:rsidP="00FF4C83">
            <w:pPr>
              <w:snapToGrid w:val="0"/>
              <w:jc w:val="both"/>
              <w:rPr>
                <w:sz w:val="20"/>
                <w:szCs w:val="20"/>
              </w:rPr>
            </w:pPr>
            <w:r w:rsidRPr="006A2252">
              <w:rPr>
                <w:sz w:val="20"/>
                <w:szCs w:val="20"/>
              </w:rPr>
              <w:t>13.00</w:t>
            </w:r>
          </w:p>
        </w:tc>
        <w:tc>
          <w:tcPr>
            <w:tcW w:w="759" w:type="pct"/>
            <w:shd w:val="clear" w:color="auto" w:fill="FFFFFF"/>
            <w:vAlign w:val="center"/>
          </w:tcPr>
          <w:p w:rsidR="00F837BF" w:rsidRPr="006A2252" w:rsidRDefault="00F837BF" w:rsidP="00FF4C83">
            <w:pPr>
              <w:snapToGrid w:val="0"/>
              <w:jc w:val="both"/>
              <w:rPr>
                <w:sz w:val="20"/>
                <w:szCs w:val="20"/>
              </w:rPr>
            </w:pPr>
            <w:r w:rsidRPr="006A2252">
              <w:rPr>
                <w:sz w:val="20"/>
                <w:szCs w:val="20"/>
              </w:rPr>
              <w:t>15.10</w:t>
            </w:r>
          </w:p>
        </w:tc>
        <w:tc>
          <w:tcPr>
            <w:tcW w:w="636" w:type="pct"/>
            <w:vMerge/>
            <w:vAlign w:val="center"/>
          </w:tcPr>
          <w:p w:rsidR="00F837BF" w:rsidRPr="006A2252" w:rsidRDefault="00F837BF" w:rsidP="00FF4C83">
            <w:pPr>
              <w:snapToGrid w:val="0"/>
              <w:jc w:val="both"/>
              <w:rPr>
                <w:sz w:val="20"/>
                <w:szCs w:val="20"/>
              </w:rPr>
            </w:pPr>
          </w:p>
        </w:tc>
        <w:tc>
          <w:tcPr>
            <w:tcW w:w="889" w:type="pct"/>
            <w:vMerge/>
            <w:vAlign w:val="center"/>
          </w:tcPr>
          <w:p w:rsidR="00F837BF" w:rsidRPr="006A2252" w:rsidRDefault="00F837BF" w:rsidP="00FF4C83">
            <w:pPr>
              <w:snapToGrid w:val="0"/>
              <w:jc w:val="both"/>
              <w:rPr>
                <w:sz w:val="20"/>
                <w:szCs w:val="20"/>
              </w:rPr>
            </w:pPr>
          </w:p>
        </w:tc>
      </w:tr>
      <w:tr w:rsidR="009677D1" w:rsidRPr="006A2252" w:rsidTr="009677D1">
        <w:trPr>
          <w:cantSplit/>
          <w:jc w:val="center"/>
        </w:trPr>
        <w:tc>
          <w:tcPr>
            <w:tcW w:w="1318"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D7</w:t>
            </w:r>
          </w:p>
        </w:tc>
        <w:tc>
          <w:tcPr>
            <w:tcW w:w="561" w:type="pct"/>
            <w:shd w:val="clear" w:color="auto" w:fill="FFFFFF"/>
            <w:vAlign w:val="center"/>
          </w:tcPr>
          <w:p w:rsidR="00F837BF" w:rsidRPr="006A2252" w:rsidRDefault="00F837BF" w:rsidP="00FF4C83">
            <w:pPr>
              <w:snapToGrid w:val="0"/>
              <w:jc w:val="both"/>
              <w:rPr>
                <w:sz w:val="20"/>
                <w:szCs w:val="20"/>
              </w:rPr>
            </w:pPr>
            <w:r w:rsidRPr="006A2252">
              <w:rPr>
                <w:sz w:val="20"/>
                <w:szCs w:val="20"/>
              </w:rPr>
              <w:t>Range</w:t>
            </w:r>
          </w:p>
        </w:tc>
        <w:tc>
          <w:tcPr>
            <w:tcW w:w="837" w:type="pct"/>
            <w:shd w:val="clear" w:color="auto" w:fill="FFFFFF"/>
            <w:vAlign w:val="center"/>
          </w:tcPr>
          <w:p w:rsidR="00F837BF" w:rsidRPr="006A2252" w:rsidRDefault="00F837BF" w:rsidP="00FF4C83">
            <w:pPr>
              <w:snapToGrid w:val="0"/>
              <w:jc w:val="both"/>
              <w:rPr>
                <w:sz w:val="20"/>
                <w:szCs w:val="20"/>
              </w:rPr>
            </w:pPr>
            <w:r w:rsidRPr="006A2252">
              <w:rPr>
                <w:sz w:val="20"/>
                <w:szCs w:val="20"/>
              </w:rPr>
              <w:t>10.50-26.00</w:t>
            </w:r>
          </w:p>
        </w:tc>
        <w:tc>
          <w:tcPr>
            <w:tcW w:w="759" w:type="pct"/>
            <w:shd w:val="clear" w:color="auto" w:fill="FFFFFF"/>
            <w:vAlign w:val="center"/>
          </w:tcPr>
          <w:p w:rsidR="00F837BF" w:rsidRPr="006A2252" w:rsidRDefault="00F837BF" w:rsidP="00FF4C83">
            <w:pPr>
              <w:snapToGrid w:val="0"/>
              <w:jc w:val="both"/>
              <w:rPr>
                <w:sz w:val="20"/>
                <w:szCs w:val="20"/>
              </w:rPr>
            </w:pPr>
            <w:r w:rsidRPr="006A2252">
              <w:rPr>
                <w:sz w:val="20"/>
                <w:szCs w:val="20"/>
              </w:rPr>
              <w:t>8.30-24.90</w:t>
            </w:r>
          </w:p>
        </w:tc>
        <w:tc>
          <w:tcPr>
            <w:tcW w:w="636"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-3.66</w:t>
            </w:r>
          </w:p>
        </w:tc>
        <w:tc>
          <w:tcPr>
            <w:tcW w:w="889"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&lt;.001*</w:t>
            </w:r>
          </w:p>
        </w:tc>
      </w:tr>
      <w:tr w:rsidR="00F837BF" w:rsidRPr="006A2252" w:rsidTr="009677D1">
        <w:trPr>
          <w:cantSplit/>
          <w:jc w:val="center"/>
        </w:trPr>
        <w:tc>
          <w:tcPr>
            <w:tcW w:w="1318" w:type="pct"/>
            <w:vMerge/>
            <w:vAlign w:val="center"/>
          </w:tcPr>
          <w:p w:rsidR="00F837BF" w:rsidRPr="006A2252" w:rsidRDefault="00F837BF" w:rsidP="00FF4C83">
            <w:pPr>
              <w:snapToGrid w:val="0"/>
              <w:jc w:val="both"/>
              <w:rPr>
                <w:sz w:val="20"/>
                <w:szCs w:val="20"/>
              </w:rPr>
            </w:pPr>
          </w:p>
        </w:tc>
        <w:tc>
          <w:tcPr>
            <w:tcW w:w="561" w:type="pct"/>
            <w:shd w:val="clear" w:color="auto" w:fill="FFFFFF"/>
            <w:vAlign w:val="center"/>
          </w:tcPr>
          <w:p w:rsidR="00F837BF" w:rsidRPr="006A2252" w:rsidRDefault="00F837BF" w:rsidP="00FF4C83">
            <w:pPr>
              <w:snapToGrid w:val="0"/>
              <w:jc w:val="both"/>
              <w:rPr>
                <w:sz w:val="20"/>
                <w:szCs w:val="20"/>
              </w:rPr>
            </w:pPr>
            <w:r w:rsidRPr="006A2252">
              <w:rPr>
                <w:sz w:val="20"/>
                <w:szCs w:val="20"/>
              </w:rPr>
              <w:t>Median</w:t>
            </w:r>
          </w:p>
        </w:tc>
        <w:tc>
          <w:tcPr>
            <w:tcW w:w="837" w:type="pct"/>
            <w:shd w:val="clear" w:color="auto" w:fill="FFFFFF"/>
            <w:vAlign w:val="center"/>
          </w:tcPr>
          <w:p w:rsidR="00F837BF" w:rsidRPr="006A2252" w:rsidRDefault="00F837BF" w:rsidP="00FF4C83">
            <w:pPr>
              <w:snapToGrid w:val="0"/>
              <w:jc w:val="both"/>
              <w:rPr>
                <w:sz w:val="20"/>
                <w:szCs w:val="20"/>
              </w:rPr>
            </w:pPr>
            <w:r w:rsidRPr="006A2252">
              <w:rPr>
                <w:sz w:val="20"/>
                <w:szCs w:val="20"/>
              </w:rPr>
              <w:t>16.00</w:t>
            </w:r>
          </w:p>
        </w:tc>
        <w:tc>
          <w:tcPr>
            <w:tcW w:w="759" w:type="pct"/>
            <w:shd w:val="clear" w:color="auto" w:fill="FFFFFF"/>
            <w:vAlign w:val="center"/>
          </w:tcPr>
          <w:p w:rsidR="00F837BF" w:rsidRPr="006A2252" w:rsidRDefault="00F837BF" w:rsidP="00FF4C83">
            <w:pPr>
              <w:snapToGrid w:val="0"/>
              <w:jc w:val="both"/>
              <w:rPr>
                <w:sz w:val="20"/>
                <w:szCs w:val="20"/>
              </w:rPr>
            </w:pPr>
            <w:r w:rsidRPr="006A2252">
              <w:rPr>
                <w:sz w:val="20"/>
                <w:szCs w:val="20"/>
              </w:rPr>
              <w:t>13.50</w:t>
            </w:r>
          </w:p>
        </w:tc>
        <w:tc>
          <w:tcPr>
            <w:tcW w:w="636" w:type="pct"/>
            <w:vMerge/>
            <w:vAlign w:val="center"/>
          </w:tcPr>
          <w:p w:rsidR="00F837BF" w:rsidRPr="006A2252" w:rsidRDefault="00F837BF" w:rsidP="00FF4C83">
            <w:pPr>
              <w:snapToGrid w:val="0"/>
              <w:jc w:val="both"/>
              <w:rPr>
                <w:sz w:val="20"/>
                <w:szCs w:val="20"/>
              </w:rPr>
            </w:pPr>
          </w:p>
        </w:tc>
        <w:tc>
          <w:tcPr>
            <w:tcW w:w="889" w:type="pct"/>
            <w:vMerge/>
            <w:vAlign w:val="center"/>
          </w:tcPr>
          <w:p w:rsidR="00F837BF" w:rsidRPr="006A2252" w:rsidRDefault="00F837BF" w:rsidP="00FF4C83">
            <w:pPr>
              <w:snapToGrid w:val="0"/>
              <w:jc w:val="both"/>
              <w:rPr>
                <w:sz w:val="20"/>
                <w:szCs w:val="20"/>
              </w:rPr>
            </w:pPr>
          </w:p>
        </w:tc>
      </w:tr>
      <w:tr w:rsidR="009677D1" w:rsidRPr="006A2252" w:rsidTr="009677D1">
        <w:trPr>
          <w:cantSplit/>
          <w:jc w:val="center"/>
        </w:trPr>
        <w:tc>
          <w:tcPr>
            <w:tcW w:w="1318"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D10</w:t>
            </w:r>
          </w:p>
        </w:tc>
        <w:tc>
          <w:tcPr>
            <w:tcW w:w="561" w:type="pct"/>
            <w:shd w:val="clear" w:color="auto" w:fill="FFFFFF"/>
            <w:vAlign w:val="center"/>
          </w:tcPr>
          <w:p w:rsidR="00F837BF" w:rsidRPr="006A2252" w:rsidRDefault="00F837BF" w:rsidP="00FF4C83">
            <w:pPr>
              <w:snapToGrid w:val="0"/>
              <w:jc w:val="both"/>
              <w:rPr>
                <w:sz w:val="20"/>
                <w:szCs w:val="20"/>
              </w:rPr>
            </w:pPr>
            <w:r w:rsidRPr="006A2252">
              <w:rPr>
                <w:sz w:val="20"/>
                <w:szCs w:val="20"/>
              </w:rPr>
              <w:t>Range</w:t>
            </w:r>
          </w:p>
        </w:tc>
        <w:tc>
          <w:tcPr>
            <w:tcW w:w="837" w:type="pct"/>
            <w:shd w:val="clear" w:color="auto" w:fill="FFFFFF"/>
            <w:vAlign w:val="center"/>
          </w:tcPr>
          <w:p w:rsidR="00F837BF" w:rsidRPr="006A2252" w:rsidRDefault="00F837BF" w:rsidP="00FF4C83">
            <w:pPr>
              <w:snapToGrid w:val="0"/>
              <w:jc w:val="both"/>
              <w:rPr>
                <w:sz w:val="20"/>
                <w:szCs w:val="20"/>
              </w:rPr>
            </w:pPr>
            <w:r w:rsidRPr="006A2252">
              <w:rPr>
                <w:sz w:val="20"/>
                <w:szCs w:val="20"/>
              </w:rPr>
              <w:t>13.70-28.00</w:t>
            </w:r>
          </w:p>
        </w:tc>
        <w:tc>
          <w:tcPr>
            <w:tcW w:w="759" w:type="pct"/>
            <w:shd w:val="clear" w:color="auto" w:fill="FFFFFF"/>
            <w:vAlign w:val="center"/>
          </w:tcPr>
          <w:p w:rsidR="00F837BF" w:rsidRPr="006A2252" w:rsidRDefault="00F837BF" w:rsidP="00FF4C83">
            <w:pPr>
              <w:snapToGrid w:val="0"/>
              <w:jc w:val="both"/>
              <w:rPr>
                <w:sz w:val="20"/>
                <w:szCs w:val="20"/>
              </w:rPr>
            </w:pPr>
            <w:r w:rsidRPr="006A2252">
              <w:rPr>
                <w:sz w:val="20"/>
                <w:szCs w:val="20"/>
              </w:rPr>
              <w:t>6.00-25.30</w:t>
            </w:r>
          </w:p>
        </w:tc>
        <w:tc>
          <w:tcPr>
            <w:tcW w:w="636"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-5.76</w:t>
            </w:r>
          </w:p>
        </w:tc>
        <w:tc>
          <w:tcPr>
            <w:tcW w:w="889"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&lt;.001*</w:t>
            </w:r>
          </w:p>
        </w:tc>
      </w:tr>
      <w:tr w:rsidR="00F837BF" w:rsidRPr="006A2252" w:rsidTr="009677D1">
        <w:trPr>
          <w:cantSplit/>
          <w:jc w:val="center"/>
        </w:trPr>
        <w:tc>
          <w:tcPr>
            <w:tcW w:w="1318" w:type="pct"/>
            <w:vMerge/>
            <w:vAlign w:val="center"/>
          </w:tcPr>
          <w:p w:rsidR="00F837BF" w:rsidRPr="006A2252" w:rsidRDefault="00F837BF" w:rsidP="00FF4C83">
            <w:pPr>
              <w:snapToGrid w:val="0"/>
              <w:jc w:val="both"/>
              <w:rPr>
                <w:sz w:val="20"/>
                <w:szCs w:val="20"/>
              </w:rPr>
            </w:pPr>
          </w:p>
        </w:tc>
        <w:tc>
          <w:tcPr>
            <w:tcW w:w="561" w:type="pct"/>
            <w:shd w:val="clear" w:color="auto" w:fill="FFFFFF"/>
            <w:vAlign w:val="center"/>
          </w:tcPr>
          <w:p w:rsidR="00F837BF" w:rsidRPr="006A2252" w:rsidRDefault="00F837BF" w:rsidP="00FF4C83">
            <w:pPr>
              <w:snapToGrid w:val="0"/>
              <w:jc w:val="both"/>
              <w:rPr>
                <w:sz w:val="20"/>
                <w:szCs w:val="20"/>
              </w:rPr>
            </w:pPr>
            <w:r w:rsidRPr="006A2252">
              <w:rPr>
                <w:sz w:val="20"/>
                <w:szCs w:val="20"/>
              </w:rPr>
              <w:t>Median</w:t>
            </w:r>
          </w:p>
        </w:tc>
        <w:tc>
          <w:tcPr>
            <w:tcW w:w="837" w:type="pct"/>
            <w:shd w:val="clear" w:color="auto" w:fill="FFFFFF"/>
            <w:vAlign w:val="center"/>
          </w:tcPr>
          <w:p w:rsidR="00F837BF" w:rsidRPr="006A2252" w:rsidRDefault="00F837BF" w:rsidP="00FF4C83">
            <w:pPr>
              <w:snapToGrid w:val="0"/>
              <w:jc w:val="both"/>
              <w:rPr>
                <w:sz w:val="20"/>
                <w:szCs w:val="20"/>
              </w:rPr>
            </w:pPr>
            <w:r w:rsidRPr="006A2252">
              <w:rPr>
                <w:sz w:val="20"/>
                <w:szCs w:val="20"/>
              </w:rPr>
              <w:t>21.00</w:t>
            </w:r>
          </w:p>
        </w:tc>
        <w:tc>
          <w:tcPr>
            <w:tcW w:w="759" w:type="pct"/>
            <w:shd w:val="clear" w:color="auto" w:fill="FFFFFF"/>
            <w:vAlign w:val="center"/>
          </w:tcPr>
          <w:p w:rsidR="00F837BF" w:rsidRPr="006A2252" w:rsidRDefault="00F837BF" w:rsidP="00FF4C83">
            <w:pPr>
              <w:snapToGrid w:val="0"/>
              <w:jc w:val="both"/>
              <w:rPr>
                <w:sz w:val="20"/>
                <w:szCs w:val="20"/>
              </w:rPr>
            </w:pPr>
            <w:r w:rsidRPr="006A2252">
              <w:rPr>
                <w:sz w:val="20"/>
                <w:szCs w:val="20"/>
              </w:rPr>
              <w:t>13.00</w:t>
            </w:r>
          </w:p>
        </w:tc>
        <w:tc>
          <w:tcPr>
            <w:tcW w:w="636" w:type="pct"/>
            <w:vMerge/>
            <w:vAlign w:val="center"/>
          </w:tcPr>
          <w:p w:rsidR="00F837BF" w:rsidRPr="006A2252" w:rsidRDefault="00F837BF" w:rsidP="00FF4C83">
            <w:pPr>
              <w:snapToGrid w:val="0"/>
              <w:jc w:val="both"/>
              <w:rPr>
                <w:sz w:val="20"/>
                <w:szCs w:val="20"/>
              </w:rPr>
            </w:pPr>
          </w:p>
        </w:tc>
        <w:tc>
          <w:tcPr>
            <w:tcW w:w="889" w:type="pct"/>
            <w:vMerge/>
            <w:vAlign w:val="center"/>
          </w:tcPr>
          <w:p w:rsidR="00F837BF" w:rsidRPr="006A2252" w:rsidRDefault="00F837BF" w:rsidP="00FF4C83">
            <w:pPr>
              <w:snapToGrid w:val="0"/>
              <w:jc w:val="both"/>
              <w:rPr>
                <w:sz w:val="20"/>
                <w:szCs w:val="20"/>
              </w:rPr>
            </w:pPr>
          </w:p>
        </w:tc>
      </w:tr>
      <w:tr w:rsidR="009677D1" w:rsidRPr="006A2252" w:rsidTr="009677D1">
        <w:trPr>
          <w:cantSplit/>
          <w:jc w:val="center"/>
        </w:trPr>
        <w:tc>
          <w:tcPr>
            <w:tcW w:w="1318"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D14</w:t>
            </w:r>
          </w:p>
        </w:tc>
        <w:tc>
          <w:tcPr>
            <w:tcW w:w="561" w:type="pct"/>
            <w:shd w:val="clear" w:color="auto" w:fill="FFFFFF"/>
            <w:vAlign w:val="center"/>
          </w:tcPr>
          <w:p w:rsidR="00F837BF" w:rsidRPr="006A2252" w:rsidRDefault="00F837BF" w:rsidP="00FF4C83">
            <w:pPr>
              <w:snapToGrid w:val="0"/>
              <w:jc w:val="both"/>
              <w:rPr>
                <w:sz w:val="20"/>
                <w:szCs w:val="20"/>
              </w:rPr>
            </w:pPr>
            <w:r w:rsidRPr="006A2252">
              <w:rPr>
                <w:sz w:val="20"/>
                <w:szCs w:val="20"/>
              </w:rPr>
              <w:t>Range</w:t>
            </w:r>
          </w:p>
        </w:tc>
        <w:tc>
          <w:tcPr>
            <w:tcW w:w="837" w:type="pct"/>
            <w:shd w:val="clear" w:color="auto" w:fill="FFFFFF"/>
            <w:vAlign w:val="center"/>
          </w:tcPr>
          <w:p w:rsidR="00F837BF" w:rsidRPr="006A2252" w:rsidRDefault="00F837BF" w:rsidP="00FF4C83">
            <w:pPr>
              <w:snapToGrid w:val="0"/>
              <w:jc w:val="both"/>
              <w:rPr>
                <w:sz w:val="20"/>
                <w:szCs w:val="20"/>
              </w:rPr>
            </w:pPr>
            <w:r w:rsidRPr="006A2252">
              <w:rPr>
                <w:sz w:val="20"/>
                <w:szCs w:val="20"/>
              </w:rPr>
              <w:t>13.70-32.00</w:t>
            </w:r>
          </w:p>
        </w:tc>
        <w:tc>
          <w:tcPr>
            <w:tcW w:w="759" w:type="pct"/>
            <w:shd w:val="clear" w:color="auto" w:fill="FFFFFF"/>
            <w:vAlign w:val="center"/>
          </w:tcPr>
          <w:p w:rsidR="00F837BF" w:rsidRPr="006A2252" w:rsidRDefault="00F837BF" w:rsidP="00FF4C83">
            <w:pPr>
              <w:snapToGrid w:val="0"/>
              <w:jc w:val="both"/>
              <w:rPr>
                <w:sz w:val="20"/>
                <w:szCs w:val="20"/>
              </w:rPr>
            </w:pPr>
            <w:r w:rsidRPr="006A2252">
              <w:rPr>
                <w:sz w:val="20"/>
                <w:szCs w:val="20"/>
              </w:rPr>
              <w:t>5.00-25.00</w:t>
            </w:r>
          </w:p>
        </w:tc>
        <w:tc>
          <w:tcPr>
            <w:tcW w:w="636"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-6.53</w:t>
            </w:r>
          </w:p>
        </w:tc>
        <w:tc>
          <w:tcPr>
            <w:tcW w:w="889"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&lt;.001*</w:t>
            </w:r>
          </w:p>
        </w:tc>
      </w:tr>
      <w:tr w:rsidR="00F837BF" w:rsidRPr="006A2252" w:rsidTr="009677D1">
        <w:trPr>
          <w:cantSplit/>
          <w:jc w:val="center"/>
        </w:trPr>
        <w:tc>
          <w:tcPr>
            <w:tcW w:w="1318" w:type="pct"/>
            <w:vMerge/>
            <w:vAlign w:val="center"/>
          </w:tcPr>
          <w:p w:rsidR="00F837BF" w:rsidRPr="006A2252" w:rsidRDefault="00F837BF" w:rsidP="00FF4C83">
            <w:pPr>
              <w:snapToGrid w:val="0"/>
              <w:jc w:val="both"/>
              <w:rPr>
                <w:sz w:val="20"/>
                <w:szCs w:val="20"/>
              </w:rPr>
            </w:pPr>
          </w:p>
        </w:tc>
        <w:tc>
          <w:tcPr>
            <w:tcW w:w="561" w:type="pct"/>
            <w:shd w:val="clear" w:color="auto" w:fill="FFFFFF"/>
            <w:vAlign w:val="center"/>
          </w:tcPr>
          <w:p w:rsidR="00F837BF" w:rsidRPr="006A2252" w:rsidRDefault="00F837BF" w:rsidP="00FF4C83">
            <w:pPr>
              <w:snapToGrid w:val="0"/>
              <w:jc w:val="both"/>
              <w:rPr>
                <w:sz w:val="20"/>
                <w:szCs w:val="20"/>
              </w:rPr>
            </w:pPr>
            <w:r w:rsidRPr="006A2252">
              <w:rPr>
                <w:sz w:val="20"/>
                <w:szCs w:val="20"/>
              </w:rPr>
              <w:t>Median</w:t>
            </w:r>
          </w:p>
        </w:tc>
        <w:tc>
          <w:tcPr>
            <w:tcW w:w="837" w:type="pct"/>
            <w:shd w:val="clear" w:color="auto" w:fill="FFFFFF"/>
            <w:vAlign w:val="center"/>
          </w:tcPr>
          <w:p w:rsidR="00F837BF" w:rsidRPr="006A2252" w:rsidRDefault="00F837BF" w:rsidP="00FF4C83">
            <w:pPr>
              <w:snapToGrid w:val="0"/>
              <w:jc w:val="both"/>
              <w:rPr>
                <w:sz w:val="20"/>
                <w:szCs w:val="20"/>
              </w:rPr>
            </w:pPr>
            <w:r w:rsidRPr="006A2252">
              <w:rPr>
                <w:sz w:val="20"/>
                <w:szCs w:val="20"/>
              </w:rPr>
              <w:t>25.00</w:t>
            </w:r>
          </w:p>
        </w:tc>
        <w:tc>
          <w:tcPr>
            <w:tcW w:w="759" w:type="pct"/>
            <w:shd w:val="clear" w:color="auto" w:fill="FFFFFF"/>
            <w:vAlign w:val="center"/>
          </w:tcPr>
          <w:p w:rsidR="00F837BF" w:rsidRPr="006A2252" w:rsidRDefault="00F837BF" w:rsidP="00FF4C83">
            <w:pPr>
              <w:snapToGrid w:val="0"/>
              <w:jc w:val="both"/>
              <w:rPr>
                <w:sz w:val="20"/>
                <w:szCs w:val="20"/>
              </w:rPr>
            </w:pPr>
            <w:r w:rsidRPr="006A2252">
              <w:rPr>
                <w:sz w:val="20"/>
                <w:szCs w:val="20"/>
              </w:rPr>
              <w:t>11.10</w:t>
            </w:r>
          </w:p>
        </w:tc>
        <w:tc>
          <w:tcPr>
            <w:tcW w:w="636" w:type="pct"/>
            <w:vMerge/>
            <w:vAlign w:val="center"/>
          </w:tcPr>
          <w:p w:rsidR="00F837BF" w:rsidRPr="006A2252" w:rsidRDefault="00F837BF" w:rsidP="00FF4C83">
            <w:pPr>
              <w:snapToGrid w:val="0"/>
              <w:jc w:val="both"/>
              <w:rPr>
                <w:sz w:val="20"/>
                <w:szCs w:val="20"/>
              </w:rPr>
            </w:pPr>
          </w:p>
        </w:tc>
        <w:tc>
          <w:tcPr>
            <w:tcW w:w="889" w:type="pct"/>
            <w:vMerge/>
            <w:vAlign w:val="center"/>
          </w:tcPr>
          <w:p w:rsidR="00F837BF" w:rsidRPr="006A2252" w:rsidRDefault="00F837BF" w:rsidP="00FF4C83">
            <w:pPr>
              <w:snapToGrid w:val="0"/>
              <w:jc w:val="both"/>
              <w:rPr>
                <w:sz w:val="20"/>
                <w:szCs w:val="20"/>
              </w:rPr>
            </w:pPr>
          </w:p>
        </w:tc>
      </w:tr>
    </w:tbl>
    <w:p w:rsidR="00F837BF" w:rsidRPr="006A2252" w:rsidRDefault="00F837BF" w:rsidP="00FF4C83">
      <w:pPr>
        <w:snapToGrid w:val="0"/>
        <w:jc w:val="both"/>
        <w:rPr>
          <w:sz w:val="20"/>
          <w:szCs w:val="20"/>
        </w:rPr>
      </w:pPr>
      <w:r w:rsidRPr="006A2252">
        <w:rPr>
          <w:sz w:val="20"/>
          <w:szCs w:val="20"/>
        </w:rPr>
        <w:t>*significant at p&lt;.05</w:t>
      </w:r>
    </w:p>
    <w:p w:rsidR="00DE776F" w:rsidRPr="006A2252" w:rsidRDefault="00DE776F" w:rsidP="00FF4C83">
      <w:pPr>
        <w:snapToGrid w:val="0"/>
        <w:ind w:firstLine="425"/>
        <w:jc w:val="both"/>
        <w:rPr>
          <w:sz w:val="20"/>
          <w:szCs w:val="20"/>
        </w:rPr>
      </w:pPr>
    </w:p>
    <w:p w:rsidR="00FF4C83" w:rsidRPr="006A2252" w:rsidRDefault="00FF4C83" w:rsidP="00FF4C83">
      <w:pPr>
        <w:snapToGrid w:val="0"/>
        <w:ind w:firstLine="425"/>
        <w:jc w:val="both"/>
        <w:rPr>
          <w:sz w:val="20"/>
          <w:szCs w:val="20"/>
        </w:rPr>
        <w:sectPr w:rsidR="00FF4C83" w:rsidRPr="006A2252" w:rsidSect="00851763">
          <w:type w:val="continuous"/>
          <w:pgSz w:w="12240" w:h="15840" w:code="9"/>
          <w:pgMar w:top="1440" w:right="1440" w:bottom="1440" w:left="1440" w:header="720" w:footer="720" w:gutter="0"/>
          <w:cols w:space="720"/>
          <w:docGrid w:linePitch="360"/>
        </w:sectPr>
      </w:pPr>
    </w:p>
    <w:p w:rsidR="00F837BF" w:rsidRPr="006A2252" w:rsidRDefault="00F837BF" w:rsidP="00FF4C83">
      <w:pPr>
        <w:snapToGrid w:val="0"/>
        <w:ind w:firstLine="425"/>
        <w:jc w:val="both"/>
        <w:rPr>
          <w:sz w:val="20"/>
          <w:szCs w:val="20"/>
        </w:rPr>
      </w:pPr>
      <w:r w:rsidRPr="006A2252">
        <w:rPr>
          <w:sz w:val="20"/>
          <w:szCs w:val="20"/>
        </w:rPr>
        <w:lastRenderedPageBreak/>
        <w:t xml:space="preserve">There were no significant differences at D0 and D 2 (p&gt;.05). on the other hand, the median </w:t>
      </w:r>
      <w:proofErr w:type="spellStart"/>
      <w:r w:rsidRPr="006A2252">
        <w:rPr>
          <w:sz w:val="20"/>
          <w:szCs w:val="20"/>
        </w:rPr>
        <w:t>prealbumin</w:t>
      </w:r>
      <w:proofErr w:type="spellEnd"/>
      <w:r w:rsidRPr="006A2252">
        <w:rPr>
          <w:sz w:val="20"/>
          <w:szCs w:val="20"/>
        </w:rPr>
        <w:t xml:space="preserve"> levels were significantly higher in glutamine than </w:t>
      </w:r>
      <w:r w:rsidRPr="006A2252">
        <w:rPr>
          <w:sz w:val="20"/>
          <w:szCs w:val="20"/>
        </w:rPr>
        <w:lastRenderedPageBreak/>
        <w:t>control group at D7 (16.00 and 13.50 respectively), at D10 (21.00 and 13.00 respectively), and D 14 (25.00 and 11.10 respectively).</w:t>
      </w:r>
    </w:p>
    <w:p w:rsidR="00FF4C83" w:rsidRPr="006A2252" w:rsidRDefault="00FF4C83" w:rsidP="00FF4C83">
      <w:pPr>
        <w:snapToGrid w:val="0"/>
        <w:jc w:val="center"/>
        <w:rPr>
          <w:b/>
          <w:bCs/>
          <w:sz w:val="20"/>
          <w:szCs w:val="20"/>
        </w:rPr>
        <w:sectPr w:rsidR="00FF4C83" w:rsidRPr="006A2252" w:rsidSect="00851763">
          <w:type w:val="continuous"/>
          <w:pgSz w:w="12240" w:h="15840" w:code="9"/>
          <w:pgMar w:top="1440" w:right="1440" w:bottom="1440" w:left="1440" w:header="720" w:footer="720" w:gutter="0"/>
          <w:cols w:num="2" w:space="600"/>
          <w:docGrid w:linePitch="360"/>
        </w:sectPr>
      </w:pPr>
      <w:bookmarkStart w:id="7" w:name="_Toc6307617"/>
    </w:p>
    <w:p w:rsidR="00DE776F" w:rsidRPr="006A2252" w:rsidRDefault="00DE776F" w:rsidP="00FF4C83">
      <w:pPr>
        <w:snapToGrid w:val="0"/>
        <w:jc w:val="center"/>
        <w:rPr>
          <w:b/>
          <w:bCs/>
          <w:sz w:val="20"/>
          <w:szCs w:val="20"/>
        </w:rPr>
      </w:pPr>
    </w:p>
    <w:p w:rsidR="006A2252" w:rsidRDefault="006A2252" w:rsidP="00FF4C83">
      <w:pPr>
        <w:snapToGrid w:val="0"/>
        <w:jc w:val="center"/>
        <w:rPr>
          <w:rFonts w:eastAsiaTheme="minorEastAsia" w:hint="eastAsia"/>
          <w:b/>
          <w:bCs/>
          <w:sz w:val="20"/>
          <w:szCs w:val="20"/>
          <w:lang w:eastAsia="zh-CN"/>
        </w:rPr>
      </w:pPr>
    </w:p>
    <w:p w:rsidR="00F837BF" w:rsidRPr="006A2252" w:rsidRDefault="00F837BF" w:rsidP="00FF4C83">
      <w:pPr>
        <w:snapToGrid w:val="0"/>
        <w:jc w:val="center"/>
        <w:rPr>
          <w:sz w:val="20"/>
          <w:szCs w:val="20"/>
        </w:rPr>
      </w:pPr>
      <w:r w:rsidRPr="006A2252">
        <w:rPr>
          <w:b/>
          <w:bCs/>
          <w:sz w:val="20"/>
          <w:szCs w:val="20"/>
        </w:rPr>
        <w:lastRenderedPageBreak/>
        <w:t xml:space="preserve">Table (6): </w:t>
      </w:r>
      <w:r w:rsidRPr="006A2252">
        <w:rPr>
          <w:sz w:val="20"/>
          <w:szCs w:val="20"/>
        </w:rPr>
        <w:t xml:space="preserve">Comparison between two studied groups regarding Serum </w:t>
      </w:r>
      <w:proofErr w:type="spellStart"/>
      <w:r w:rsidRPr="006A2252">
        <w:rPr>
          <w:sz w:val="20"/>
          <w:szCs w:val="20"/>
        </w:rPr>
        <w:t>Transferrin</w:t>
      </w:r>
      <w:bookmarkEnd w:id="7"/>
      <w:proofErr w:type="spellEnd"/>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2318"/>
        <w:gridCol w:w="987"/>
        <w:gridCol w:w="1743"/>
        <w:gridCol w:w="1745"/>
        <w:gridCol w:w="1120"/>
        <w:gridCol w:w="1561"/>
      </w:tblGrid>
      <w:tr w:rsidR="00F837BF" w:rsidRPr="006A2252" w:rsidTr="009677D1">
        <w:trPr>
          <w:cantSplit/>
          <w:jc w:val="center"/>
        </w:trPr>
        <w:tc>
          <w:tcPr>
            <w:tcW w:w="1744" w:type="pct"/>
            <w:gridSpan w:val="2"/>
            <w:vMerge w:val="restart"/>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 xml:space="preserve">Serum </w:t>
            </w:r>
            <w:proofErr w:type="spellStart"/>
            <w:r w:rsidRPr="006A2252">
              <w:rPr>
                <w:b/>
                <w:bCs/>
                <w:sz w:val="20"/>
                <w:szCs w:val="20"/>
              </w:rPr>
              <w:t>Transferrin</w:t>
            </w:r>
            <w:proofErr w:type="spellEnd"/>
          </w:p>
        </w:tc>
        <w:tc>
          <w:tcPr>
            <w:tcW w:w="1841" w:type="pct"/>
            <w:gridSpan w:val="2"/>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GROUPS</w:t>
            </w:r>
          </w:p>
        </w:tc>
        <w:tc>
          <w:tcPr>
            <w:tcW w:w="1415" w:type="pct"/>
            <w:gridSpan w:val="2"/>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Mann-Whitney U test</w:t>
            </w:r>
          </w:p>
        </w:tc>
      </w:tr>
      <w:tr w:rsidR="00F837BF" w:rsidRPr="006A2252" w:rsidTr="009677D1">
        <w:trPr>
          <w:cantSplit/>
          <w:jc w:val="center"/>
        </w:trPr>
        <w:tc>
          <w:tcPr>
            <w:tcW w:w="1744" w:type="pct"/>
            <w:gridSpan w:val="2"/>
            <w:vMerge/>
            <w:vAlign w:val="center"/>
          </w:tcPr>
          <w:p w:rsidR="00F837BF" w:rsidRPr="006A2252" w:rsidRDefault="00F837BF" w:rsidP="00FF4C83">
            <w:pPr>
              <w:snapToGrid w:val="0"/>
              <w:jc w:val="both"/>
              <w:rPr>
                <w:b/>
                <w:bCs/>
                <w:sz w:val="20"/>
                <w:szCs w:val="20"/>
              </w:rPr>
            </w:pPr>
          </w:p>
        </w:tc>
        <w:tc>
          <w:tcPr>
            <w:tcW w:w="920" w:type="pct"/>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Glutamine</w:t>
            </w:r>
          </w:p>
        </w:tc>
        <w:tc>
          <w:tcPr>
            <w:tcW w:w="920" w:type="pct"/>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Control</w:t>
            </w:r>
          </w:p>
        </w:tc>
        <w:tc>
          <w:tcPr>
            <w:tcW w:w="591" w:type="pct"/>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 xml:space="preserve">Z </w:t>
            </w:r>
            <w:r w:rsidRPr="006A2252">
              <w:rPr>
                <w:b/>
                <w:bCs/>
                <w:sz w:val="20"/>
                <w:szCs w:val="20"/>
                <w:vertAlign w:val="subscript"/>
              </w:rPr>
              <w:t>mw</w:t>
            </w:r>
          </w:p>
        </w:tc>
        <w:tc>
          <w:tcPr>
            <w:tcW w:w="825" w:type="pct"/>
            <w:shd w:val="clear" w:color="auto" w:fill="FFFFFF"/>
            <w:vAlign w:val="center"/>
          </w:tcPr>
          <w:p w:rsidR="00F837BF" w:rsidRPr="006A2252" w:rsidRDefault="00F837BF" w:rsidP="00FF4C83">
            <w:pPr>
              <w:snapToGrid w:val="0"/>
              <w:jc w:val="both"/>
              <w:rPr>
                <w:b/>
                <w:bCs/>
                <w:sz w:val="20"/>
                <w:szCs w:val="20"/>
              </w:rPr>
            </w:pPr>
            <w:r w:rsidRPr="006A2252">
              <w:rPr>
                <w:b/>
                <w:bCs/>
                <w:sz w:val="20"/>
                <w:szCs w:val="20"/>
              </w:rPr>
              <w:t>P value</w:t>
            </w:r>
          </w:p>
        </w:tc>
      </w:tr>
      <w:tr w:rsidR="00F837BF" w:rsidRPr="006A2252" w:rsidTr="009677D1">
        <w:trPr>
          <w:cantSplit/>
          <w:jc w:val="center"/>
        </w:trPr>
        <w:tc>
          <w:tcPr>
            <w:tcW w:w="1223"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D0</w:t>
            </w:r>
          </w:p>
          <w:p w:rsidR="00F837BF" w:rsidRPr="006A2252" w:rsidRDefault="00F837BF" w:rsidP="00FF4C83">
            <w:pPr>
              <w:snapToGrid w:val="0"/>
              <w:jc w:val="both"/>
              <w:rPr>
                <w:sz w:val="20"/>
                <w:szCs w:val="20"/>
              </w:rPr>
            </w:pPr>
            <w:r w:rsidRPr="006A2252">
              <w:rPr>
                <w:sz w:val="20"/>
                <w:szCs w:val="20"/>
              </w:rPr>
              <w:t>(on ICU admission)</w:t>
            </w:r>
          </w:p>
        </w:tc>
        <w:tc>
          <w:tcPr>
            <w:tcW w:w="521" w:type="pct"/>
            <w:shd w:val="clear" w:color="auto" w:fill="FFFFFF"/>
            <w:vAlign w:val="center"/>
          </w:tcPr>
          <w:p w:rsidR="00F837BF" w:rsidRPr="006A2252" w:rsidRDefault="00F837BF" w:rsidP="00FF4C83">
            <w:pPr>
              <w:snapToGrid w:val="0"/>
              <w:jc w:val="both"/>
              <w:rPr>
                <w:sz w:val="20"/>
                <w:szCs w:val="20"/>
              </w:rPr>
            </w:pPr>
            <w:r w:rsidRPr="006A2252">
              <w:rPr>
                <w:sz w:val="20"/>
                <w:szCs w:val="20"/>
              </w:rPr>
              <w:t>Range</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102.00-299.00</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123.00-297.00</w:t>
            </w:r>
          </w:p>
        </w:tc>
        <w:tc>
          <w:tcPr>
            <w:tcW w:w="591"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-1.74</w:t>
            </w:r>
          </w:p>
        </w:tc>
        <w:tc>
          <w:tcPr>
            <w:tcW w:w="825"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.082</w:t>
            </w:r>
          </w:p>
        </w:tc>
      </w:tr>
      <w:tr w:rsidR="00F837BF" w:rsidRPr="006A2252" w:rsidTr="009677D1">
        <w:trPr>
          <w:cantSplit/>
          <w:jc w:val="center"/>
        </w:trPr>
        <w:tc>
          <w:tcPr>
            <w:tcW w:w="1223" w:type="pct"/>
            <w:vMerge/>
            <w:vAlign w:val="center"/>
          </w:tcPr>
          <w:p w:rsidR="00F837BF" w:rsidRPr="006A2252" w:rsidRDefault="00F837BF" w:rsidP="00FF4C83">
            <w:pPr>
              <w:snapToGrid w:val="0"/>
              <w:jc w:val="both"/>
              <w:rPr>
                <w:sz w:val="20"/>
                <w:szCs w:val="20"/>
              </w:rPr>
            </w:pPr>
          </w:p>
        </w:tc>
        <w:tc>
          <w:tcPr>
            <w:tcW w:w="521" w:type="pct"/>
            <w:shd w:val="clear" w:color="auto" w:fill="FFFFFF"/>
            <w:vAlign w:val="center"/>
          </w:tcPr>
          <w:p w:rsidR="00F837BF" w:rsidRPr="006A2252" w:rsidRDefault="00F837BF" w:rsidP="00FF4C83">
            <w:pPr>
              <w:snapToGrid w:val="0"/>
              <w:jc w:val="both"/>
              <w:rPr>
                <w:sz w:val="20"/>
                <w:szCs w:val="20"/>
              </w:rPr>
            </w:pPr>
            <w:r w:rsidRPr="006A2252">
              <w:rPr>
                <w:sz w:val="20"/>
                <w:szCs w:val="20"/>
              </w:rPr>
              <w:t>Median</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205.00</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174.00</w:t>
            </w:r>
          </w:p>
        </w:tc>
        <w:tc>
          <w:tcPr>
            <w:tcW w:w="591" w:type="pct"/>
            <w:vMerge/>
            <w:vAlign w:val="center"/>
          </w:tcPr>
          <w:p w:rsidR="00F837BF" w:rsidRPr="006A2252" w:rsidRDefault="00F837BF" w:rsidP="00FF4C83">
            <w:pPr>
              <w:snapToGrid w:val="0"/>
              <w:jc w:val="both"/>
              <w:rPr>
                <w:sz w:val="20"/>
                <w:szCs w:val="20"/>
              </w:rPr>
            </w:pPr>
          </w:p>
        </w:tc>
        <w:tc>
          <w:tcPr>
            <w:tcW w:w="825" w:type="pct"/>
            <w:vMerge/>
            <w:vAlign w:val="center"/>
          </w:tcPr>
          <w:p w:rsidR="00F837BF" w:rsidRPr="006A2252" w:rsidRDefault="00F837BF" w:rsidP="00FF4C83">
            <w:pPr>
              <w:snapToGrid w:val="0"/>
              <w:jc w:val="both"/>
              <w:rPr>
                <w:sz w:val="20"/>
                <w:szCs w:val="20"/>
              </w:rPr>
            </w:pPr>
          </w:p>
        </w:tc>
      </w:tr>
      <w:tr w:rsidR="00F837BF" w:rsidRPr="006A2252" w:rsidTr="009677D1">
        <w:trPr>
          <w:cantSplit/>
          <w:jc w:val="center"/>
        </w:trPr>
        <w:tc>
          <w:tcPr>
            <w:tcW w:w="1223"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D2</w:t>
            </w:r>
          </w:p>
        </w:tc>
        <w:tc>
          <w:tcPr>
            <w:tcW w:w="521" w:type="pct"/>
            <w:shd w:val="clear" w:color="auto" w:fill="FFFFFF"/>
            <w:vAlign w:val="center"/>
          </w:tcPr>
          <w:p w:rsidR="00F837BF" w:rsidRPr="006A2252" w:rsidRDefault="00F837BF" w:rsidP="00FF4C83">
            <w:pPr>
              <w:snapToGrid w:val="0"/>
              <w:jc w:val="both"/>
              <w:rPr>
                <w:sz w:val="20"/>
                <w:szCs w:val="20"/>
              </w:rPr>
            </w:pPr>
            <w:r w:rsidRPr="006A2252">
              <w:rPr>
                <w:sz w:val="20"/>
                <w:szCs w:val="20"/>
              </w:rPr>
              <w:t>Range</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108.00-271.00</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105.00-288.00</w:t>
            </w:r>
          </w:p>
        </w:tc>
        <w:tc>
          <w:tcPr>
            <w:tcW w:w="591"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-1.92</w:t>
            </w:r>
          </w:p>
        </w:tc>
        <w:tc>
          <w:tcPr>
            <w:tcW w:w="825"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.055</w:t>
            </w:r>
          </w:p>
        </w:tc>
      </w:tr>
      <w:tr w:rsidR="00F837BF" w:rsidRPr="006A2252" w:rsidTr="009677D1">
        <w:trPr>
          <w:cantSplit/>
          <w:jc w:val="center"/>
        </w:trPr>
        <w:tc>
          <w:tcPr>
            <w:tcW w:w="1223" w:type="pct"/>
            <w:vMerge/>
            <w:vAlign w:val="center"/>
          </w:tcPr>
          <w:p w:rsidR="00F837BF" w:rsidRPr="006A2252" w:rsidRDefault="00F837BF" w:rsidP="00FF4C83">
            <w:pPr>
              <w:snapToGrid w:val="0"/>
              <w:jc w:val="both"/>
              <w:rPr>
                <w:sz w:val="20"/>
                <w:szCs w:val="20"/>
              </w:rPr>
            </w:pPr>
          </w:p>
        </w:tc>
        <w:tc>
          <w:tcPr>
            <w:tcW w:w="521" w:type="pct"/>
            <w:shd w:val="clear" w:color="auto" w:fill="FFFFFF"/>
            <w:vAlign w:val="center"/>
          </w:tcPr>
          <w:p w:rsidR="00F837BF" w:rsidRPr="006A2252" w:rsidRDefault="00F837BF" w:rsidP="00FF4C83">
            <w:pPr>
              <w:snapToGrid w:val="0"/>
              <w:jc w:val="both"/>
              <w:rPr>
                <w:sz w:val="20"/>
                <w:szCs w:val="20"/>
              </w:rPr>
            </w:pPr>
            <w:r w:rsidRPr="006A2252">
              <w:rPr>
                <w:sz w:val="20"/>
                <w:szCs w:val="20"/>
              </w:rPr>
              <w:t>Median</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191.00</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177.00</w:t>
            </w:r>
          </w:p>
        </w:tc>
        <w:tc>
          <w:tcPr>
            <w:tcW w:w="591" w:type="pct"/>
            <w:vMerge/>
            <w:vAlign w:val="center"/>
          </w:tcPr>
          <w:p w:rsidR="00F837BF" w:rsidRPr="006A2252" w:rsidRDefault="00F837BF" w:rsidP="00FF4C83">
            <w:pPr>
              <w:snapToGrid w:val="0"/>
              <w:jc w:val="both"/>
              <w:rPr>
                <w:sz w:val="20"/>
                <w:szCs w:val="20"/>
              </w:rPr>
            </w:pPr>
          </w:p>
        </w:tc>
        <w:tc>
          <w:tcPr>
            <w:tcW w:w="825" w:type="pct"/>
            <w:vMerge/>
            <w:vAlign w:val="center"/>
          </w:tcPr>
          <w:p w:rsidR="00F837BF" w:rsidRPr="006A2252" w:rsidRDefault="00F837BF" w:rsidP="00FF4C83">
            <w:pPr>
              <w:snapToGrid w:val="0"/>
              <w:jc w:val="both"/>
              <w:rPr>
                <w:sz w:val="20"/>
                <w:szCs w:val="20"/>
              </w:rPr>
            </w:pPr>
          </w:p>
        </w:tc>
      </w:tr>
      <w:tr w:rsidR="00F837BF" w:rsidRPr="006A2252" w:rsidTr="009677D1">
        <w:trPr>
          <w:cantSplit/>
          <w:jc w:val="center"/>
        </w:trPr>
        <w:tc>
          <w:tcPr>
            <w:tcW w:w="1223"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D7</w:t>
            </w:r>
          </w:p>
        </w:tc>
        <w:tc>
          <w:tcPr>
            <w:tcW w:w="521" w:type="pct"/>
            <w:shd w:val="clear" w:color="auto" w:fill="FFFFFF"/>
            <w:vAlign w:val="center"/>
          </w:tcPr>
          <w:p w:rsidR="00F837BF" w:rsidRPr="006A2252" w:rsidRDefault="00F837BF" w:rsidP="00FF4C83">
            <w:pPr>
              <w:snapToGrid w:val="0"/>
              <w:jc w:val="both"/>
              <w:rPr>
                <w:sz w:val="20"/>
                <w:szCs w:val="20"/>
              </w:rPr>
            </w:pPr>
            <w:r w:rsidRPr="006A2252">
              <w:rPr>
                <w:sz w:val="20"/>
                <w:szCs w:val="20"/>
              </w:rPr>
              <w:t>Range</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102.00-307.00</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89.00-290.00</w:t>
            </w:r>
          </w:p>
        </w:tc>
        <w:tc>
          <w:tcPr>
            <w:tcW w:w="591"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-4.37</w:t>
            </w:r>
          </w:p>
        </w:tc>
        <w:tc>
          <w:tcPr>
            <w:tcW w:w="825"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&lt;.001*</w:t>
            </w:r>
          </w:p>
        </w:tc>
      </w:tr>
      <w:tr w:rsidR="00F837BF" w:rsidRPr="006A2252" w:rsidTr="009677D1">
        <w:trPr>
          <w:cantSplit/>
          <w:jc w:val="center"/>
        </w:trPr>
        <w:tc>
          <w:tcPr>
            <w:tcW w:w="1223" w:type="pct"/>
            <w:vMerge/>
            <w:vAlign w:val="center"/>
          </w:tcPr>
          <w:p w:rsidR="00F837BF" w:rsidRPr="006A2252" w:rsidRDefault="00F837BF" w:rsidP="00FF4C83">
            <w:pPr>
              <w:snapToGrid w:val="0"/>
              <w:jc w:val="both"/>
              <w:rPr>
                <w:sz w:val="20"/>
                <w:szCs w:val="20"/>
              </w:rPr>
            </w:pPr>
          </w:p>
        </w:tc>
        <w:tc>
          <w:tcPr>
            <w:tcW w:w="521" w:type="pct"/>
            <w:shd w:val="clear" w:color="auto" w:fill="FFFFFF"/>
            <w:vAlign w:val="center"/>
          </w:tcPr>
          <w:p w:rsidR="00F837BF" w:rsidRPr="006A2252" w:rsidRDefault="00F837BF" w:rsidP="00FF4C83">
            <w:pPr>
              <w:snapToGrid w:val="0"/>
              <w:jc w:val="both"/>
              <w:rPr>
                <w:sz w:val="20"/>
                <w:szCs w:val="20"/>
              </w:rPr>
            </w:pPr>
            <w:r w:rsidRPr="006A2252">
              <w:rPr>
                <w:sz w:val="20"/>
                <w:szCs w:val="20"/>
              </w:rPr>
              <w:t>Median</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206.00</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150.00</w:t>
            </w:r>
          </w:p>
        </w:tc>
        <w:tc>
          <w:tcPr>
            <w:tcW w:w="591" w:type="pct"/>
            <w:vMerge/>
            <w:vAlign w:val="center"/>
          </w:tcPr>
          <w:p w:rsidR="00F837BF" w:rsidRPr="006A2252" w:rsidRDefault="00F837BF" w:rsidP="00FF4C83">
            <w:pPr>
              <w:snapToGrid w:val="0"/>
              <w:jc w:val="both"/>
              <w:rPr>
                <w:sz w:val="20"/>
                <w:szCs w:val="20"/>
              </w:rPr>
            </w:pPr>
          </w:p>
        </w:tc>
        <w:tc>
          <w:tcPr>
            <w:tcW w:w="825" w:type="pct"/>
            <w:vMerge/>
            <w:vAlign w:val="center"/>
          </w:tcPr>
          <w:p w:rsidR="00F837BF" w:rsidRPr="006A2252" w:rsidRDefault="00F837BF" w:rsidP="00FF4C83">
            <w:pPr>
              <w:snapToGrid w:val="0"/>
              <w:jc w:val="both"/>
              <w:rPr>
                <w:sz w:val="20"/>
                <w:szCs w:val="20"/>
              </w:rPr>
            </w:pPr>
          </w:p>
        </w:tc>
      </w:tr>
      <w:tr w:rsidR="00F837BF" w:rsidRPr="006A2252" w:rsidTr="009677D1">
        <w:trPr>
          <w:cantSplit/>
          <w:jc w:val="center"/>
        </w:trPr>
        <w:tc>
          <w:tcPr>
            <w:tcW w:w="1223"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D10</w:t>
            </w:r>
          </w:p>
        </w:tc>
        <w:tc>
          <w:tcPr>
            <w:tcW w:w="521" w:type="pct"/>
            <w:shd w:val="clear" w:color="auto" w:fill="FFFFFF"/>
            <w:vAlign w:val="center"/>
          </w:tcPr>
          <w:p w:rsidR="00F837BF" w:rsidRPr="006A2252" w:rsidRDefault="00F837BF" w:rsidP="00FF4C83">
            <w:pPr>
              <w:snapToGrid w:val="0"/>
              <w:jc w:val="both"/>
              <w:rPr>
                <w:sz w:val="20"/>
                <w:szCs w:val="20"/>
              </w:rPr>
            </w:pPr>
            <w:r w:rsidRPr="006A2252">
              <w:rPr>
                <w:sz w:val="20"/>
                <w:szCs w:val="20"/>
              </w:rPr>
              <w:t>Range</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119.00-313.00</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84.00-273.00</w:t>
            </w:r>
          </w:p>
        </w:tc>
        <w:tc>
          <w:tcPr>
            <w:tcW w:w="591"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-5.89</w:t>
            </w:r>
          </w:p>
        </w:tc>
        <w:tc>
          <w:tcPr>
            <w:tcW w:w="825"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&lt;.001*</w:t>
            </w:r>
          </w:p>
        </w:tc>
      </w:tr>
      <w:tr w:rsidR="00F837BF" w:rsidRPr="006A2252" w:rsidTr="009677D1">
        <w:trPr>
          <w:cantSplit/>
          <w:jc w:val="center"/>
        </w:trPr>
        <w:tc>
          <w:tcPr>
            <w:tcW w:w="1223" w:type="pct"/>
            <w:vMerge/>
            <w:vAlign w:val="center"/>
          </w:tcPr>
          <w:p w:rsidR="00F837BF" w:rsidRPr="006A2252" w:rsidRDefault="00F837BF" w:rsidP="00FF4C83">
            <w:pPr>
              <w:snapToGrid w:val="0"/>
              <w:jc w:val="both"/>
              <w:rPr>
                <w:sz w:val="20"/>
                <w:szCs w:val="20"/>
              </w:rPr>
            </w:pPr>
          </w:p>
        </w:tc>
        <w:tc>
          <w:tcPr>
            <w:tcW w:w="521" w:type="pct"/>
            <w:shd w:val="clear" w:color="auto" w:fill="FFFFFF"/>
            <w:vAlign w:val="center"/>
          </w:tcPr>
          <w:p w:rsidR="00F837BF" w:rsidRPr="006A2252" w:rsidRDefault="00F837BF" w:rsidP="00FF4C83">
            <w:pPr>
              <w:snapToGrid w:val="0"/>
              <w:jc w:val="both"/>
              <w:rPr>
                <w:sz w:val="20"/>
                <w:szCs w:val="20"/>
              </w:rPr>
            </w:pPr>
            <w:r w:rsidRPr="006A2252">
              <w:rPr>
                <w:sz w:val="20"/>
                <w:szCs w:val="20"/>
              </w:rPr>
              <w:t>Median</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225.00</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164.00</w:t>
            </w:r>
          </w:p>
        </w:tc>
        <w:tc>
          <w:tcPr>
            <w:tcW w:w="591" w:type="pct"/>
            <w:vMerge/>
            <w:vAlign w:val="center"/>
          </w:tcPr>
          <w:p w:rsidR="00F837BF" w:rsidRPr="006A2252" w:rsidRDefault="00F837BF" w:rsidP="00FF4C83">
            <w:pPr>
              <w:snapToGrid w:val="0"/>
              <w:jc w:val="both"/>
              <w:rPr>
                <w:sz w:val="20"/>
                <w:szCs w:val="20"/>
              </w:rPr>
            </w:pPr>
          </w:p>
        </w:tc>
        <w:tc>
          <w:tcPr>
            <w:tcW w:w="825" w:type="pct"/>
            <w:vMerge/>
            <w:vAlign w:val="center"/>
          </w:tcPr>
          <w:p w:rsidR="00F837BF" w:rsidRPr="006A2252" w:rsidRDefault="00F837BF" w:rsidP="00FF4C83">
            <w:pPr>
              <w:snapToGrid w:val="0"/>
              <w:jc w:val="both"/>
              <w:rPr>
                <w:sz w:val="20"/>
                <w:szCs w:val="20"/>
              </w:rPr>
            </w:pPr>
          </w:p>
        </w:tc>
      </w:tr>
      <w:tr w:rsidR="00F837BF" w:rsidRPr="006A2252" w:rsidTr="009677D1">
        <w:trPr>
          <w:cantSplit/>
          <w:jc w:val="center"/>
        </w:trPr>
        <w:tc>
          <w:tcPr>
            <w:tcW w:w="1223"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D14</w:t>
            </w:r>
          </w:p>
        </w:tc>
        <w:tc>
          <w:tcPr>
            <w:tcW w:w="521" w:type="pct"/>
            <w:shd w:val="clear" w:color="auto" w:fill="FFFFFF"/>
            <w:vAlign w:val="center"/>
          </w:tcPr>
          <w:p w:rsidR="00F837BF" w:rsidRPr="006A2252" w:rsidRDefault="00F837BF" w:rsidP="00FF4C83">
            <w:pPr>
              <w:snapToGrid w:val="0"/>
              <w:jc w:val="both"/>
              <w:rPr>
                <w:sz w:val="20"/>
                <w:szCs w:val="20"/>
              </w:rPr>
            </w:pPr>
            <w:r w:rsidRPr="006A2252">
              <w:rPr>
                <w:sz w:val="20"/>
                <w:szCs w:val="20"/>
              </w:rPr>
              <w:t>Range</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127.00-320.00</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80.00-265.00</w:t>
            </w:r>
          </w:p>
        </w:tc>
        <w:tc>
          <w:tcPr>
            <w:tcW w:w="591"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-6.54</w:t>
            </w:r>
          </w:p>
        </w:tc>
        <w:tc>
          <w:tcPr>
            <w:tcW w:w="825" w:type="pct"/>
            <w:vMerge w:val="restart"/>
            <w:shd w:val="clear" w:color="auto" w:fill="FFFFFF"/>
            <w:vAlign w:val="center"/>
          </w:tcPr>
          <w:p w:rsidR="00F837BF" w:rsidRPr="006A2252" w:rsidRDefault="00F837BF" w:rsidP="00FF4C83">
            <w:pPr>
              <w:snapToGrid w:val="0"/>
              <w:jc w:val="both"/>
              <w:rPr>
                <w:sz w:val="20"/>
                <w:szCs w:val="20"/>
              </w:rPr>
            </w:pPr>
            <w:r w:rsidRPr="006A2252">
              <w:rPr>
                <w:sz w:val="20"/>
                <w:szCs w:val="20"/>
              </w:rPr>
              <w:t>&lt;.001*</w:t>
            </w:r>
          </w:p>
        </w:tc>
      </w:tr>
      <w:tr w:rsidR="00F837BF" w:rsidRPr="006A2252" w:rsidTr="009677D1">
        <w:trPr>
          <w:cantSplit/>
          <w:jc w:val="center"/>
        </w:trPr>
        <w:tc>
          <w:tcPr>
            <w:tcW w:w="1223" w:type="pct"/>
            <w:vMerge/>
            <w:vAlign w:val="center"/>
          </w:tcPr>
          <w:p w:rsidR="00F837BF" w:rsidRPr="006A2252" w:rsidRDefault="00F837BF" w:rsidP="00FF4C83">
            <w:pPr>
              <w:snapToGrid w:val="0"/>
              <w:jc w:val="both"/>
              <w:rPr>
                <w:sz w:val="20"/>
                <w:szCs w:val="20"/>
              </w:rPr>
            </w:pPr>
          </w:p>
        </w:tc>
        <w:tc>
          <w:tcPr>
            <w:tcW w:w="521" w:type="pct"/>
            <w:shd w:val="clear" w:color="auto" w:fill="FFFFFF"/>
            <w:vAlign w:val="center"/>
          </w:tcPr>
          <w:p w:rsidR="00F837BF" w:rsidRPr="006A2252" w:rsidRDefault="00F837BF" w:rsidP="00FF4C83">
            <w:pPr>
              <w:snapToGrid w:val="0"/>
              <w:jc w:val="both"/>
              <w:rPr>
                <w:sz w:val="20"/>
                <w:szCs w:val="20"/>
              </w:rPr>
            </w:pPr>
            <w:r w:rsidRPr="006A2252">
              <w:rPr>
                <w:sz w:val="20"/>
                <w:szCs w:val="20"/>
              </w:rPr>
              <w:t>Median</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250.00</w:t>
            </w:r>
          </w:p>
        </w:tc>
        <w:tc>
          <w:tcPr>
            <w:tcW w:w="920" w:type="pct"/>
            <w:shd w:val="clear" w:color="auto" w:fill="FFFFFF"/>
            <w:vAlign w:val="center"/>
          </w:tcPr>
          <w:p w:rsidR="00F837BF" w:rsidRPr="006A2252" w:rsidRDefault="00F837BF" w:rsidP="00FF4C83">
            <w:pPr>
              <w:snapToGrid w:val="0"/>
              <w:jc w:val="both"/>
              <w:rPr>
                <w:sz w:val="20"/>
                <w:szCs w:val="20"/>
              </w:rPr>
            </w:pPr>
            <w:r w:rsidRPr="006A2252">
              <w:rPr>
                <w:sz w:val="20"/>
                <w:szCs w:val="20"/>
              </w:rPr>
              <w:t>166.00</w:t>
            </w:r>
          </w:p>
        </w:tc>
        <w:tc>
          <w:tcPr>
            <w:tcW w:w="591" w:type="pct"/>
            <w:vMerge/>
            <w:vAlign w:val="center"/>
          </w:tcPr>
          <w:p w:rsidR="00F837BF" w:rsidRPr="006A2252" w:rsidRDefault="00F837BF" w:rsidP="00FF4C83">
            <w:pPr>
              <w:snapToGrid w:val="0"/>
              <w:jc w:val="both"/>
              <w:rPr>
                <w:sz w:val="20"/>
                <w:szCs w:val="20"/>
              </w:rPr>
            </w:pPr>
          </w:p>
        </w:tc>
        <w:tc>
          <w:tcPr>
            <w:tcW w:w="825" w:type="pct"/>
            <w:vMerge/>
            <w:vAlign w:val="center"/>
          </w:tcPr>
          <w:p w:rsidR="00F837BF" w:rsidRPr="006A2252" w:rsidRDefault="00F837BF" w:rsidP="00FF4C83">
            <w:pPr>
              <w:snapToGrid w:val="0"/>
              <w:jc w:val="both"/>
              <w:rPr>
                <w:sz w:val="20"/>
                <w:szCs w:val="20"/>
              </w:rPr>
            </w:pPr>
          </w:p>
        </w:tc>
      </w:tr>
    </w:tbl>
    <w:p w:rsidR="00F837BF" w:rsidRPr="006A2252" w:rsidRDefault="00F837BF" w:rsidP="00FF4C83">
      <w:pPr>
        <w:snapToGrid w:val="0"/>
        <w:jc w:val="both"/>
        <w:rPr>
          <w:sz w:val="20"/>
          <w:szCs w:val="20"/>
        </w:rPr>
      </w:pPr>
      <w:r w:rsidRPr="006A2252">
        <w:rPr>
          <w:sz w:val="20"/>
          <w:szCs w:val="20"/>
        </w:rPr>
        <w:t>*significant at p&lt;.05</w:t>
      </w:r>
    </w:p>
    <w:p w:rsidR="00DE776F" w:rsidRPr="006A2252" w:rsidRDefault="00DE776F" w:rsidP="00FF4C83">
      <w:pPr>
        <w:snapToGrid w:val="0"/>
        <w:ind w:firstLine="425"/>
        <w:jc w:val="both"/>
        <w:rPr>
          <w:sz w:val="20"/>
          <w:szCs w:val="20"/>
        </w:rPr>
      </w:pPr>
    </w:p>
    <w:p w:rsidR="00FF4C83" w:rsidRPr="006A2252" w:rsidRDefault="00FF4C83" w:rsidP="00FF4C83">
      <w:pPr>
        <w:snapToGrid w:val="0"/>
        <w:ind w:firstLine="425"/>
        <w:jc w:val="both"/>
        <w:rPr>
          <w:sz w:val="20"/>
          <w:szCs w:val="20"/>
        </w:rPr>
        <w:sectPr w:rsidR="00FF4C83" w:rsidRPr="006A2252" w:rsidSect="00851763">
          <w:type w:val="continuous"/>
          <w:pgSz w:w="12240" w:h="15840" w:code="9"/>
          <w:pgMar w:top="1440" w:right="1440" w:bottom="1440" w:left="1440" w:header="720" w:footer="720" w:gutter="0"/>
          <w:cols w:space="720"/>
          <w:docGrid w:linePitch="360"/>
        </w:sectPr>
      </w:pPr>
    </w:p>
    <w:p w:rsidR="00F837BF" w:rsidRPr="006A2252" w:rsidRDefault="00F837BF" w:rsidP="00FF4C83">
      <w:pPr>
        <w:snapToGrid w:val="0"/>
        <w:ind w:firstLine="425"/>
        <w:jc w:val="both"/>
        <w:rPr>
          <w:sz w:val="20"/>
          <w:szCs w:val="20"/>
        </w:rPr>
      </w:pPr>
      <w:r w:rsidRPr="006A2252">
        <w:rPr>
          <w:sz w:val="20"/>
          <w:szCs w:val="20"/>
        </w:rPr>
        <w:lastRenderedPageBreak/>
        <w:t xml:space="preserve">There were no significant differences at D0 and D 2 (p&gt;.05). on the other hand, the median serum </w:t>
      </w:r>
      <w:proofErr w:type="spellStart"/>
      <w:r w:rsidRPr="006A2252">
        <w:rPr>
          <w:sz w:val="20"/>
          <w:szCs w:val="20"/>
        </w:rPr>
        <w:t>transferrin</w:t>
      </w:r>
      <w:proofErr w:type="spellEnd"/>
      <w:r w:rsidRPr="006A2252">
        <w:rPr>
          <w:sz w:val="20"/>
          <w:szCs w:val="20"/>
        </w:rPr>
        <w:t xml:space="preserve"> levels were significantly higher in glutamine than control group at D7 (206 and 150 respectively), at D10 (225 and 164 respectively), and D 14 (250 and 166 respectively).</w:t>
      </w:r>
    </w:p>
    <w:p w:rsidR="00F837BF" w:rsidRPr="006A2252" w:rsidRDefault="00F837BF" w:rsidP="00FF4C83">
      <w:pPr>
        <w:snapToGrid w:val="0"/>
        <w:ind w:firstLine="425"/>
        <w:jc w:val="both"/>
        <w:rPr>
          <w:sz w:val="20"/>
          <w:szCs w:val="20"/>
        </w:rPr>
      </w:pPr>
    </w:p>
    <w:p w:rsidR="00DE776F" w:rsidRPr="006A2252" w:rsidRDefault="00DE776F" w:rsidP="00FF4C83">
      <w:pPr>
        <w:snapToGrid w:val="0"/>
        <w:jc w:val="both"/>
        <w:rPr>
          <w:b/>
          <w:bCs/>
          <w:sz w:val="20"/>
          <w:szCs w:val="20"/>
        </w:rPr>
      </w:pPr>
      <w:bookmarkStart w:id="8" w:name="_Toc6307714"/>
      <w:r w:rsidRPr="006A2252">
        <w:rPr>
          <w:b/>
          <w:bCs/>
          <w:sz w:val="20"/>
          <w:szCs w:val="20"/>
        </w:rPr>
        <w:t>4. Discussion</w:t>
      </w:r>
      <w:bookmarkEnd w:id="8"/>
    </w:p>
    <w:p w:rsidR="00DE776F" w:rsidRPr="006A2252" w:rsidRDefault="00DE776F" w:rsidP="00FF4C83">
      <w:pPr>
        <w:snapToGrid w:val="0"/>
        <w:ind w:firstLine="425"/>
        <w:jc w:val="both"/>
        <w:rPr>
          <w:b/>
          <w:bCs/>
          <w:i/>
          <w:iCs/>
          <w:sz w:val="20"/>
          <w:szCs w:val="20"/>
        </w:rPr>
      </w:pPr>
      <w:r w:rsidRPr="006A2252">
        <w:rPr>
          <w:sz w:val="20"/>
          <w:szCs w:val="20"/>
        </w:rPr>
        <w:t xml:space="preserve">Enhanced recovery after surgical interventions may be a multidisciplinary approach to the care of the surgical patient. This needs a team consisting of surgeons, anesthetists, associate degree ERAS organizer (often a nurse or a physician assistant), and members from units that provide care for the surgical patient </w:t>
      </w:r>
      <w:r w:rsidRPr="006A2252">
        <w:rPr>
          <w:b/>
          <w:bCs/>
          <w:i/>
          <w:iCs/>
          <w:sz w:val="20"/>
          <w:szCs w:val="20"/>
        </w:rPr>
        <w:t>(</w:t>
      </w:r>
      <w:proofErr w:type="spellStart"/>
      <w:r w:rsidRPr="006A2252">
        <w:rPr>
          <w:b/>
          <w:bCs/>
          <w:i/>
          <w:iCs/>
          <w:sz w:val="20"/>
          <w:szCs w:val="20"/>
        </w:rPr>
        <w:t>Ljungqvist</w:t>
      </w:r>
      <w:proofErr w:type="spellEnd"/>
      <w:r w:rsidRPr="006A2252">
        <w:rPr>
          <w:b/>
          <w:bCs/>
          <w:i/>
          <w:iCs/>
          <w:sz w:val="20"/>
          <w:szCs w:val="20"/>
        </w:rPr>
        <w:t xml:space="preserve"> et al., 2017)</w:t>
      </w:r>
      <w:r w:rsidR="00FF4C83" w:rsidRPr="006A2252">
        <w:rPr>
          <w:b/>
          <w:bCs/>
          <w:i/>
          <w:iCs/>
          <w:sz w:val="20"/>
          <w:szCs w:val="20"/>
        </w:rPr>
        <w:t xml:space="preserve">. </w:t>
      </w:r>
      <w:r w:rsidR="00FF4C83" w:rsidRPr="006A2252">
        <w:rPr>
          <w:sz w:val="20"/>
          <w:szCs w:val="20"/>
        </w:rPr>
        <w:t>E</w:t>
      </w:r>
      <w:r w:rsidRPr="006A2252">
        <w:rPr>
          <w:sz w:val="20"/>
          <w:szCs w:val="20"/>
        </w:rPr>
        <w:t xml:space="preserve">nhanced recovery protocols for </w:t>
      </w:r>
      <w:proofErr w:type="spellStart"/>
      <w:r w:rsidRPr="006A2252">
        <w:rPr>
          <w:sz w:val="20"/>
          <w:szCs w:val="20"/>
        </w:rPr>
        <w:t>perioperative</w:t>
      </w:r>
      <w:proofErr w:type="spellEnd"/>
      <w:r w:rsidRPr="006A2252">
        <w:rPr>
          <w:sz w:val="20"/>
          <w:szCs w:val="20"/>
        </w:rPr>
        <w:t xml:space="preserve"> care have been detected to be valuable in reducing complications that happen after surgery, enhancing the overall outcomes and shortening the length of hospital stay, and also saving resources </w:t>
      </w:r>
      <w:r w:rsidRPr="006A2252">
        <w:rPr>
          <w:b/>
          <w:bCs/>
          <w:i/>
          <w:iCs/>
          <w:sz w:val="20"/>
          <w:szCs w:val="20"/>
        </w:rPr>
        <w:t>(</w:t>
      </w:r>
      <w:proofErr w:type="spellStart"/>
      <w:r w:rsidRPr="006A2252">
        <w:rPr>
          <w:b/>
          <w:bCs/>
          <w:i/>
          <w:iCs/>
          <w:sz w:val="20"/>
          <w:szCs w:val="20"/>
        </w:rPr>
        <w:t>Adamina</w:t>
      </w:r>
      <w:proofErr w:type="spellEnd"/>
      <w:r w:rsidRPr="006A2252">
        <w:rPr>
          <w:b/>
          <w:bCs/>
          <w:i/>
          <w:iCs/>
          <w:sz w:val="20"/>
          <w:szCs w:val="20"/>
        </w:rPr>
        <w:t xml:space="preserve"> et al., 2011). </w:t>
      </w:r>
    </w:p>
    <w:p w:rsidR="00DE776F" w:rsidRPr="006A2252" w:rsidRDefault="00DE776F" w:rsidP="00FF4C83">
      <w:pPr>
        <w:snapToGrid w:val="0"/>
        <w:ind w:firstLine="425"/>
        <w:jc w:val="both"/>
        <w:rPr>
          <w:b/>
          <w:bCs/>
          <w:i/>
          <w:iCs/>
          <w:sz w:val="20"/>
          <w:szCs w:val="20"/>
        </w:rPr>
      </w:pPr>
      <w:r w:rsidRPr="006A2252">
        <w:rPr>
          <w:sz w:val="20"/>
          <w:szCs w:val="20"/>
        </w:rPr>
        <w:t xml:space="preserve">Many patients going to have a colorectal surgery are at risk of nutritional depletion, due to inadequate nutrients intake, surgical stress and also the subsequent increasing metabolic rate. Moreover, surgical trauma induces alternation in protein metabolism and changes the pattern of plasma free amino acids </w:t>
      </w:r>
      <w:r w:rsidRPr="006A2252">
        <w:rPr>
          <w:b/>
          <w:bCs/>
          <w:i/>
          <w:iCs/>
          <w:sz w:val="20"/>
          <w:szCs w:val="20"/>
        </w:rPr>
        <w:t>(</w:t>
      </w:r>
      <w:proofErr w:type="spellStart"/>
      <w:r w:rsidRPr="006A2252">
        <w:rPr>
          <w:b/>
          <w:bCs/>
          <w:i/>
          <w:iCs/>
          <w:sz w:val="20"/>
          <w:szCs w:val="20"/>
        </w:rPr>
        <w:t>Dudrick</w:t>
      </w:r>
      <w:proofErr w:type="spellEnd"/>
      <w:r w:rsidRPr="006A2252">
        <w:rPr>
          <w:b/>
          <w:bCs/>
          <w:i/>
          <w:iCs/>
          <w:sz w:val="20"/>
          <w:szCs w:val="20"/>
        </w:rPr>
        <w:t xml:space="preserve"> et al., 2011). </w:t>
      </w:r>
      <w:r w:rsidRPr="006A2252">
        <w:rPr>
          <w:sz w:val="20"/>
          <w:szCs w:val="20"/>
        </w:rPr>
        <w:t xml:space="preserve">These alterations contribute to increasing complication rate, delayed recovery, and increasing length of hospital keep </w:t>
      </w:r>
      <w:r w:rsidRPr="006A2252">
        <w:rPr>
          <w:b/>
          <w:bCs/>
          <w:i/>
          <w:iCs/>
          <w:sz w:val="20"/>
          <w:szCs w:val="20"/>
        </w:rPr>
        <w:t>(</w:t>
      </w:r>
      <w:proofErr w:type="spellStart"/>
      <w:r w:rsidRPr="006A2252">
        <w:rPr>
          <w:b/>
          <w:bCs/>
          <w:i/>
          <w:iCs/>
          <w:sz w:val="20"/>
          <w:szCs w:val="20"/>
        </w:rPr>
        <w:t>Hübner</w:t>
      </w:r>
      <w:proofErr w:type="spellEnd"/>
      <w:r w:rsidRPr="006A2252">
        <w:rPr>
          <w:b/>
          <w:bCs/>
          <w:i/>
          <w:iCs/>
          <w:sz w:val="20"/>
          <w:szCs w:val="20"/>
        </w:rPr>
        <w:t xml:space="preserve"> et al., 2016). </w:t>
      </w:r>
    </w:p>
    <w:p w:rsidR="00DE776F" w:rsidRPr="006A2252" w:rsidRDefault="00DE776F" w:rsidP="00FF4C83">
      <w:pPr>
        <w:snapToGrid w:val="0"/>
        <w:ind w:firstLine="425"/>
        <w:jc w:val="both"/>
        <w:rPr>
          <w:sz w:val="20"/>
          <w:szCs w:val="20"/>
        </w:rPr>
      </w:pPr>
      <w:r w:rsidRPr="006A2252">
        <w:rPr>
          <w:sz w:val="20"/>
          <w:szCs w:val="20"/>
        </w:rPr>
        <w:t xml:space="preserve">Glutamine is a non-essential amino acid, that becomes conditionally essential under certain catabolic states like trauma or critical illness. It exerts its protective effects via multiple mechanisms, including direct protection of cells and tissues from injury, attenuation of inflammation and preservation of metabolic function. Data supports glutamine as an ideal pharmacologic intervention to prevent or treat multiple organ dysfunction syndrome after sepsis or other injuries in the intensive care unit population. A </w:t>
      </w:r>
      <w:r w:rsidRPr="006A2252">
        <w:rPr>
          <w:sz w:val="20"/>
          <w:szCs w:val="20"/>
        </w:rPr>
        <w:lastRenderedPageBreak/>
        <w:t xml:space="preserve">large and growing body of clinical data shows that in well-defined critically ill patient groups glutamine can be a life-saving intervention </w:t>
      </w:r>
      <w:r w:rsidR="003A54B7" w:rsidRPr="006A2252">
        <w:rPr>
          <w:b/>
          <w:bCs/>
          <w:i/>
          <w:iCs/>
          <w:sz w:val="20"/>
          <w:szCs w:val="20"/>
        </w:rPr>
        <w:fldChar w:fldCharType="begin" w:fldLock="1"/>
      </w:r>
      <w:r w:rsidRPr="006A2252">
        <w:rPr>
          <w:b/>
          <w:bCs/>
          <w:i/>
          <w:iCs/>
          <w:sz w:val="20"/>
          <w:szCs w:val="20"/>
        </w:rPr>
        <w:instrText>ADDIN CSL_CITATION {"citationItems":[{"id":"ITEM-1","itemData":{"DOI":"10.1097/01.CCM.0000279193.23737.06","ISSN":"0090-3493","author":[{"dropping-particle":"","family":"Bongers","given":"Thomas","non-dropping-particle":"","parse-names":false,"suffix":""},{"dropping-particle":"","family":"Griffiths","given":"Richard D.","non-dropping-particle":"","parse-names":false,"suffix":""},{"dropping-particle":"","family":"McArdle","given":"Anne","non-dropping-particle":"","parse-names":false,"suffix":""}],"container-title":"Critical Care Medicine","id":"ITEM-1","issue":"Suppl","issued":{"date-parts":[["2007","9"]]},"page":"S545-S552","title":"Exogenous glutamine: The clinical evidence","type":"article-journal","volume":"35"},"uris":["http://www.mendeley.com/documents/?uuid=fc205bcf-38bc-33c3-98ab-fd8379f5b11a"]}],"mendeley":{"formattedCitation":"(Bongers, Griffiths, and McArdle 2007)","manualFormatting":"(Bongers 2007)","plainTextFormattedCitation":"(Bongers, Griffiths, and McArdle 2007)","previouslyFormattedCitation":"(Bongers, Griffiths, and McArdle 2007)"},"properties":{"noteIndex":0},"schema":"https://github.com/citation-style-language/schema/raw/master/csl-citation.json"}</w:instrText>
      </w:r>
      <w:r w:rsidR="003A54B7" w:rsidRPr="006A2252">
        <w:rPr>
          <w:b/>
          <w:bCs/>
          <w:i/>
          <w:iCs/>
          <w:sz w:val="20"/>
          <w:szCs w:val="20"/>
        </w:rPr>
        <w:fldChar w:fldCharType="separate"/>
      </w:r>
      <w:r w:rsidRPr="006A2252">
        <w:rPr>
          <w:b/>
          <w:bCs/>
          <w:i/>
          <w:iCs/>
          <w:sz w:val="20"/>
          <w:szCs w:val="20"/>
        </w:rPr>
        <w:t>(Bongers et al.,2007)</w:t>
      </w:r>
      <w:r w:rsidR="003A54B7" w:rsidRPr="006A2252">
        <w:rPr>
          <w:sz w:val="20"/>
          <w:szCs w:val="20"/>
        </w:rPr>
        <w:fldChar w:fldCharType="end"/>
      </w:r>
      <w:r w:rsidRPr="006A2252">
        <w:rPr>
          <w:b/>
          <w:bCs/>
          <w:i/>
          <w:iCs/>
          <w:sz w:val="20"/>
          <w:szCs w:val="20"/>
        </w:rPr>
        <w:t>.</w:t>
      </w:r>
    </w:p>
    <w:p w:rsidR="00DE776F" w:rsidRPr="006A2252" w:rsidRDefault="00DE776F" w:rsidP="00FF4C83">
      <w:pPr>
        <w:snapToGrid w:val="0"/>
        <w:ind w:firstLine="425"/>
        <w:jc w:val="both"/>
        <w:rPr>
          <w:b/>
          <w:bCs/>
          <w:i/>
          <w:iCs/>
          <w:sz w:val="20"/>
          <w:szCs w:val="20"/>
        </w:rPr>
      </w:pPr>
      <w:r w:rsidRPr="006A2252">
        <w:rPr>
          <w:sz w:val="20"/>
          <w:szCs w:val="20"/>
        </w:rPr>
        <w:t xml:space="preserve">Depletion of plasma-free amino acids, particularly glutamine stores, would possibly result in severe complications, like infection, poor wound healing, impaired immunity, increased intestinal permeability and end by multiple organ failure </w:t>
      </w:r>
      <w:r w:rsidRPr="006A2252">
        <w:rPr>
          <w:b/>
          <w:bCs/>
          <w:i/>
          <w:iCs/>
          <w:sz w:val="20"/>
          <w:szCs w:val="20"/>
        </w:rPr>
        <w:t>(</w:t>
      </w:r>
      <w:proofErr w:type="spellStart"/>
      <w:r w:rsidRPr="006A2252">
        <w:rPr>
          <w:b/>
          <w:bCs/>
          <w:i/>
          <w:iCs/>
          <w:sz w:val="20"/>
          <w:szCs w:val="20"/>
        </w:rPr>
        <w:t>Cruzat</w:t>
      </w:r>
      <w:proofErr w:type="spellEnd"/>
      <w:r w:rsidRPr="006A2252">
        <w:rPr>
          <w:b/>
          <w:bCs/>
          <w:i/>
          <w:iCs/>
          <w:sz w:val="20"/>
          <w:szCs w:val="20"/>
        </w:rPr>
        <w:t xml:space="preserve"> et al., 2018).</w:t>
      </w:r>
    </w:p>
    <w:p w:rsidR="00DE776F" w:rsidRPr="006A2252" w:rsidRDefault="00DE776F" w:rsidP="00FF4C83">
      <w:pPr>
        <w:snapToGrid w:val="0"/>
        <w:ind w:firstLine="425"/>
        <w:jc w:val="both"/>
        <w:rPr>
          <w:b/>
          <w:bCs/>
          <w:i/>
          <w:iCs/>
          <w:sz w:val="20"/>
          <w:szCs w:val="20"/>
        </w:rPr>
      </w:pPr>
      <w:r w:rsidRPr="006A2252">
        <w:rPr>
          <w:sz w:val="20"/>
          <w:szCs w:val="20"/>
        </w:rPr>
        <w:t xml:space="preserve">The level of C-reactive protein is the indicator of the most necessary biological function within the body, the role of that is to detect and to stimulate the clearance of the cell remnants </w:t>
      </w:r>
      <w:r w:rsidRPr="006A2252">
        <w:rPr>
          <w:b/>
          <w:bCs/>
          <w:i/>
          <w:iCs/>
          <w:sz w:val="20"/>
          <w:szCs w:val="20"/>
        </w:rPr>
        <w:t>(</w:t>
      </w:r>
      <w:proofErr w:type="spellStart"/>
      <w:r w:rsidRPr="006A2252">
        <w:rPr>
          <w:b/>
          <w:bCs/>
          <w:sz w:val="20"/>
          <w:szCs w:val="20"/>
        </w:rPr>
        <w:t>Sproston</w:t>
      </w:r>
      <w:proofErr w:type="spellEnd"/>
      <w:r w:rsidRPr="006A2252">
        <w:rPr>
          <w:b/>
          <w:bCs/>
          <w:sz w:val="20"/>
          <w:szCs w:val="20"/>
        </w:rPr>
        <w:t xml:space="preserve"> and Ashworth</w:t>
      </w:r>
      <w:r w:rsidRPr="006A2252">
        <w:rPr>
          <w:b/>
          <w:bCs/>
          <w:i/>
          <w:iCs/>
          <w:sz w:val="20"/>
          <w:szCs w:val="20"/>
        </w:rPr>
        <w:t>, 2018).</w:t>
      </w:r>
      <w:r w:rsidRPr="006A2252">
        <w:rPr>
          <w:sz w:val="20"/>
          <w:szCs w:val="20"/>
        </w:rPr>
        <w:t xml:space="preserve"> In our study, the median C-reactive protein levels were significantly lower from day 7 in glutamine group in comparison with control group but still higher than normal range. At days 10 and 14, the CRP level reached the normal range. These suggests the positive effects of glutamine in relieving the stress response in colon cancer patients. The detected high C-reactive protein levels could result from the presence of some factors that affect the CRP levels like fever, leukocytosis, the surgical maneuver and the presence of inflammation </w:t>
      </w:r>
      <w:r w:rsidRPr="006A2252">
        <w:rPr>
          <w:b/>
          <w:bCs/>
          <w:i/>
          <w:iCs/>
          <w:sz w:val="20"/>
          <w:szCs w:val="20"/>
        </w:rPr>
        <w:t xml:space="preserve">(Landry et al., 2017). </w:t>
      </w:r>
    </w:p>
    <w:p w:rsidR="00DE776F" w:rsidRPr="006A2252" w:rsidRDefault="00DE776F" w:rsidP="00FF4C83">
      <w:pPr>
        <w:snapToGrid w:val="0"/>
        <w:ind w:firstLine="425"/>
        <w:jc w:val="both"/>
        <w:rPr>
          <w:b/>
          <w:bCs/>
          <w:i/>
          <w:iCs/>
          <w:sz w:val="20"/>
          <w:szCs w:val="20"/>
        </w:rPr>
      </w:pPr>
      <w:r w:rsidRPr="006A2252">
        <w:rPr>
          <w:sz w:val="20"/>
          <w:szCs w:val="20"/>
        </w:rPr>
        <w:t xml:space="preserve">A previous study that investigated the impact of the standard parenteral nutrition and glutamine enriched parenteral nutrition on C-reactive protein levels were determined for the analysis of systemic inflammatory response, and C-reactive protein concentrations of the patients had diminished within the glutamine group, whereas C-reactive protein level within the control group had diminished at the first week then increased after that. Likewise, a recent study compared the results of oral and parenteral glutamine on biochemical parameters of critically ill patients. They terminated that administration of glutamine with a dose of 0.3 g/kg/d </w:t>
      </w:r>
      <w:proofErr w:type="spellStart"/>
      <w:r w:rsidRPr="006A2252">
        <w:rPr>
          <w:sz w:val="20"/>
          <w:szCs w:val="20"/>
        </w:rPr>
        <w:t>parenterally</w:t>
      </w:r>
      <w:proofErr w:type="spellEnd"/>
      <w:r w:rsidRPr="006A2252">
        <w:rPr>
          <w:sz w:val="20"/>
          <w:szCs w:val="20"/>
        </w:rPr>
        <w:t xml:space="preserve"> was more efficient than 20 g/d orally in decreasing the C-reactive protein parameters after the course of therapy </w:t>
      </w:r>
      <w:r w:rsidRPr="006A2252">
        <w:rPr>
          <w:b/>
          <w:bCs/>
          <w:i/>
          <w:iCs/>
          <w:sz w:val="20"/>
          <w:szCs w:val="20"/>
        </w:rPr>
        <w:t xml:space="preserve">(Singh et al., 2019). </w:t>
      </w:r>
    </w:p>
    <w:p w:rsidR="00DE776F" w:rsidRPr="006A2252" w:rsidRDefault="00DE776F" w:rsidP="00FF4C83">
      <w:pPr>
        <w:snapToGrid w:val="0"/>
        <w:ind w:firstLine="425"/>
        <w:jc w:val="both"/>
        <w:rPr>
          <w:sz w:val="20"/>
          <w:szCs w:val="20"/>
        </w:rPr>
      </w:pPr>
      <w:r w:rsidRPr="006A2252">
        <w:rPr>
          <w:b/>
          <w:bCs/>
          <w:i/>
          <w:iCs/>
          <w:sz w:val="20"/>
          <w:szCs w:val="20"/>
        </w:rPr>
        <w:lastRenderedPageBreak/>
        <w:t>Shibuya and colleagues (2018)</w:t>
      </w:r>
      <w:r w:rsidRPr="006A2252">
        <w:rPr>
          <w:sz w:val="20"/>
          <w:szCs w:val="20"/>
        </w:rPr>
        <w:t xml:space="preserve"> investigated the relationship between erythrocyte sedimentation rate (ESR) and postoperative survival of patients with colorectal cancer. They found that ESR &gt;40 mm/h had poorer postoperative survival. This study supports the promising effects of glutamine treatment on ESR in our study. At all the studied time points after glutamine, ESR was significantly reduced. This might help in improving outcome of these patients.</w:t>
      </w:r>
    </w:p>
    <w:p w:rsidR="00DE776F" w:rsidRPr="006A2252" w:rsidRDefault="00DE776F" w:rsidP="00FF4C83">
      <w:pPr>
        <w:snapToGrid w:val="0"/>
        <w:ind w:firstLine="425"/>
        <w:jc w:val="both"/>
        <w:rPr>
          <w:sz w:val="20"/>
          <w:szCs w:val="20"/>
        </w:rPr>
      </w:pPr>
      <w:r w:rsidRPr="006A2252">
        <w:rPr>
          <w:sz w:val="20"/>
          <w:szCs w:val="20"/>
        </w:rPr>
        <w:t xml:space="preserve">Glutamine is, generally, accepted to some extent as an immune </w:t>
      </w:r>
      <w:proofErr w:type="spellStart"/>
      <w:r w:rsidRPr="006A2252">
        <w:rPr>
          <w:sz w:val="20"/>
          <w:szCs w:val="20"/>
        </w:rPr>
        <w:t>modulatory</w:t>
      </w:r>
      <w:proofErr w:type="spellEnd"/>
      <w:r w:rsidRPr="006A2252">
        <w:rPr>
          <w:sz w:val="20"/>
          <w:szCs w:val="20"/>
        </w:rPr>
        <w:t xml:space="preserve"> agent. In several animal and clinical studies, it has helpful effects on the cells of the immune system and their functions, resulting in reduction in inflammatory responses and rate of infection as observed </w:t>
      </w:r>
      <w:r w:rsidRPr="006A2252">
        <w:rPr>
          <w:b/>
          <w:bCs/>
          <w:i/>
          <w:iCs/>
          <w:sz w:val="20"/>
          <w:szCs w:val="20"/>
        </w:rPr>
        <w:t xml:space="preserve">(Wang et al., 2014). </w:t>
      </w:r>
      <w:r w:rsidRPr="006A2252">
        <w:rPr>
          <w:sz w:val="20"/>
          <w:szCs w:val="20"/>
        </w:rPr>
        <w:t xml:space="preserve">In addition, comparison between standard parenteral nutrition and glutamine-enforced parenteral nutrition support revealed a significant improvement in the immune response and reduction of stress response in patients underwent esophageal cancer operation </w:t>
      </w:r>
      <w:r w:rsidRPr="006A2252">
        <w:rPr>
          <w:b/>
          <w:bCs/>
          <w:i/>
          <w:iCs/>
          <w:sz w:val="20"/>
          <w:szCs w:val="20"/>
        </w:rPr>
        <w:t>(Bin-Dong et al., 2016)</w:t>
      </w:r>
      <w:r w:rsidRPr="006A2252">
        <w:rPr>
          <w:sz w:val="20"/>
          <w:szCs w:val="20"/>
        </w:rPr>
        <w:t xml:space="preserve">. In agreement with these findings, in our study there was a noticeable significant reduction in </w:t>
      </w:r>
      <w:proofErr w:type="spellStart"/>
      <w:r w:rsidRPr="006A2252">
        <w:rPr>
          <w:sz w:val="20"/>
          <w:szCs w:val="20"/>
        </w:rPr>
        <w:t>WBCs</w:t>
      </w:r>
      <w:proofErr w:type="spellEnd"/>
      <w:r w:rsidRPr="006A2252">
        <w:rPr>
          <w:sz w:val="20"/>
          <w:szCs w:val="20"/>
        </w:rPr>
        <w:t xml:space="preserve"> at day 7. </w:t>
      </w:r>
    </w:p>
    <w:p w:rsidR="00DE776F" w:rsidRPr="006A2252" w:rsidRDefault="00DE776F" w:rsidP="00FF4C83">
      <w:pPr>
        <w:snapToGrid w:val="0"/>
        <w:ind w:firstLine="425"/>
        <w:jc w:val="both"/>
        <w:rPr>
          <w:sz w:val="20"/>
          <w:szCs w:val="20"/>
        </w:rPr>
      </w:pPr>
      <w:r w:rsidRPr="006A2252">
        <w:rPr>
          <w:sz w:val="20"/>
          <w:szCs w:val="20"/>
        </w:rPr>
        <w:t xml:space="preserve">In the current study, results of blood culture have promising findings. Patients received glutamine showed significant reduction in microorganisms’ growth. Likewise, growth of both MRSA and </w:t>
      </w:r>
      <w:proofErr w:type="spellStart"/>
      <w:r w:rsidRPr="006A2252">
        <w:rPr>
          <w:sz w:val="20"/>
          <w:szCs w:val="20"/>
        </w:rPr>
        <w:t>klebsiella</w:t>
      </w:r>
      <w:proofErr w:type="spellEnd"/>
      <w:r w:rsidRPr="006A2252">
        <w:rPr>
          <w:sz w:val="20"/>
          <w:szCs w:val="20"/>
        </w:rPr>
        <w:t xml:space="preserve"> was significantly lower in these patients.</w:t>
      </w:r>
    </w:p>
    <w:p w:rsidR="00DE776F" w:rsidRPr="006A2252" w:rsidRDefault="00DE776F" w:rsidP="00FF4C83">
      <w:pPr>
        <w:snapToGrid w:val="0"/>
        <w:ind w:firstLine="425"/>
        <w:jc w:val="both"/>
        <w:rPr>
          <w:sz w:val="20"/>
          <w:szCs w:val="20"/>
        </w:rPr>
      </w:pPr>
      <w:proofErr w:type="spellStart"/>
      <w:r w:rsidRPr="006A2252">
        <w:rPr>
          <w:b/>
          <w:bCs/>
          <w:sz w:val="20"/>
          <w:szCs w:val="20"/>
        </w:rPr>
        <w:t>Wischmeyer</w:t>
      </w:r>
      <w:proofErr w:type="spellEnd"/>
      <w:r w:rsidRPr="006A2252">
        <w:rPr>
          <w:b/>
          <w:bCs/>
          <w:sz w:val="20"/>
          <w:szCs w:val="20"/>
        </w:rPr>
        <w:t xml:space="preserve"> and colleagues’ (2001) study</w:t>
      </w:r>
      <w:r w:rsidRPr="006A2252">
        <w:rPr>
          <w:sz w:val="20"/>
          <w:szCs w:val="20"/>
        </w:rPr>
        <w:t xml:space="preserve">, the frequency of Gram-negative </w:t>
      </w:r>
      <w:proofErr w:type="spellStart"/>
      <w:r w:rsidRPr="006A2252">
        <w:rPr>
          <w:sz w:val="20"/>
          <w:szCs w:val="20"/>
        </w:rPr>
        <w:t>bacteremia</w:t>
      </w:r>
      <w:proofErr w:type="spellEnd"/>
      <w:r w:rsidRPr="006A2252">
        <w:rPr>
          <w:sz w:val="20"/>
          <w:szCs w:val="20"/>
        </w:rPr>
        <w:t xml:space="preserve"> was 43% in the control group vs. 8% in the glutamine group. This difference was statistically significant.</w:t>
      </w:r>
    </w:p>
    <w:p w:rsidR="00DE776F" w:rsidRPr="006A2252" w:rsidRDefault="00DE776F" w:rsidP="00FF4C83">
      <w:pPr>
        <w:snapToGrid w:val="0"/>
        <w:ind w:firstLine="425"/>
        <w:jc w:val="both"/>
        <w:rPr>
          <w:sz w:val="20"/>
          <w:szCs w:val="20"/>
        </w:rPr>
      </w:pPr>
      <w:r w:rsidRPr="006A2252">
        <w:rPr>
          <w:sz w:val="20"/>
          <w:szCs w:val="20"/>
        </w:rPr>
        <w:t xml:space="preserve">This favorable result of glutamine is explained by the well-known role of glutamine in immune response. Glutamine in combination with glucose represents the most quantitatively precious oxidative fuel supply for activated immune cells such as lymphocytes </w:t>
      </w:r>
      <w:r w:rsidRPr="006A2252">
        <w:rPr>
          <w:b/>
          <w:bCs/>
          <w:i/>
          <w:iCs/>
          <w:sz w:val="20"/>
          <w:szCs w:val="20"/>
        </w:rPr>
        <w:t>(Altman et al., 2016).</w:t>
      </w:r>
    </w:p>
    <w:p w:rsidR="00DE776F" w:rsidRPr="006A2252" w:rsidRDefault="00DE776F" w:rsidP="00FF4C83">
      <w:pPr>
        <w:snapToGrid w:val="0"/>
        <w:ind w:firstLine="425"/>
        <w:jc w:val="both"/>
        <w:rPr>
          <w:b/>
          <w:bCs/>
          <w:i/>
          <w:iCs/>
          <w:sz w:val="20"/>
          <w:szCs w:val="20"/>
        </w:rPr>
      </w:pPr>
      <w:r w:rsidRPr="006A2252">
        <w:rPr>
          <w:sz w:val="20"/>
          <w:szCs w:val="20"/>
        </w:rPr>
        <w:t xml:space="preserve">Moreover, work on lymphocyte cultures has discovered that the proliferative response and the differentiation of those cells depends on glutamine. Actually, proliferating lymphocytes could have 10-fold larger glutamine utilization compared with resting cells </w:t>
      </w:r>
      <w:r w:rsidRPr="006A2252">
        <w:rPr>
          <w:b/>
          <w:bCs/>
          <w:i/>
          <w:iCs/>
          <w:sz w:val="20"/>
          <w:szCs w:val="20"/>
        </w:rPr>
        <w:t>(</w:t>
      </w:r>
      <w:proofErr w:type="spellStart"/>
      <w:r w:rsidRPr="006A2252">
        <w:rPr>
          <w:b/>
          <w:bCs/>
          <w:i/>
          <w:iCs/>
          <w:sz w:val="20"/>
          <w:szCs w:val="20"/>
        </w:rPr>
        <w:t>Wasinski</w:t>
      </w:r>
      <w:proofErr w:type="spellEnd"/>
      <w:r w:rsidRPr="006A2252">
        <w:rPr>
          <w:b/>
          <w:bCs/>
          <w:i/>
          <w:iCs/>
          <w:sz w:val="20"/>
          <w:szCs w:val="20"/>
        </w:rPr>
        <w:t xml:space="preserve"> et al., 2014). </w:t>
      </w:r>
    </w:p>
    <w:p w:rsidR="00DE776F" w:rsidRPr="006A2252" w:rsidRDefault="00DE776F" w:rsidP="00FF4C83">
      <w:pPr>
        <w:snapToGrid w:val="0"/>
        <w:ind w:firstLine="425"/>
        <w:jc w:val="both"/>
        <w:rPr>
          <w:sz w:val="20"/>
          <w:szCs w:val="20"/>
        </w:rPr>
      </w:pPr>
      <w:r w:rsidRPr="006A2252">
        <w:rPr>
          <w:sz w:val="20"/>
          <w:szCs w:val="20"/>
        </w:rPr>
        <w:t xml:space="preserve">Another earlier study in severely burnt patients revealed that glutamine administration has reduced gram negative </w:t>
      </w:r>
      <w:proofErr w:type="spellStart"/>
      <w:r w:rsidRPr="006A2252">
        <w:rPr>
          <w:sz w:val="20"/>
          <w:szCs w:val="20"/>
        </w:rPr>
        <w:t>bacteremia</w:t>
      </w:r>
      <w:proofErr w:type="spellEnd"/>
      <w:r w:rsidRPr="006A2252">
        <w:rPr>
          <w:sz w:val="20"/>
          <w:szCs w:val="20"/>
        </w:rPr>
        <w:t xml:space="preserve"> </w:t>
      </w:r>
      <w:r w:rsidRPr="006A2252">
        <w:rPr>
          <w:b/>
          <w:bCs/>
          <w:i/>
          <w:iCs/>
          <w:sz w:val="20"/>
          <w:szCs w:val="20"/>
        </w:rPr>
        <w:t>(</w:t>
      </w:r>
      <w:proofErr w:type="spellStart"/>
      <w:r w:rsidRPr="006A2252">
        <w:rPr>
          <w:b/>
          <w:bCs/>
          <w:i/>
          <w:iCs/>
          <w:sz w:val="20"/>
          <w:szCs w:val="20"/>
        </w:rPr>
        <w:t>Wischmeyer</w:t>
      </w:r>
      <w:proofErr w:type="spellEnd"/>
      <w:r w:rsidRPr="006A2252">
        <w:rPr>
          <w:b/>
          <w:bCs/>
          <w:i/>
          <w:iCs/>
          <w:sz w:val="20"/>
          <w:szCs w:val="20"/>
        </w:rPr>
        <w:t xml:space="preserve"> et al., 2001). </w:t>
      </w:r>
      <w:r w:rsidRPr="006A2252">
        <w:rPr>
          <w:sz w:val="20"/>
          <w:szCs w:val="20"/>
        </w:rPr>
        <w:t xml:space="preserve">Moreover, ICU patients admitted after complicated surgery, multiple trauma, and pancreatitis showed satisfactory responses to total parenteral nutrition supplemented with glutamine </w:t>
      </w:r>
      <w:r w:rsidRPr="006A2252">
        <w:rPr>
          <w:b/>
          <w:bCs/>
          <w:i/>
          <w:iCs/>
          <w:sz w:val="20"/>
          <w:szCs w:val="20"/>
        </w:rPr>
        <w:t>(</w:t>
      </w:r>
      <w:proofErr w:type="spellStart"/>
      <w:r w:rsidRPr="006A2252">
        <w:rPr>
          <w:b/>
          <w:bCs/>
          <w:i/>
          <w:iCs/>
          <w:sz w:val="20"/>
          <w:szCs w:val="20"/>
        </w:rPr>
        <w:t>Déchelotte</w:t>
      </w:r>
      <w:proofErr w:type="spellEnd"/>
      <w:r w:rsidRPr="006A2252">
        <w:rPr>
          <w:b/>
          <w:bCs/>
          <w:i/>
          <w:iCs/>
          <w:sz w:val="20"/>
          <w:szCs w:val="20"/>
        </w:rPr>
        <w:t xml:space="preserve"> et al., 2006).</w:t>
      </w:r>
    </w:p>
    <w:p w:rsidR="00DE776F" w:rsidRPr="006A2252" w:rsidRDefault="00DE776F" w:rsidP="00FF4C83">
      <w:pPr>
        <w:snapToGrid w:val="0"/>
        <w:ind w:firstLine="425"/>
        <w:jc w:val="both"/>
        <w:rPr>
          <w:sz w:val="20"/>
          <w:szCs w:val="20"/>
        </w:rPr>
      </w:pPr>
      <w:r w:rsidRPr="006A2252">
        <w:rPr>
          <w:sz w:val="20"/>
          <w:szCs w:val="20"/>
        </w:rPr>
        <w:t xml:space="preserve">However, there is an abundant discrepancy as regard comparing single randomized controlled trials on glutamine supplementation's effects on clinical </w:t>
      </w:r>
      <w:r w:rsidRPr="006A2252">
        <w:rPr>
          <w:sz w:val="20"/>
          <w:szCs w:val="20"/>
        </w:rPr>
        <w:lastRenderedPageBreak/>
        <w:t xml:space="preserve">endpoints like infection rates, length of hospital stay and mortality </w:t>
      </w:r>
      <w:r w:rsidRPr="006A2252">
        <w:rPr>
          <w:b/>
          <w:bCs/>
          <w:i/>
          <w:iCs/>
          <w:sz w:val="20"/>
          <w:szCs w:val="20"/>
        </w:rPr>
        <w:t>(Mundi et al., 2016).</w:t>
      </w:r>
    </w:p>
    <w:p w:rsidR="00DE776F" w:rsidRPr="006A2252" w:rsidRDefault="00DE776F" w:rsidP="00FF4C83">
      <w:pPr>
        <w:snapToGrid w:val="0"/>
        <w:ind w:firstLine="425"/>
        <w:jc w:val="both"/>
        <w:rPr>
          <w:b/>
          <w:bCs/>
          <w:i/>
          <w:iCs/>
          <w:sz w:val="20"/>
          <w:szCs w:val="20"/>
        </w:rPr>
      </w:pPr>
      <w:r w:rsidRPr="006A2252">
        <w:rPr>
          <w:sz w:val="20"/>
          <w:szCs w:val="20"/>
        </w:rPr>
        <w:t xml:space="preserve">This discrepancy may be a result of variations in study design, selected patient populations, severity of the disease, patient’s nutritional status and/or the variations in glutamine supplementation which has different forms (free or </w:t>
      </w:r>
      <w:proofErr w:type="spellStart"/>
      <w:r w:rsidRPr="006A2252">
        <w:rPr>
          <w:sz w:val="20"/>
          <w:szCs w:val="20"/>
        </w:rPr>
        <w:t>dipeptide</w:t>
      </w:r>
      <w:proofErr w:type="spellEnd"/>
      <w:r w:rsidRPr="006A2252">
        <w:rPr>
          <w:sz w:val="20"/>
          <w:szCs w:val="20"/>
        </w:rPr>
        <w:t xml:space="preserve"> form), doses and administration method </w:t>
      </w:r>
      <w:r w:rsidRPr="006A2252">
        <w:rPr>
          <w:b/>
          <w:bCs/>
          <w:i/>
          <w:iCs/>
          <w:sz w:val="20"/>
          <w:szCs w:val="20"/>
        </w:rPr>
        <w:t xml:space="preserve">(McRae, 2017). </w:t>
      </w:r>
    </w:p>
    <w:p w:rsidR="00DE776F" w:rsidRPr="006A2252" w:rsidRDefault="00DE776F" w:rsidP="00FF4C83">
      <w:pPr>
        <w:snapToGrid w:val="0"/>
        <w:ind w:firstLine="425"/>
        <w:jc w:val="both"/>
        <w:rPr>
          <w:sz w:val="20"/>
          <w:szCs w:val="20"/>
        </w:rPr>
      </w:pPr>
      <w:proofErr w:type="spellStart"/>
      <w:r w:rsidRPr="006A2252">
        <w:rPr>
          <w:b/>
          <w:bCs/>
          <w:i/>
          <w:iCs/>
          <w:sz w:val="20"/>
          <w:szCs w:val="20"/>
          <w:lang w:bidi="ar-EG"/>
        </w:rPr>
        <w:t>Nienaber</w:t>
      </w:r>
      <w:proofErr w:type="spellEnd"/>
      <w:r w:rsidRPr="006A2252">
        <w:rPr>
          <w:b/>
          <w:bCs/>
          <w:i/>
          <w:iCs/>
          <w:sz w:val="20"/>
          <w:szCs w:val="20"/>
          <w:lang w:bidi="ar-EG"/>
        </w:rPr>
        <w:t xml:space="preserve"> (2015)</w:t>
      </w:r>
      <w:r w:rsidRPr="006A2252">
        <w:rPr>
          <w:sz w:val="20"/>
          <w:szCs w:val="20"/>
          <w:lang w:bidi="ar-EG"/>
        </w:rPr>
        <w:t xml:space="preserve"> within the intensive care unit (ICU) has</w:t>
      </w:r>
      <w:r w:rsidR="006A2252" w:rsidRPr="006A2252">
        <w:rPr>
          <w:rFonts w:eastAsiaTheme="minorEastAsia" w:hint="eastAsia"/>
          <w:sz w:val="20"/>
          <w:szCs w:val="20"/>
          <w:lang w:eastAsia="zh-CN" w:bidi="ar-EG"/>
        </w:rPr>
        <w:t xml:space="preserve"> </w:t>
      </w:r>
      <w:r w:rsidRPr="006A2252">
        <w:rPr>
          <w:sz w:val="20"/>
          <w:szCs w:val="20"/>
        </w:rPr>
        <w:t xml:space="preserve">evolved from meeting nutritional needs to manipulating patient outcome. The most abundant amino acid within the body, glutamine, is additionally the most-researched </w:t>
      </w:r>
      <w:proofErr w:type="spellStart"/>
      <w:r w:rsidRPr="006A2252">
        <w:rPr>
          <w:sz w:val="20"/>
          <w:szCs w:val="20"/>
        </w:rPr>
        <w:t>pharmaconutrient</w:t>
      </w:r>
      <w:proofErr w:type="spellEnd"/>
      <w:r w:rsidRPr="006A2252">
        <w:rPr>
          <w:sz w:val="20"/>
          <w:szCs w:val="20"/>
        </w:rPr>
        <w:t>. It is independently a predictor of mortality in ICU patients, at both deficient or really high levels.</w:t>
      </w:r>
    </w:p>
    <w:p w:rsidR="00DE776F" w:rsidRPr="006A2252" w:rsidRDefault="00DE776F" w:rsidP="00FF4C83">
      <w:pPr>
        <w:snapToGrid w:val="0"/>
        <w:ind w:firstLine="425"/>
        <w:jc w:val="both"/>
        <w:rPr>
          <w:sz w:val="20"/>
          <w:szCs w:val="20"/>
        </w:rPr>
      </w:pPr>
      <w:r w:rsidRPr="006A2252">
        <w:rPr>
          <w:sz w:val="20"/>
          <w:szCs w:val="20"/>
        </w:rPr>
        <w:t xml:space="preserve">Recent enhancements in </w:t>
      </w:r>
      <w:proofErr w:type="spellStart"/>
      <w:r w:rsidRPr="006A2252">
        <w:rPr>
          <w:sz w:val="20"/>
          <w:szCs w:val="20"/>
        </w:rPr>
        <w:t>perioperative</w:t>
      </w:r>
      <w:proofErr w:type="spellEnd"/>
      <w:r w:rsidRPr="006A2252">
        <w:rPr>
          <w:sz w:val="20"/>
          <w:szCs w:val="20"/>
        </w:rPr>
        <w:t xml:space="preserve"> care about to modulate the overwhelming surgical stress responses are well-tried to be effective. Moreover, glutamine supplementation is suggested within the social unit setting for its well-tried outcome edges </w:t>
      </w:r>
      <w:r w:rsidRPr="006A2252">
        <w:rPr>
          <w:b/>
          <w:bCs/>
          <w:i/>
          <w:iCs/>
          <w:sz w:val="20"/>
          <w:szCs w:val="20"/>
        </w:rPr>
        <w:t>(Mortensen et al., 2014)</w:t>
      </w:r>
      <w:r w:rsidR="00FF4C83" w:rsidRPr="006A2252">
        <w:rPr>
          <w:b/>
          <w:bCs/>
          <w:i/>
          <w:iCs/>
          <w:sz w:val="20"/>
          <w:szCs w:val="20"/>
        </w:rPr>
        <w:t xml:space="preserve">. </w:t>
      </w:r>
      <w:r w:rsidR="00FF4C83" w:rsidRPr="006A2252">
        <w:rPr>
          <w:sz w:val="20"/>
          <w:szCs w:val="20"/>
        </w:rPr>
        <w:t>T</w:t>
      </w:r>
      <w:r w:rsidRPr="006A2252">
        <w:rPr>
          <w:sz w:val="20"/>
          <w:szCs w:val="20"/>
        </w:rPr>
        <w:t>herefore, the aim of this study was to assess the role of early postoperative intravenous glutamine supplementation on the outcome after colorectal cancer surgery.</w:t>
      </w:r>
    </w:p>
    <w:p w:rsidR="00DE776F" w:rsidRPr="006A2252" w:rsidRDefault="00DE776F" w:rsidP="00FF4C83">
      <w:pPr>
        <w:snapToGrid w:val="0"/>
        <w:ind w:firstLine="425"/>
        <w:jc w:val="both"/>
        <w:rPr>
          <w:b/>
          <w:bCs/>
          <w:i/>
          <w:iCs/>
          <w:sz w:val="20"/>
          <w:szCs w:val="20"/>
        </w:rPr>
      </w:pPr>
      <w:proofErr w:type="spellStart"/>
      <w:r w:rsidRPr="006A2252">
        <w:rPr>
          <w:sz w:val="20"/>
          <w:szCs w:val="20"/>
        </w:rPr>
        <w:t>Prealbumin</w:t>
      </w:r>
      <w:proofErr w:type="spellEnd"/>
      <w:r w:rsidRPr="006A2252">
        <w:rPr>
          <w:sz w:val="20"/>
          <w:szCs w:val="20"/>
        </w:rPr>
        <w:t xml:space="preserve"> is a misnomer, its correct name is </w:t>
      </w:r>
      <w:proofErr w:type="spellStart"/>
      <w:r w:rsidRPr="006A2252">
        <w:rPr>
          <w:sz w:val="20"/>
          <w:szCs w:val="20"/>
        </w:rPr>
        <w:t>transthyretin</w:t>
      </w:r>
      <w:proofErr w:type="spellEnd"/>
      <w:r w:rsidRPr="006A2252">
        <w:rPr>
          <w:sz w:val="20"/>
          <w:szCs w:val="20"/>
        </w:rPr>
        <w:t xml:space="preserve">. It is a tryptophan-rich protein and similar to albumin, it is synthesized in </w:t>
      </w:r>
      <w:proofErr w:type="spellStart"/>
      <w:r w:rsidRPr="006A2252">
        <w:rPr>
          <w:sz w:val="20"/>
          <w:szCs w:val="20"/>
        </w:rPr>
        <w:t>hepatocytes</w:t>
      </w:r>
      <w:proofErr w:type="spellEnd"/>
      <w:r w:rsidRPr="006A2252">
        <w:rPr>
          <w:sz w:val="20"/>
          <w:szCs w:val="20"/>
        </w:rPr>
        <w:t xml:space="preserve"> of the liver. As it has a short half-life (2 days) and relatively small pool, it is a better indicator to assess nutritional status than the widely used albumin serum level </w:t>
      </w:r>
      <w:r w:rsidR="003A54B7" w:rsidRPr="006A2252">
        <w:rPr>
          <w:b/>
          <w:bCs/>
          <w:i/>
          <w:iCs/>
          <w:sz w:val="20"/>
          <w:szCs w:val="20"/>
        </w:rPr>
        <w:fldChar w:fldCharType="begin" w:fldLock="1"/>
      </w:r>
      <w:r w:rsidRPr="006A2252">
        <w:rPr>
          <w:b/>
          <w:bCs/>
          <w:i/>
          <w:iCs/>
          <w:sz w:val="20"/>
          <w:szCs w:val="20"/>
        </w:rPr>
        <w:instrText>ADDIN CSL_CITATION {"citationItems":[{"id":"ITEM-1","itemData":{"DOI":"10.1007/s00018-009-0109-0","ISSN":"1420-9071","PMID":"19644733","abstract":"Transthyretin (TTR) (formerly, thyroxine binding prealbumin) is an evolutionarily conserved serum and cerebrospinal fluid protein that transports holo-retinol-binding protein and thyroxine. Its serum concentration has been widely used to assess clinical nutritional status. It is also well known that wild-type transthyretin and approximately 100 different mutants give rise to a variety of forms of systemic amyloid deposition. It has been suspected and recently established that TTR can suppress the Alzheimer's disease phenotype in transgenic animal models of cerebral Abeta deposition. Thus, while TTR is a systemic amyloid precursor, in the brain it seems to have an anti-amyloidogenic effect. TTR is found in other organs as a result of local synthesis or transport, suggesting that it may have other, as yet undiscovered, functions. It is possible that its capacity to bind many classes of compounds allows it to serve as an endogenous detoxifier of molecules with potential pathologic effects.","author":[{"dropping-particle":"","family":"Buxbaum","given":"Joel N","non-dropping-particle":"","parse-names":false,"suffix":""},{"dropping-particle":"","family":"Reixach","given":"Natàlia","non-dropping-particle":"","parse-names":false,"suffix":""}],"container-title":"Cellular and molecular life sciences : CMLS","id":"ITEM-1","issue":"19","issued":{"date-parts":[["2009","10"]]},"page":"3095-101","publisher":"NIH Public Access","title":"Transthyretin: the servant of many masters.","type":"article-journal","volume":"66"},"uris":["http://www.mendeley.com/documents/?uuid=250b555d-40c2-3bbe-a9ae-5d52220cf231"]}],"mendeley":{"formattedCitation":"(Buxbaum and Reixach 2009)","manualFormatting":"(Buxbaum 2009)","plainTextFormattedCitation":"(Buxbaum and Reixach 2009)","previouslyFormattedCitation":"(Buxbaum and Reixach 2009)"},"properties":{"noteIndex":0},"schema":"https://github.com/citation-style-language/schema/raw/master/csl-citation.json"}</w:instrText>
      </w:r>
      <w:r w:rsidR="003A54B7" w:rsidRPr="006A2252">
        <w:rPr>
          <w:b/>
          <w:bCs/>
          <w:i/>
          <w:iCs/>
          <w:sz w:val="20"/>
          <w:szCs w:val="20"/>
        </w:rPr>
        <w:fldChar w:fldCharType="separate"/>
      </w:r>
      <w:r w:rsidRPr="006A2252">
        <w:rPr>
          <w:b/>
          <w:bCs/>
          <w:i/>
          <w:iCs/>
          <w:sz w:val="20"/>
          <w:szCs w:val="20"/>
        </w:rPr>
        <w:t>(</w:t>
      </w:r>
      <w:r w:rsidRPr="006A2252">
        <w:rPr>
          <w:b/>
          <w:bCs/>
          <w:sz w:val="20"/>
          <w:szCs w:val="20"/>
        </w:rPr>
        <w:t>Buxbaum and Natàlia</w:t>
      </w:r>
      <w:r w:rsidR="009677D1" w:rsidRPr="006A2252">
        <w:rPr>
          <w:b/>
          <w:bCs/>
          <w:i/>
          <w:iCs/>
          <w:sz w:val="20"/>
          <w:szCs w:val="20"/>
        </w:rPr>
        <w:t>,</w:t>
      </w:r>
      <w:r w:rsidRPr="006A2252">
        <w:rPr>
          <w:b/>
          <w:bCs/>
          <w:i/>
          <w:iCs/>
          <w:sz w:val="20"/>
          <w:szCs w:val="20"/>
        </w:rPr>
        <w:t xml:space="preserve"> 2009)</w:t>
      </w:r>
      <w:r w:rsidR="003A54B7" w:rsidRPr="006A2252">
        <w:rPr>
          <w:sz w:val="20"/>
          <w:szCs w:val="20"/>
        </w:rPr>
        <w:fldChar w:fldCharType="end"/>
      </w:r>
      <w:r w:rsidRPr="006A2252">
        <w:rPr>
          <w:b/>
          <w:bCs/>
          <w:i/>
          <w:iCs/>
          <w:sz w:val="20"/>
          <w:szCs w:val="20"/>
        </w:rPr>
        <w:t>.</w:t>
      </w:r>
    </w:p>
    <w:p w:rsidR="00DE776F" w:rsidRPr="006A2252" w:rsidRDefault="00DE776F" w:rsidP="00FF4C83">
      <w:pPr>
        <w:snapToGrid w:val="0"/>
        <w:ind w:firstLine="425"/>
        <w:jc w:val="both"/>
        <w:rPr>
          <w:sz w:val="20"/>
          <w:szCs w:val="20"/>
          <w:lang w:bidi="ar-EG"/>
        </w:rPr>
      </w:pPr>
      <w:r w:rsidRPr="006A2252">
        <w:rPr>
          <w:sz w:val="20"/>
          <w:szCs w:val="20"/>
          <w:lang w:bidi="ar-EG"/>
        </w:rPr>
        <w:t xml:space="preserve">In agreement with our finding, </w:t>
      </w:r>
      <w:r w:rsidRPr="006A2252">
        <w:rPr>
          <w:b/>
          <w:bCs/>
          <w:i/>
          <w:iCs/>
          <w:sz w:val="20"/>
          <w:szCs w:val="20"/>
          <w:lang w:bidi="ar-EG"/>
        </w:rPr>
        <w:t xml:space="preserve">Salem and colleagues (2017) </w:t>
      </w:r>
      <w:r w:rsidRPr="006A2252">
        <w:rPr>
          <w:sz w:val="20"/>
          <w:szCs w:val="20"/>
          <w:lang w:bidi="ar-EG"/>
        </w:rPr>
        <w:t xml:space="preserve">recorded that early use of intravenous glutamine in severely burned patients was accompanied by a significant elevation in both serum </w:t>
      </w:r>
      <w:proofErr w:type="spellStart"/>
      <w:r w:rsidRPr="006A2252">
        <w:rPr>
          <w:sz w:val="20"/>
          <w:szCs w:val="20"/>
          <w:lang w:bidi="ar-EG"/>
        </w:rPr>
        <w:t>prealbumin</w:t>
      </w:r>
      <w:proofErr w:type="spellEnd"/>
      <w:r w:rsidRPr="006A2252">
        <w:rPr>
          <w:sz w:val="20"/>
          <w:szCs w:val="20"/>
          <w:lang w:bidi="ar-EG"/>
        </w:rPr>
        <w:t xml:space="preserve"> and serum </w:t>
      </w:r>
      <w:proofErr w:type="spellStart"/>
      <w:r w:rsidRPr="006A2252">
        <w:rPr>
          <w:sz w:val="20"/>
          <w:szCs w:val="20"/>
          <w:lang w:bidi="ar-EG"/>
        </w:rPr>
        <w:t>transferrin</w:t>
      </w:r>
      <w:proofErr w:type="spellEnd"/>
      <w:r w:rsidRPr="006A2252">
        <w:rPr>
          <w:sz w:val="20"/>
          <w:szCs w:val="20"/>
          <w:lang w:bidi="ar-EG"/>
        </w:rPr>
        <w:t xml:space="preserve"> by day 7. They attributed the increase in serum nutritional markers that have a relatively short half-life (</w:t>
      </w:r>
      <w:proofErr w:type="spellStart"/>
      <w:r w:rsidRPr="006A2252">
        <w:rPr>
          <w:sz w:val="20"/>
          <w:szCs w:val="20"/>
          <w:lang w:bidi="ar-EG"/>
        </w:rPr>
        <w:t>transferrin</w:t>
      </w:r>
      <w:proofErr w:type="spellEnd"/>
      <w:r w:rsidRPr="006A2252">
        <w:rPr>
          <w:sz w:val="20"/>
          <w:szCs w:val="20"/>
          <w:lang w:bidi="ar-EG"/>
        </w:rPr>
        <w:t xml:space="preserve"> and </w:t>
      </w:r>
      <w:proofErr w:type="spellStart"/>
      <w:r w:rsidRPr="006A2252">
        <w:rPr>
          <w:sz w:val="20"/>
          <w:szCs w:val="20"/>
          <w:lang w:bidi="ar-EG"/>
        </w:rPr>
        <w:t>prealbumin</w:t>
      </w:r>
      <w:proofErr w:type="spellEnd"/>
      <w:r w:rsidRPr="006A2252">
        <w:rPr>
          <w:sz w:val="20"/>
          <w:szCs w:val="20"/>
          <w:lang w:bidi="ar-EG"/>
        </w:rPr>
        <w:t xml:space="preserve">) to the improvement in the absorptive function of the gut mucosal tissue layer that limits catabolic effects. </w:t>
      </w:r>
    </w:p>
    <w:p w:rsidR="00DE776F" w:rsidRPr="006A2252" w:rsidRDefault="00DE776F" w:rsidP="00FF4C83">
      <w:pPr>
        <w:snapToGrid w:val="0"/>
        <w:ind w:firstLine="425"/>
        <w:jc w:val="both"/>
        <w:rPr>
          <w:b/>
          <w:bCs/>
          <w:i/>
          <w:iCs/>
          <w:sz w:val="20"/>
          <w:szCs w:val="20"/>
        </w:rPr>
      </w:pPr>
      <w:r w:rsidRPr="006A2252">
        <w:rPr>
          <w:sz w:val="20"/>
          <w:szCs w:val="20"/>
        </w:rPr>
        <w:t xml:space="preserve">Meta-analysis of surgical patients with gastrointestinal tract cancers that received glutamine enriched nutrition found that serum </w:t>
      </w:r>
      <w:proofErr w:type="spellStart"/>
      <w:r w:rsidRPr="006A2252">
        <w:rPr>
          <w:sz w:val="20"/>
          <w:szCs w:val="20"/>
        </w:rPr>
        <w:t>prealbumin</w:t>
      </w:r>
      <w:proofErr w:type="spellEnd"/>
      <w:r w:rsidRPr="006A2252">
        <w:rPr>
          <w:sz w:val="20"/>
          <w:szCs w:val="20"/>
        </w:rPr>
        <w:t xml:space="preserve">, </w:t>
      </w:r>
      <w:proofErr w:type="spellStart"/>
      <w:r w:rsidRPr="006A2252">
        <w:rPr>
          <w:sz w:val="20"/>
          <w:szCs w:val="20"/>
        </w:rPr>
        <w:t>transferrin</w:t>
      </w:r>
      <w:proofErr w:type="spellEnd"/>
      <w:r w:rsidRPr="006A2252">
        <w:rPr>
          <w:sz w:val="20"/>
          <w:szCs w:val="20"/>
        </w:rPr>
        <w:t xml:space="preserve"> and albumin were significantly elevated </w:t>
      </w:r>
      <w:r w:rsidRPr="006A2252">
        <w:rPr>
          <w:b/>
          <w:bCs/>
          <w:i/>
          <w:iCs/>
          <w:sz w:val="20"/>
          <w:szCs w:val="20"/>
        </w:rPr>
        <w:t xml:space="preserve">(Kang et al., 2015). </w:t>
      </w:r>
    </w:p>
    <w:p w:rsidR="00DE776F" w:rsidRPr="006A2252" w:rsidRDefault="00DE776F" w:rsidP="00FF4C83">
      <w:pPr>
        <w:snapToGrid w:val="0"/>
        <w:ind w:firstLine="425"/>
        <w:jc w:val="both"/>
        <w:rPr>
          <w:b/>
          <w:bCs/>
          <w:i/>
          <w:iCs/>
          <w:sz w:val="20"/>
          <w:szCs w:val="20"/>
        </w:rPr>
      </w:pPr>
      <w:r w:rsidRPr="006A2252">
        <w:rPr>
          <w:sz w:val="20"/>
          <w:szCs w:val="20"/>
        </w:rPr>
        <w:t xml:space="preserve">The optimal dose of glutamine is a matter of debate; human studies suggest that glutamine supplementation up to 0.5 g/kg/day is safe </w:t>
      </w:r>
      <w:r w:rsidR="003A54B7" w:rsidRPr="006A2252">
        <w:rPr>
          <w:b/>
          <w:bCs/>
          <w:i/>
          <w:iCs/>
          <w:sz w:val="20"/>
          <w:szCs w:val="20"/>
        </w:rPr>
        <w:fldChar w:fldCharType="begin" w:fldLock="1"/>
      </w:r>
      <w:r w:rsidRPr="006A2252">
        <w:rPr>
          <w:b/>
          <w:bCs/>
          <w:i/>
          <w:iCs/>
          <w:sz w:val="20"/>
          <w:szCs w:val="20"/>
        </w:rPr>
        <w:instrText>ADDIN CSL_CITATION {"citationItems":[{"id":"ITEM-1","itemData":{"DOI":"10.1093/jn/138.10.2040S","ISSN":"0022-3166","PMID":"18806121","abstract":"Endogenous production of glutamine may become insufficient during critical illness. The shortage of glutamine is reflected as a decrease in plasma concentration, which is a prognostic factor for poor outcome in sepsis. Because glutamine is a precursor for nucleotide synthesis, rapidly dividing cells are most likely to suffer from a shortage. Therefore, exogenous glutamine supplementation is necessary. In particular, when i.v. nutrition is given, extra glutamine supplementation becomes critical, because most present formulations for i.v. use do not contain any glutamine for technical reasons. The major part of endogenously produced glutamine comes from skeletal muscle. For patients staying a long time in the intensive care unit (ICU), the muscle mass decreases rapidly, which leaves a tissue of diminishing size to maintain the export of glutamine. The metabolic and nutritional adaptation in long-staying ICU patients is poorly studied and is one of the fields that needs more scientific evidence for clinical recommendations. To date, there is evidence to support the clinical use of glutamine supplementation in critically ill patients, in hematology patients, and in oncology patients. Strong evidence is presently available for i.v. glutamine supplementation to critically ill patients on parenteral nutrition. This must be regarded as the standard of care. For patients on enteral nutrition, more evidence is needed. To guide administration of glutamine, there are good arguments to use measurement of plasma glutamine concentration for guidance. This will give an indication for treatment as well as proper dosing. Most patients will have a normalized plasma glutamine concentration by adding 20-25 g/24 h. Furthermore, there are no reported adverse or negative effects attributable to glutamine supplementation.","author":[{"dropping-particle":"","family":"Wernerman","given":"Jan","non-dropping-particle":"","parse-names":false,"suffix":""}],"container-title":"The Journal of Nutrition","id":"ITEM-1","issue":"10","issued":{"date-parts":[["2008","10","1"]]},"page":"2040S-2044S","title":"Clinical Use of Glutamine Supplementation","type":"article-journal","volume":"138"},"uris":["http://www.mendeley.com/documents/?uuid=911d6cf8-b63a-319e-8222-32ed3f9817af"]}],"mendeley":{"formattedCitation":"(Wernerman 2008)","plainTextFormattedCitation":"(Wernerman 2008)","previouslyFormattedCitation":"(Wernerman 2008)"},"properties":{"noteIndex":0},"schema":"https://github.com/citation-style-language/schema/raw/master/csl-citation.json"}</w:instrText>
      </w:r>
      <w:r w:rsidR="003A54B7" w:rsidRPr="006A2252">
        <w:rPr>
          <w:b/>
          <w:bCs/>
          <w:i/>
          <w:iCs/>
          <w:sz w:val="20"/>
          <w:szCs w:val="20"/>
        </w:rPr>
        <w:fldChar w:fldCharType="separate"/>
      </w:r>
      <w:r w:rsidRPr="006A2252">
        <w:rPr>
          <w:b/>
          <w:bCs/>
          <w:i/>
          <w:iCs/>
          <w:sz w:val="20"/>
          <w:szCs w:val="20"/>
        </w:rPr>
        <w:t>(Wernerman, 2008)</w:t>
      </w:r>
      <w:r w:rsidR="003A54B7" w:rsidRPr="006A2252">
        <w:rPr>
          <w:sz w:val="20"/>
          <w:szCs w:val="20"/>
        </w:rPr>
        <w:fldChar w:fldCharType="end"/>
      </w:r>
      <w:r w:rsidRPr="006A2252">
        <w:rPr>
          <w:b/>
          <w:bCs/>
          <w:i/>
          <w:iCs/>
          <w:sz w:val="20"/>
          <w:szCs w:val="20"/>
        </w:rPr>
        <w:t xml:space="preserve">. </w:t>
      </w:r>
    </w:p>
    <w:p w:rsidR="00DE776F" w:rsidRPr="006A2252" w:rsidRDefault="00DE776F" w:rsidP="00FF4C83">
      <w:pPr>
        <w:snapToGrid w:val="0"/>
        <w:ind w:firstLine="425"/>
        <w:jc w:val="both"/>
        <w:rPr>
          <w:sz w:val="20"/>
          <w:szCs w:val="20"/>
        </w:rPr>
      </w:pPr>
      <w:r w:rsidRPr="006A2252">
        <w:rPr>
          <w:b/>
          <w:bCs/>
          <w:sz w:val="20"/>
          <w:szCs w:val="20"/>
        </w:rPr>
        <w:t>Novak and colleagues (2002</w:t>
      </w:r>
      <w:r w:rsidRPr="006A2252">
        <w:rPr>
          <w:sz w:val="20"/>
          <w:szCs w:val="20"/>
        </w:rPr>
        <w:t xml:space="preserve">) analyzed fourteen randomized trials comparing glutamine supplementation in surgical and critically ill patients. From subgroup analyses, they concluded that a trend could be identified favoring the prescription of glutamine </w:t>
      </w:r>
      <w:proofErr w:type="spellStart"/>
      <w:r w:rsidRPr="006A2252">
        <w:rPr>
          <w:sz w:val="20"/>
          <w:szCs w:val="20"/>
        </w:rPr>
        <w:t>parenterally</w:t>
      </w:r>
      <w:proofErr w:type="spellEnd"/>
      <w:r w:rsidRPr="006A2252">
        <w:rPr>
          <w:sz w:val="20"/>
          <w:szCs w:val="20"/>
        </w:rPr>
        <w:t xml:space="preserve"> at a dose more than 0.2 </w:t>
      </w:r>
      <w:r w:rsidRPr="006A2252">
        <w:rPr>
          <w:sz w:val="20"/>
          <w:szCs w:val="20"/>
        </w:rPr>
        <w:lastRenderedPageBreak/>
        <w:t xml:space="preserve">g/kg/day. Novak’s data suggested that a dose higher than 0.2 g/kg/day has greater effect than a lower dose. Also he stated that seriously ill patients with gastrointestinal failure receiving parenteral nutrition should probably receive glutamine supplementation for at least 6 days to derive the maximum benefit </w:t>
      </w:r>
      <w:r w:rsidR="003A54B7" w:rsidRPr="006A2252">
        <w:rPr>
          <w:b/>
          <w:bCs/>
          <w:i/>
          <w:iCs/>
          <w:sz w:val="20"/>
          <w:szCs w:val="20"/>
        </w:rPr>
        <w:fldChar w:fldCharType="begin" w:fldLock="1"/>
      </w:r>
      <w:r w:rsidRPr="006A2252">
        <w:rPr>
          <w:b/>
          <w:bCs/>
          <w:i/>
          <w:iCs/>
          <w:sz w:val="20"/>
          <w:szCs w:val="20"/>
        </w:rPr>
        <w:instrText>ADDIN CSL_CITATION {"citationItems":[{"id":"ITEM-1","itemData":{"DOI":"10.3390/ijms18051051","ISSN":"1422-0067","PMID":"28498331","abstract":"Glutamine, the most abundant free amino acid in the human body, is a major substrate utilized by intestinal cells. The roles of glutamine in intestinal physiology and management of multiple intestinal diseases have been reported. In gut physiology, glutamine promotes enterocyte proliferation, regulates tight junction proteins, suppresses pro-inflammatory signaling pathways, and protects cells against apoptosis and cellular stresses during normal and pathologic conditions. As glutamine stores are depleted during severe metabolic stress including trauma, sepsis, and inflammatory bowel diseases, glutamine supplementation has been examined in patients to improve their clinical outcomes. In this review, we discuss the physiological roles of glutamine for intestinal health and its underlying mechanisms. In addition, we discuss the current evidence for the efficacy of glutamine supplementation in intestinal diseases.","author":[{"dropping-particle":"","family":"Kim","given":"Min-Hyun","non-dropping-particle":"","parse-names":false,"suffix":""},{"dropping-particle":"","family":"Kim","given":"Hyeyoung","non-dropping-particle":"","parse-names":false,"suffix":""}],"container-title":"International Journal of Molecular Sciences","id":"ITEM-1","issue":"5","issued":{"date-parts":[["2017","5","12"]]},"page":"1051","title":"The Roles of Glutamine in the Intestine and Its Implication in Intestinal Diseases","type":"article-journal","volume":"18"},"uris":["http://www.mendeley.com/documents/?uuid=341ca5f2-c93d-3357-9684-01cfc4e56f32"]}],"mendeley":{"formattedCitation":"(Kim and Kim 2017)","manualFormatting":"(Kim 2017)","plainTextFormattedCitation":"(Kim and Kim 2017)","previouslyFormattedCitation":"(Kim and Kim 2017)"},"properties":{"noteIndex":0},"schema":"https://github.com/citation-style-language/schema/raw/master/csl-citation.json"}</w:instrText>
      </w:r>
      <w:r w:rsidR="003A54B7" w:rsidRPr="006A2252">
        <w:rPr>
          <w:b/>
          <w:bCs/>
          <w:i/>
          <w:iCs/>
          <w:sz w:val="20"/>
          <w:szCs w:val="20"/>
        </w:rPr>
        <w:fldChar w:fldCharType="separate"/>
      </w:r>
      <w:r w:rsidRPr="006A2252">
        <w:rPr>
          <w:b/>
          <w:bCs/>
          <w:i/>
          <w:iCs/>
          <w:sz w:val="20"/>
          <w:szCs w:val="20"/>
        </w:rPr>
        <w:t>(</w:t>
      </w:r>
      <w:r w:rsidRPr="006A2252">
        <w:rPr>
          <w:b/>
          <w:bCs/>
          <w:sz w:val="20"/>
          <w:szCs w:val="20"/>
        </w:rPr>
        <w:t>Kim and Hyeyoung</w:t>
      </w:r>
      <w:r w:rsidRPr="006A2252">
        <w:rPr>
          <w:b/>
          <w:bCs/>
          <w:i/>
          <w:iCs/>
          <w:sz w:val="20"/>
          <w:szCs w:val="20"/>
        </w:rPr>
        <w:t>, 2017)</w:t>
      </w:r>
      <w:r w:rsidR="003A54B7" w:rsidRPr="006A2252">
        <w:rPr>
          <w:sz w:val="20"/>
          <w:szCs w:val="20"/>
        </w:rPr>
        <w:fldChar w:fldCharType="end"/>
      </w:r>
      <w:r w:rsidRPr="006A2252">
        <w:rPr>
          <w:b/>
          <w:bCs/>
          <w:i/>
          <w:iCs/>
          <w:sz w:val="20"/>
          <w:szCs w:val="20"/>
        </w:rPr>
        <w:t>.</w:t>
      </w:r>
    </w:p>
    <w:p w:rsidR="00DE776F" w:rsidRPr="006A2252" w:rsidRDefault="00DE776F" w:rsidP="00FF4C83">
      <w:pPr>
        <w:snapToGrid w:val="0"/>
        <w:ind w:firstLine="425"/>
        <w:jc w:val="both"/>
        <w:rPr>
          <w:sz w:val="20"/>
          <w:szCs w:val="20"/>
        </w:rPr>
      </w:pPr>
    </w:p>
    <w:p w:rsidR="00DE776F" w:rsidRPr="006A2252" w:rsidRDefault="00DE776F" w:rsidP="00FF4C83">
      <w:pPr>
        <w:snapToGrid w:val="0"/>
        <w:jc w:val="both"/>
        <w:rPr>
          <w:b/>
          <w:bCs/>
          <w:sz w:val="20"/>
          <w:szCs w:val="20"/>
        </w:rPr>
      </w:pPr>
      <w:r w:rsidRPr="006A2252">
        <w:rPr>
          <w:b/>
          <w:bCs/>
          <w:sz w:val="20"/>
          <w:szCs w:val="20"/>
        </w:rPr>
        <w:t>5. Conclusion</w:t>
      </w:r>
    </w:p>
    <w:p w:rsidR="00DE776F" w:rsidRPr="006A2252" w:rsidRDefault="00DE776F" w:rsidP="00FF4C83">
      <w:pPr>
        <w:snapToGrid w:val="0"/>
        <w:ind w:firstLine="425"/>
        <w:jc w:val="both"/>
        <w:rPr>
          <w:sz w:val="20"/>
          <w:szCs w:val="20"/>
        </w:rPr>
      </w:pPr>
      <w:r w:rsidRPr="006A2252">
        <w:rPr>
          <w:sz w:val="20"/>
          <w:szCs w:val="20"/>
        </w:rPr>
        <w:t>In conclusion, we found that early postoperative supplementation of parenteral glutamine in addition to standard nutritional support in patients that underwent colorectal cancer surgeries reduced the incidence of postoperative complications and improved the outcome in those patients.</w:t>
      </w:r>
    </w:p>
    <w:p w:rsidR="00DE776F" w:rsidRPr="006A2252" w:rsidRDefault="00DE776F" w:rsidP="00FF4C83">
      <w:pPr>
        <w:snapToGrid w:val="0"/>
        <w:ind w:firstLine="425"/>
        <w:jc w:val="both"/>
        <w:rPr>
          <w:sz w:val="20"/>
          <w:szCs w:val="20"/>
        </w:rPr>
      </w:pPr>
    </w:p>
    <w:p w:rsidR="00DE776F" w:rsidRPr="006A2252" w:rsidRDefault="00DE776F" w:rsidP="00FF4C83">
      <w:pPr>
        <w:snapToGrid w:val="0"/>
        <w:jc w:val="both"/>
        <w:rPr>
          <w:b/>
          <w:bCs/>
          <w:sz w:val="20"/>
          <w:szCs w:val="20"/>
        </w:rPr>
      </w:pPr>
      <w:r w:rsidRPr="006A2252">
        <w:rPr>
          <w:b/>
          <w:bCs/>
          <w:sz w:val="20"/>
          <w:szCs w:val="20"/>
        </w:rPr>
        <w:t xml:space="preserve">Corresponding author: </w:t>
      </w:r>
    </w:p>
    <w:p w:rsidR="00DE776F" w:rsidRPr="006A2252" w:rsidRDefault="00DE776F" w:rsidP="00FF4C83">
      <w:pPr>
        <w:snapToGrid w:val="0"/>
        <w:ind w:firstLine="425"/>
        <w:jc w:val="both"/>
        <w:rPr>
          <w:sz w:val="20"/>
          <w:szCs w:val="20"/>
        </w:rPr>
      </w:pPr>
      <w:r w:rsidRPr="006A2252">
        <w:rPr>
          <w:sz w:val="20"/>
          <w:szCs w:val="20"/>
        </w:rPr>
        <w:t>Dr. Tasneem Ameen Abd El-Sattar Kabeel,</w:t>
      </w:r>
    </w:p>
    <w:p w:rsidR="00DE776F" w:rsidRPr="006A2252" w:rsidRDefault="00DE776F" w:rsidP="00FF4C83">
      <w:pPr>
        <w:snapToGrid w:val="0"/>
        <w:ind w:firstLine="425"/>
        <w:jc w:val="both"/>
        <w:rPr>
          <w:sz w:val="20"/>
          <w:szCs w:val="20"/>
        </w:rPr>
      </w:pPr>
      <w:r w:rsidRPr="006A2252">
        <w:rPr>
          <w:sz w:val="20"/>
          <w:szCs w:val="20"/>
        </w:rPr>
        <w:t>Anesthesia, Intensive Care</w:t>
      </w:r>
      <w:r w:rsidR="009677D1" w:rsidRPr="006A2252">
        <w:rPr>
          <w:sz w:val="20"/>
          <w:szCs w:val="20"/>
        </w:rPr>
        <w:t xml:space="preserve"> &amp; </w:t>
      </w:r>
      <w:r w:rsidRPr="006A2252">
        <w:rPr>
          <w:sz w:val="20"/>
          <w:szCs w:val="20"/>
        </w:rPr>
        <w:t>Pain Management Department, Faculty of Medicine, Ain Shams University, Egypt.</w:t>
      </w:r>
    </w:p>
    <w:p w:rsidR="00DE776F" w:rsidRPr="006A2252" w:rsidRDefault="00DE776F" w:rsidP="00FF4C83">
      <w:pPr>
        <w:snapToGrid w:val="0"/>
        <w:ind w:firstLine="425"/>
        <w:jc w:val="both"/>
        <w:rPr>
          <w:sz w:val="20"/>
          <w:szCs w:val="20"/>
        </w:rPr>
      </w:pPr>
      <w:r w:rsidRPr="006A2252">
        <w:rPr>
          <w:sz w:val="20"/>
          <w:szCs w:val="20"/>
        </w:rPr>
        <w:t>E-mail</w:t>
      </w:r>
      <w:r w:rsidRPr="006A2252">
        <w:rPr>
          <w:b/>
          <w:bCs/>
          <w:sz w:val="20"/>
          <w:szCs w:val="20"/>
        </w:rPr>
        <w:t xml:space="preserve">: </w:t>
      </w:r>
      <w:hyperlink r:id="rId14" w:history="1">
        <w:r w:rsidRPr="006A2252">
          <w:rPr>
            <w:rStyle w:val="Hyperlink"/>
            <w:sz w:val="20"/>
            <w:szCs w:val="20"/>
          </w:rPr>
          <w:t>tasneemkabeel33@gmail.com</w:t>
        </w:r>
      </w:hyperlink>
    </w:p>
    <w:p w:rsidR="00DE776F" w:rsidRPr="006A2252" w:rsidRDefault="00DE776F" w:rsidP="00FF4C83">
      <w:pPr>
        <w:snapToGrid w:val="0"/>
        <w:ind w:firstLine="425"/>
        <w:jc w:val="both"/>
        <w:rPr>
          <w:sz w:val="20"/>
          <w:szCs w:val="20"/>
        </w:rPr>
      </w:pPr>
    </w:p>
    <w:p w:rsidR="00DE776F" w:rsidRPr="006A2252" w:rsidRDefault="00DE776F" w:rsidP="00FF4C83">
      <w:pPr>
        <w:snapToGrid w:val="0"/>
        <w:jc w:val="both"/>
        <w:rPr>
          <w:b/>
          <w:bCs/>
          <w:sz w:val="20"/>
          <w:szCs w:val="20"/>
        </w:rPr>
      </w:pPr>
      <w:r w:rsidRPr="006A2252">
        <w:rPr>
          <w:b/>
          <w:bCs/>
          <w:sz w:val="20"/>
          <w:szCs w:val="20"/>
        </w:rPr>
        <w:t>References</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Adamina</w:t>
      </w:r>
      <w:proofErr w:type="spellEnd"/>
      <w:r w:rsidR="009677D1" w:rsidRPr="006A2252">
        <w:rPr>
          <w:bCs/>
          <w:sz w:val="20"/>
          <w:szCs w:val="20"/>
        </w:rPr>
        <w:t xml:space="preserve"> </w:t>
      </w:r>
      <w:r w:rsidRPr="006A2252">
        <w:rPr>
          <w:bCs/>
          <w:sz w:val="20"/>
          <w:szCs w:val="20"/>
        </w:rPr>
        <w:t>M,</w:t>
      </w:r>
      <w:r w:rsidR="009677D1" w:rsidRPr="006A2252">
        <w:rPr>
          <w:bCs/>
          <w:sz w:val="20"/>
          <w:szCs w:val="20"/>
        </w:rPr>
        <w:t xml:space="preserve"> </w:t>
      </w:r>
      <w:proofErr w:type="spellStart"/>
      <w:r w:rsidRPr="006A2252">
        <w:rPr>
          <w:bCs/>
          <w:sz w:val="20"/>
          <w:szCs w:val="20"/>
        </w:rPr>
        <w:t>Kehlet</w:t>
      </w:r>
      <w:proofErr w:type="spellEnd"/>
      <w:r w:rsidR="009677D1" w:rsidRPr="006A2252">
        <w:rPr>
          <w:bCs/>
          <w:sz w:val="20"/>
          <w:szCs w:val="20"/>
        </w:rPr>
        <w:t xml:space="preserve"> </w:t>
      </w:r>
      <w:r w:rsidRPr="006A2252">
        <w:rPr>
          <w:bCs/>
          <w:sz w:val="20"/>
          <w:szCs w:val="20"/>
        </w:rPr>
        <w:t>H,</w:t>
      </w:r>
      <w:r w:rsidR="009677D1" w:rsidRPr="006A2252">
        <w:rPr>
          <w:bCs/>
          <w:sz w:val="20"/>
          <w:szCs w:val="20"/>
        </w:rPr>
        <w:t xml:space="preserve"> </w:t>
      </w:r>
      <w:r w:rsidRPr="006A2252">
        <w:rPr>
          <w:bCs/>
          <w:sz w:val="20"/>
          <w:szCs w:val="20"/>
        </w:rPr>
        <w:t>Tomlinson</w:t>
      </w:r>
      <w:r w:rsidR="009677D1" w:rsidRPr="006A2252">
        <w:rPr>
          <w:bCs/>
          <w:sz w:val="20"/>
          <w:szCs w:val="20"/>
        </w:rPr>
        <w:t xml:space="preserve"> </w:t>
      </w:r>
      <w:r w:rsidRPr="006A2252">
        <w:rPr>
          <w:bCs/>
          <w:sz w:val="20"/>
          <w:szCs w:val="20"/>
        </w:rPr>
        <w:t>GA,</w:t>
      </w:r>
      <w:r w:rsidR="009677D1" w:rsidRPr="006A2252">
        <w:rPr>
          <w:bCs/>
          <w:sz w:val="20"/>
          <w:szCs w:val="20"/>
        </w:rPr>
        <w:t xml:space="preserve"> </w:t>
      </w:r>
      <w:proofErr w:type="spellStart"/>
      <w:r w:rsidRPr="006A2252">
        <w:rPr>
          <w:bCs/>
          <w:sz w:val="20"/>
          <w:szCs w:val="20"/>
        </w:rPr>
        <w:t>Senagore</w:t>
      </w:r>
      <w:proofErr w:type="spellEnd"/>
      <w:r w:rsidR="009677D1" w:rsidRPr="006A2252">
        <w:rPr>
          <w:bCs/>
          <w:sz w:val="20"/>
          <w:szCs w:val="20"/>
        </w:rPr>
        <w:t xml:space="preserve"> </w:t>
      </w:r>
      <w:r w:rsidRPr="006A2252">
        <w:rPr>
          <w:bCs/>
          <w:sz w:val="20"/>
          <w:szCs w:val="20"/>
        </w:rPr>
        <w:t>AJ</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Delaney</w:t>
      </w:r>
      <w:r w:rsidR="009677D1" w:rsidRPr="006A2252">
        <w:rPr>
          <w:bCs/>
          <w:sz w:val="20"/>
          <w:szCs w:val="20"/>
        </w:rPr>
        <w:t xml:space="preserve"> </w:t>
      </w:r>
      <w:r w:rsidRPr="006A2252">
        <w:rPr>
          <w:bCs/>
          <w:sz w:val="20"/>
          <w:szCs w:val="20"/>
        </w:rPr>
        <w:t>CP.</w:t>
      </w:r>
      <w:r w:rsidRPr="006A2252">
        <w:rPr>
          <w:sz w:val="20"/>
          <w:szCs w:val="20"/>
        </w:rPr>
        <w:t>“Enhanced</w:t>
      </w:r>
      <w:r w:rsidR="009677D1" w:rsidRPr="006A2252">
        <w:rPr>
          <w:sz w:val="20"/>
          <w:szCs w:val="20"/>
        </w:rPr>
        <w:t xml:space="preserve"> </w:t>
      </w:r>
      <w:r w:rsidRPr="006A2252">
        <w:rPr>
          <w:sz w:val="20"/>
          <w:szCs w:val="20"/>
        </w:rPr>
        <w:t>recovery</w:t>
      </w:r>
      <w:r w:rsidR="009677D1" w:rsidRPr="006A2252">
        <w:rPr>
          <w:sz w:val="20"/>
          <w:szCs w:val="20"/>
        </w:rPr>
        <w:t xml:space="preserve"> </w:t>
      </w:r>
      <w:r w:rsidRPr="006A2252">
        <w:rPr>
          <w:sz w:val="20"/>
          <w:szCs w:val="20"/>
        </w:rPr>
        <w:t>pathways</w:t>
      </w:r>
      <w:r w:rsidR="009677D1" w:rsidRPr="006A2252">
        <w:rPr>
          <w:sz w:val="20"/>
          <w:szCs w:val="20"/>
        </w:rPr>
        <w:t xml:space="preserve"> </w:t>
      </w:r>
      <w:r w:rsidRPr="006A2252">
        <w:rPr>
          <w:sz w:val="20"/>
          <w:szCs w:val="20"/>
        </w:rPr>
        <w:t>optimize</w:t>
      </w:r>
      <w:r w:rsidR="009677D1" w:rsidRPr="006A2252">
        <w:rPr>
          <w:sz w:val="20"/>
          <w:szCs w:val="20"/>
        </w:rPr>
        <w:t xml:space="preserve"> </w:t>
      </w:r>
      <w:r w:rsidRPr="006A2252">
        <w:rPr>
          <w:sz w:val="20"/>
          <w:szCs w:val="20"/>
        </w:rPr>
        <w:t>health</w:t>
      </w:r>
      <w:r w:rsidR="009677D1" w:rsidRPr="006A2252">
        <w:rPr>
          <w:sz w:val="20"/>
          <w:szCs w:val="20"/>
        </w:rPr>
        <w:t xml:space="preserve"> </w:t>
      </w:r>
      <w:r w:rsidRPr="006A2252">
        <w:rPr>
          <w:sz w:val="20"/>
          <w:szCs w:val="20"/>
        </w:rPr>
        <w:t>outcomes</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resource</w:t>
      </w:r>
      <w:r w:rsidR="009677D1" w:rsidRPr="006A2252">
        <w:rPr>
          <w:sz w:val="20"/>
          <w:szCs w:val="20"/>
        </w:rPr>
        <w:t xml:space="preserve"> </w:t>
      </w:r>
      <w:r w:rsidRPr="006A2252">
        <w:rPr>
          <w:sz w:val="20"/>
          <w:szCs w:val="20"/>
        </w:rPr>
        <w:t>utilization:</w:t>
      </w:r>
      <w:r w:rsidR="009677D1" w:rsidRPr="006A2252">
        <w:rPr>
          <w:sz w:val="20"/>
          <w:szCs w:val="20"/>
        </w:rPr>
        <w:t xml:space="preserve"> </w:t>
      </w:r>
      <w:r w:rsidRPr="006A2252">
        <w:rPr>
          <w:sz w:val="20"/>
          <w:szCs w:val="20"/>
        </w:rPr>
        <w:t>a</w:t>
      </w:r>
      <w:r w:rsidR="009677D1" w:rsidRPr="006A2252">
        <w:rPr>
          <w:sz w:val="20"/>
          <w:szCs w:val="20"/>
        </w:rPr>
        <w:t xml:space="preserve"> </w:t>
      </w:r>
      <w:r w:rsidRPr="006A2252">
        <w:rPr>
          <w:sz w:val="20"/>
          <w:szCs w:val="20"/>
        </w:rPr>
        <w:t>meta-analysis</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randomized</w:t>
      </w:r>
      <w:r w:rsidR="009677D1" w:rsidRPr="006A2252">
        <w:rPr>
          <w:sz w:val="20"/>
          <w:szCs w:val="20"/>
        </w:rPr>
        <w:t xml:space="preserve"> </w:t>
      </w:r>
      <w:r w:rsidRPr="006A2252">
        <w:rPr>
          <w:sz w:val="20"/>
          <w:szCs w:val="20"/>
        </w:rPr>
        <w:t>controlled</w:t>
      </w:r>
      <w:r w:rsidR="009677D1" w:rsidRPr="006A2252">
        <w:rPr>
          <w:sz w:val="20"/>
          <w:szCs w:val="20"/>
        </w:rPr>
        <w:t xml:space="preserve"> </w:t>
      </w:r>
      <w:r w:rsidRPr="006A2252">
        <w:rPr>
          <w:sz w:val="20"/>
          <w:szCs w:val="20"/>
        </w:rPr>
        <w:t>trials</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colorectal</w:t>
      </w:r>
      <w:r w:rsidR="009677D1" w:rsidRPr="006A2252">
        <w:rPr>
          <w:sz w:val="20"/>
          <w:szCs w:val="20"/>
        </w:rPr>
        <w:t xml:space="preserve"> </w:t>
      </w:r>
      <w:r w:rsidRPr="006A2252">
        <w:rPr>
          <w:sz w:val="20"/>
          <w:szCs w:val="20"/>
        </w:rPr>
        <w:t>surgery.”</w:t>
      </w:r>
      <w:r w:rsidR="009677D1" w:rsidRPr="006A2252">
        <w:rPr>
          <w:sz w:val="20"/>
          <w:szCs w:val="20"/>
        </w:rPr>
        <w:t xml:space="preserve"> </w:t>
      </w:r>
      <w:r w:rsidRPr="006A2252">
        <w:rPr>
          <w:sz w:val="20"/>
          <w:szCs w:val="20"/>
        </w:rPr>
        <w:t>surgery,</w:t>
      </w:r>
      <w:r w:rsidR="009677D1" w:rsidRPr="006A2252">
        <w:rPr>
          <w:sz w:val="20"/>
          <w:szCs w:val="20"/>
        </w:rPr>
        <w:t xml:space="preserve"> </w:t>
      </w:r>
      <w:r w:rsidRPr="006A2252">
        <w:rPr>
          <w:sz w:val="20"/>
          <w:szCs w:val="20"/>
        </w:rPr>
        <w:t>2011;</w:t>
      </w:r>
      <w:r w:rsidR="009677D1" w:rsidRPr="006A2252">
        <w:rPr>
          <w:sz w:val="20"/>
          <w:szCs w:val="20"/>
        </w:rPr>
        <w:t xml:space="preserve"> </w:t>
      </w:r>
      <w:r w:rsidRPr="006A2252">
        <w:rPr>
          <w:sz w:val="20"/>
          <w:szCs w:val="20"/>
        </w:rPr>
        <w:t>149(6):</w:t>
      </w:r>
      <w:r w:rsidR="009677D1" w:rsidRPr="006A2252">
        <w:rPr>
          <w:sz w:val="20"/>
          <w:szCs w:val="20"/>
        </w:rPr>
        <w:t xml:space="preserve"> </w:t>
      </w:r>
      <w:r w:rsidRPr="006A2252">
        <w:rPr>
          <w:sz w:val="20"/>
          <w:szCs w:val="20"/>
        </w:rPr>
        <w:t>830-840.</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Altman</w:t>
      </w:r>
      <w:r w:rsidR="009677D1" w:rsidRPr="006A2252">
        <w:rPr>
          <w:bCs/>
          <w:sz w:val="20"/>
          <w:szCs w:val="20"/>
        </w:rPr>
        <w:t xml:space="preserve"> </w:t>
      </w:r>
      <w:r w:rsidRPr="006A2252">
        <w:rPr>
          <w:bCs/>
          <w:sz w:val="20"/>
          <w:szCs w:val="20"/>
        </w:rPr>
        <w:t>BJ,</w:t>
      </w:r>
      <w:r w:rsidR="009677D1" w:rsidRPr="006A2252">
        <w:rPr>
          <w:bCs/>
          <w:sz w:val="20"/>
          <w:szCs w:val="20"/>
        </w:rPr>
        <w:t xml:space="preserve"> </w:t>
      </w:r>
      <w:r w:rsidRPr="006A2252">
        <w:rPr>
          <w:bCs/>
          <w:sz w:val="20"/>
          <w:szCs w:val="20"/>
        </w:rPr>
        <w:t>Stine</w:t>
      </w:r>
      <w:r w:rsidR="009677D1" w:rsidRPr="006A2252">
        <w:rPr>
          <w:bCs/>
          <w:sz w:val="20"/>
          <w:szCs w:val="20"/>
        </w:rPr>
        <w:t xml:space="preserve"> </w:t>
      </w:r>
      <w:r w:rsidRPr="006A2252">
        <w:rPr>
          <w:bCs/>
          <w:sz w:val="20"/>
          <w:szCs w:val="20"/>
        </w:rPr>
        <w:t>ZE</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Dang</w:t>
      </w:r>
      <w:r w:rsidR="009677D1" w:rsidRPr="006A2252">
        <w:rPr>
          <w:bCs/>
          <w:sz w:val="20"/>
          <w:szCs w:val="20"/>
        </w:rPr>
        <w:t xml:space="preserve"> </w:t>
      </w:r>
      <w:r w:rsidRPr="006A2252">
        <w:rPr>
          <w:bCs/>
          <w:sz w:val="20"/>
          <w:szCs w:val="20"/>
        </w:rPr>
        <w:t>CV.</w:t>
      </w:r>
      <w:r w:rsidRPr="006A2252">
        <w:rPr>
          <w:sz w:val="20"/>
          <w:szCs w:val="20"/>
        </w:rPr>
        <w:t>“From</w:t>
      </w:r>
      <w:r w:rsidR="009677D1" w:rsidRPr="006A2252">
        <w:rPr>
          <w:sz w:val="20"/>
          <w:szCs w:val="20"/>
        </w:rPr>
        <w:t xml:space="preserve"> </w:t>
      </w:r>
      <w:r w:rsidRPr="006A2252">
        <w:rPr>
          <w:sz w:val="20"/>
          <w:szCs w:val="20"/>
        </w:rPr>
        <w:t>Krebs</w:t>
      </w:r>
      <w:r w:rsidR="009677D1" w:rsidRPr="006A2252">
        <w:rPr>
          <w:sz w:val="20"/>
          <w:szCs w:val="20"/>
        </w:rPr>
        <w:t xml:space="preserve"> </w:t>
      </w:r>
      <w:r w:rsidRPr="006A2252">
        <w:rPr>
          <w:sz w:val="20"/>
          <w:szCs w:val="20"/>
        </w:rPr>
        <w:t>to</w:t>
      </w:r>
      <w:r w:rsidR="009677D1" w:rsidRPr="006A2252">
        <w:rPr>
          <w:sz w:val="20"/>
          <w:szCs w:val="20"/>
        </w:rPr>
        <w:t xml:space="preserve"> </w:t>
      </w:r>
      <w:r w:rsidRPr="006A2252">
        <w:rPr>
          <w:sz w:val="20"/>
          <w:szCs w:val="20"/>
        </w:rPr>
        <w:t>clinic:</w:t>
      </w:r>
      <w:r w:rsidR="009677D1" w:rsidRPr="006A2252">
        <w:rPr>
          <w:sz w:val="20"/>
          <w:szCs w:val="20"/>
        </w:rPr>
        <w:t xml:space="preserve"> </w:t>
      </w:r>
      <w:r w:rsidRPr="006A2252">
        <w:rPr>
          <w:sz w:val="20"/>
          <w:szCs w:val="20"/>
        </w:rPr>
        <w:t>glutamine</w:t>
      </w:r>
      <w:r w:rsidR="009677D1" w:rsidRPr="006A2252">
        <w:rPr>
          <w:sz w:val="20"/>
          <w:szCs w:val="20"/>
        </w:rPr>
        <w:t xml:space="preserve"> </w:t>
      </w:r>
      <w:r w:rsidRPr="006A2252">
        <w:rPr>
          <w:sz w:val="20"/>
          <w:szCs w:val="20"/>
        </w:rPr>
        <w:t>metabolism</w:t>
      </w:r>
      <w:r w:rsidR="009677D1" w:rsidRPr="006A2252">
        <w:rPr>
          <w:sz w:val="20"/>
          <w:szCs w:val="20"/>
        </w:rPr>
        <w:t xml:space="preserve"> </w:t>
      </w:r>
      <w:r w:rsidRPr="006A2252">
        <w:rPr>
          <w:sz w:val="20"/>
          <w:szCs w:val="20"/>
        </w:rPr>
        <w:t>to</w:t>
      </w:r>
      <w:r w:rsidR="009677D1" w:rsidRPr="006A2252">
        <w:rPr>
          <w:sz w:val="20"/>
          <w:szCs w:val="20"/>
        </w:rPr>
        <w:t xml:space="preserve"> </w:t>
      </w:r>
      <w:r w:rsidRPr="006A2252">
        <w:rPr>
          <w:sz w:val="20"/>
          <w:szCs w:val="20"/>
        </w:rPr>
        <w:t>cancer</w:t>
      </w:r>
      <w:r w:rsidR="009677D1" w:rsidRPr="006A2252">
        <w:rPr>
          <w:sz w:val="20"/>
          <w:szCs w:val="20"/>
        </w:rPr>
        <w:t xml:space="preserve"> </w:t>
      </w:r>
      <w:r w:rsidRPr="006A2252">
        <w:rPr>
          <w:sz w:val="20"/>
          <w:szCs w:val="20"/>
        </w:rPr>
        <w:t>therapy.”</w:t>
      </w:r>
      <w:r w:rsidR="009677D1" w:rsidRPr="006A2252">
        <w:rPr>
          <w:sz w:val="20"/>
          <w:szCs w:val="20"/>
        </w:rPr>
        <w:t xml:space="preserve"> </w:t>
      </w:r>
      <w:r w:rsidRPr="006A2252">
        <w:rPr>
          <w:sz w:val="20"/>
          <w:szCs w:val="20"/>
        </w:rPr>
        <w:t>Nature</w:t>
      </w:r>
      <w:r w:rsidR="009677D1" w:rsidRPr="006A2252">
        <w:rPr>
          <w:sz w:val="20"/>
          <w:szCs w:val="20"/>
        </w:rPr>
        <w:t xml:space="preserve"> </w:t>
      </w:r>
      <w:r w:rsidRPr="006A2252">
        <w:rPr>
          <w:sz w:val="20"/>
          <w:szCs w:val="20"/>
        </w:rPr>
        <w:t>Reviews</w:t>
      </w:r>
      <w:r w:rsidR="009677D1" w:rsidRPr="006A2252">
        <w:rPr>
          <w:sz w:val="20"/>
          <w:szCs w:val="20"/>
        </w:rPr>
        <w:t xml:space="preserve"> </w:t>
      </w:r>
      <w:r w:rsidRPr="006A2252">
        <w:rPr>
          <w:sz w:val="20"/>
          <w:szCs w:val="20"/>
        </w:rPr>
        <w:t>Cancer,</w:t>
      </w:r>
      <w:r w:rsidR="009677D1" w:rsidRPr="006A2252">
        <w:rPr>
          <w:sz w:val="20"/>
          <w:szCs w:val="20"/>
        </w:rPr>
        <w:t xml:space="preserve"> </w:t>
      </w:r>
      <w:r w:rsidRPr="006A2252">
        <w:rPr>
          <w:sz w:val="20"/>
          <w:szCs w:val="20"/>
        </w:rPr>
        <w:t>2016;</w:t>
      </w:r>
      <w:r w:rsidR="009677D1" w:rsidRPr="006A2252">
        <w:rPr>
          <w:sz w:val="20"/>
          <w:szCs w:val="20"/>
        </w:rPr>
        <w:t xml:space="preserve"> </w:t>
      </w:r>
      <w:r w:rsidRPr="006A2252">
        <w:rPr>
          <w:sz w:val="20"/>
          <w:szCs w:val="20"/>
        </w:rPr>
        <w:t>16(10):</w:t>
      </w:r>
      <w:r w:rsidR="009677D1" w:rsidRPr="006A2252">
        <w:rPr>
          <w:sz w:val="20"/>
          <w:szCs w:val="20"/>
        </w:rPr>
        <w:t xml:space="preserve"> </w:t>
      </w:r>
      <w:r w:rsidRPr="006A2252">
        <w:rPr>
          <w:sz w:val="20"/>
          <w:szCs w:val="20"/>
        </w:rPr>
        <w:t>619.</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Bin-Dong</w:t>
      </w:r>
      <w:r w:rsidR="009677D1" w:rsidRPr="006A2252">
        <w:rPr>
          <w:bCs/>
          <w:sz w:val="20"/>
          <w:szCs w:val="20"/>
        </w:rPr>
        <w:t xml:space="preserve"> </w:t>
      </w:r>
      <w:r w:rsidRPr="006A2252">
        <w:rPr>
          <w:bCs/>
          <w:sz w:val="20"/>
          <w:szCs w:val="20"/>
        </w:rPr>
        <w:t>X,</w:t>
      </w:r>
      <w:r w:rsidR="009677D1" w:rsidRPr="006A2252">
        <w:rPr>
          <w:bCs/>
          <w:sz w:val="20"/>
          <w:szCs w:val="20"/>
        </w:rPr>
        <w:t xml:space="preserve"> </w:t>
      </w:r>
      <w:proofErr w:type="spellStart"/>
      <w:r w:rsidRPr="006A2252">
        <w:rPr>
          <w:bCs/>
          <w:sz w:val="20"/>
          <w:szCs w:val="20"/>
        </w:rPr>
        <w:t>Guo-Zhong</w:t>
      </w:r>
      <w:proofErr w:type="spellEnd"/>
      <w:r w:rsidR="009677D1" w:rsidRPr="006A2252">
        <w:rPr>
          <w:bCs/>
          <w:sz w:val="20"/>
          <w:szCs w:val="20"/>
        </w:rPr>
        <w:t xml:space="preserve"> </w:t>
      </w:r>
      <w:r w:rsidRPr="006A2252">
        <w:rPr>
          <w:bCs/>
          <w:sz w:val="20"/>
          <w:szCs w:val="20"/>
        </w:rPr>
        <w:t>H</w:t>
      </w:r>
      <w:r w:rsidR="009677D1" w:rsidRPr="006A2252">
        <w:rPr>
          <w:bCs/>
          <w:sz w:val="20"/>
          <w:szCs w:val="20"/>
        </w:rPr>
        <w:t xml:space="preserve"> </w:t>
      </w:r>
      <w:r w:rsidRPr="006A2252">
        <w:rPr>
          <w:bCs/>
          <w:sz w:val="20"/>
          <w:szCs w:val="20"/>
        </w:rPr>
        <w:t>and</w:t>
      </w:r>
      <w:r w:rsidR="009677D1" w:rsidRPr="006A2252">
        <w:rPr>
          <w:bCs/>
          <w:sz w:val="20"/>
          <w:szCs w:val="20"/>
        </w:rPr>
        <w:t xml:space="preserve"> </w:t>
      </w:r>
      <w:proofErr w:type="spellStart"/>
      <w:r w:rsidRPr="006A2252">
        <w:rPr>
          <w:bCs/>
          <w:sz w:val="20"/>
          <w:szCs w:val="20"/>
        </w:rPr>
        <w:t>Hao</w:t>
      </w:r>
      <w:proofErr w:type="spellEnd"/>
      <w:r w:rsidR="009677D1" w:rsidRPr="006A2252">
        <w:rPr>
          <w:bCs/>
          <w:sz w:val="20"/>
          <w:szCs w:val="20"/>
        </w:rPr>
        <w:t xml:space="preserve"> </w:t>
      </w:r>
      <w:r w:rsidRPr="006A2252">
        <w:rPr>
          <w:bCs/>
          <w:sz w:val="20"/>
          <w:szCs w:val="20"/>
        </w:rPr>
        <w:t>C.</w:t>
      </w:r>
      <w:r w:rsidR="009677D1" w:rsidRPr="006A2252">
        <w:rPr>
          <w:bCs/>
          <w:sz w:val="20"/>
          <w:szCs w:val="20"/>
        </w:rPr>
        <w:t xml:space="preserve"> </w:t>
      </w:r>
      <w:r w:rsidRPr="006A2252">
        <w:rPr>
          <w:bCs/>
          <w:sz w:val="20"/>
          <w:szCs w:val="20"/>
        </w:rPr>
        <w:t>“</w:t>
      </w:r>
      <w:r w:rsidRPr="006A2252">
        <w:rPr>
          <w:sz w:val="20"/>
          <w:szCs w:val="20"/>
        </w:rPr>
        <w:t>Positive</w:t>
      </w:r>
      <w:r w:rsidR="009677D1" w:rsidRPr="006A2252">
        <w:rPr>
          <w:sz w:val="20"/>
          <w:szCs w:val="20"/>
        </w:rPr>
        <w:t xml:space="preserve"> </w:t>
      </w:r>
      <w:r w:rsidRPr="006A2252">
        <w:rPr>
          <w:sz w:val="20"/>
          <w:szCs w:val="20"/>
        </w:rPr>
        <w:t>effect</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glutamine-enforced</w:t>
      </w:r>
      <w:r w:rsidR="009677D1" w:rsidRPr="006A2252">
        <w:rPr>
          <w:sz w:val="20"/>
          <w:szCs w:val="20"/>
        </w:rPr>
        <w:t xml:space="preserve"> </w:t>
      </w:r>
      <w:r w:rsidRPr="006A2252">
        <w:rPr>
          <w:sz w:val="20"/>
          <w:szCs w:val="20"/>
        </w:rPr>
        <w:t>parenteral</w:t>
      </w:r>
      <w:r w:rsidR="009677D1" w:rsidRPr="006A2252">
        <w:rPr>
          <w:sz w:val="20"/>
          <w:szCs w:val="20"/>
        </w:rPr>
        <w:t xml:space="preserve"> </w:t>
      </w:r>
      <w:r w:rsidRPr="006A2252">
        <w:rPr>
          <w:sz w:val="20"/>
          <w:szCs w:val="20"/>
        </w:rPr>
        <w:t>nutrition</w:t>
      </w:r>
      <w:r w:rsidR="009677D1" w:rsidRPr="006A2252">
        <w:rPr>
          <w:sz w:val="20"/>
          <w:szCs w:val="20"/>
        </w:rPr>
        <w:t xml:space="preserve"> </w:t>
      </w:r>
      <w:r w:rsidRPr="006A2252">
        <w:rPr>
          <w:sz w:val="20"/>
          <w:szCs w:val="20"/>
        </w:rPr>
        <w:t>on</w:t>
      </w:r>
      <w:r w:rsidR="009677D1" w:rsidRPr="006A2252">
        <w:rPr>
          <w:sz w:val="20"/>
          <w:szCs w:val="20"/>
        </w:rPr>
        <w:t xml:space="preserve"> </w:t>
      </w:r>
      <w:r w:rsidRPr="006A2252">
        <w:rPr>
          <w:sz w:val="20"/>
          <w:szCs w:val="20"/>
        </w:rPr>
        <w:t>immune</w:t>
      </w:r>
      <w:r w:rsidR="009677D1" w:rsidRPr="006A2252">
        <w:rPr>
          <w:sz w:val="20"/>
          <w:szCs w:val="20"/>
        </w:rPr>
        <w:t xml:space="preserve"> </w:t>
      </w:r>
      <w:r w:rsidRPr="006A2252">
        <w:rPr>
          <w:sz w:val="20"/>
          <w:szCs w:val="20"/>
        </w:rPr>
        <w:t>function</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stress</w:t>
      </w:r>
      <w:r w:rsidR="009677D1" w:rsidRPr="006A2252">
        <w:rPr>
          <w:sz w:val="20"/>
          <w:szCs w:val="20"/>
        </w:rPr>
        <w:t xml:space="preserve"> </w:t>
      </w:r>
      <w:r w:rsidRPr="006A2252">
        <w:rPr>
          <w:sz w:val="20"/>
          <w:szCs w:val="20"/>
        </w:rPr>
        <w:t>response</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patients</w:t>
      </w:r>
      <w:r w:rsidR="009677D1" w:rsidRPr="006A2252">
        <w:rPr>
          <w:sz w:val="20"/>
          <w:szCs w:val="20"/>
        </w:rPr>
        <w:t xml:space="preserve"> </w:t>
      </w:r>
      <w:r w:rsidRPr="006A2252">
        <w:rPr>
          <w:sz w:val="20"/>
          <w:szCs w:val="20"/>
        </w:rPr>
        <w:t>after</w:t>
      </w:r>
      <w:r w:rsidR="009677D1" w:rsidRPr="006A2252">
        <w:rPr>
          <w:sz w:val="20"/>
          <w:szCs w:val="20"/>
        </w:rPr>
        <w:t xml:space="preserve"> </w:t>
      </w:r>
      <w:r w:rsidRPr="006A2252">
        <w:rPr>
          <w:sz w:val="20"/>
          <w:szCs w:val="20"/>
        </w:rPr>
        <w:t>esophageal</w:t>
      </w:r>
      <w:r w:rsidR="009677D1" w:rsidRPr="006A2252">
        <w:rPr>
          <w:sz w:val="20"/>
          <w:szCs w:val="20"/>
        </w:rPr>
        <w:t xml:space="preserve"> </w:t>
      </w:r>
      <w:r w:rsidRPr="006A2252">
        <w:rPr>
          <w:sz w:val="20"/>
          <w:szCs w:val="20"/>
        </w:rPr>
        <w:t>cancer</w:t>
      </w:r>
      <w:r w:rsidR="009677D1" w:rsidRPr="006A2252">
        <w:rPr>
          <w:sz w:val="20"/>
          <w:szCs w:val="20"/>
        </w:rPr>
        <w:t xml:space="preserve"> </w:t>
      </w:r>
      <w:r w:rsidRPr="006A2252">
        <w:rPr>
          <w:sz w:val="20"/>
          <w:szCs w:val="20"/>
        </w:rPr>
        <w:t>operation.”</w:t>
      </w:r>
      <w:r w:rsidR="009677D1" w:rsidRPr="006A2252">
        <w:rPr>
          <w:sz w:val="20"/>
          <w:szCs w:val="20"/>
        </w:rPr>
        <w:t xml:space="preserve"> </w:t>
      </w:r>
      <w:r w:rsidRPr="006A2252">
        <w:rPr>
          <w:sz w:val="20"/>
          <w:szCs w:val="20"/>
        </w:rPr>
        <w:t>Turk</w:t>
      </w:r>
      <w:r w:rsidR="009677D1" w:rsidRPr="006A2252">
        <w:rPr>
          <w:sz w:val="20"/>
          <w:szCs w:val="20"/>
        </w:rPr>
        <w:t xml:space="preserve"> </w:t>
      </w:r>
      <w:proofErr w:type="spellStart"/>
      <w:r w:rsidRPr="006A2252">
        <w:rPr>
          <w:sz w:val="20"/>
          <w:szCs w:val="20"/>
        </w:rPr>
        <w:t>Gogus</w:t>
      </w:r>
      <w:proofErr w:type="spellEnd"/>
      <w:r w:rsidR="009677D1" w:rsidRPr="006A2252">
        <w:rPr>
          <w:sz w:val="20"/>
          <w:szCs w:val="20"/>
        </w:rPr>
        <w:t xml:space="preserve"> </w:t>
      </w:r>
      <w:proofErr w:type="spellStart"/>
      <w:r w:rsidRPr="006A2252">
        <w:rPr>
          <w:sz w:val="20"/>
          <w:szCs w:val="20"/>
        </w:rPr>
        <w:t>Kalp</w:t>
      </w:r>
      <w:proofErr w:type="spellEnd"/>
      <w:r w:rsidR="009677D1" w:rsidRPr="006A2252">
        <w:rPr>
          <w:sz w:val="20"/>
          <w:szCs w:val="20"/>
        </w:rPr>
        <w:t xml:space="preserve"> </w:t>
      </w:r>
      <w:proofErr w:type="spellStart"/>
      <w:r w:rsidRPr="006A2252">
        <w:rPr>
          <w:sz w:val="20"/>
          <w:szCs w:val="20"/>
        </w:rPr>
        <w:t>Damar</w:t>
      </w:r>
      <w:proofErr w:type="spellEnd"/>
      <w:r w:rsidR="009677D1" w:rsidRPr="006A2252">
        <w:rPr>
          <w:sz w:val="20"/>
          <w:szCs w:val="20"/>
        </w:rPr>
        <w:t xml:space="preserve"> </w:t>
      </w:r>
      <w:proofErr w:type="spellStart"/>
      <w:r w:rsidRPr="006A2252">
        <w:rPr>
          <w:sz w:val="20"/>
          <w:szCs w:val="20"/>
        </w:rPr>
        <w:t>Cerrahisi</w:t>
      </w:r>
      <w:proofErr w:type="spellEnd"/>
      <w:r w:rsidR="009677D1" w:rsidRPr="006A2252">
        <w:rPr>
          <w:sz w:val="20"/>
          <w:szCs w:val="20"/>
        </w:rPr>
        <w:t xml:space="preserve"> </w:t>
      </w:r>
      <w:proofErr w:type="spellStart"/>
      <w:r w:rsidRPr="006A2252">
        <w:rPr>
          <w:sz w:val="20"/>
          <w:szCs w:val="20"/>
        </w:rPr>
        <w:t>Dergisi</w:t>
      </w:r>
      <w:proofErr w:type="spellEnd"/>
      <w:r w:rsidRPr="006A2252">
        <w:rPr>
          <w:sz w:val="20"/>
          <w:szCs w:val="20"/>
        </w:rPr>
        <w:t>-Turkish</w:t>
      </w:r>
      <w:r w:rsidR="009677D1" w:rsidRPr="006A2252">
        <w:rPr>
          <w:sz w:val="20"/>
          <w:szCs w:val="20"/>
        </w:rPr>
        <w:t xml:space="preserve"> </w:t>
      </w:r>
      <w:r w:rsidRPr="006A2252">
        <w:rPr>
          <w:sz w:val="20"/>
          <w:szCs w:val="20"/>
        </w:rPr>
        <w:t>Journal</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Thoracic</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Cardiovascular</w:t>
      </w:r>
      <w:r w:rsidR="009677D1" w:rsidRPr="006A2252">
        <w:rPr>
          <w:sz w:val="20"/>
          <w:szCs w:val="20"/>
        </w:rPr>
        <w:t xml:space="preserve"> </w:t>
      </w:r>
      <w:r w:rsidRPr="006A2252">
        <w:rPr>
          <w:sz w:val="20"/>
          <w:szCs w:val="20"/>
        </w:rPr>
        <w:t>Surgery,</w:t>
      </w:r>
      <w:r w:rsidR="009677D1" w:rsidRPr="006A2252">
        <w:rPr>
          <w:sz w:val="20"/>
          <w:szCs w:val="20"/>
        </w:rPr>
        <w:t xml:space="preserve"> </w:t>
      </w:r>
      <w:r w:rsidRPr="006A2252">
        <w:rPr>
          <w:sz w:val="20"/>
          <w:szCs w:val="20"/>
        </w:rPr>
        <w:t>2016;</w:t>
      </w:r>
      <w:r w:rsidR="009677D1" w:rsidRPr="006A2252">
        <w:rPr>
          <w:sz w:val="20"/>
          <w:szCs w:val="20"/>
        </w:rPr>
        <w:t xml:space="preserve"> </w:t>
      </w:r>
      <w:r w:rsidRPr="006A2252">
        <w:rPr>
          <w:sz w:val="20"/>
          <w:szCs w:val="20"/>
        </w:rPr>
        <w:t>24(3),</w:t>
      </w:r>
      <w:r w:rsidR="009677D1" w:rsidRPr="006A2252">
        <w:rPr>
          <w:sz w:val="20"/>
          <w:szCs w:val="20"/>
        </w:rPr>
        <w:t xml:space="preserve"> </w:t>
      </w:r>
      <w:r w:rsidRPr="006A2252">
        <w:rPr>
          <w:sz w:val="20"/>
          <w:szCs w:val="20"/>
        </w:rPr>
        <w:t>507-513.</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Bongers</w:t>
      </w:r>
      <w:proofErr w:type="spellEnd"/>
      <w:r w:rsidR="009677D1" w:rsidRPr="006A2252">
        <w:rPr>
          <w:bCs/>
          <w:sz w:val="20"/>
          <w:szCs w:val="20"/>
        </w:rPr>
        <w:t xml:space="preserve"> </w:t>
      </w:r>
      <w:r w:rsidRPr="006A2252">
        <w:rPr>
          <w:bCs/>
          <w:sz w:val="20"/>
          <w:szCs w:val="20"/>
        </w:rPr>
        <w:t>T,</w:t>
      </w:r>
      <w:r w:rsidR="009677D1" w:rsidRPr="006A2252">
        <w:rPr>
          <w:bCs/>
          <w:sz w:val="20"/>
          <w:szCs w:val="20"/>
        </w:rPr>
        <w:t xml:space="preserve"> </w:t>
      </w:r>
      <w:r w:rsidRPr="006A2252">
        <w:rPr>
          <w:bCs/>
          <w:sz w:val="20"/>
          <w:szCs w:val="20"/>
        </w:rPr>
        <w:t>Richard</w:t>
      </w:r>
      <w:r w:rsidR="009677D1" w:rsidRPr="006A2252">
        <w:rPr>
          <w:bCs/>
          <w:sz w:val="20"/>
          <w:szCs w:val="20"/>
        </w:rPr>
        <w:t xml:space="preserve"> </w:t>
      </w:r>
      <w:r w:rsidRPr="006A2252">
        <w:rPr>
          <w:bCs/>
          <w:sz w:val="20"/>
          <w:szCs w:val="20"/>
        </w:rPr>
        <w:t>DG,</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Anne</w:t>
      </w:r>
      <w:r w:rsidR="009677D1" w:rsidRPr="006A2252">
        <w:rPr>
          <w:bCs/>
          <w:sz w:val="20"/>
          <w:szCs w:val="20"/>
        </w:rPr>
        <w:t xml:space="preserve"> </w:t>
      </w:r>
      <w:r w:rsidRPr="006A2252">
        <w:rPr>
          <w:bCs/>
          <w:sz w:val="20"/>
          <w:szCs w:val="20"/>
        </w:rPr>
        <w:t>M.</w:t>
      </w:r>
      <w:r w:rsidR="009677D1" w:rsidRPr="006A2252">
        <w:rPr>
          <w:bCs/>
          <w:sz w:val="20"/>
          <w:szCs w:val="20"/>
        </w:rPr>
        <w:t xml:space="preserve"> </w:t>
      </w:r>
      <w:r w:rsidRPr="006A2252">
        <w:rPr>
          <w:sz w:val="20"/>
          <w:szCs w:val="20"/>
        </w:rPr>
        <w:t>“Exogenous</w:t>
      </w:r>
      <w:r w:rsidR="009677D1" w:rsidRPr="006A2252">
        <w:rPr>
          <w:sz w:val="20"/>
          <w:szCs w:val="20"/>
        </w:rPr>
        <w:t xml:space="preserve"> </w:t>
      </w:r>
      <w:r w:rsidRPr="006A2252">
        <w:rPr>
          <w:sz w:val="20"/>
          <w:szCs w:val="20"/>
        </w:rPr>
        <w:t>Glutamine:</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t>Clinical</w:t>
      </w:r>
      <w:r w:rsidR="009677D1" w:rsidRPr="006A2252">
        <w:rPr>
          <w:sz w:val="20"/>
          <w:szCs w:val="20"/>
        </w:rPr>
        <w:t xml:space="preserve"> </w:t>
      </w:r>
      <w:r w:rsidRPr="006A2252">
        <w:rPr>
          <w:sz w:val="20"/>
          <w:szCs w:val="20"/>
        </w:rPr>
        <w:t>Evidence.”</w:t>
      </w:r>
      <w:r w:rsidR="009677D1" w:rsidRPr="006A2252">
        <w:rPr>
          <w:sz w:val="20"/>
          <w:szCs w:val="20"/>
        </w:rPr>
        <w:t xml:space="preserve"> </w:t>
      </w:r>
      <w:r w:rsidRPr="006A2252">
        <w:rPr>
          <w:sz w:val="20"/>
          <w:szCs w:val="20"/>
        </w:rPr>
        <w:t>Critical</w:t>
      </w:r>
      <w:r w:rsidR="009677D1" w:rsidRPr="006A2252">
        <w:rPr>
          <w:sz w:val="20"/>
          <w:szCs w:val="20"/>
        </w:rPr>
        <w:t xml:space="preserve"> </w:t>
      </w:r>
      <w:r w:rsidRPr="006A2252">
        <w:rPr>
          <w:sz w:val="20"/>
          <w:szCs w:val="20"/>
        </w:rPr>
        <w:t>Care</w:t>
      </w:r>
      <w:r w:rsidR="009677D1" w:rsidRPr="006A2252">
        <w:rPr>
          <w:sz w:val="20"/>
          <w:szCs w:val="20"/>
        </w:rPr>
        <w:t xml:space="preserve"> </w:t>
      </w:r>
      <w:r w:rsidRPr="006A2252">
        <w:rPr>
          <w:sz w:val="20"/>
          <w:szCs w:val="20"/>
        </w:rPr>
        <w:t>Medicine</w:t>
      </w:r>
      <w:r w:rsidR="009677D1" w:rsidRPr="006A2252">
        <w:rPr>
          <w:sz w:val="20"/>
          <w:szCs w:val="20"/>
        </w:rPr>
        <w:t xml:space="preserve"> </w:t>
      </w:r>
      <w:r w:rsidRPr="006A2252">
        <w:rPr>
          <w:sz w:val="20"/>
          <w:szCs w:val="20"/>
        </w:rPr>
        <w:t>2007;</w:t>
      </w:r>
      <w:r w:rsidR="009677D1" w:rsidRPr="006A2252">
        <w:rPr>
          <w:sz w:val="20"/>
          <w:szCs w:val="20"/>
        </w:rPr>
        <w:t xml:space="preserve"> </w:t>
      </w:r>
      <w:r w:rsidRPr="006A2252">
        <w:rPr>
          <w:sz w:val="20"/>
          <w:szCs w:val="20"/>
        </w:rPr>
        <w:t>35:</w:t>
      </w:r>
      <w:r w:rsidR="009677D1" w:rsidRPr="006A2252">
        <w:rPr>
          <w:sz w:val="20"/>
          <w:szCs w:val="20"/>
        </w:rPr>
        <w:t xml:space="preserve"> </w:t>
      </w:r>
      <w:r w:rsidRPr="006A2252">
        <w:rPr>
          <w:sz w:val="20"/>
          <w:szCs w:val="20"/>
        </w:rPr>
        <w:t>S545–52.</w:t>
      </w:r>
      <w:r w:rsidR="009677D1" w:rsidRPr="006A2252">
        <w:rPr>
          <w:sz w:val="20"/>
          <w:szCs w:val="20"/>
        </w:rPr>
        <w:t xml:space="preserve"> </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Buxbaum</w:t>
      </w:r>
      <w:proofErr w:type="spellEnd"/>
      <w:r w:rsidR="009677D1" w:rsidRPr="006A2252">
        <w:rPr>
          <w:bCs/>
          <w:sz w:val="20"/>
          <w:szCs w:val="20"/>
        </w:rPr>
        <w:t xml:space="preserve"> </w:t>
      </w:r>
      <w:r w:rsidRPr="006A2252">
        <w:rPr>
          <w:bCs/>
          <w:sz w:val="20"/>
          <w:szCs w:val="20"/>
        </w:rPr>
        <w:t>JN</w:t>
      </w:r>
      <w:r w:rsidR="009677D1" w:rsidRPr="006A2252">
        <w:rPr>
          <w:bCs/>
          <w:sz w:val="20"/>
          <w:szCs w:val="20"/>
        </w:rPr>
        <w:t xml:space="preserve"> </w:t>
      </w:r>
      <w:r w:rsidRPr="006A2252">
        <w:rPr>
          <w:bCs/>
          <w:sz w:val="20"/>
          <w:szCs w:val="20"/>
        </w:rPr>
        <w:t>and</w:t>
      </w:r>
      <w:r w:rsidR="009677D1" w:rsidRPr="006A2252">
        <w:rPr>
          <w:bCs/>
          <w:sz w:val="20"/>
          <w:szCs w:val="20"/>
        </w:rPr>
        <w:t xml:space="preserve"> </w:t>
      </w:r>
      <w:proofErr w:type="spellStart"/>
      <w:r w:rsidRPr="006A2252">
        <w:rPr>
          <w:bCs/>
          <w:sz w:val="20"/>
          <w:szCs w:val="20"/>
        </w:rPr>
        <w:t>Natàlia</w:t>
      </w:r>
      <w:proofErr w:type="spellEnd"/>
      <w:r w:rsidR="009677D1" w:rsidRPr="006A2252">
        <w:rPr>
          <w:bCs/>
          <w:sz w:val="20"/>
          <w:szCs w:val="20"/>
        </w:rPr>
        <w:t xml:space="preserve"> </w:t>
      </w:r>
      <w:r w:rsidRPr="006A2252">
        <w:rPr>
          <w:bCs/>
          <w:sz w:val="20"/>
          <w:szCs w:val="20"/>
        </w:rPr>
        <w:t>R</w:t>
      </w:r>
      <w:r w:rsidRPr="006A2252">
        <w:rPr>
          <w:sz w:val="20"/>
          <w:szCs w:val="20"/>
        </w:rPr>
        <w:t>.</w:t>
      </w:r>
      <w:r w:rsidR="009677D1" w:rsidRPr="006A2252">
        <w:rPr>
          <w:sz w:val="20"/>
          <w:szCs w:val="20"/>
        </w:rPr>
        <w:t xml:space="preserve"> </w:t>
      </w:r>
      <w:r w:rsidRPr="006A2252">
        <w:rPr>
          <w:sz w:val="20"/>
          <w:szCs w:val="20"/>
        </w:rPr>
        <w:t>“</w:t>
      </w:r>
      <w:proofErr w:type="spellStart"/>
      <w:r w:rsidRPr="006A2252">
        <w:rPr>
          <w:sz w:val="20"/>
          <w:szCs w:val="20"/>
        </w:rPr>
        <w:t>Transthyretin</w:t>
      </w:r>
      <w:proofErr w:type="spellEnd"/>
      <w:r w:rsidRPr="006A2252">
        <w:rPr>
          <w:sz w:val="20"/>
          <w:szCs w:val="20"/>
        </w:rPr>
        <w:t>:</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t>Servant</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Many</w:t>
      </w:r>
      <w:r w:rsidR="009677D1" w:rsidRPr="006A2252">
        <w:rPr>
          <w:sz w:val="20"/>
          <w:szCs w:val="20"/>
        </w:rPr>
        <w:t xml:space="preserve"> </w:t>
      </w:r>
      <w:r w:rsidRPr="006A2252">
        <w:rPr>
          <w:sz w:val="20"/>
          <w:szCs w:val="20"/>
        </w:rPr>
        <w:t>Masters.”</w:t>
      </w:r>
      <w:r w:rsidR="009677D1" w:rsidRPr="006A2252">
        <w:rPr>
          <w:sz w:val="20"/>
          <w:szCs w:val="20"/>
        </w:rPr>
        <w:t xml:space="preserve"> </w:t>
      </w:r>
      <w:r w:rsidRPr="006A2252">
        <w:rPr>
          <w:sz w:val="20"/>
          <w:szCs w:val="20"/>
        </w:rPr>
        <w:t>Cellular</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Molecular</w:t>
      </w:r>
      <w:r w:rsidR="009677D1" w:rsidRPr="006A2252">
        <w:rPr>
          <w:sz w:val="20"/>
          <w:szCs w:val="20"/>
        </w:rPr>
        <w:t xml:space="preserve"> </w:t>
      </w:r>
      <w:r w:rsidRPr="006A2252">
        <w:rPr>
          <w:sz w:val="20"/>
          <w:szCs w:val="20"/>
        </w:rPr>
        <w:t>Life</w:t>
      </w:r>
      <w:r w:rsidR="009677D1" w:rsidRPr="006A2252">
        <w:rPr>
          <w:sz w:val="20"/>
          <w:szCs w:val="20"/>
        </w:rPr>
        <w:t xml:space="preserve"> </w:t>
      </w:r>
      <w:r w:rsidRPr="006A2252">
        <w:rPr>
          <w:sz w:val="20"/>
          <w:szCs w:val="20"/>
        </w:rPr>
        <w:t>Sciences:</w:t>
      </w:r>
      <w:r w:rsidR="009677D1" w:rsidRPr="006A2252">
        <w:rPr>
          <w:sz w:val="20"/>
          <w:szCs w:val="20"/>
        </w:rPr>
        <w:t xml:space="preserve"> </w:t>
      </w:r>
      <w:r w:rsidRPr="006A2252">
        <w:rPr>
          <w:sz w:val="20"/>
          <w:szCs w:val="20"/>
        </w:rPr>
        <w:t>CMLS</w:t>
      </w:r>
      <w:r w:rsidR="009677D1" w:rsidRPr="006A2252">
        <w:rPr>
          <w:sz w:val="20"/>
          <w:szCs w:val="20"/>
        </w:rPr>
        <w:t xml:space="preserve"> </w:t>
      </w:r>
      <w:r w:rsidRPr="006A2252">
        <w:rPr>
          <w:sz w:val="20"/>
          <w:szCs w:val="20"/>
        </w:rPr>
        <w:t>2009;</w:t>
      </w:r>
      <w:r w:rsidR="009677D1" w:rsidRPr="006A2252">
        <w:rPr>
          <w:sz w:val="20"/>
          <w:szCs w:val="20"/>
        </w:rPr>
        <w:t xml:space="preserve"> </w:t>
      </w:r>
      <w:r w:rsidRPr="006A2252">
        <w:rPr>
          <w:sz w:val="20"/>
          <w:szCs w:val="20"/>
        </w:rPr>
        <w:t>66</w:t>
      </w:r>
      <w:r w:rsidR="009677D1" w:rsidRPr="006A2252">
        <w:rPr>
          <w:sz w:val="20"/>
          <w:szCs w:val="20"/>
        </w:rPr>
        <w:t xml:space="preserve"> </w:t>
      </w:r>
      <w:r w:rsidRPr="006A2252">
        <w:rPr>
          <w:sz w:val="20"/>
          <w:szCs w:val="20"/>
        </w:rPr>
        <w:t>(19):</w:t>
      </w:r>
      <w:r w:rsidR="009677D1" w:rsidRPr="006A2252">
        <w:rPr>
          <w:sz w:val="20"/>
          <w:szCs w:val="20"/>
        </w:rPr>
        <w:t xml:space="preserve"> </w:t>
      </w:r>
      <w:r w:rsidRPr="006A2252">
        <w:rPr>
          <w:sz w:val="20"/>
          <w:szCs w:val="20"/>
        </w:rPr>
        <w:t>3095–3101.</w:t>
      </w:r>
      <w:r w:rsidR="009677D1" w:rsidRPr="006A2252">
        <w:rPr>
          <w:sz w:val="20"/>
          <w:szCs w:val="20"/>
        </w:rPr>
        <w:t xml:space="preserve"> </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Cruzat</w:t>
      </w:r>
      <w:proofErr w:type="spellEnd"/>
      <w:r w:rsidR="009677D1" w:rsidRPr="006A2252">
        <w:rPr>
          <w:bCs/>
          <w:sz w:val="20"/>
          <w:szCs w:val="20"/>
        </w:rPr>
        <w:t xml:space="preserve"> </w:t>
      </w:r>
      <w:r w:rsidRPr="006A2252">
        <w:rPr>
          <w:bCs/>
          <w:sz w:val="20"/>
          <w:szCs w:val="20"/>
        </w:rPr>
        <w:t>VF,</w:t>
      </w:r>
      <w:r w:rsidR="009677D1" w:rsidRPr="006A2252">
        <w:rPr>
          <w:bCs/>
          <w:sz w:val="20"/>
          <w:szCs w:val="20"/>
        </w:rPr>
        <w:t xml:space="preserve"> </w:t>
      </w:r>
      <w:proofErr w:type="spellStart"/>
      <w:r w:rsidRPr="006A2252">
        <w:rPr>
          <w:bCs/>
          <w:sz w:val="20"/>
          <w:szCs w:val="20"/>
        </w:rPr>
        <w:t>Maurício</w:t>
      </w:r>
      <w:proofErr w:type="spellEnd"/>
      <w:r w:rsidR="009677D1" w:rsidRPr="006A2252">
        <w:rPr>
          <w:bCs/>
          <w:sz w:val="20"/>
          <w:szCs w:val="20"/>
        </w:rPr>
        <w:t xml:space="preserve"> </w:t>
      </w:r>
      <w:r w:rsidRPr="006A2252">
        <w:rPr>
          <w:bCs/>
          <w:sz w:val="20"/>
          <w:szCs w:val="20"/>
        </w:rPr>
        <w:t>K</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Philip</w:t>
      </w:r>
      <w:r w:rsidR="009677D1" w:rsidRPr="006A2252">
        <w:rPr>
          <w:bCs/>
          <w:sz w:val="20"/>
          <w:szCs w:val="20"/>
        </w:rPr>
        <w:t xml:space="preserve"> </w:t>
      </w:r>
      <w:r w:rsidRPr="006A2252">
        <w:rPr>
          <w:bCs/>
          <w:sz w:val="20"/>
          <w:szCs w:val="20"/>
        </w:rPr>
        <w:t>N.</w:t>
      </w:r>
      <w:r w:rsidR="009677D1" w:rsidRPr="006A2252">
        <w:rPr>
          <w:bCs/>
          <w:sz w:val="20"/>
          <w:szCs w:val="20"/>
        </w:rPr>
        <w:t xml:space="preserve"> </w:t>
      </w:r>
      <w:r w:rsidRPr="006A2252">
        <w:rPr>
          <w:sz w:val="20"/>
          <w:szCs w:val="20"/>
        </w:rPr>
        <w:t>“Amino</w:t>
      </w:r>
      <w:r w:rsidR="009677D1" w:rsidRPr="006A2252">
        <w:rPr>
          <w:sz w:val="20"/>
          <w:szCs w:val="20"/>
        </w:rPr>
        <w:t xml:space="preserve"> </w:t>
      </w:r>
      <w:r w:rsidRPr="006A2252">
        <w:rPr>
          <w:sz w:val="20"/>
          <w:szCs w:val="20"/>
        </w:rPr>
        <w:t>Acid</w:t>
      </w:r>
      <w:r w:rsidR="009677D1" w:rsidRPr="006A2252">
        <w:rPr>
          <w:sz w:val="20"/>
          <w:szCs w:val="20"/>
        </w:rPr>
        <w:t xml:space="preserve"> </w:t>
      </w:r>
      <w:r w:rsidRPr="006A2252">
        <w:rPr>
          <w:sz w:val="20"/>
          <w:szCs w:val="20"/>
        </w:rPr>
        <w:t>Supplementation</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Impact</w:t>
      </w:r>
      <w:r w:rsidR="009677D1" w:rsidRPr="006A2252">
        <w:rPr>
          <w:sz w:val="20"/>
          <w:szCs w:val="20"/>
        </w:rPr>
        <w:t xml:space="preserve"> </w:t>
      </w:r>
      <w:r w:rsidRPr="006A2252">
        <w:rPr>
          <w:sz w:val="20"/>
          <w:szCs w:val="20"/>
        </w:rPr>
        <w:t>on</w:t>
      </w:r>
      <w:r w:rsidR="009677D1" w:rsidRPr="006A2252">
        <w:rPr>
          <w:sz w:val="20"/>
          <w:szCs w:val="20"/>
        </w:rPr>
        <w:t xml:space="preserve"> </w:t>
      </w:r>
      <w:r w:rsidRPr="006A2252">
        <w:rPr>
          <w:sz w:val="20"/>
          <w:szCs w:val="20"/>
        </w:rPr>
        <w:t>Immune</w:t>
      </w:r>
      <w:r w:rsidR="009677D1" w:rsidRPr="006A2252">
        <w:rPr>
          <w:sz w:val="20"/>
          <w:szCs w:val="20"/>
        </w:rPr>
        <w:t xml:space="preserve"> </w:t>
      </w:r>
      <w:r w:rsidRPr="006A2252">
        <w:rPr>
          <w:sz w:val="20"/>
          <w:szCs w:val="20"/>
        </w:rPr>
        <w:t>Function</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t>Context</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Exercise.”</w:t>
      </w:r>
      <w:r w:rsidR="009677D1" w:rsidRPr="006A2252">
        <w:rPr>
          <w:sz w:val="20"/>
          <w:szCs w:val="20"/>
        </w:rPr>
        <w:t xml:space="preserve"> </w:t>
      </w:r>
      <w:r w:rsidRPr="006A2252">
        <w:rPr>
          <w:sz w:val="20"/>
          <w:szCs w:val="20"/>
        </w:rPr>
        <w:t>Journal</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t>International</w:t>
      </w:r>
      <w:r w:rsidR="009677D1" w:rsidRPr="006A2252">
        <w:rPr>
          <w:sz w:val="20"/>
          <w:szCs w:val="20"/>
        </w:rPr>
        <w:t xml:space="preserve"> </w:t>
      </w:r>
      <w:r w:rsidRPr="006A2252">
        <w:rPr>
          <w:sz w:val="20"/>
          <w:szCs w:val="20"/>
        </w:rPr>
        <w:t>Society</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Sports</w:t>
      </w:r>
      <w:r w:rsidR="009677D1" w:rsidRPr="006A2252">
        <w:rPr>
          <w:sz w:val="20"/>
          <w:szCs w:val="20"/>
        </w:rPr>
        <w:t xml:space="preserve"> </w:t>
      </w:r>
      <w:r w:rsidRPr="006A2252">
        <w:rPr>
          <w:sz w:val="20"/>
          <w:szCs w:val="20"/>
        </w:rPr>
        <w:t>Nutrition</w:t>
      </w:r>
      <w:r w:rsidR="009677D1" w:rsidRPr="006A2252">
        <w:rPr>
          <w:sz w:val="20"/>
          <w:szCs w:val="20"/>
        </w:rPr>
        <w:t xml:space="preserve"> </w:t>
      </w:r>
      <w:r w:rsidRPr="006A2252">
        <w:rPr>
          <w:sz w:val="20"/>
          <w:szCs w:val="20"/>
        </w:rPr>
        <w:t>2014;</w:t>
      </w:r>
      <w:r w:rsidR="009677D1" w:rsidRPr="006A2252">
        <w:rPr>
          <w:sz w:val="20"/>
          <w:szCs w:val="20"/>
        </w:rPr>
        <w:t xml:space="preserve"> </w:t>
      </w:r>
      <w:r w:rsidRPr="006A2252">
        <w:rPr>
          <w:sz w:val="20"/>
          <w:szCs w:val="20"/>
        </w:rPr>
        <w:t>11</w:t>
      </w:r>
      <w:r w:rsidR="009677D1" w:rsidRPr="006A2252">
        <w:rPr>
          <w:sz w:val="20"/>
          <w:szCs w:val="20"/>
        </w:rPr>
        <w:t xml:space="preserve"> </w:t>
      </w:r>
      <w:r w:rsidRPr="006A2252">
        <w:rPr>
          <w:sz w:val="20"/>
          <w:szCs w:val="20"/>
        </w:rPr>
        <w:t>(1):</w:t>
      </w:r>
      <w:r w:rsidR="009677D1" w:rsidRPr="006A2252">
        <w:rPr>
          <w:sz w:val="20"/>
          <w:szCs w:val="20"/>
        </w:rPr>
        <w:t xml:space="preserve"> </w:t>
      </w:r>
      <w:r w:rsidRPr="006A2252">
        <w:rPr>
          <w:sz w:val="20"/>
          <w:szCs w:val="20"/>
        </w:rPr>
        <w:t>61.</w:t>
      </w:r>
      <w:r w:rsidR="009677D1" w:rsidRPr="006A2252">
        <w:rPr>
          <w:sz w:val="20"/>
          <w:szCs w:val="20"/>
        </w:rPr>
        <w:t xml:space="preserve"> </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Déchelotte</w:t>
      </w:r>
      <w:proofErr w:type="spellEnd"/>
      <w:r w:rsidR="009677D1" w:rsidRPr="006A2252">
        <w:rPr>
          <w:bCs/>
          <w:sz w:val="20"/>
          <w:szCs w:val="20"/>
        </w:rPr>
        <w:t xml:space="preserve"> </w:t>
      </w:r>
      <w:r w:rsidRPr="006A2252">
        <w:rPr>
          <w:bCs/>
          <w:sz w:val="20"/>
          <w:szCs w:val="20"/>
        </w:rPr>
        <w:t>P,</w:t>
      </w:r>
      <w:r w:rsidR="009677D1" w:rsidRPr="006A2252">
        <w:rPr>
          <w:bCs/>
          <w:sz w:val="20"/>
          <w:szCs w:val="20"/>
        </w:rPr>
        <w:t xml:space="preserve"> </w:t>
      </w:r>
      <w:proofErr w:type="spellStart"/>
      <w:r w:rsidRPr="006A2252">
        <w:rPr>
          <w:bCs/>
          <w:sz w:val="20"/>
          <w:szCs w:val="20"/>
        </w:rPr>
        <w:t>Hasselmann</w:t>
      </w:r>
      <w:proofErr w:type="spellEnd"/>
      <w:r w:rsidR="009677D1" w:rsidRPr="006A2252">
        <w:rPr>
          <w:bCs/>
          <w:sz w:val="20"/>
          <w:szCs w:val="20"/>
        </w:rPr>
        <w:t xml:space="preserve"> </w:t>
      </w:r>
      <w:r w:rsidRPr="006A2252">
        <w:rPr>
          <w:bCs/>
          <w:sz w:val="20"/>
          <w:szCs w:val="20"/>
        </w:rPr>
        <w:t>M,</w:t>
      </w:r>
      <w:r w:rsidR="009677D1" w:rsidRPr="006A2252">
        <w:rPr>
          <w:bCs/>
          <w:sz w:val="20"/>
          <w:szCs w:val="20"/>
        </w:rPr>
        <w:t xml:space="preserve"> </w:t>
      </w:r>
      <w:proofErr w:type="spellStart"/>
      <w:r w:rsidRPr="006A2252">
        <w:rPr>
          <w:bCs/>
          <w:sz w:val="20"/>
          <w:szCs w:val="20"/>
        </w:rPr>
        <w:t>Cynober</w:t>
      </w:r>
      <w:proofErr w:type="spellEnd"/>
      <w:r w:rsidR="009677D1" w:rsidRPr="006A2252">
        <w:rPr>
          <w:bCs/>
          <w:sz w:val="20"/>
          <w:szCs w:val="20"/>
        </w:rPr>
        <w:t xml:space="preserve"> </w:t>
      </w:r>
      <w:r w:rsidRPr="006A2252">
        <w:rPr>
          <w:bCs/>
          <w:sz w:val="20"/>
          <w:szCs w:val="20"/>
        </w:rPr>
        <w:t>L,</w:t>
      </w:r>
      <w:r w:rsidR="009677D1" w:rsidRPr="006A2252">
        <w:rPr>
          <w:bCs/>
          <w:sz w:val="20"/>
          <w:szCs w:val="20"/>
        </w:rPr>
        <w:t xml:space="preserve"> </w:t>
      </w:r>
      <w:proofErr w:type="spellStart"/>
      <w:r w:rsidRPr="006A2252">
        <w:rPr>
          <w:bCs/>
          <w:sz w:val="20"/>
          <w:szCs w:val="20"/>
        </w:rPr>
        <w:t>Allaouchiche</w:t>
      </w:r>
      <w:proofErr w:type="spellEnd"/>
      <w:r w:rsidR="009677D1" w:rsidRPr="006A2252">
        <w:rPr>
          <w:bCs/>
          <w:sz w:val="20"/>
          <w:szCs w:val="20"/>
        </w:rPr>
        <w:t xml:space="preserve"> </w:t>
      </w:r>
      <w:r w:rsidRPr="006A2252">
        <w:rPr>
          <w:bCs/>
          <w:sz w:val="20"/>
          <w:szCs w:val="20"/>
        </w:rPr>
        <w:t>B,</w:t>
      </w:r>
      <w:r w:rsidR="009677D1" w:rsidRPr="006A2252">
        <w:rPr>
          <w:bCs/>
          <w:sz w:val="20"/>
          <w:szCs w:val="20"/>
        </w:rPr>
        <w:t xml:space="preserve"> </w:t>
      </w:r>
      <w:proofErr w:type="spellStart"/>
      <w:r w:rsidRPr="006A2252">
        <w:rPr>
          <w:bCs/>
          <w:sz w:val="20"/>
          <w:szCs w:val="20"/>
        </w:rPr>
        <w:t>Coëffier</w:t>
      </w:r>
      <w:proofErr w:type="spellEnd"/>
      <w:r w:rsidR="009677D1" w:rsidRPr="006A2252">
        <w:rPr>
          <w:bCs/>
          <w:sz w:val="20"/>
          <w:szCs w:val="20"/>
        </w:rPr>
        <w:t xml:space="preserve"> </w:t>
      </w:r>
      <w:r w:rsidRPr="006A2252">
        <w:rPr>
          <w:bCs/>
          <w:sz w:val="20"/>
          <w:szCs w:val="20"/>
        </w:rPr>
        <w:t>M,</w:t>
      </w:r>
      <w:r w:rsidR="009677D1" w:rsidRPr="006A2252">
        <w:rPr>
          <w:bCs/>
          <w:sz w:val="20"/>
          <w:szCs w:val="20"/>
        </w:rPr>
        <w:t xml:space="preserve"> </w:t>
      </w:r>
      <w:proofErr w:type="spellStart"/>
      <w:r w:rsidRPr="006A2252">
        <w:rPr>
          <w:bCs/>
          <w:sz w:val="20"/>
          <w:szCs w:val="20"/>
        </w:rPr>
        <w:t>Hecketsweiler</w:t>
      </w:r>
      <w:proofErr w:type="spellEnd"/>
      <w:r w:rsidR="009677D1" w:rsidRPr="006A2252">
        <w:rPr>
          <w:bCs/>
          <w:sz w:val="20"/>
          <w:szCs w:val="20"/>
        </w:rPr>
        <w:t xml:space="preserve"> </w:t>
      </w:r>
      <w:r w:rsidRPr="006A2252">
        <w:rPr>
          <w:bCs/>
          <w:sz w:val="20"/>
          <w:szCs w:val="20"/>
        </w:rPr>
        <w:t>L</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Petit</w:t>
      </w:r>
      <w:r w:rsidR="009677D1" w:rsidRPr="006A2252">
        <w:rPr>
          <w:bCs/>
          <w:sz w:val="20"/>
          <w:szCs w:val="20"/>
        </w:rPr>
        <w:t xml:space="preserve"> </w:t>
      </w:r>
      <w:r w:rsidRPr="006A2252">
        <w:rPr>
          <w:bCs/>
          <w:sz w:val="20"/>
          <w:szCs w:val="20"/>
        </w:rPr>
        <w:t>J.</w:t>
      </w:r>
      <w:r w:rsidR="009677D1" w:rsidRPr="006A2252">
        <w:rPr>
          <w:bCs/>
          <w:sz w:val="20"/>
          <w:szCs w:val="20"/>
        </w:rPr>
        <w:t xml:space="preserve"> </w:t>
      </w:r>
      <w:r w:rsidRPr="006A2252">
        <w:rPr>
          <w:bCs/>
          <w:sz w:val="20"/>
          <w:szCs w:val="20"/>
        </w:rPr>
        <w:t>“</w:t>
      </w:r>
      <w:r w:rsidRPr="006A2252">
        <w:rPr>
          <w:sz w:val="20"/>
          <w:szCs w:val="20"/>
        </w:rPr>
        <w:t>L-</w:t>
      </w:r>
      <w:proofErr w:type="spellStart"/>
      <w:r w:rsidRPr="006A2252">
        <w:rPr>
          <w:sz w:val="20"/>
          <w:szCs w:val="20"/>
        </w:rPr>
        <w:t>alanyl</w:t>
      </w:r>
      <w:proofErr w:type="spellEnd"/>
      <w:r w:rsidRPr="006A2252">
        <w:rPr>
          <w:sz w:val="20"/>
          <w:szCs w:val="20"/>
        </w:rPr>
        <w:t>-L-glutamine</w:t>
      </w:r>
      <w:r w:rsidR="009677D1" w:rsidRPr="006A2252">
        <w:rPr>
          <w:sz w:val="20"/>
          <w:szCs w:val="20"/>
        </w:rPr>
        <w:t xml:space="preserve"> </w:t>
      </w:r>
      <w:proofErr w:type="spellStart"/>
      <w:r w:rsidRPr="006A2252">
        <w:rPr>
          <w:sz w:val="20"/>
          <w:szCs w:val="20"/>
        </w:rPr>
        <w:t>dipeptide</w:t>
      </w:r>
      <w:proofErr w:type="spellEnd"/>
      <w:r w:rsidRPr="006A2252">
        <w:rPr>
          <w:sz w:val="20"/>
          <w:szCs w:val="20"/>
        </w:rPr>
        <w:t>–</w:t>
      </w:r>
      <w:r w:rsidRPr="006A2252">
        <w:rPr>
          <w:sz w:val="20"/>
          <w:szCs w:val="20"/>
        </w:rPr>
        <w:lastRenderedPageBreak/>
        <w:t>supplemented</w:t>
      </w:r>
      <w:r w:rsidR="009677D1" w:rsidRPr="006A2252">
        <w:rPr>
          <w:sz w:val="20"/>
          <w:szCs w:val="20"/>
        </w:rPr>
        <w:t xml:space="preserve"> </w:t>
      </w:r>
      <w:r w:rsidRPr="006A2252">
        <w:rPr>
          <w:sz w:val="20"/>
          <w:szCs w:val="20"/>
        </w:rPr>
        <w:t>total</w:t>
      </w:r>
      <w:r w:rsidR="009677D1" w:rsidRPr="006A2252">
        <w:rPr>
          <w:sz w:val="20"/>
          <w:szCs w:val="20"/>
        </w:rPr>
        <w:t xml:space="preserve"> </w:t>
      </w:r>
      <w:r w:rsidRPr="006A2252">
        <w:rPr>
          <w:sz w:val="20"/>
          <w:szCs w:val="20"/>
        </w:rPr>
        <w:t>parenteral</w:t>
      </w:r>
      <w:r w:rsidR="009677D1" w:rsidRPr="006A2252">
        <w:rPr>
          <w:sz w:val="20"/>
          <w:szCs w:val="20"/>
        </w:rPr>
        <w:t xml:space="preserve"> </w:t>
      </w:r>
      <w:r w:rsidRPr="006A2252">
        <w:rPr>
          <w:sz w:val="20"/>
          <w:szCs w:val="20"/>
        </w:rPr>
        <w:t>nutrition</w:t>
      </w:r>
      <w:r w:rsidR="009677D1" w:rsidRPr="006A2252">
        <w:rPr>
          <w:sz w:val="20"/>
          <w:szCs w:val="20"/>
        </w:rPr>
        <w:t xml:space="preserve"> </w:t>
      </w:r>
      <w:r w:rsidRPr="006A2252">
        <w:rPr>
          <w:sz w:val="20"/>
          <w:szCs w:val="20"/>
        </w:rPr>
        <w:t>reduces</w:t>
      </w:r>
      <w:r w:rsidR="009677D1" w:rsidRPr="006A2252">
        <w:rPr>
          <w:sz w:val="20"/>
          <w:szCs w:val="20"/>
        </w:rPr>
        <w:t xml:space="preserve"> </w:t>
      </w:r>
      <w:r w:rsidRPr="006A2252">
        <w:rPr>
          <w:sz w:val="20"/>
          <w:szCs w:val="20"/>
        </w:rPr>
        <w:t>infectious</w:t>
      </w:r>
      <w:r w:rsidR="009677D1" w:rsidRPr="006A2252">
        <w:rPr>
          <w:sz w:val="20"/>
          <w:szCs w:val="20"/>
        </w:rPr>
        <w:t xml:space="preserve"> </w:t>
      </w:r>
      <w:r w:rsidRPr="006A2252">
        <w:rPr>
          <w:sz w:val="20"/>
          <w:szCs w:val="20"/>
        </w:rPr>
        <w:t>complications</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glucose</w:t>
      </w:r>
      <w:r w:rsidR="009677D1" w:rsidRPr="006A2252">
        <w:rPr>
          <w:sz w:val="20"/>
          <w:szCs w:val="20"/>
        </w:rPr>
        <w:t xml:space="preserve"> </w:t>
      </w:r>
      <w:r w:rsidRPr="006A2252">
        <w:rPr>
          <w:sz w:val="20"/>
          <w:szCs w:val="20"/>
        </w:rPr>
        <w:t>intolerance</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critically</w:t>
      </w:r>
      <w:r w:rsidR="009677D1" w:rsidRPr="006A2252">
        <w:rPr>
          <w:sz w:val="20"/>
          <w:szCs w:val="20"/>
        </w:rPr>
        <w:t xml:space="preserve"> </w:t>
      </w:r>
      <w:r w:rsidRPr="006A2252">
        <w:rPr>
          <w:sz w:val="20"/>
          <w:szCs w:val="20"/>
        </w:rPr>
        <w:t>ill</w:t>
      </w:r>
      <w:r w:rsidR="009677D1" w:rsidRPr="006A2252">
        <w:rPr>
          <w:sz w:val="20"/>
          <w:szCs w:val="20"/>
        </w:rPr>
        <w:t xml:space="preserve"> </w:t>
      </w:r>
      <w:r w:rsidRPr="006A2252">
        <w:rPr>
          <w:sz w:val="20"/>
          <w:szCs w:val="20"/>
        </w:rPr>
        <w:t>patients:</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t>French</w:t>
      </w:r>
      <w:r w:rsidR="009677D1" w:rsidRPr="006A2252">
        <w:rPr>
          <w:sz w:val="20"/>
          <w:szCs w:val="20"/>
        </w:rPr>
        <w:t xml:space="preserve"> </w:t>
      </w:r>
      <w:r w:rsidRPr="006A2252">
        <w:rPr>
          <w:sz w:val="20"/>
          <w:szCs w:val="20"/>
        </w:rPr>
        <w:t>controlled,</w:t>
      </w:r>
      <w:r w:rsidR="009677D1" w:rsidRPr="006A2252">
        <w:rPr>
          <w:sz w:val="20"/>
          <w:szCs w:val="20"/>
        </w:rPr>
        <w:t xml:space="preserve"> </w:t>
      </w:r>
      <w:r w:rsidRPr="006A2252">
        <w:rPr>
          <w:sz w:val="20"/>
          <w:szCs w:val="20"/>
        </w:rPr>
        <w:t>randomized,</w:t>
      </w:r>
      <w:r w:rsidR="009677D1" w:rsidRPr="006A2252">
        <w:rPr>
          <w:sz w:val="20"/>
          <w:szCs w:val="20"/>
        </w:rPr>
        <w:t xml:space="preserve"> </w:t>
      </w:r>
      <w:r w:rsidRPr="006A2252">
        <w:rPr>
          <w:sz w:val="20"/>
          <w:szCs w:val="20"/>
        </w:rPr>
        <w:t>double-blind,</w:t>
      </w:r>
      <w:r w:rsidR="009677D1" w:rsidRPr="006A2252">
        <w:rPr>
          <w:sz w:val="20"/>
          <w:szCs w:val="20"/>
        </w:rPr>
        <w:t xml:space="preserve"> </w:t>
      </w:r>
      <w:r w:rsidRPr="006A2252">
        <w:rPr>
          <w:sz w:val="20"/>
          <w:szCs w:val="20"/>
        </w:rPr>
        <w:t>multicenter</w:t>
      </w:r>
      <w:r w:rsidR="009677D1" w:rsidRPr="006A2252">
        <w:rPr>
          <w:sz w:val="20"/>
          <w:szCs w:val="20"/>
        </w:rPr>
        <w:t xml:space="preserve"> </w:t>
      </w:r>
      <w:r w:rsidRPr="006A2252">
        <w:rPr>
          <w:sz w:val="20"/>
          <w:szCs w:val="20"/>
        </w:rPr>
        <w:t>study.”</w:t>
      </w:r>
      <w:r w:rsidR="009677D1" w:rsidRPr="006A2252">
        <w:rPr>
          <w:sz w:val="20"/>
          <w:szCs w:val="20"/>
        </w:rPr>
        <w:t xml:space="preserve"> </w:t>
      </w:r>
      <w:r w:rsidRPr="006A2252">
        <w:rPr>
          <w:sz w:val="20"/>
          <w:szCs w:val="20"/>
        </w:rPr>
        <w:t>Critical</w:t>
      </w:r>
      <w:r w:rsidR="009677D1" w:rsidRPr="006A2252">
        <w:rPr>
          <w:sz w:val="20"/>
          <w:szCs w:val="20"/>
        </w:rPr>
        <w:t xml:space="preserve"> </w:t>
      </w:r>
      <w:r w:rsidRPr="006A2252">
        <w:rPr>
          <w:sz w:val="20"/>
          <w:szCs w:val="20"/>
        </w:rPr>
        <w:t>care</w:t>
      </w:r>
      <w:r w:rsidR="009677D1" w:rsidRPr="006A2252">
        <w:rPr>
          <w:sz w:val="20"/>
          <w:szCs w:val="20"/>
        </w:rPr>
        <w:t xml:space="preserve"> </w:t>
      </w:r>
      <w:r w:rsidRPr="006A2252">
        <w:rPr>
          <w:sz w:val="20"/>
          <w:szCs w:val="20"/>
        </w:rPr>
        <w:t>medicine,</w:t>
      </w:r>
      <w:r w:rsidR="009677D1" w:rsidRPr="006A2252">
        <w:rPr>
          <w:sz w:val="20"/>
          <w:szCs w:val="20"/>
        </w:rPr>
        <w:t xml:space="preserve"> </w:t>
      </w:r>
      <w:r w:rsidRPr="006A2252">
        <w:rPr>
          <w:sz w:val="20"/>
          <w:szCs w:val="20"/>
        </w:rPr>
        <w:t>2006;</w:t>
      </w:r>
      <w:r w:rsidR="009677D1" w:rsidRPr="006A2252">
        <w:rPr>
          <w:sz w:val="20"/>
          <w:szCs w:val="20"/>
        </w:rPr>
        <w:t xml:space="preserve"> </w:t>
      </w:r>
      <w:r w:rsidRPr="006A2252">
        <w:rPr>
          <w:sz w:val="20"/>
          <w:szCs w:val="20"/>
        </w:rPr>
        <w:t>34(3):</w:t>
      </w:r>
      <w:r w:rsidR="009677D1" w:rsidRPr="006A2252">
        <w:rPr>
          <w:sz w:val="20"/>
          <w:szCs w:val="20"/>
        </w:rPr>
        <w:t xml:space="preserve"> </w:t>
      </w:r>
      <w:r w:rsidRPr="006A2252">
        <w:rPr>
          <w:sz w:val="20"/>
          <w:szCs w:val="20"/>
        </w:rPr>
        <w:t>598-604.</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Dudrick</w:t>
      </w:r>
      <w:proofErr w:type="spellEnd"/>
      <w:r w:rsidR="009677D1" w:rsidRPr="006A2252">
        <w:rPr>
          <w:bCs/>
          <w:sz w:val="20"/>
          <w:szCs w:val="20"/>
        </w:rPr>
        <w:t xml:space="preserve"> </w:t>
      </w:r>
      <w:r w:rsidRPr="006A2252">
        <w:rPr>
          <w:bCs/>
          <w:sz w:val="20"/>
          <w:szCs w:val="20"/>
        </w:rPr>
        <w:t>SJ</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Pimiento</w:t>
      </w:r>
      <w:r w:rsidR="009677D1" w:rsidRPr="006A2252">
        <w:rPr>
          <w:bCs/>
          <w:sz w:val="20"/>
          <w:szCs w:val="20"/>
        </w:rPr>
        <w:t xml:space="preserve"> </w:t>
      </w:r>
      <w:r w:rsidRPr="006A2252">
        <w:rPr>
          <w:bCs/>
          <w:sz w:val="20"/>
          <w:szCs w:val="20"/>
        </w:rPr>
        <w:t>JM.</w:t>
      </w:r>
      <w:r w:rsidR="009677D1" w:rsidRPr="006A2252">
        <w:rPr>
          <w:bCs/>
          <w:sz w:val="20"/>
          <w:szCs w:val="20"/>
        </w:rPr>
        <w:t xml:space="preserve"> </w:t>
      </w:r>
      <w:r w:rsidRPr="006A2252">
        <w:rPr>
          <w:bCs/>
          <w:sz w:val="20"/>
          <w:szCs w:val="20"/>
        </w:rPr>
        <w:t>“</w:t>
      </w:r>
      <w:r w:rsidRPr="006A2252">
        <w:rPr>
          <w:sz w:val="20"/>
          <w:szCs w:val="20"/>
        </w:rPr>
        <w:t>Parenteral</w:t>
      </w:r>
      <w:r w:rsidR="009677D1" w:rsidRPr="006A2252">
        <w:rPr>
          <w:sz w:val="20"/>
          <w:szCs w:val="20"/>
        </w:rPr>
        <w:t xml:space="preserve"> </w:t>
      </w:r>
      <w:r w:rsidRPr="006A2252">
        <w:rPr>
          <w:sz w:val="20"/>
          <w:szCs w:val="20"/>
        </w:rPr>
        <w:t>nutrition</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nutritional</w:t>
      </w:r>
      <w:r w:rsidR="009677D1" w:rsidRPr="006A2252">
        <w:rPr>
          <w:sz w:val="20"/>
          <w:szCs w:val="20"/>
        </w:rPr>
        <w:t xml:space="preserve"> </w:t>
      </w:r>
      <w:r w:rsidRPr="006A2252">
        <w:rPr>
          <w:sz w:val="20"/>
          <w:szCs w:val="20"/>
        </w:rPr>
        <w:t>support</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surgical</w:t>
      </w:r>
      <w:r w:rsidR="009677D1" w:rsidRPr="006A2252">
        <w:rPr>
          <w:sz w:val="20"/>
          <w:szCs w:val="20"/>
        </w:rPr>
        <w:t xml:space="preserve"> </w:t>
      </w:r>
      <w:r w:rsidRPr="006A2252">
        <w:rPr>
          <w:sz w:val="20"/>
          <w:szCs w:val="20"/>
        </w:rPr>
        <w:t>patients:</w:t>
      </w:r>
      <w:r w:rsidR="009677D1" w:rsidRPr="006A2252">
        <w:rPr>
          <w:sz w:val="20"/>
          <w:szCs w:val="20"/>
        </w:rPr>
        <w:t xml:space="preserve"> </w:t>
      </w:r>
      <w:r w:rsidRPr="006A2252">
        <w:rPr>
          <w:sz w:val="20"/>
          <w:szCs w:val="20"/>
        </w:rPr>
        <w:t>Reflections,</w:t>
      </w:r>
      <w:r w:rsidR="009677D1" w:rsidRPr="006A2252">
        <w:rPr>
          <w:sz w:val="20"/>
          <w:szCs w:val="20"/>
        </w:rPr>
        <w:t xml:space="preserve"> </w:t>
      </w:r>
      <w:r w:rsidRPr="006A2252">
        <w:rPr>
          <w:sz w:val="20"/>
          <w:szCs w:val="20"/>
        </w:rPr>
        <w:t>controversies,</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challenges.”</w:t>
      </w:r>
      <w:r w:rsidR="009677D1" w:rsidRPr="006A2252">
        <w:rPr>
          <w:sz w:val="20"/>
          <w:szCs w:val="20"/>
        </w:rPr>
        <w:t xml:space="preserve"> </w:t>
      </w:r>
      <w:r w:rsidRPr="006A2252">
        <w:rPr>
          <w:sz w:val="20"/>
          <w:szCs w:val="20"/>
        </w:rPr>
        <w:t>Surgical</w:t>
      </w:r>
      <w:r w:rsidR="009677D1" w:rsidRPr="006A2252">
        <w:rPr>
          <w:sz w:val="20"/>
          <w:szCs w:val="20"/>
        </w:rPr>
        <w:t xml:space="preserve"> </w:t>
      </w:r>
      <w:r w:rsidRPr="006A2252">
        <w:rPr>
          <w:sz w:val="20"/>
          <w:szCs w:val="20"/>
        </w:rPr>
        <w:t>Clinics,</w:t>
      </w:r>
      <w:r w:rsidR="009677D1" w:rsidRPr="006A2252">
        <w:rPr>
          <w:sz w:val="20"/>
          <w:szCs w:val="20"/>
        </w:rPr>
        <w:t xml:space="preserve"> </w:t>
      </w:r>
      <w:r w:rsidRPr="006A2252">
        <w:rPr>
          <w:sz w:val="20"/>
          <w:szCs w:val="20"/>
        </w:rPr>
        <w:t>2011;</w:t>
      </w:r>
      <w:r w:rsidR="009677D1" w:rsidRPr="006A2252">
        <w:rPr>
          <w:sz w:val="20"/>
          <w:szCs w:val="20"/>
        </w:rPr>
        <w:t xml:space="preserve"> </w:t>
      </w:r>
      <w:r w:rsidRPr="006A2252">
        <w:rPr>
          <w:sz w:val="20"/>
          <w:szCs w:val="20"/>
        </w:rPr>
        <w:t>91(3):</w:t>
      </w:r>
      <w:r w:rsidR="009677D1" w:rsidRPr="006A2252">
        <w:rPr>
          <w:sz w:val="20"/>
          <w:szCs w:val="20"/>
        </w:rPr>
        <w:t xml:space="preserve"> </w:t>
      </w:r>
      <w:r w:rsidRPr="006A2252">
        <w:rPr>
          <w:sz w:val="20"/>
          <w:szCs w:val="20"/>
        </w:rPr>
        <w:t>675-692.</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Gupta</w:t>
      </w:r>
      <w:r w:rsidR="009677D1" w:rsidRPr="006A2252">
        <w:rPr>
          <w:bCs/>
          <w:sz w:val="20"/>
          <w:szCs w:val="20"/>
        </w:rPr>
        <w:t xml:space="preserve"> </w:t>
      </w:r>
      <w:r w:rsidRPr="006A2252">
        <w:rPr>
          <w:bCs/>
          <w:sz w:val="20"/>
          <w:szCs w:val="20"/>
        </w:rPr>
        <w:t>D,</w:t>
      </w:r>
      <w:r w:rsidR="009677D1" w:rsidRPr="006A2252">
        <w:rPr>
          <w:bCs/>
          <w:sz w:val="20"/>
          <w:szCs w:val="20"/>
        </w:rPr>
        <w:t xml:space="preserve"> </w:t>
      </w:r>
      <w:proofErr w:type="spellStart"/>
      <w:r w:rsidRPr="006A2252">
        <w:rPr>
          <w:bCs/>
          <w:sz w:val="20"/>
          <w:szCs w:val="20"/>
        </w:rPr>
        <w:t>Lammersfeld</w:t>
      </w:r>
      <w:proofErr w:type="spellEnd"/>
      <w:r w:rsidR="009677D1" w:rsidRPr="006A2252">
        <w:rPr>
          <w:bCs/>
          <w:sz w:val="20"/>
          <w:szCs w:val="20"/>
        </w:rPr>
        <w:t xml:space="preserve"> </w:t>
      </w:r>
      <w:r w:rsidRPr="006A2252">
        <w:rPr>
          <w:bCs/>
          <w:sz w:val="20"/>
          <w:szCs w:val="20"/>
        </w:rPr>
        <w:t>CA,</w:t>
      </w:r>
      <w:r w:rsidR="009677D1" w:rsidRPr="006A2252">
        <w:rPr>
          <w:bCs/>
          <w:sz w:val="20"/>
          <w:szCs w:val="20"/>
        </w:rPr>
        <w:t xml:space="preserve"> </w:t>
      </w:r>
      <w:proofErr w:type="spellStart"/>
      <w:r w:rsidRPr="006A2252">
        <w:rPr>
          <w:bCs/>
          <w:sz w:val="20"/>
          <w:szCs w:val="20"/>
        </w:rPr>
        <w:t>Vashi</w:t>
      </w:r>
      <w:proofErr w:type="spellEnd"/>
      <w:r w:rsidR="009677D1" w:rsidRPr="006A2252">
        <w:rPr>
          <w:bCs/>
          <w:sz w:val="20"/>
          <w:szCs w:val="20"/>
        </w:rPr>
        <w:t xml:space="preserve"> </w:t>
      </w:r>
      <w:r w:rsidRPr="006A2252">
        <w:rPr>
          <w:bCs/>
          <w:sz w:val="20"/>
          <w:szCs w:val="20"/>
        </w:rPr>
        <w:t>PG,</w:t>
      </w:r>
      <w:r w:rsidR="009677D1" w:rsidRPr="006A2252">
        <w:rPr>
          <w:bCs/>
          <w:sz w:val="20"/>
          <w:szCs w:val="20"/>
        </w:rPr>
        <w:t xml:space="preserve"> </w:t>
      </w:r>
      <w:r w:rsidRPr="006A2252">
        <w:rPr>
          <w:bCs/>
          <w:sz w:val="20"/>
          <w:szCs w:val="20"/>
        </w:rPr>
        <w:t>Burrows</w:t>
      </w:r>
      <w:r w:rsidR="009677D1" w:rsidRPr="006A2252">
        <w:rPr>
          <w:bCs/>
          <w:sz w:val="20"/>
          <w:szCs w:val="20"/>
        </w:rPr>
        <w:t xml:space="preserve"> </w:t>
      </w:r>
      <w:r w:rsidRPr="006A2252">
        <w:rPr>
          <w:bCs/>
          <w:sz w:val="20"/>
          <w:szCs w:val="20"/>
        </w:rPr>
        <w:t>J,</w:t>
      </w:r>
      <w:r w:rsidR="009677D1" w:rsidRPr="006A2252">
        <w:rPr>
          <w:bCs/>
          <w:sz w:val="20"/>
          <w:szCs w:val="20"/>
        </w:rPr>
        <w:t xml:space="preserve"> </w:t>
      </w:r>
      <w:proofErr w:type="spellStart"/>
      <w:r w:rsidRPr="006A2252">
        <w:rPr>
          <w:bCs/>
          <w:sz w:val="20"/>
          <w:szCs w:val="20"/>
        </w:rPr>
        <w:t>Lis</w:t>
      </w:r>
      <w:proofErr w:type="spellEnd"/>
      <w:r w:rsidR="009677D1" w:rsidRPr="006A2252">
        <w:rPr>
          <w:bCs/>
          <w:sz w:val="20"/>
          <w:szCs w:val="20"/>
        </w:rPr>
        <w:t xml:space="preserve"> </w:t>
      </w:r>
      <w:r w:rsidRPr="006A2252">
        <w:rPr>
          <w:bCs/>
          <w:sz w:val="20"/>
          <w:szCs w:val="20"/>
        </w:rPr>
        <w:t>CG,</w:t>
      </w:r>
      <w:r w:rsidR="009677D1" w:rsidRPr="006A2252">
        <w:rPr>
          <w:bCs/>
          <w:sz w:val="20"/>
          <w:szCs w:val="20"/>
        </w:rPr>
        <w:t xml:space="preserve"> </w:t>
      </w:r>
      <w:proofErr w:type="spellStart"/>
      <w:r w:rsidRPr="006A2252">
        <w:rPr>
          <w:bCs/>
          <w:sz w:val="20"/>
          <w:szCs w:val="20"/>
        </w:rPr>
        <w:t>Grutsch</w:t>
      </w:r>
      <w:proofErr w:type="spellEnd"/>
      <w:r w:rsidR="009677D1" w:rsidRPr="006A2252">
        <w:rPr>
          <w:bCs/>
          <w:sz w:val="20"/>
          <w:szCs w:val="20"/>
        </w:rPr>
        <w:t xml:space="preserve"> </w:t>
      </w:r>
      <w:r w:rsidRPr="006A2252">
        <w:rPr>
          <w:bCs/>
          <w:sz w:val="20"/>
          <w:szCs w:val="20"/>
        </w:rPr>
        <w:t>JF.</w:t>
      </w:r>
      <w:r w:rsidRPr="006A2252">
        <w:rPr>
          <w:sz w:val="20"/>
          <w:szCs w:val="20"/>
        </w:rPr>
        <w:t>“Prognostic</w:t>
      </w:r>
      <w:r w:rsidR="009677D1" w:rsidRPr="006A2252">
        <w:rPr>
          <w:sz w:val="20"/>
          <w:szCs w:val="20"/>
        </w:rPr>
        <w:t xml:space="preserve"> </w:t>
      </w:r>
      <w:r w:rsidRPr="006A2252">
        <w:rPr>
          <w:sz w:val="20"/>
          <w:szCs w:val="20"/>
        </w:rPr>
        <w:t>significance</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subjective</w:t>
      </w:r>
      <w:r w:rsidR="009677D1" w:rsidRPr="006A2252">
        <w:rPr>
          <w:sz w:val="20"/>
          <w:szCs w:val="20"/>
        </w:rPr>
        <w:t xml:space="preserve"> </w:t>
      </w:r>
      <w:r w:rsidRPr="006A2252">
        <w:rPr>
          <w:sz w:val="20"/>
          <w:szCs w:val="20"/>
        </w:rPr>
        <w:t>global</w:t>
      </w:r>
      <w:r w:rsidR="009677D1" w:rsidRPr="006A2252">
        <w:rPr>
          <w:sz w:val="20"/>
          <w:szCs w:val="20"/>
        </w:rPr>
        <w:t xml:space="preserve"> </w:t>
      </w:r>
      <w:r w:rsidRPr="006A2252">
        <w:rPr>
          <w:sz w:val="20"/>
          <w:szCs w:val="20"/>
        </w:rPr>
        <w:t>assessment</w:t>
      </w:r>
      <w:r w:rsidR="009677D1" w:rsidRPr="006A2252">
        <w:rPr>
          <w:sz w:val="20"/>
          <w:szCs w:val="20"/>
        </w:rPr>
        <w:t xml:space="preserve"> </w:t>
      </w:r>
      <w:r w:rsidRPr="006A2252">
        <w:rPr>
          <w:sz w:val="20"/>
          <w:szCs w:val="20"/>
        </w:rPr>
        <w:t>(SGA)</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advanced</w:t>
      </w:r>
      <w:r w:rsidR="009677D1" w:rsidRPr="006A2252">
        <w:rPr>
          <w:sz w:val="20"/>
          <w:szCs w:val="20"/>
        </w:rPr>
        <w:t xml:space="preserve"> </w:t>
      </w:r>
      <w:r w:rsidRPr="006A2252">
        <w:rPr>
          <w:sz w:val="20"/>
          <w:szCs w:val="20"/>
        </w:rPr>
        <w:t>colorectal</w:t>
      </w:r>
      <w:r w:rsidR="009677D1" w:rsidRPr="006A2252">
        <w:rPr>
          <w:sz w:val="20"/>
          <w:szCs w:val="20"/>
        </w:rPr>
        <w:t xml:space="preserve"> </w:t>
      </w:r>
      <w:r w:rsidRPr="006A2252">
        <w:rPr>
          <w:sz w:val="20"/>
          <w:szCs w:val="20"/>
        </w:rPr>
        <w:t>cancer.”</w:t>
      </w:r>
      <w:r w:rsidR="009677D1" w:rsidRPr="006A2252">
        <w:rPr>
          <w:sz w:val="20"/>
          <w:szCs w:val="20"/>
        </w:rPr>
        <w:t xml:space="preserve"> </w:t>
      </w:r>
      <w:proofErr w:type="spellStart"/>
      <w:r w:rsidRPr="006A2252">
        <w:rPr>
          <w:sz w:val="20"/>
          <w:szCs w:val="20"/>
        </w:rPr>
        <w:t>Eur</w:t>
      </w:r>
      <w:proofErr w:type="spellEnd"/>
      <w:r w:rsidR="009677D1" w:rsidRPr="006A2252">
        <w:rPr>
          <w:sz w:val="20"/>
          <w:szCs w:val="20"/>
        </w:rPr>
        <w:t xml:space="preserve"> </w:t>
      </w:r>
      <w:r w:rsidRPr="006A2252">
        <w:rPr>
          <w:sz w:val="20"/>
          <w:szCs w:val="20"/>
        </w:rPr>
        <w:t>J</w:t>
      </w:r>
      <w:r w:rsidR="009677D1" w:rsidRPr="006A2252">
        <w:rPr>
          <w:sz w:val="20"/>
          <w:szCs w:val="20"/>
        </w:rPr>
        <w:t xml:space="preserve"> </w:t>
      </w:r>
      <w:proofErr w:type="spellStart"/>
      <w:r w:rsidRPr="006A2252">
        <w:rPr>
          <w:sz w:val="20"/>
          <w:szCs w:val="20"/>
        </w:rPr>
        <w:t>Clin</w:t>
      </w:r>
      <w:proofErr w:type="spellEnd"/>
      <w:r w:rsidR="009677D1" w:rsidRPr="006A2252">
        <w:rPr>
          <w:sz w:val="20"/>
          <w:szCs w:val="20"/>
        </w:rPr>
        <w:t xml:space="preserve"> </w:t>
      </w:r>
      <w:proofErr w:type="spellStart"/>
      <w:r w:rsidRPr="006A2252">
        <w:rPr>
          <w:sz w:val="20"/>
          <w:szCs w:val="20"/>
        </w:rPr>
        <w:t>Nutr</w:t>
      </w:r>
      <w:proofErr w:type="spellEnd"/>
      <w:r w:rsidR="009677D1" w:rsidRPr="006A2252">
        <w:rPr>
          <w:sz w:val="20"/>
          <w:szCs w:val="20"/>
        </w:rPr>
        <w:t xml:space="preserve"> </w:t>
      </w:r>
      <w:r w:rsidRPr="006A2252">
        <w:rPr>
          <w:sz w:val="20"/>
          <w:szCs w:val="20"/>
        </w:rPr>
        <w:t>2005;</w:t>
      </w:r>
      <w:r w:rsidR="009677D1" w:rsidRPr="006A2252">
        <w:rPr>
          <w:sz w:val="20"/>
          <w:szCs w:val="20"/>
        </w:rPr>
        <w:t xml:space="preserve"> </w:t>
      </w:r>
      <w:r w:rsidRPr="006A2252">
        <w:rPr>
          <w:sz w:val="20"/>
          <w:szCs w:val="20"/>
        </w:rPr>
        <w:t>59:</w:t>
      </w:r>
      <w:r w:rsidR="009677D1" w:rsidRPr="006A2252">
        <w:rPr>
          <w:sz w:val="20"/>
          <w:szCs w:val="20"/>
        </w:rPr>
        <w:t xml:space="preserve"> </w:t>
      </w:r>
      <w:r w:rsidRPr="006A2252">
        <w:rPr>
          <w:sz w:val="20"/>
          <w:szCs w:val="20"/>
        </w:rPr>
        <w:t>35–40.</w:t>
      </w:r>
      <w:r w:rsidR="009677D1" w:rsidRPr="006A2252">
        <w:rPr>
          <w:sz w:val="20"/>
          <w:szCs w:val="20"/>
        </w:rPr>
        <w:t xml:space="preserve"> </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Hübner</w:t>
      </w:r>
      <w:proofErr w:type="spellEnd"/>
      <w:r w:rsidR="009677D1" w:rsidRPr="006A2252">
        <w:rPr>
          <w:bCs/>
          <w:sz w:val="20"/>
          <w:szCs w:val="20"/>
        </w:rPr>
        <w:t xml:space="preserve"> </w:t>
      </w:r>
      <w:r w:rsidRPr="006A2252">
        <w:rPr>
          <w:bCs/>
          <w:sz w:val="20"/>
          <w:szCs w:val="20"/>
        </w:rPr>
        <w:t>M,</w:t>
      </w:r>
      <w:r w:rsidR="009677D1" w:rsidRPr="006A2252">
        <w:rPr>
          <w:bCs/>
          <w:sz w:val="20"/>
          <w:szCs w:val="20"/>
        </w:rPr>
        <w:t xml:space="preserve"> </w:t>
      </w:r>
      <w:proofErr w:type="spellStart"/>
      <w:r w:rsidRPr="006A2252">
        <w:rPr>
          <w:bCs/>
          <w:sz w:val="20"/>
          <w:szCs w:val="20"/>
        </w:rPr>
        <w:t>Mantziari</w:t>
      </w:r>
      <w:proofErr w:type="spellEnd"/>
      <w:r w:rsidR="009677D1" w:rsidRPr="006A2252">
        <w:rPr>
          <w:bCs/>
          <w:sz w:val="20"/>
          <w:szCs w:val="20"/>
        </w:rPr>
        <w:t xml:space="preserve"> </w:t>
      </w:r>
      <w:r w:rsidRPr="006A2252">
        <w:rPr>
          <w:bCs/>
          <w:sz w:val="20"/>
          <w:szCs w:val="20"/>
        </w:rPr>
        <w:t>S,</w:t>
      </w:r>
      <w:r w:rsidR="009677D1" w:rsidRPr="006A2252">
        <w:rPr>
          <w:bCs/>
          <w:sz w:val="20"/>
          <w:szCs w:val="20"/>
        </w:rPr>
        <w:t xml:space="preserve"> </w:t>
      </w:r>
      <w:proofErr w:type="spellStart"/>
      <w:r w:rsidRPr="006A2252">
        <w:rPr>
          <w:bCs/>
          <w:sz w:val="20"/>
          <w:szCs w:val="20"/>
        </w:rPr>
        <w:t>Demartines</w:t>
      </w:r>
      <w:proofErr w:type="spellEnd"/>
      <w:r w:rsidR="009677D1" w:rsidRPr="006A2252">
        <w:rPr>
          <w:bCs/>
          <w:sz w:val="20"/>
          <w:szCs w:val="20"/>
        </w:rPr>
        <w:t xml:space="preserve"> </w:t>
      </w:r>
      <w:r w:rsidRPr="006A2252">
        <w:rPr>
          <w:bCs/>
          <w:sz w:val="20"/>
          <w:szCs w:val="20"/>
        </w:rPr>
        <w:t>N,</w:t>
      </w:r>
      <w:r w:rsidR="009677D1" w:rsidRPr="006A2252">
        <w:rPr>
          <w:bCs/>
          <w:sz w:val="20"/>
          <w:szCs w:val="20"/>
        </w:rPr>
        <w:t xml:space="preserve"> </w:t>
      </w:r>
      <w:proofErr w:type="spellStart"/>
      <w:r w:rsidRPr="006A2252">
        <w:rPr>
          <w:bCs/>
          <w:sz w:val="20"/>
          <w:szCs w:val="20"/>
        </w:rPr>
        <w:t>Pralong</w:t>
      </w:r>
      <w:proofErr w:type="spellEnd"/>
      <w:r w:rsidR="009677D1" w:rsidRPr="006A2252">
        <w:rPr>
          <w:bCs/>
          <w:sz w:val="20"/>
          <w:szCs w:val="20"/>
        </w:rPr>
        <w:t xml:space="preserve"> </w:t>
      </w:r>
      <w:r w:rsidRPr="006A2252">
        <w:rPr>
          <w:bCs/>
          <w:sz w:val="20"/>
          <w:szCs w:val="20"/>
        </w:rPr>
        <w:t>F,</w:t>
      </w:r>
      <w:r w:rsidR="009677D1" w:rsidRPr="006A2252">
        <w:rPr>
          <w:bCs/>
          <w:sz w:val="20"/>
          <w:szCs w:val="20"/>
        </w:rPr>
        <w:t xml:space="preserve"> </w:t>
      </w:r>
      <w:proofErr w:type="spellStart"/>
      <w:r w:rsidRPr="006A2252">
        <w:rPr>
          <w:bCs/>
          <w:sz w:val="20"/>
          <w:szCs w:val="20"/>
        </w:rPr>
        <w:t>Coti</w:t>
      </w:r>
      <w:proofErr w:type="spellEnd"/>
      <w:r w:rsidRPr="006A2252">
        <w:rPr>
          <w:bCs/>
          <w:sz w:val="20"/>
          <w:szCs w:val="20"/>
        </w:rPr>
        <w:t>-Bertrand</w:t>
      </w:r>
      <w:r w:rsidR="009677D1" w:rsidRPr="006A2252">
        <w:rPr>
          <w:bCs/>
          <w:sz w:val="20"/>
          <w:szCs w:val="20"/>
        </w:rPr>
        <w:t xml:space="preserve"> </w:t>
      </w:r>
      <w:r w:rsidRPr="006A2252">
        <w:rPr>
          <w:bCs/>
          <w:sz w:val="20"/>
          <w:szCs w:val="20"/>
        </w:rPr>
        <w:t>P</w:t>
      </w:r>
      <w:r w:rsidR="009677D1" w:rsidRPr="006A2252">
        <w:rPr>
          <w:bCs/>
          <w:sz w:val="20"/>
          <w:szCs w:val="20"/>
        </w:rPr>
        <w:t xml:space="preserve"> </w:t>
      </w:r>
      <w:r w:rsidRPr="006A2252">
        <w:rPr>
          <w:bCs/>
          <w:sz w:val="20"/>
          <w:szCs w:val="20"/>
        </w:rPr>
        <w:t>and</w:t>
      </w:r>
      <w:r w:rsidR="009677D1" w:rsidRPr="006A2252">
        <w:rPr>
          <w:bCs/>
          <w:sz w:val="20"/>
          <w:szCs w:val="20"/>
        </w:rPr>
        <w:t xml:space="preserve"> </w:t>
      </w:r>
      <w:proofErr w:type="spellStart"/>
      <w:r w:rsidRPr="006A2252">
        <w:rPr>
          <w:bCs/>
          <w:sz w:val="20"/>
          <w:szCs w:val="20"/>
        </w:rPr>
        <w:t>Schäfer</w:t>
      </w:r>
      <w:proofErr w:type="spellEnd"/>
      <w:r w:rsidR="009677D1" w:rsidRPr="006A2252">
        <w:rPr>
          <w:bCs/>
          <w:sz w:val="20"/>
          <w:szCs w:val="20"/>
        </w:rPr>
        <w:t xml:space="preserve"> </w:t>
      </w:r>
      <w:r w:rsidRPr="006A2252">
        <w:rPr>
          <w:bCs/>
          <w:sz w:val="20"/>
          <w:szCs w:val="20"/>
        </w:rPr>
        <w:t>M.</w:t>
      </w:r>
      <w:r w:rsidRPr="006A2252">
        <w:rPr>
          <w:sz w:val="20"/>
          <w:szCs w:val="20"/>
        </w:rPr>
        <w:t>“Postoperative</w:t>
      </w:r>
      <w:r w:rsidR="009677D1" w:rsidRPr="006A2252">
        <w:rPr>
          <w:sz w:val="20"/>
          <w:szCs w:val="20"/>
        </w:rPr>
        <w:t xml:space="preserve"> </w:t>
      </w:r>
      <w:r w:rsidRPr="006A2252">
        <w:rPr>
          <w:sz w:val="20"/>
          <w:szCs w:val="20"/>
        </w:rPr>
        <w:t>albumin</w:t>
      </w:r>
      <w:r w:rsidR="009677D1" w:rsidRPr="006A2252">
        <w:rPr>
          <w:sz w:val="20"/>
          <w:szCs w:val="20"/>
        </w:rPr>
        <w:t xml:space="preserve"> </w:t>
      </w:r>
      <w:r w:rsidRPr="006A2252">
        <w:rPr>
          <w:sz w:val="20"/>
          <w:szCs w:val="20"/>
        </w:rPr>
        <w:t>drop</w:t>
      </w:r>
      <w:r w:rsidR="009677D1" w:rsidRPr="006A2252">
        <w:rPr>
          <w:sz w:val="20"/>
          <w:szCs w:val="20"/>
        </w:rPr>
        <w:t xml:space="preserve"> </w:t>
      </w:r>
      <w:r w:rsidRPr="006A2252">
        <w:rPr>
          <w:sz w:val="20"/>
          <w:szCs w:val="20"/>
        </w:rPr>
        <w:t>is</w:t>
      </w:r>
      <w:r w:rsidR="009677D1" w:rsidRPr="006A2252">
        <w:rPr>
          <w:sz w:val="20"/>
          <w:szCs w:val="20"/>
        </w:rPr>
        <w:t xml:space="preserve"> </w:t>
      </w:r>
      <w:r w:rsidRPr="006A2252">
        <w:rPr>
          <w:sz w:val="20"/>
          <w:szCs w:val="20"/>
        </w:rPr>
        <w:t>a</w:t>
      </w:r>
      <w:r w:rsidR="009677D1" w:rsidRPr="006A2252">
        <w:rPr>
          <w:sz w:val="20"/>
          <w:szCs w:val="20"/>
        </w:rPr>
        <w:t xml:space="preserve"> </w:t>
      </w:r>
      <w:r w:rsidRPr="006A2252">
        <w:rPr>
          <w:sz w:val="20"/>
          <w:szCs w:val="20"/>
        </w:rPr>
        <w:t>marker</w:t>
      </w:r>
      <w:r w:rsidR="009677D1" w:rsidRPr="006A2252">
        <w:rPr>
          <w:sz w:val="20"/>
          <w:szCs w:val="20"/>
        </w:rPr>
        <w:t xml:space="preserve"> </w:t>
      </w:r>
      <w:r w:rsidRPr="006A2252">
        <w:rPr>
          <w:sz w:val="20"/>
          <w:szCs w:val="20"/>
        </w:rPr>
        <w:t>for</w:t>
      </w:r>
      <w:r w:rsidR="009677D1" w:rsidRPr="006A2252">
        <w:rPr>
          <w:sz w:val="20"/>
          <w:szCs w:val="20"/>
        </w:rPr>
        <w:t xml:space="preserve"> </w:t>
      </w:r>
      <w:r w:rsidRPr="006A2252">
        <w:rPr>
          <w:sz w:val="20"/>
          <w:szCs w:val="20"/>
        </w:rPr>
        <w:t>surgical</w:t>
      </w:r>
      <w:r w:rsidR="009677D1" w:rsidRPr="006A2252">
        <w:rPr>
          <w:sz w:val="20"/>
          <w:szCs w:val="20"/>
        </w:rPr>
        <w:t xml:space="preserve"> </w:t>
      </w:r>
      <w:r w:rsidRPr="006A2252">
        <w:rPr>
          <w:sz w:val="20"/>
          <w:szCs w:val="20"/>
        </w:rPr>
        <w:t>stress</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a</w:t>
      </w:r>
      <w:r w:rsidR="009677D1" w:rsidRPr="006A2252">
        <w:rPr>
          <w:sz w:val="20"/>
          <w:szCs w:val="20"/>
        </w:rPr>
        <w:t xml:space="preserve"> </w:t>
      </w:r>
      <w:r w:rsidRPr="006A2252">
        <w:rPr>
          <w:sz w:val="20"/>
          <w:szCs w:val="20"/>
        </w:rPr>
        <w:t>predictor</w:t>
      </w:r>
      <w:r w:rsidR="009677D1" w:rsidRPr="006A2252">
        <w:rPr>
          <w:sz w:val="20"/>
          <w:szCs w:val="20"/>
        </w:rPr>
        <w:t xml:space="preserve"> </w:t>
      </w:r>
      <w:r w:rsidRPr="006A2252">
        <w:rPr>
          <w:sz w:val="20"/>
          <w:szCs w:val="20"/>
        </w:rPr>
        <w:t>for</w:t>
      </w:r>
      <w:r w:rsidR="009677D1" w:rsidRPr="006A2252">
        <w:rPr>
          <w:sz w:val="20"/>
          <w:szCs w:val="20"/>
        </w:rPr>
        <w:t xml:space="preserve"> </w:t>
      </w:r>
      <w:r w:rsidRPr="006A2252">
        <w:rPr>
          <w:sz w:val="20"/>
          <w:szCs w:val="20"/>
        </w:rPr>
        <w:t>clinical</w:t>
      </w:r>
      <w:r w:rsidR="009677D1" w:rsidRPr="006A2252">
        <w:rPr>
          <w:sz w:val="20"/>
          <w:szCs w:val="20"/>
        </w:rPr>
        <w:t xml:space="preserve"> </w:t>
      </w:r>
      <w:r w:rsidRPr="006A2252">
        <w:rPr>
          <w:sz w:val="20"/>
          <w:szCs w:val="20"/>
        </w:rPr>
        <w:t>outcome:</w:t>
      </w:r>
      <w:r w:rsidR="009677D1" w:rsidRPr="006A2252">
        <w:rPr>
          <w:sz w:val="20"/>
          <w:szCs w:val="20"/>
        </w:rPr>
        <w:t xml:space="preserve"> </w:t>
      </w:r>
      <w:r w:rsidRPr="006A2252">
        <w:rPr>
          <w:sz w:val="20"/>
          <w:szCs w:val="20"/>
        </w:rPr>
        <w:t>a</w:t>
      </w:r>
      <w:r w:rsidR="009677D1" w:rsidRPr="006A2252">
        <w:rPr>
          <w:sz w:val="20"/>
          <w:szCs w:val="20"/>
        </w:rPr>
        <w:t xml:space="preserve"> </w:t>
      </w:r>
      <w:r w:rsidRPr="006A2252">
        <w:rPr>
          <w:sz w:val="20"/>
          <w:szCs w:val="20"/>
        </w:rPr>
        <w:t>pilot</w:t>
      </w:r>
      <w:r w:rsidR="009677D1" w:rsidRPr="006A2252">
        <w:rPr>
          <w:sz w:val="20"/>
          <w:szCs w:val="20"/>
        </w:rPr>
        <w:t xml:space="preserve"> </w:t>
      </w:r>
      <w:r w:rsidRPr="006A2252">
        <w:rPr>
          <w:sz w:val="20"/>
          <w:szCs w:val="20"/>
        </w:rPr>
        <w:t>study.”</w:t>
      </w:r>
      <w:r w:rsidR="009677D1" w:rsidRPr="006A2252">
        <w:rPr>
          <w:sz w:val="20"/>
          <w:szCs w:val="20"/>
        </w:rPr>
        <w:t xml:space="preserve"> </w:t>
      </w:r>
      <w:r w:rsidRPr="006A2252">
        <w:rPr>
          <w:sz w:val="20"/>
          <w:szCs w:val="20"/>
        </w:rPr>
        <w:t>Gastroenterology</w:t>
      </w:r>
      <w:r w:rsidR="009677D1" w:rsidRPr="006A2252">
        <w:rPr>
          <w:sz w:val="20"/>
          <w:szCs w:val="20"/>
        </w:rPr>
        <w:t xml:space="preserve"> </w:t>
      </w:r>
      <w:r w:rsidRPr="006A2252">
        <w:rPr>
          <w:sz w:val="20"/>
          <w:szCs w:val="20"/>
        </w:rPr>
        <w:t>research</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practice,</w:t>
      </w:r>
      <w:r w:rsidR="009677D1" w:rsidRPr="006A2252">
        <w:rPr>
          <w:sz w:val="20"/>
          <w:szCs w:val="20"/>
        </w:rPr>
        <w:t xml:space="preserve"> </w:t>
      </w:r>
      <w:r w:rsidRPr="006A2252">
        <w:rPr>
          <w:sz w:val="20"/>
          <w:szCs w:val="20"/>
        </w:rPr>
        <w:t>2016.</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Kang</w:t>
      </w:r>
      <w:r w:rsidR="009677D1" w:rsidRPr="006A2252">
        <w:rPr>
          <w:bCs/>
          <w:sz w:val="20"/>
          <w:szCs w:val="20"/>
        </w:rPr>
        <w:t xml:space="preserve"> </w:t>
      </w:r>
      <w:r w:rsidRPr="006A2252">
        <w:rPr>
          <w:bCs/>
          <w:sz w:val="20"/>
          <w:szCs w:val="20"/>
        </w:rPr>
        <w:t>K,</w:t>
      </w:r>
      <w:r w:rsidR="009677D1" w:rsidRPr="006A2252">
        <w:rPr>
          <w:bCs/>
          <w:sz w:val="20"/>
          <w:szCs w:val="20"/>
        </w:rPr>
        <w:t xml:space="preserve"> </w:t>
      </w:r>
      <w:proofErr w:type="spellStart"/>
      <w:r w:rsidRPr="006A2252">
        <w:rPr>
          <w:bCs/>
          <w:sz w:val="20"/>
          <w:szCs w:val="20"/>
        </w:rPr>
        <w:t>Shu</w:t>
      </w:r>
      <w:proofErr w:type="spellEnd"/>
      <w:r w:rsidR="009677D1" w:rsidRPr="006A2252">
        <w:rPr>
          <w:bCs/>
          <w:sz w:val="20"/>
          <w:szCs w:val="20"/>
        </w:rPr>
        <w:t xml:space="preserve"> </w:t>
      </w:r>
      <w:r w:rsidRPr="006A2252">
        <w:rPr>
          <w:bCs/>
          <w:sz w:val="20"/>
          <w:szCs w:val="20"/>
        </w:rPr>
        <w:t>XL,</w:t>
      </w:r>
      <w:r w:rsidR="009677D1" w:rsidRPr="006A2252">
        <w:rPr>
          <w:bCs/>
          <w:sz w:val="20"/>
          <w:szCs w:val="20"/>
        </w:rPr>
        <w:t xml:space="preserve"> </w:t>
      </w:r>
      <w:r w:rsidRPr="006A2252">
        <w:rPr>
          <w:bCs/>
          <w:sz w:val="20"/>
          <w:szCs w:val="20"/>
        </w:rPr>
        <w:t>Zhang</w:t>
      </w:r>
      <w:r w:rsidR="009677D1" w:rsidRPr="006A2252">
        <w:rPr>
          <w:bCs/>
          <w:sz w:val="20"/>
          <w:szCs w:val="20"/>
        </w:rPr>
        <w:t xml:space="preserve"> </w:t>
      </w:r>
      <w:r w:rsidRPr="006A2252">
        <w:rPr>
          <w:bCs/>
          <w:sz w:val="20"/>
          <w:szCs w:val="20"/>
        </w:rPr>
        <w:t>YS,</w:t>
      </w:r>
      <w:r w:rsidR="009677D1" w:rsidRPr="006A2252">
        <w:rPr>
          <w:bCs/>
          <w:sz w:val="20"/>
          <w:szCs w:val="20"/>
        </w:rPr>
        <w:t xml:space="preserve"> </w:t>
      </w:r>
      <w:r w:rsidRPr="006A2252">
        <w:rPr>
          <w:bCs/>
          <w:sz w:val="20"/>
          <w:szCs w:val="20"/>
        </w:rPr>
        <w:t>Liu</w:t>
      </w:r>
      <w:r w:rsidR="009677D1" w:rsidRPr="006A2252">
        <w:rPr>
          <w:bCs/>
          <w:sz w:val="20"/>
          <w:szCs w:val="20"/>
        </w:rPr>
        <w:t xml:space="preserve"> </w:t>
      </w:r>
      <w:r w:rsidRPr="006A2252">
        <w:rPr>
          <w:bCs/>
          <w:sz w:val="20"/>
          <w:szCs w:val="20"/>
        </w:rPr>
        <w:t>XL</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Zhao</w:t>
      </w:r>
      <w:r w:rsidR="009677D1" w:rsidRPr="006A2252">
        <w:rPr>
          <w:bCs/>
          <w:sz w:val="20"/>
          <w:szCs w:val="20"/>
        </w:rPr>
        <w:t xml:space="preserve"> </w:t>
      </w:r>
      <w:r w:rsidRPr="006A2252">
        <w:rPr>
          <w:bCs/>
          <w:sz w:val="20"/>
          <w:szCs w:val="20"/>
        </w:rPr>
        <w:t>J.</w:t>
      </w:r>
      <w:r w:rsidR="009677D1" w:rsidRPr="006A2252">
        <w:rPr>
          <w:bCs/>
          <w:sz w:val="20"/>
          <w:szCs w:val="20"/>
        </w:rPr>
        <w:t xml:space="preserve"> </w:t>
      </w:r>
      <w:r w:rsidRPr="006A2252">
        <w:rPr>
          <w:bCs/>
          <w:sz w:val="20"/>
          <w:szCs w:val="20"/>
        </w:rPr>
        <w:t>“</w:t>
      </w:r>
      <w:r w:rsidRPr="006A2252">
        <w:rPr>
          <w:sz w:val="20"/>
          <w:szCs w:val="20"/>
        </w:rPr>
        <w:t>Effect</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glutamine</w:t>
      </w:r>
      <w:r w:rsidR="009677D1" w:rsidRPr="006A2252">
        <w:rPr>
          <w:sz w:val="20"/>
          <w:szCs w:val="20"/>
        </w:rPr>
        <w:t xml:space="preserve"> </w:t>
      </w:r>
      <w:r w:rsidRPr="006A2252">
        <w:rPr>
          <w:sz w:val="20"/>
          <w:szCs w:val="20"/>
        </w:rPr>
        <w:t>enriched</w:t>
      </w:r>
      <w:r w:rsidR="009677D1" w:rsidRPr="006A2252">
        <w:rPr>
          <w:sz w:val="20"/>
          <w:szCs w:val="20"/>
        </w:rPr>
        <w:t xml:space="preserve"> </w:t>
      </w:r>
      <w:r w:rsidRPr="006A2252">
        <w:rPr>
          <w:sz w:val="20"/>
          <w:szCs w:val="20"/>
        </w:rPr>
        <w:t>nutrition</w:t>
      </w:r>
      <w:r w:rsidR="009677D1" w:rsidRPr="006A2252">
        <w:rPr>
          <w:sz w:val="20"/>
          <w:szCs w:val="20"/>
        </w:rPr>
        <w:t xml:space="preserve"> </w:t>
      </w:r>
      <w:r w:rsidRPr="006A2252">
        <w:rPr>
          <w:sz w:val="20"/>
          <w:szCs w:val="20"/>
        </w:rPr>
        <w:t>support</w:t>
      </w:r>
      <w:r w:rsidR="009677D1" w:rsidRPr="006A2252">
        <w:rPr>
          <w:sz w:val="20"/>
          <w:szCs w:val="20"/>
        </w:rPr>
        <w:t xml:space="preserve"> </w:t>
      </w:r>
      <w:r w:rsidRPr="006A2252">
        <w:rPr>
          <w:sz w:val="20"/>
          <w:szCs w:val="20"/>
        </w:rPr>
        <w:t>on</w:t>
      </w:r>
      <w:r w:rsidR="009677D1" w:rsidRPr="006A2252">
        <w:rPr>
          <w:sz w:val="20"/>
          <w:szCs w:val="20"/>
        </w:rPr>
        <w:t xml:space="preserve"> </w:t>
      </w:r>
      <w:r w:rsidRPr="006A2252">
        <w:rPr>
          <w:sz w:val="20"/>
          <w:szCs w:val="20"/>
        </w:rPr>
        <w:t>surgical</w:t>
      </w:r>
      <w:r w:rsidR="009677D1" w:rsidRPr="006A2252">
        <w:rPr>
          <w:sz w:val="20"/>
          <w:szCs w:val="20"/>
        </w:rPr>
        <w:t xml:space="preserve"> </w:t>
      </w:r>
      <w:r w:rsidRPr="006A2252">
        <w:rPr>
          <w:sz w:val="20"/>
          <w:szCs w:val="20"/>
        </w:rPr>
        <w:t>patients</w:t>
      </w:r>
      <w:r w:rsidR="009677D1" w:rsidRPr="006A2252">
        <w:rPr>
          <w:sz w:val="20"/>
          <w:szCs w:val="20"/>
        </w:rPr>
        <w:t xml:space="preserve"> </w:t>
      </w:r>
      <w:r w:rsidRPr="006A2252">
        <w:rPr>
          <w:sz w:val="20"/>
          <w:szCs w:val="20"/>
        </w:rPr>
        <w:t>with</w:t>
      </w:r>
      <w:r w:rsidR="009677D1" w:rsidRPr="006A2252">
        <w:rPr>
          <w:sz w:val="20"/>
          <w:szCs w:val="20"/>
        </w:rPr>
        <w:t xml:space="preserve"> </w:t>
      </w:r>
      <w:r w:rsidRPr="006A2252">
        <w:rPr>
          <w:sz w:val="20"/>
          <w:szCs w:val="20"/>
        </w:rPr>
        <w:t>gastrointestinal</w:t>
      </w:r>
      <w:r w:rsidR="009677D1" w:rsidRPr="006A2252">
        <w:rPr>
          <w:sz w:val="20"/>
          <w:szCs w:val="20"/>
        </w:rPr>
        <w:t xml:space="preserve"> </w:t>
      </w:r>
      <w:r w:rsidRPr="006A2252">
        <w:rPr>
          <w:sz w:val="20"/>
          <w:szCs w:val="20"/>
        </w:rPr>
        <w:t>tumor:</w:t>
      </w:r>
      <w:r w:rsidR="009677D1" w:rsidRPr="006A2252">
        <w:rPr>
          <w:sz w:val="20"/>
          <w:szCs w:val="20"/>
        </w:rPr>
        <w:t xml:space="preserve"> </w:t>
      </w:r>
      <w:r w:rsidRPr="006A2252">
        <w:rPr>
          <w:sz w:val="20"/>
          <w:szCs w:val="20"/>
        </w:rPr>
        <w:t>A</w:t>
      </w:r>
      <w:r w:rsidR="009677D1" w:rsidRPr="006A2252">
        <w:rPr>
          <w:sz w:val="20"/>
          <w:szCs w:val="20"/>
        </w:rPr>
        <w:t xml:space="preserve"> </w:t>
      </w:r>
      <w:r w:rsidRPr="006A2252">
        <w:rPr>
          <w:sz w:val="20"/>
          <w:szCs w:val="20"/>
        </w:rPr>
        <w:t>meta-analysis</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randomized</w:t>
      </w:r>
      <w:r w:rsidR="009677D1" w:rsidRPr="006A2252">
        <w:rPr>
          <w:sz w:val="20"/>
          <w:szCs w:val="20"/>
        </w:rPr>
        <w:t xml:space="preserve"> </w:t>
      </w:r>
      <w:r w:rsidRPr="006A2252">
        <w:rPr>
          <w:sz w:val="20"/>
          <w:szCs w:val="20"/>
        </w:rPr>
        <w:t>controlled</w:t>
      </w:r>
      <w:r w:rsidR="009677D1" w:rsidRPr="006A2252">
        <w:rPr>
          <w:sz w:val="20"/>
          <w:szCs w:val="20"/>
        </w:rPr>
        <w:t xml:space="preserve"> </w:t>
      </w:r>
      <w:r w:rsidRPr="006A2252">
        <w:rPr>
          <w:sz w:val="20"/>
          <w:szCs w:val="20"/>
        </w:rPr>
        <w:t>trials.”</w:t>
      </w:r>
      <w:r w:rsidR="009677D1" w:rsidRPr="006A2252">
        <w:rPr>
          <w:sz w:val="20"/>
          <w:szCs w:val="20"/>
        </w:rPr>
        <w:t xml:space="preserve"> </w:t>
      </w:r>
      <w:r w:rsidRPr="006A2252">
        <w:rPr>
          <w:sz w:val="20"/>
          <w:szCs w:val="20"/>
        </w:rPr>
        <w:t>Chinese</w:t>
      </w:r>
      <w:r w:rsidR="009677D1" w:rsidRPr="006A2252">
        <w:rPr>
          <w:sz w:val="20"/>
          <w:szCs w:val="20"/>
        </w:rPr>
        <w:t xml:space="preserve"> </w:t>
      </w:r>
      <w:r w:rsidRPr="006A2252">
        <w:rPr>
          <w:sz w:val="20"/>
          <w:szCs w:val="20"/>
        </w:rPr>
        <w:t>Medical</w:t>
      </w:r>
      <w:r w:rsidR="009677D1" w:rsidRPr="006A2252">
        <w:rPr>
          <w:sz w:val="20"/>
          <w:szCs w:val="20"/>
        </w:rPr>
        <w:t xml:space="preserve"> </w:t>
      </w:r>
      <w:r w:rsidRPr="006A2252">
        <w:rPr>
          <w:sz w:val="20"/>
          <w:szCs w:val="20"/>
        </w:rPr>
        <w:t>Journal,</w:t>
      </w:r>
      <w:r w:rsidR="009677D1" w:rsidRPr="006A2252">
        <w:rPr>
          <w:sz w:val="20"/>
          <w:szCs w:val="20"/>
        </w:rPr>
        <w:t xml:space="preserve"> </w:t>
      </w:r>
      <w:r w:rsidRPr="006A2252">
        <w:rPr>
          <w:sz w:val="20"/>
          <w:szCs w:val="20"/>
        </w:rPr>
        <w:t>2015;</w:t>
      </w:r>
      <w:r w:rsidR="009677D1" w:rsidRPr="006A2252">
        <w:rPr>
          <w:sz w:val="20"/>
          <w:szCs w:val="20"/>
        </w:rPr>
        <w:t xml:space="preserve"> </w:t>
      </w:r>
      <w:r w:rsidRPr="006A2252">
        <w:rPr>
          <w:sz w:val="20"/>
          <w:szCs w:val="20"/>
        </w:rPr>
        <w:t>128(2),</w:t>
      </w:r>
      <w:r w:rsidR="009677D1" w:rsidRPr="006A2252">
        <w:rPr>
          <w:sz w:val="20"/>
          <w:szCs w:val="20"/>
        </w:rPr>
        <w:t xml:space="preserve"> </w:t>
      </w:r>
      <w:r w:rsidRPr="006A2252">
        <w:rPr>
          <w:sz w:val="20"/>
          <w:szCs w:val="20"/>
        </w:rPr>
        <w:t>245.</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Kim</w:t>
      </w:r>
      <w:r w:rsidR="009677D1" w:rsidRPr="006A2252">
        <w:rPr>
          <w:bCs/>
          <w:sz w:val="20"/>
          <w:szCs w:val="20"/>
        </w:rPr>
        <w:t xml:space="preserve"> </w:t>
      </w:r>
      <w:r w:rsidRPr="006A2252">
        <w:rPr>
          <w:bCs/>
          <w:sz w:val="20"/>
          <w:szCs w:val="20"/>
        </w:rPr>
        <w:t>MH</w:t>
      </w:r>
      <w:r w:rsidR="009677D1" w:rsidRPr="006A2252">
        <w:rPr>
          <w:bCs/>
          <w:sz w:val="20"/>
          <w:szCs w:val="20"/>
        </w:rPr>
        <w:t xml:space="preserve"> </w:t>
      </w:r>
      <w:r w:rsidRPr="006A2252">
        <w:rPr>
          <w:bCs/>
          <w:sz w:val="20"/>
          <w:szCs w:val="20"/>
        </w:rPr>
        <w:t>and</w:t>
      </w:r>
      <w:r w:rsidR="009677D1" w:rsidRPr="006A2252">
        <w:rPr>
          <w:bCs/>
          <w:sz w:val="20"/>
          <w:szCs w:val="20"/>
        </w:rPr>
        <w:t xml:space="preserve"> </w:t>
      </w:r>
      <w:proofErr w:type="spellStart"/>
      <w:r w:rsidRPr="006A2252">
        <w:rPr>
          <w:bCs/>
          <w:sz w:val="20"/>
          <w:szCs w:val="20"/>
        </w:rPr>
        <w:t>Hyeyoung</w:t>
      </w:r>
      <w:proofErr w:type="spellEnd"/>
      <w:r w:rsidR="009677D1" w:rsidRPr="006A2252">
        <w:rPr>
          <w:bCs/>
          <w:sz w:val="20"/>
          <w:szCs w:val="20"/>
        </w:rPr>
        <w:t xml:space="preserve"> </w:t>
      </w:r>
      <w:r w:rsidRPr="006A2252">
        <w:rPr>
          <w:bCs/>
          <w:sz w:val="20"/>
          <w:szCs w:val="20"/>
        </w:rPr>
        <w:t>K.</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t>Roles</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Glutamine</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t>Intestine</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Its</w:t>
      </w:r>
      <w:r w:rsidR="009677D1" w:rsidRPr="006A2252">
        <w:rPr>
          <w:sz w:val="20"/>
          <w:szCs w:val="20"/>
        </w:rPr>
        <w:t xml:space="preserve"> </w:t>
      </w:r>
      <w:r w:rsidRPr="006A2252">
        <w:rPr>
          <w:sz w:val="20"/>
          <w:szCs w:val="20"/>
        </w:rPr>
        <w:t>Implication</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Intestinal</w:t>
      </w:r>
      <w:r w:rsidR="009677D1" w:rsidRPr="006A2252">
        <w:rPr>
          <w:sz w:val="20"/>
          <w:szCs w:val="20"/>
        </w:rPr>
        <w:t xml:space="preserve"> </w:t>
      </w:r>
      <w:r w:rsidRPr="006A2252">
        <w:rPr>
          <w:sz w:val="20"/>
          <w:szCs w:val="20"/>
        </w:rPr>
        <w:t>Diseases.”</w:t>
      </w:r>
      <w:r w:rsidR="009677D1" w:rsidRPr="006A2252">
        <w:rPr>
          <w:sz w:val="20"/>
          <w:szCs w:val="20"/>
        </w:rPr>
        <w:t xml:space="preserve"> </w:t>
      </w:r>
      <w:r w:rsidRPr="006A2252">
        <w:rPr>
          <w:sz w:val="20"/>
          <w:szCs w:val="20"/>
        </w:rPr>
        <w:t>International</w:t>
      </w:r>
      <w:r w:rsidR="009677D1" w:rsidRPr="006A2252">
        <w:rPr>
          <w:sz w:val="20"/>
          <w:szCs w:val="20"/>
        </w:rPr>
        <w:t xml:space="preserve"> </w:t>
      </w:r>
      <w:r w:rsidRPr="006A2252">
        <w:rPr>
          <w:sz w:val="20"/>
          <w:szCs w:val="20"/>
        </w:rPr>
        <w:t>Journal</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Molecular</w:t>
      </w:r>
      <w:r w:rsidR="009677D1" w:rsidRPr="006A2252">
        <w:rPr>
          <w:sz w:val="20"/>
          <w:szCs w:val="20"/>
        </w:rPr>
        <w:t xml:space="preserve"> </w:t>
      </w:r>
      <w:r w:rsidRPr="006A2252">
        <w:rPr>
          <w:sz w:val="20"/>
          <w:szCs w:val="20"/>
        </w:rPr>
        <w:t>Sciences</w:t>
      </w:r>
      <w:r w:rsidR="009677D1" w:rsidRPr="006A2252">
        <w:rPr>
          <w:sz w:val="20"/>
          <w:szCs w:val="20"/>
        </w:rPr>
        <w:t xml:space="preserve"> </w:t>
      </w:r>
      <w:r w:rsidRPr="006A2252">
        <w:rPr>
          <w:sz w:val="20"/>
          <w:szCs w:val="20"/>
        </w:rPr>
        <w:t>2017;</w:t>
      </w:r>
      <w:r w:rsidR="009677D1" w:rsidRPr="006A2252">
        <w:rPr>
          <w:sz w:val="20"/>
          <w:szCs w:val="20"/>
        </w:rPr>
        <w:t xml:space="preserve"> </w:t>
      </w:r>
      <w:r w:rsidRPr="006A2252">
        <w:rPr>
          <w:sz w:val="20"/>
          <w:szCs w:val="20"/>
        </w:rPr>
        <w:t>18</w:t>
      </w:r>
      <w:r w:rsidR="009677D1" w:rsidRPr="006A2252">
        <w:rPr>
          <w:sz w:val="20"/>
          <w:szCs w:val="20"/>
        </w:rPr>
        <w:t xml:space="preserve"> </w:t>
      </w:r>
      <w:r w:rsidRPr="006A2252">
        <w:rPr>
          <w:sz w:val="20"/>
          <w:szCs w:val="20"/>
        </w:rPr>
        <w:t>(5):</w:t>
      </w:r>
      <w:r w:rsidR="009677D1" w:rsidRPr="006A2252">
        <w:rPr>
          <w:sz w:val="20"/>
          <w:szCs w:val="20"/>
        </w:rPr>
        <w:t xml:space="preserve"> </w:t>
      </w:r>
      <w:r w:rsidRPr="006A2252">
        <w:rPr>
          <w:sz w:val="20"/>
          <w:szCs w:val="20"/>
        </w:rPr>
        <w:t>1051.</w:t>
      </w:r>
      <w:r w:rsidR="009677D1" w:rsidRPr="006A2252">
        <w:rPr>
          <w:sz w:val="20"/>
          <w:szCs w:val="20"/>
        </w:rPr>
        <w:t xml:space="preserve"> </w:t>
      </w:r>
    </w:p>
    <w:p w:rsidR="00DE776F" w:rsidRPr="006A2252" w:rsidRDefault="00DE776F" w:rsidP="00FF4C83">
      <w:pPr>
        <w:pStyle w:val="ListParagraph"/>
        <w:numPr>
          <w:ilvl w:val="0"/>
          <w:numId w:val="2"/>
        </w:numPr>
        <w:snapToGrid w:val="0"/>
        <w:ind w:left="425" w:hanging="425"/>
        <w:jc w:val="both"/>
        <w:rPr>
          <w:sz w:val="20"/>
          <w:szCs w:val="20"/>
          <w:lang w:bidi="ar-EG"/>
        </w:rPr>
      </w:pPr>
      <w:r w:rsidRPr="006A2252">
        <w:rPr>
          <w:bCs/>
          <w:sz w:val="20"/>
          <w:szCs w:val="20"/>
          <w:lang w:bidi="ar-EG"/>
        </w:rPr>
        <w:t>Kraemer</w:t>
      </w:r>
      <w:r w:rsidR="009677D1" w:rsidRPr="006A2252">
        <w:rPr>
          <w:bCs/>
          <w:sz w:val="20"/>
          <w:szCs w:val="20"/>
          <w:lang w:bidi="ar-EG"/>
        </w:rPr>
        <w:t xml:space="preserve"> </w:t>
      </w:r>
      <w:r w:rsidRPr="006A2252">
        <w:rPr>
          <w:bCs/>
          <w:sz w:val="20"/>
          <w:szCs w:val="20"/>
          <w:lang w:bidi="ar-EG"/>
        </w:rPr>
        <w:t>WJ</w:t>
      </w:r>
      <w:r w:rsidR="00FF4C83" w:rsidRPr="006A2252">
        <w:rPr>
          <w:bCs/>
          <w:color w:val="000000"/>
          <w:sz w:val="20"/>
          <w:szCs w:val="20"/>
          <w:lang w:bidi="ar-EG"/>
        </w:rPr>
        <w:t xml:space="preserve">, </w:t>
      </w:r>
      <w:r w:rsidR="00FF4C83" w:rsidRPr="006A2252">
        <w:rPr>
          <w:bCs/>
          <w:color w:val="000000"/>
          <w:sz w:val="20"/>
          <w:szCs w:val="20"/>
          <w:shd w:val="clear" w:color="auto" w:fill="FFFFFF"/>
        </w:rPr>
        <w:t>H</w:t>
      </w:r>
      <w:r w:rsidRPr="006A2252">
        <w:rPr>
          <w:bCs/>
          <w:color w:val="000000"/>
          <w:sz w:val="20"/>
          <w:szCs w:val="20"/>
          <w:shd w:val="clear" w:color="auto" w:fill="FFFFFF"/>
        </w:rPr>
        <w:t>atfiel</w:t>
      </w:r>
      <w:r w:rsidR="00FF4C83" w:rsidRPr="006A2252">
        <w:rPr>
          <w:bCs/>
          <w:color w:val="000000"/>
          <w:sz w:val="20"/>
          <w:szCs w:val="20"/>
          <w:shd w:val="clear" w:color="auto" w:fill="FFFFFF"/>
        </w:rPr>
        <w:t>d D</w:t>
      </w:r>
      <w:r w:rsidRPr="006A2252">
        <w:rPr>
          <w:bCs/>
          <w:color w:val="000000"/>
          <w:sz w:val="20"/>
          <w:szCs w:val="20"/>
          <w:shd w:val="clear" w:color="auto" w:fill="FFFFFF"/>
        </w:rPr>
        <w:t>L,</w:t>
      </w:r>
      <w:r w:rsidR="009677D1" w:rsidRPr="006A2252">
        <w:rPr>
          <w:bCs/>
          <w:color w:val="000000"/>
          <w:sz w:val="20"/>
          <w:szCs w:val="20"/>
          <w:shd w:val="clear" w:color="auto" w:fill="FFFFFF"/>
        </w:rPr>
        <w:t xml:space="preserve"> </w:t>
      </w:r>
      <w:proofErr w:type="spellStart"/>
      <w:r w:rsidRPr="006A2252">
        <w:rPr>
          <w:bCs/>
          <w:color w:val="000000"/>
          <w:sz w:val="20"/>
          <w:szCs w:val="20"/>
          <w:shd w:val="clear" w:color="auto" w:fill="FFFFFF"/>
        </w:rPr>
        <w:t>Volek</w:t>
      </w:r>
      <w:proofErr w:type="spellEnd"/>
      <w:r w:rsidR="009677D1" w:rsidRPr="006A2252">
        <w:rPr>
          <w:bCs/>
          <w:color w:val="000000"/>
          <w:sz w:val="20"/>
          <w:szCs w:val="20"/>
          <w:shd w:val="clear" w:color="auto" w:fill="FFFFFF"/>
        </w:rPr>
        <w:t xml:space="preserve"> </w:t>
      </w:r>
      <w:r w:rsidRPr="006A2252">
        <w:rPr>
          <w:bCs/>
          <w:color w:val="000000"/>
          <w:sz w:val="20"/>
          <w:szCs w:val="20"/>
          <w:shd w:val="clear" w:color="auto" w:fill="FFFFFF"/>
        </w:rPr>
        <w:t>JS</w:t>
      </w:r>
      <w:r w:rsidR="00FF4C83" w:rsidRPr="006A2252">
        <w:rPr>
          <w:bCs/>
          <w:color w:val="000000"/>
          <w:sz w:val="20"/>
          <w:szCs w:val="20"/>
          <w:shd w:val="clear" w:color="auto" w:fill="FFFFFF"/>
        </w:rPr>
        <w:t xml:space="preserve">, </w:t>
      </w:r>
      <w:proofErr w:type="spellStart"/>
      <w:r w:rsidR="00FF4C83" w:rsidRPr="006A2252">
        <w:rPr>
          <w:bCs/>
          <w:color w:val="000000"/>
          <w:sz w:val="20"/>
          <w:szCs w:val="20"/>
          <w:shd w:val="clear" w:color="auto" w:fill="FFFFFF"/>
        </w:rPr>
        <w:t>F</w:t>
      </w:r>
      <w:r w:rsidRPr="006A2252">
        <w:rPr>
          <w:bCs/>
          <w:color w:val="000000"/>
          <w:sz w:val="20"/>
          <w:szCs w:val="20"/>
          <w:shd w:val="clear" w:color="auto" w:fill="FFFFFF"/>
        </w:rPr>
        <w:t>ragala</w:t>
      </w:r>
      <w:proofErr w:type="spellEnd"/>
      <w:r w:rsidR="009677D1" w:rsidRPr="006A2252">
        <w:rPr>
          <w:bCs/>
          <w:color w:val="000000"/>
          <w:sz w:val="20"/>
          <w:szCs w:val="20"/>
          <w:shd w:val="clear" w:color="auto" w:fill="FFFFFF"/>
        </w:rPr>
        <w:t xml:space="preserve"> </w:t>
      </w:r>
      <w:r w:rsidRPr="006A2252">
        <w:rPr>
          <w:bCs/>
          <w:color w:val="000000"/>
          <w:sz w:val="20"/>
          <w:szCs w:val="20"/>
          <w:shd w:val="clear" w:color="auto" w:fill="FFFFFF"/>
        </w:rPr>
        <w:t>MS,</w:t>
      </w:r>
      <w:r w:rsidR="009677D1" w:rsidRPr="006A2252">
        <w:rPr>
          <w:bCs/>
          <w:color w:val="000000"/>
          <w:sz w:val="20"/>
          <w:szCs w:val="20"/>
          <w:shd w:val="clear" w:color="auto" w:fill="FFFFFF"/>
        </w:rPr>
        <w:t xml:space="preserve"> </w:t>
      </w:r>
      <w:proofErr w:type="spellStart"/>
      <w:r w:rsidRPr="006A2252">
        <w:rPr>
          <w:bCs/>
          <w:color w:val="000000"/>
          <w:sz w:val="20"/>
          <w:szCs w:val="20"/>
          <w:shd w:val="clear" w:color="auto" w:fill="FFFFFF"/>
        </w:rPr>
        <w:t>Vingren</w:t>
      </w:r>
      <w:proofErr w:type="spellEnd"/>
      <w:r w:rsidR="009677D1" w:rsidRPr="006A2252">
        <w:rPr>
          <w:bCs/>
          <w:color w:val="000000"/>
          <w:sz w:val="20"/>
          <w:szCs w:val="20"/>
          <w:shd w:val="clear" w:color="auto" w:fill="FFFFFF"/>
        </w:rPr>
        <w:t xml:space="preserve"> </w:t>
      </w:r>
      <w:r w:rsidRPr="006A2252">
        <w:rPr>
          <w:bCs/>
          <w:color w:val="000000"/>
          <w:sz w:val="20"/>
          <w:szCs w:val="20"/>
          <w:shd w:val="clear" w:color="auto" w:fill="FFFFFF"/>
        </w:rPr>
        <w:t>JL,</w:t>
      </w:r>
      <w:r w:rsidR="009677D1" w:rsidRPr="006A2252">
        <w:rPr>
          <w:bCs/>
          <w:color w:val="000000"/>
          <w:sz w:val="20"/>
          <w:szCs w:val="20"/>
          <w:shd w:val="clear" w:color="auto" w:fill="FFFFFF"/>
        </w:rPr>
        <w:t xml:space="preserve"> </w:t>
      </w:r>
      <w:r w:rsidRPr="006A2252">
        <w:rPr>
          <w:bCs/>
          <w:color w:val="000000"/>
          <w:sz w:val="20"/>
          <w:szCs w:val="20"/>
          <w:shd w:val="clear" w:color="auto" w:fill="FFFFFF"/>
        </w:rPr>
        <w:t>Anderson</w:t>
      </w:r>
      <w:r w:rsidR="009677D1" w:rsidRPr="006A2252">
        <w:rPr>
          <w:bCs/>
          <w:color w:val="000000"/>
          <w:sz w:val="20"/>
          <w:szCs w:val="20"/>
          <w:shd w:val="clear" w:color="auto" w:fill="FFFFFF"/>
        </w:rPr>
        <w:t xml:space="preserve"> </w:t>
      </w:r>
      <w:r w:rsidRPr="006A2252">
        <w:rPr>
          <w:bCs/>
          <w:color w:val="000000"/>
          <w:sz w:val="20"/>
          <w:szCs w:val="20"/>
          <w:shd w:val="clear" w:color="auto" w:fill="FFFFFF"/>
        </w:rPr>
        <w:t>JM</w:t>
      </w:r>
      <w:r w:rsidR="00FF4C83" w:rsidRPr="006A2252">
        <w:rPr>
          <w:bCs/>
          <w:color w:val="000000"/>
          <w:sz w:val="20"/>
          <w:szCs w:val="20"/>
          <w:shd w:val="clear" w:color="auto" w:fill="FFFFFF"/>
        </w:rPr>
        <w:t xml:space="preserve">, </w:t>
      </w:r>
      <w:proofErr w:type="spellStart"/>
      <w:r w:rsidR="00FF4C83" w:rsidRPr="006A2252">
        <w:rPr>
          <w:bCs/>
          <w:color w:val="000000"/>
          <w:sz w:val="20"/>
          <w:szCs w:val="20"/>
          <w:shd w:val="clear" w:color="auto" w:fill="FFFFFF"/>
        </w:rPr>
        <w:t>S</w:t>
      </w:r>
      <w:r w:rsidRPr="006A2252">
        <w:rPr>
          <w:bCs/>
          <w:color w:val="000000"/>
          <w:sz w:val="20"/>
          <w:szCs w:val="20"/>
          <w:shd w:val="clear" w:color="auto" w:fill="FFFFFF"/>
        </w:rPr>
        <w:t>piering</w:t>
      </w:r>
      <w:proofErr w:type="spellEnd"/>
      <w:r w:rsidR="009677D1" w:rsidRPr="006A2252">
        <w:rPr>
          <w:bCs/>
          <w:color w:val="000000"/>
          <w:sz w:val="20"/>
          <w:szCs w:val="20"/>
          <w:shd w:val="clear" w:color="auto" w:fill="FFFFFF"/>
        </w:rPr>
        <w:t xml:space="preserve"> </w:t>
      </w:r>
      <w:r w:rsidRPr="006A2252">
        <w:rPr>
          <w:bCs/>
          <w:color w:val="000000"/>
          <w:sz w:val="20"/>
          <w:szCs w:val="20"/>
          <w:shd w:val="clear" w:color="auto" w:fill="FFFFFF"/>
        </w:rPr>
        <w:t>BA,</w:t>
      </w:r>
      <w:r w:rsidR="009677D1" w:rsidRPr="006A2252">
        <w:rPr>
          <w:bCs/>
          <w:color w:val="000000"/>
          <w:sz w:val="20"/>
          <w:szCs w:val="20"/>
          <w:shd w:val="clear" w:color="auto" w:fill="FFFFFF"/>
        </w:rPr>
        <w:t xml:space="preserve"> </w:t>
      </w:r>
      <w:r w:rsidRPr="006A2252">
        <w:rPr>
          <w:bCs/>
          <w:color w:val="000000"/>
          <w:sz w:val="20"/>
          <w:szCs w:val="20"/>
          <w:shd w:val="clear" w:color="auto" w:fill="FFFFFF"/>
        </w:rPr>
        <w:t>Thomas</w:t>
      </w:r>
      <w:r w:rsidR="009677D1" w:rsidRPr="006A2252">
        <w:rPr>
          <w:bCs/>
          <w:color w:val="000000"/>
          <w:sz w:val="20"/>
          <w:szCs w:val="20"/>
          <w:shd w:val="clear" w:color="auto" w:fill="FFFFFF"/>
        </w:rPr>
        <w:t xml:space="preserve"> </w:t>
      </w:r>
      <w:r w:rsidRPr="006A2252">
        <w:rPr>
          <w:bCs/>
          <w:color w:val="000000"/>
          <w:sz w:val="20"/>
          <w:szCs w:val="20"/>
          <w:shd w:val="clear" w:color="auto" w:fill="FFFFFF"/>
        </w:rPr>
        <w:t>GA,</w:t>
      </w:r>
      <w:r w:rsidR="009677D1" w:rsidRPr="006A2252">
        <w:rPr>
          <w:bCs/>
          <w:color w:val="000000"/>
          <w:sz w:val="20"/>
          <w:szCs w:val="20"/>
          <w:shd w:val="clear" w:color="auto" w:fill="FFFFFF"/>
        </w:rPr>
        <w:t xml:space="preserve"> </w:t>
      </w:r>
      <w:r w:rsidRPr="006A2252">
        <w:rPr>
          <w:bCs/>
          <w:color w:val="000000"/>
          <w:sz w:val="20"/>
          <w:szCs w:val="20"/>
          <w:shd w:val="clear" w:color="auto" w:fill="FFFFFF"/>
        </w:rPr>
        <w:t>Ho</w:t>
      </w:r>
      <w:r w:rsidR="009677D1" w:rsidRPr="006A2252">
        <w:rPr>
          <w:bCs/>
          <w:color w:val="000000"/>
          <w:sz w:val="20"/>
          <w:szCs w:val="20"/>
          <w:shd w:val="clear" w:color="auto" w:fill="FFFFFF"/>
        </w:rPr>
        <w:t xml:space="preserve"> </w:t>
      </w:r>
      <w:r w:rsidRPr="006A2252">
        <w:rPr>
          <w:bCs/>
          <w:color w:val="000000"/>
          <w:sz w:val="20"/>
          <w:szCs w:val="20"/>
          <w:shd w:val="clear" w:color="auto" w:fill="FFFFFF"/>
        </w:rPr>
        <w:t>JY</w:t>
      </w:r>
      <w:r w:rsidR="00FF4C83" w:rsidRPr="006A2252">
        <w:rPr>
          <w:bCs/>
          <w:color w:val="000000"/>
          <w:sz w:val="20"/>
          <w:szCs w:val="20"/>
          <w:shd w:val="clear" w:color="auto" w:fill="FFFFFF"/>
        </w:rPr>
        <w:t xml:space="preserve">, </w:t>
      </w:r>
      <w:proofErr w:type="spellStart"/>
      <w:r w:rsidR="00FF4C83" w:rsidRPr="006A2252">
        <w:rPr>
          <w:bCs/>
          <w:color w:val="000000"/>
          <w:sz w:val="20"/>
          <w:szCs w:val="20"/>
          <w:shd w:val="clear" w:color="auto" w:fill="FFFFFF"/>
        </w:rPr>
        <w:t>Q</w:t>
      </w:r>
      <w:r w:rsidRPr="006A2252">
        <w:rPr>
          <w:bCs/>
          <w:color w:val="000000"/>
          <w:sz w:val="20"/>
          <w:szCs w:val="20"/>
          <w:shd w:val="clear" w:color="auto" w:fill="FFFFFF"/>
        </w:rPr>
        <w:t>uann</w:t>
      </w:r>
      <w:proofErr w:type="spellEnd"/>
      <w:r w:rsidR="009677D1" w:rsidRPr="006A2252">
        <w:rPr>
          <w:bCs/>
          <w:color w:val="000000"/>
          <w:sz w:val="20"/>
          <w:szCs w:val="20"/>
          <w:shd w:val="clear" w:color="auto" w:fill="FFFFFF"/>
        </w:rPr>
        <w:t xml:space="preserve"> </w:t>
      </w:r>
      <w:r w:rsidRPr="006A2252">
        <w:rPr>
          <w:bCs/>
          <w:color w:val="000000"/>
          <w:sz w:val="20"/>
          <w:szCs w:val="20"/>
          <w:shd w:val="clear" w:color="auto" w:fill="FFFFFF"/>
        </w:rPr>
        <w:t>EE,</w:t>
      </w:r>
      <w:r w:rsidR="009677D1" w:rsidRPr="006A2252">
        <w:rPr>
          <w:bCs/>
          <w:color w:val="000000"/>
          <w:sz w:val="20"/>
          <w:szCs w:val="20"/>
          <w:shd w:val="clear" w:color="auto" w:fill="FFFFFF"/>
        </w:rPr>
        <w:t xml:space="preserve"> </w:t>
      </w:r>
      <w:proofErr w:type="spellStart"/>
      <w:r w:rsidRPr="006A2252">
        <w:rPr>
          <w:bCs/>
          <w:color w:val="000000"/>
          <w:sz w:val="20"/>
          <w:szCs w:val="20"/>
          <w:shd w:val="clear" w:color="auto" w:fill="FFFFFF"/>
        </w:rPr>
        <w:t>Izquierdo</w:t>
      </w:r>
      <w:proofErr w:type="spellEnd"/>
      <w:r w:rsidR="009677D1" w:rsidRPr="006A2252">
        <w:rPr>
          <w:bCs/>
          <w:color w:val="000000"/>
          <w:sz w:val="20"/>
          <w:szCs w:val="20"/>
          <w:shd w:val="clear" w:color="auto" w:fill="FFFFFF"/>
        </w:rPr>
        <w:t xml:space="preserve"> </w:t>
      </w:r>
      <w:r w:rsidRPr="006A2252">
        <w:rPr>
          <w:bCs/>
          <w:color w:val="000000"/>
          <w:sz w:val="20"/>
          <w:szCs w:val="20"/>
          <w:shd w:val="clear" w:color="auto" w:fill="FFFFFF"/>
        </w:rPr>
        <w:t>M,</w:t>
      </w:r>
      <w:r w:rsidR="009677D1" w:rsidRPr="006A2252">
        <w:rPr>
          <w:bCs/>
          <w:color w:val="000000"/>
          <w:sz w:val="20"/>
          <w:szCs w:val="20"/>
          <w:shd w:val="clear" w:color="auto" w:fill="FFFFFF"/>
        </w:rPr>
        <w:t xml:space="preserve"> </w:t>
      </w:r>
      <w:proofErr w:type="spellStart"/>
      <w:r w:rsidRPr="006A2252">
        <w:rPr>
          <w:bCs/>
          <w:color w:val="000000"/>
          <w:sz w:val="20"/>
          <w:szCs w:val="20"/>
          <w:shd w:val="clear" w:color="auto" w:fill="FFFFFF"/>
        </w:rPr>
        <w:t>Häkkinen</w:t>
      </w:r>
      <w:proofErr w:type="spellEnd"/>
      <w:r w:rsidR="009677D1" w:rsidRPr="006A2252">
        <w:rPr>
          <w:bCs/>
          <w:color w:val="000000"/>
          <w:sz w:val="20"/>
          <w:szCs w:val="20"/>
          <w:shd w:val="clear" w:color="auto" w:fill="FFFFFF"/>
        </w:rPr>
        <w:t xml:space="preserve"> </w:t>
      </w:r>
      <w:r w:rsidRPr="006A2252">
        <w:rPr>
          <w:bCs/>
          <w:color w:val="000000"/>
          <w:sz w:val="20"/>
          <w:szCs w:val="20"/>
          <w:shd w:val="clear" w:color="auto" w:fill="FFFFFF"/>
        </w:rPr>
        <w:t>K,</w:t>
      </w:r>
      <w:r w:rsidR="009677D1" w:rsidRPr="006A2252">
        <w:rPr>
          <w:bCs/>
          <w:color w:val="000000"/>
          <w:sz w:val="20"/>
          <w:szCs w:val="20"/>
          <w:shd w:val="clear" w:color="auto" w:fill="FFFFFF"/>
        </w:rPr>
        <w:t xml:space="preserve"> </w:t>
      </w:r>
      <w:proofErr w:type="spellStart"/>
      <w:r w:rsidRPr="006A2252">
        <w:rPr>
          <w:bCs/>
          <w:color w:val="000000"/>
          <w:sz w:val="20"/>
          <w:szCs w:val="20"/>
          <w:shd w:val="clear" w:color="auto" w:fill="FFFFFF"/>
        </w:rPr>
        <w:t>Maresh</w:t>
      </w:r>
      <w:proofErr w:type="spellEnd"/>
      <w:r w:rsidR="009677D1" w:rsidRPr="006A2252">
        <w:rPr>
          <w:bCs/>
          <w:color w:val="000000"/>
          <w:sz w:val="20"/>
          <w:szCs w:val="20"/>
          <w:shd w:val="clear" w:color="auto" w:fill="FFFFFF"/>
        </w:rPr>
        <w:t xml:space="preserve"> </w:t>
      </w:r>
      <w:r w:rsidRPr="006A2252">
        <w:rPr>
          <w:bCs/>
          <w:color w:val="000000"/>
          <w:sz w:val="20"/>
          <w:szCs w:val="20"/>
          <w:shd w:val="clear" w:color="auto" w:fill="FFFFFF"/>
        </w:rPr>
        <w:t>CM.</w:t>
      </w:r>
      <w:r w:rsidR="009677D1" w:rsidRPr="006A2252">
        <w:rPr>
          <w:bCs/>
          <w:sz w:val="20"/>
          <w:szCs w:val="20"/>
          <w:lang w:bidi="ar-EG"/>
        </w:rPr>
        <w:t xml:space="preserve"> </w:t>
      </w:r>
      <w:r w:rsidRPr="006A2252">
        <w:rPr>
          <w:bCs/>
          <w:sz w:val="20"/>
          <w:szCs w:val="20"/>
          <w:lang w:bidi="ar-EG"/>
        </w:rPr>
        <w:t>“</w:t>
      </w:r>
      <w:r w:rsidRPr="006A2252">
        <w:rPr>
          <w:sz w:val="20"/>
          <w:szCs w:val="20"/>
          <w:lang w:bidi="ar-EG"/>
        </w:rPr>
        <w:t>Effects</w:t>
      </w:r>
      <w:r w:rsidR="009677D1" w:rsidRPr="006A2252">
        <w:rPr>
          <w:sz w:val="20"/>
          <w:szCs w:val="20"/>
          <w:lang w:bidi="ar-EG"/>
        </w:rPr>
        <w:t xml:space="preserve"> </w:t>
      </w:r>
      <w:r w:rsidRPr="006A2252">
        <w:rPr>
          <w:sz w:val="20"/>
          <w:szCs w:val="20"/>
          <w:lang w:bidi="ar-EG"/>
        </w:rPr>
        <w:t>of</w:t>
      </w:r>
      <w:r w:rsidR="009677D1" w:rsidRPr="006A2252">
        <w:rPr>
          <w:sz w:val="20"/>
          <w:szCs w:val="20"/>
          <w:lang w:bidi="ar-EG"/>
        </w:rPr>
        <w:t xml:space="preserve"> </w:t>
      </w:r>
      <w:r w:rsidRPr="006A2252">
        <w:rPr>
          <w:sz w:val="20"/>
          <w:szCs w:val="20"/>
          <w:lang w:bidi="ar-EG"/>
        </w:rPr>
        <w:t>amino</w:t>
      </w:r>
      <w:r w:rsidR="009677D1" w:rsidRPr="006A2252">
        <w:rPr>
          <w:sz w:val="20"/>
          <w:szCs w:val="20"/>
          <w:lang w:bidi="ar-EG"/>
        </w:rPr>
        <w:t xml:space="preserve"> </w:t>
      </w:r>
      <w:r w:rsidRPr="006A2252">
        <w:rPr>
          <w:sz w:val="20"/>
          <w:szCs w:val="20"/>
          <w:lang w:bidi="ar-EG"/>
        </w:rPr>
        <w:t>acids</w:t>
      </w:r>
      <w:r w:rsidR="009677D1" w:rsidRPr="006A2252">
        <w:rPr>
          <w:sz w:val="20"/>
          <w:szCs w:val="20"/>
          <w:lang w:bidi="ar-EG"/>
        </w:rPr>
        <w:t xml:space="preserve"> </w:t>
      </w:r>
      <w:r w:rsidRPr="006A2252">
        <w:rPr>
          <w:sz w:val="20"/>
          <w:szCs w:val="20"/>
          <w:lang w:bidi="ar-EG"/>
        </w:rPr>
        <w:t>supplement</w:t>
      </w:r>
      <w:r w:rsidR="009677D1" w:rsidRPr="006A2252">
        <w:rPr>
          <w:sz w:val="20"/>
          <w:szCs w:val="20"/>
          <w:lang w:bidi="ar-EG"/>
        </w:rPr>
        <w:t xml:space="preserve"> </w:t>
      </w:r>
      <w:r w:rsidRPr="006A2252">
        <w:rPr>
          <w:sz w:val="20"/>
          <w:szCs w:val="20"/>
          <w:lang w:bidi="ar-EG"/>
        </w:rPr>
        <w:t>on</w:t>
      </w:r>
      <w:r w:rsidR="009677D1" w:rsidRPr="006A2252">
        <w:rPr>
          <w:sz w:val="20"/>
          <w:szCs w:val="20"/>
          <w:lang w:bidi="ar-EG"/>
        </w:rPr>
        <w:t xml:space="preserve"> </w:t>
      </w:r>
      <w:r w:rsidRPr="006A2252">
        <w:rPr>
          <w:sz w:val="20"/>
          <w:szCs w:val="20"/>
          <w:lang w:bidi="ar-EG"/>
        </w:rPr>
        <w:t>physiological</w:t>
      </w:r>
      <w:r w:rsidR="009677D1" w:rsidRPr="006A2252">
        <w:rPr>
          <w:sz w:val="20"/>
          <w:szCs w:val="20"/>
          <w:lang w:bidi="ar-EG"/>
        </w:rPr>
        <w:t xml:space="preserve"> </w:t>
      </w:r>
      <w:r w:rsidRPr="006A2252">
        <w:rPr>
          <w:sz w:val="20"/>
          <w:szCs w:val="20"/>
          <w:lang w:bidi="ar-EG"/>
        </w:rPr>
        <w:t>adaptations</w:t>
      </w:r>
      <w:r w:rsidR="009677D1" w:rsidRPr="006A2252">
        <w:rPr>
          <w:sz w:val="20"/>
          <w:szCs w:val="20"/>
          <w:lang w:bidi="ar-EG"/>
        </w:rPr>
        <w:t xml:space="preserve"> </w:t>
      </w:r>
      <w:r w:rsidRPr="006A2252">
        <w:rPr>
          <w:sz w:val="20"/>
          <w:szCs w:val="20"/>
          <w:lang w:bidi="ar-EG"/>
        </w:rPr>
        <w:t>to</w:t>
      </w:r>
      <w:r w:rsidR="009677D1" w:rsidRPr="006A2252">
        <w:rPr>
          <w:sz w:val="20"/>
          <w:szCs w:val="20"/>
          <w:lang w:bidi="ar-EG"/>
        </w:rPr>
        <w:t xml:space="preserve"> </w:t>
      </w:r>
      <w:r w:rsidRPr="006A2252">
        <w:rPr>
          <w:sz w:val="20"/>
          <w:szCs w:val="20"/>
          <w:lang w:bidi="ar-EG"/>
        </w:rPr>
        <w:t>resistance</w:t>
      </w:r>
      <w:r w:rsidR="009677D1" w:rsidRPr="006A2252">
        <w:rPr>
          <w:sz w:val="20"/>
          <w:szCs w:val="20"/>
          <w:lang w:bidi="ar-EG"/>
        </w:rPr>
        <w:t xml:space="preserve"> </w:t>
      </w:r>
      <w:r w:rsidRPr="006A2252">
        <w:rPr>
          <w:sz w:val="20"/>
          <w:szCs w:val="20"/>
          <w:lang w:bidi="ar-EG"/>
        </w:rPr>
        <w:t>training.”</w:t>
      </w:r>
      <w:r w:rsidR="009677D1" w:rsidRPr="006A2252">
        <w:rPr>
          <w:sz w:val="20"/>
          <w:szCs w:val="20"/>
          <w:lang w:bidi="ar-EG"/>
        </w:rPr>
        <w:t xml:space="preserve"> </w:t>
      </w:r>
      <w:r w:rsidRPr="006A2252">
        <w:rPr>
          <w:sz w:val="20"/>
          <w:szCs w:val="20"/>
          <w:lang w:bidi="ar-EG"/>
        </w:rPr>
        <w:t>Med</w:t>
      </w:r>
      <w:r w:rsidR="009677D1" w:rsidRPr="006A2252">
        <w:rPr>
          <w:sz w:val="20"/>
          <w:szCs w:val="20"/>
          <w:lang w:bidi="ar-EG"/>
        </w:rPr>
        <w:t xml:space="preserve"> </w:t>
      </w:r>
      <w:proofErr w:type="spellStart"/>
      <w:r w:rsidRPr="006A2252">
        <w:rPr>
          <w:sz w:val="20"/>
          <w:szCs w:val="20"/>
          <w:lang w:bidi="ar-EG"/>
        </w:rPr>
        <w:t>Sci</w:t>
      </w:r>
      <w:proofErr w:type="spellEnd"/>
      <w:r w:rsidR="009677D1" w:rsidRPr="006A2252">
        <w:rPr>
          <w:sz w:val="20"/>
          <w:szCs w:val="20"/>
          <w:lang w:bidi="ar-EG"/>
        </w:rPr>
        <w:t xml:space="preserve"> </w:t>
      </w:r>
      <w:r w:rsidRPr="006A2252">
        <w:rPr>
          <w:sz w:val="20"/>
          <w:szCs w:val="20"/>
          <w:lang w:bidi="ar-EG"/>
        </w:rPr>
        <w:t>Sports</w:t>
      </w:r>
      <w:r w:rsidR="009677D1" w:rsidRPr="006A2252">
        <w:rPr>
          <w:sz w:val="20"/>
          <w:szCs w:val="20"/>
          <w:lang w:bidi="ar-EG"/>
        </w:rPr>
        <w:t xml:space="preserve"> </w:t>
      </w:r>
      <w:proofErr w:type="spellStart"/>
      <w:r w:rsidRPr="006A2252">
        <w:rPr>
          <w:sz w:val="20"/>
          <w:szCs w:val="20"/>
          <w:lang w:bidi="ar-EG"/>
        </w:rPr>
        <w:t>Exerc</w:t>
      </w:r>
      <w:proofErr w:type="spellEnd"/>
      <w:r w:rsidR="009677D1" w:rsidRPr="006A2252">
        <w:rPr>
          <w:sz w:val="20"/>
          <w:szCs w:val="20"/>
          <w:lang w:bidi="ar-EG"/>
        </w:rPr>
        <w:t xml:space="preserve"> </w:t>
      </w:r>
      <w:r w:rsidRPr="006A2252">
        <w:rPr>
          <w:sz w:val="20"/>
          <w:szCs w:val="20"/>
          <w:lang w:bidi="ar-EG"/>
        </w:rPr>
        <w:t>2009.</w:t>
      </w:r>
      <w:r w:rsidR="009677D1" w:rsidRPr="006A2252">
        <w:rPr>
          <w:sz w:val="20"/>
          <w:szCs w:val="20"/>
          <w:lang w:bidi="ar-EG"/>
        </w:rPr>
        <w:t xml:space="preserve"> </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Kuhn</w:t>
      </w:r>
      <w:r w:rsidR="009677D1" w:rsidRPr="006A2252">
        <w:rPr>
          <w:bCs/>
          <w:sz w:val="20"/>
          <w:szCs w:val="20"/>
        </w:rPr>
        <w:t xml:space="preserve"> </w:t>
      </w:r>
      <w:r w:rsidRPr="006A2252">
        <w:rPr>
          <w:bCs/>
          <w:sz w:val="20"/>
          <w:szCs w:val="20"/>
        </w:rPr>
        <w:t>KS,</w:t>
      </w:r>
      <w:r w:rsidR="009677D1" w:rsidRPr="006A2252">
        <w:rPr>
          <w:bCs/>
          <w:sz w:val="20"/>
          <w:szCs w:val="20"/>
        </w:rPr>
        <w:t xml:space="preserve"> </w:t>
      </w:r>
      <w:proofErr w:type="spellStart"/>
      <w:r w:rsidRPr="006A2252">
        <w:rPr>
          <w:bCs/>
          <w:sz w:val="20"/>
          <w:szCs w:val="20"/>
        </w:rPr>
        <w:t>Muscaritoli</w:t>
      </w:r>
      <w:proofErr w:type="spellEnd"/>
      <w:r w:rsidR="009677D1" w:rsidRPr="006A2252">
        <w:rPr>
          <w:bCs/>
          <w:sz w:val="20"/>
          <w:szCs w:val="20"/>
        </w:rPr>
        <w:t xml:space="preserve"> </w:t>
      </w:r>
      <w:r w:rsidRPr="006A2252">
        <w:rPr>
          <w:bCs/>
          <w:sz w:val="20"/>
          <w:szCs w:val="20"/>
        </w:rPr>
        <w:t>M,</w:t>
      </w:r>
      <w:r w:rsidR="009677D1" w:rsidRPr="006A2252">
        <w:rPr>
          <w:bCs/>
          <w:sz w:val="20"/>
          <w:szCs w:val="20"/>
        </w:rPr>
        <w:t xml:space="preserve"> </w:t>
      </w:r>
      <w:proofErr w:type="spellStart"/>
      <w:r w:rsidRPr="006A2252">
        <w:rPr>
          <w:bCs/>
          <w:sz w:val="20"/>
          <w:szCs w:val="20"/>
        </w:rPr>
        <w:t>Wischmeyer</w:t>
      </w:r>
      <w:proofErr w:type="spellEnd"/>
      <w:r w:rsidR="009677D1" w:rsidRPr="006A2252">
        <w:rPr>
          <w:bCs/>
          <w:sz w:val="20"/>
          <w:szCs w:val="20"/>
        </w:rPr>
        <w:t xml:space="preserve"> </w:t>
      </w:r>
      <w:r w:rsidRPr="006A2252">
        <w:rPr>
          <w:bCs/>
          <w:sz w:val="20"/>
          <w:szCs w:val="20"/>
        </w:rPr>
        <w:t>P,</w:t>
      </w:r>
      <w:r w:rsidR="009677D1" w:rsidRPr="006A2252">
        <w:rPr>
          <w:bCs/>
          <w:sz w:val="20"/>
          <w:szCs w:val="20"/>
        </w:rPr>
        <w:t xml:space="preserve"> </w:t>
      </w:r>
      <w:proofErr w:type="spellStart"/>
      <w:r w:rsidRPr="006A2252">
        <w:rPr>
          <w:bCs/>
          <w:sz w:val="20"/>
          <w:szCs w:val="20"/>
        </w:rPr>
        <w:t>Stehle</w:t>
      </w:r>
      <w:proofErr w:type="spellEnd"/>
      <w:r w:rsidR="009677D1" w:rsidRPr="006A2252">
        <w:rPr>
          <w:bCs/>
          <w:sz w:val="20"/>
          <w:szCs w:val="20"/>
        </w:rPr>
        <w:t xml:space="preserve"> </w:t>
      </w:r>
      <w:r w:rsidRPr="006A2252">
        <w:rPr>
          <w:bCs/>
          <w:sz w:val="20"/>
          <w:szCs w:val="20"/>
        </w:rPr>
        <w:t>P.</w:t>
      </w:r>
      <w:r w:rsidRPr="006A2252">
        <w:rPr>
          <w:sz w:val="20"/>
          <w:szCs w:val="20"/>
        </w:rPr>
        <w:t>“Glutamine</w:t>
      </w:r>
      <w:r w:rsidR="009677D1" w:rsidRPr="006A2252">
        <w:rPr>
          <w:sz w:val="20"/>
          <w:szCs w:val="20"/>
        </w:rPr>
        <w:t xml:space="preserve"> </w:t>
      </w:r>
      <w:r w:rsidRPr="006A2252">
        <w:rPr>
          <w:sz w:val="20"/>
          <w:szCs w:val="20"/>
        </w:rPr>
        <w:t>as</w:t>
      </w:r>
      <w:r w:rsidR="009677D1" w:rsidRPr="006A2252">
        <w:rPr>
          <w:sz w:val="20"/>
          <w:szCs w:val="20"/>
        </w:rPr>
        <w:t xml:space="preserve"> </w:t>
      </w:r>
      <w:r w:rsidRPr="006A2252">
        <w:rPr>
          <w:sz w:val="20"/>
          <w:szCs w:val="20"/>
        </w:rPr>
        <w:t>indispensable</w:t>
      </w:r>
      <w:r w:rsidR="009677D1" w:rsidRPr="006A2252">
        <w:rPr>
          <w:sz w:val="20"/>
          <w:szCs w:val="20"/>
        </w:rPr>
        <w:t xml:space="preserve"> </w:t>
      </w:r>
      <w:r w:rsidRPr="006A2252">
        <w:rPr>
          <w:sz w:val="20"/>
          <w:szCs w:val="20"/>
        </w:rPr>
        <w:t>nutrient</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oncology:</w:t>
      </w:r>
      <w:r w:rsidR="009677D1" w:rsidRPr="006A2252">
        <w:rPr>
          <w:sz w:val="20"/>
          <w:szCs w:val="20"/>
        </w:rPr>
        <w:t xml:space="preserve"> </w:t>
      </w:r>
      <w:r w:rsidRPr="006A2252">
        <w:rPr>
          <w:sz w:val="20"/>
          <w:szCs w:val="20"/>
        </w:rPr>
        <w:t>experimental</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clinical</w:t>
      </w:r>
      <w:r w:rsidR="009677D1" w:rsidRPr="006A2252">
        <w:rPr>
          <w:sz w:val="20"/>
          <w:szCs w:val="20"/>
        </w:rPr>
        <w:t xml:space="preserve"> </w:t>
      </w:r>
      <w:r w:rsidRPr="006A2252">
        <w:rPr>
          <w:sz w:val="20"/>
          <w:szCs w:val="20"/>
        </w:rPr>
        <w:t>evidence.”</w:t>
      </w:r>
      <w:r w:rsidR="009677D1" w:rsidRPr="006A2252">
        <w:rPr>
          <w:sz w:val="20"/>
          <w:szCs w:val="20"/>
        </w:rPr>
        <w:t xml:space="preserve"> </w:t>
      </w:r>
      <w:proofErr w:type="spellStart"/>
      <w:r w:rsidRPr="006A2252">
        <w:rPr>
          <w:sz w:val="20"/>
          <w:szCs w:val="20"/>
        </w:rPr>
        <w:t>Eur</w:t>
      </w:r>
      <w:proofErr w:type="spellEnd"/>
      <w:r w:rsidR="009677D1" w:rsidRPr="006A2252">
        <w:rPr>
          <w:sz w:val="20"/>
          <w:szCs w:val="20"/>
        </w:rPr>
        <w:t xml:space="preserve"> </w:t>
      </w:r>
      <w:r w:rsidRPr="006A2252">
        <w:rPr>
          <w:sz w:val="20"/>
          <w:szCs w:val="20"/>
        </w:rPr>
        <w:t>J</w:t>
      </w:r>
      <w:r w:rsidR="009677D1" w:rsidRPr="006A2252">
        <w:rPr>
          <w:sz w:val="20"/>
          <w:szCs w:val="20"/>
        </w:rPr>
        <w:t xml:space="preserve"> </w:t>
      </w:r>
      <w:proofErr w:type="spellStart"/>
      <w:r w:rsidRPr="006A2252">
        <w:rPr>
          <w:sz w:val="20"/>
          <w:szCs w:val="20"/>
        </w:rPr>
        <w:t>Nutr</w:t>
      </w:r>
      <w:proofErr w:type="spellEnd"/>
      <w:r w:rsidR="009677D1" w:rsidRPr="006A2252">
        <w:rPr>
          <w:sz w:val="20"/>
          <w:szCs w:val="20"/>
        </w:rPr>
        <w:t xml:space="preserve"> </w:t>
      </w:r>
      <w:r w:rsidRPr="006A2252">
        <w:rPr>
          <w:sz w:val="20"/>
          <w:szCs w:val="20"/>
        </w:rPr>
        <w:t>2010;</w:t>
      </w:r>
      <w:r w:rsidR="009677D1" w:rsidRPr="006A2252">
        <w:rPr>
          <w:sz w:val="20"/>
          <w:szCs w:val="20"/>
        </w:rPr>
        <w:t xml:space="preserve"> </w:t>
      </w:r>
      <w:r w:rsidRPr="006A2252">
        <w:rPr>
          <w:sz w:val="20"/>
          <w:szCs w:val="20"/>
        </w:rPr>
        <w:t>4:</w:t>
      </w:r>
      <w:r w:rsidR="009677D1" w:rsidRPr="006A2252">
        <w:rPr>
          <w:sz w:val="20"/>
          <w:szCs w:val="20"/>
        </w:rPr>
        <w:t xml:space="preserve"> </w:t>
      </w:r>
      <w:r w:rsidRPr="006A2252">
        <w:rPr>
          <w:sz w:val="20"/>
          <w:szCs w:val="20"/>
        </w:rPr>
        <w:t>197e210.</w:t>
      </w:r>
      <w:r w:rsidR="009677D1" w:rsidRPr="006A2252">
        <w:rPr>
          <w:sz w:val="20"/>
          <w:szCs w:val="20"/>
        </w:rPr>
        <w:t xml:space="preserve"> </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Landry</w:t>
      </w:r>
      <w:r w:rsidR="009677D1" w:rsidRPr="006A2252">
        <w:rPr>
          <w:bCs/>
          <w:sz w:val="20"/>
          <w:szCs w:val="20"/>
        </w:rPr>
        <w:t xml:space="preserve"> </w:t>
      </w:r>
      <w:r w:rsidRPr="006A2252">
        <w:rPr>
          <w:bCs/>
          <w:sz w:val="20"/>
          <w:szCs w:val="20"/>
        </w:rPr>
        <w:t>A,</w:t>
      </w:r>
      <w:r w:rsidR="009677D1" w:rsidRPr="006A2252">
        <w:rPr>
          <w:bCs/>
          <w:sz w:val="20"/>
          <w:szCs w:val="20"/>
        </w:rPr>
        <w:t xml:space="preserve"> </w:t>
      </w:r>
      <w:r w:rsidRPr="006A2252">
        <w:rPr>
          <w:bCs/>
          <w:sz w:val="20"/>
          <w:szCs w:val="20"/>
        </w:rPr>
        <w:t>Docherty</w:t>
      </w:r>
      <w:r w:rsidR="009677D1" w:rsidRPr="006A2252">
        <w:rPr>
          <w:bCs/>
          <w:sz w:val="20"/>
          <w:szCs w:val="20"/>
        </w:rPr>
        <w:t xml:space="preserve"> </w:t>
      </w:r>
      <w:r w:rsidRPr="006A2252">
        <w:rPr>
          <w:bCs/>
          <w:sz w:val="20"/>
          <w:szCs w:val="20"/>
        </w:rPr>
        <w:t>P,</w:t>
      </w:r>
      <w:r w:rsidR="009677D1" w:rsidRPr="006A2252">
        <w:rPr>
          <w:bCs/>
          <w:sz w:val="20"/>
          <w:szCs w:val="20"/>
        </w:rPr>
        <w:t xml:space="preserve"> </w:t>
      </w:r>
      <w:r w:rsidRPr="006A2252">
        <w:rPr>
          <w:bCs/>
          <w:sz w:val="20"/>
          <w:szCs w:val="20"/>
        </w:rPr>
        <w:t>Ouellette</w:t>
      </w:r>
      <w:r w:rsidR="009677D1" w:rsidRPr="006A2252">
        <w:rPr>
          <w:bCs/>
          <w:sz w:val="20"/>
          <w:szCs w:val="20"/>
        </w:rPr>
        <w:t xml:space="preserve"> </w:t>
      </w:r>
      <w:r w:rsidRPr="006A2252">
        <w:rPr>
          <w:bCs/>
          <w:sz w:val="20"/>
          <w:szCs w:val="20"/>
        </w:rPr>
        <w:t>S</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Cartier</w:t>
      </w:r>
      <w:r w:rsidR="009677D1" w:rsidRPr="006A2252">
        <w:rPr>
          <w:bCs/>
          <w:sz w:val="20"/>
          <w:szCs w:val="20"/>
        </w:rPr>
        <w:t xml:space="preserve"> </w:t>
      </w:r>
      <w:r w:rsidRPr="006A2252">
        <w:rPr>
          <w:bCs/>
          <w:sz w:val="20"/>
          <w:szCs w:val="20"/>
        </w:rPr>
        <w:t>LJ.</w:t>
      </w:r>
      <w:r w:rsidR="009677D1" w:rsidRPr="006A2252">
        <w:rPr>
          <w:bCs/>
          <w:sz w:val="20"/>
          <w:szCs w:val="20"/>
        </w:rPr>
        <w:t xml:space="preserve"> </w:t>
      </w:r>
      <w:r w:rsidRPr="006A2252">
        <w:rPr>
          <w:bCs/>
          <w:sz w:val="20"/>
          <w:szCs w:val="20"/>
        </w:rPr>
        <w:t>“</w:t>
      </w:r>
      <w:r w:rsidRPr="006A2252">
        <w:rPr>
          <w:sz w:val="20"/>
          <w:szCs w:val="20"/>
        </w:rPr>
        <w:t>Causes</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outcomes</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markedly</w:t>
      </w:r>
      <w:r w:rsidR="009677D1" w:rsidRPr="006A2252">
        <w:rPr>
          <w:sz w:val="20"/>
          <w:szCs w:val="20"/>
        </w:rPr>
        <w:t xml:space="preserve"> </w:t>
      </w:r>
      <w:r w:rsidRPr="006A2252">
        <w:rPr>
          <w:sz w:val="20"/>
          <w:szCs w:val="20"/>
        </w:rPr>
        <w:t>elevated</w:t>
      </w:r>
      <w:r w:rsidR="009677D1" w:rsidRPr="006A2252">
        <w:rPr>
          <w:sz w:val="20"/>
          <w:szCs w:val="20"/>
        </w:rPr>
        <w:t xml:space="preserve"> </w:t>
      </w:r>
      <w:r w:rsidRPr="006A2252">
        <w:rPr>
          <w:sz w:val="20"/>
          <w:szCs w:val="20"/>
        </w:rPr>
        <w:t>C-reactive</w:t>
      </w:r>
      <w:r w:rsidR="009677D1" w:rsidRPr="006A2252">
        <w:rPr>
          <w:sz w:val="20"/>
          <w:szCs w:val="20"/>
        </w:rPr>
        <w:t xml:space="preserve"> </w:t>
      </w:r>
      <w:r w:rsidRPr="006A2252">
        <w:rPr>
          <w:sz w:val="20"/>
          <w:szCs w:val="20"/>
        </w:rPr>
        <w:t>protein</w:t>
      </w:r>
      <w:r w:rsidR="009677D1" w:rsidRPr="006A2252">
        <w:rPr>
          <w:sz w:val="20"/>
          <w:szCs w:val="20"/>
        </w:rPr>
        <w:t xml:space="preserve"> </w:t>
      </w:r>
      <w:r w:rsidRPr="006A2252">
        <w:rPr>
          <w:sz w:val="20"/>
          <w:szCs w:val="20"/>
        </w:rPr>
        <w:t>levels.”</w:t>
      </w:r>
      <w:r w:rsidR="009677D1" w:rsidRPr="006A2252">
        <w:rPr>
          <w:sz w:val="20"/>
          <w:szCs w:val="20"/>
        </w:rPr>
        <w:t xml:space="preserve"> </w:t>
      </w:r>
      <w:r w:rsidRPr="006A2252">
        <w:rPr>
          <w:sz w:val="20"/>
          <w:szCs w:val="20"/>
        </w:rPr>
        <w:t>Canadian</w:t>
      </w:r>
      <w:r w:rsidR="009677D1" w:rsidRPr="006A2252">
        <w:rPr>
          <w:sz w:val="20"/>
          <w:szCs w:val="20"/>
        </w:rPr>
        <w:t xml:space="preserve"> </w:t>
      </w:r>
      <w:r w:rsidRPr="006A2252">
        <w:rPr>
          <w:sz w:val="20"/>
          <w:szCs w:val="20"/>
        </w:rPr>
        <w:t>family</w:t>
      </w:r>
      <w:r w:rsidR="009677D1" w:rsidRPr="006A2252">
        <w:rPr>
          <w:sz w:val="20"/>
          <w:szCs w:val="20"/>
        </w:rPr>
        <w:t xml:space="preserve"> </w:t>
      </w:r>
      <w:r w:rsidRPr="006A2252">
        <w:rPr>
          <w:sz w:val="20"/>
          <w:szCs w:val="20"/>
        </w:rPr>
        <w:t>physician</w:t>
      </w:r>
      <w:r w:rsidR="009677D1" w:rsidRPr="006A2252">
        <w:rPr>
          <w:sz w:val="20"/>
          <w:szCs w:val="20"/>
        </w:rPr>
        <w:t xml:space="preserve"> </w:t>
      </w:r>
      <w:proofErr w:type="spellStart"/>
      <w:r w:rsidRPr="006A2252">
        <w:rPr>
          <w:sz w:val="20"/>
          <w:szCs w:val="20"/>
        </w:rPr>
        <w:t>Medecin</w:t>
      </w:r>
      <w:proofErr w:type="spellEnd"/>
      <w:r w:rsidR="009677D1" w:rsidRPr="006A2252">
        <w:rPr>
          <w:sz w:val="20"/>
          <w:szCs w:val="20"/>
        </w:rPr>
        <w:t xml:space="preserve"> </w:t>
      </w:r>
      <w:r w:rsidRPr="006A2252">
        <w:rPr>
          <w:sz w:val="20"/>
          <w:szCs w:val="20"/>
        </w:rPr>
        <w:t>de</w:t>
      </w:r>
      <w:r w:rsidR="009677D1" w:rsidRPr="006A2252">
        <w:rPr>
          <w:sz w:val="20"/>
          <w:szCs w:val="20"/>
        </w:rPr>
        <w:t xml:space="preserve"> </w:t>
      </w:r>
      <w:proofErr w:type="spellStart"/>
      <w:r w:rsidRPr="006A2252">
        <w:rPr>
          <w:sz w:val="20"/>
          <w:szCs w:val="20"/>
        </w:rPr>
        <w:t>famille</w:t>
      </w:r>
      <w:proofErr w:type="spellEnd"/>
      <w:r w:rsidR="009677D1" w:rsidRPr="006A2252">
        <w:rPr>
          <w:sz w:val="20"/>
          <w:szCs w:val="20"/>
        </w:rPr>
        <w:t xml:space="preserve"> </w:t>
      </w:r>
      <w:proofErr w:type="spellStart"/>
      <w:r w:rsidRPr="006A2252">
        <w:rPr>
          <w:sz w:val="20"/>
          <w:szCs w:val="20"/>
        </w:rPr>
        <w:t>canadien</w:t>
      </w:r>
      <w:proofErr w:type="spellEnd"/>
      <w:r w:rsidRPr="006A2252">
        <w:rPr>
          <w:sz w:val="20"/>
          <w:szCs w:val="20"/>
        </w:rPr>
        <w:t>,</w:t>
      </w:r>
      <w:r w:rsidR="009677D1" w:rsidRPr="006A2252">
        <w:rPr>
          <w:sz w:val="20"/>
          <w:szCs w:val="20"/>
        </w:rPr>
        <w:t xml:space="preserve"> </w:t>
      </w:r>
      <w:r w:rsidRPr="006A2252">
        <w:rPr>
          <w:sz w:val="20"/>
          <w:szCs w:val="20"/>
        </w:rPr>
        <w:t>2017;</w:t>
      </w:r>
      <w:r w:rsidR="009677D1" w:rsidRPr="006A2252">
        <w:rPr>
          <w:sz w:val="20"/>
          <w:szCs w:val="20"/>
        </w:rPr>
        <w:t xml:space="preserve"> </w:t>
      </w:r>
      <w:r w:rsidRPr="006A2252">
        <w:rPr>
          <w:sz w:val="20"/>
          <w:szCs w:val="20"/>
        </w:rPr>
        <w:t>63(6):</w:t>
      </w:r>
      <w:r w:rsidR="009677D1" w:rsidRPr="006A2252">
        <w:rPr>
          <w:sz w:val="20"/>
          <w:szCs w:val="20"/>
        </w:rPr>
        <w:t xml:space="preserve"> </w:t>
      </w:r>
      <w:r w:rsidRPr="006A2252">
        <w:rPr>
          <w:sz w:val="20"/>
          <w:szCs w:val="20"/>
        </w:rPr>
        <w:t>e316-e323.</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Ljungqvist</w:t>
      </w:r>
      <w:proofErr w:type="spellEnd"/>
      <w:r w:rsidR="009677D1" w:rsidRPr="006A2252">
        <w:rPr>
          <w:bCs/>
          <w:sz w:val="20"/>
          <w:szCs w:val="20"/>
        </w:rPr>
        <w:t xml:space="preserve"> </w:t>
      </w:r>
      <w:r w:rsidRPr="006A2252">
        <w:rPr>
          <w:bCs/>
          <w:sz w:val="20"/>
          <w:szCs w:val="20"/>
        </w:rPr>
        <w:t>O,</w:t>
      </w:r>
      <w:r w:rsidR="009677D1" w:rsidRPr="006A2252">
        <w:rPr>
          <w:bCs/>
          <w:sz w:val="20"/>
          <w:szCs w:val="20"/>
        </w:rPr>
        <w:t xml:space="preserve"> </w:t>
      </w:r>
      <w:r w:rsidRPr="006A2252">
        <w:rPr>
          <w:bCs/>
          <w:sz w:val="20"/>
          <w:szCs w:val="20"/>
        </w:rPr>
        <w:t>Scott</w:t>
      </w:r>
      <w:r w:rsidR="009677D1" w:rsidRPr="006A2252">
        <w:rPr>
          <w:bCs/>
          <w:sz w:val="20"/>
          <w:szCs w:val="20"/>
        </w:rPr>
        <w:t xml:space="preserve"> </w:t>
      </w:r>
      <w:r w:rsidRPr="006A2252">
        <w:rPr>
          <w:bCs/>
          <w:sz w:val="20"/>
          <w:szCs w:val="20"/>
        </w:rPr>
        <w:t>M</w:t>
      </w:r>
      <w:r w:rsidR="009677D1" w:rsidRPr="006A2252">
        <w:rPr>
          <w:bCs/>
          <w:sz w:val="20"/>
          <w:szCs w:val="20"/>
        </w:rPr>
        <w:t xml:space="preserve"> </w:t>
      </w:r>
      <w:r w:rsidRPr="006A2252">
        <w:rPr>
          <w:bCs/>
          <w:sz w:val="20"/>
          <w:szCs w:val="20"/>
        </w:rPr>
        <w:t>and</w:t>
      </w:r>
      <w:r w:rsidR="009677D1" w:rsidRPr="006A2252">
        <w:rPr>
          <w:bCs/>
          <w:sz w:val="20"/>
          <w:szCs w:val="20"/>
        </w:rPr>
        <w:t xml:space="preserve"> </w:t>
      </w:r>
      <w:proofErr w:type="spellStart"/>
      <w:r w:rsidRPr="006A2252">
        <w:rPr>
          <w:bCs/>
          <w:sz w:val="20"/>
          <w:szCs w:val="20"/>
        </w:rPr>
        <w:t>Fearon</w:t>
      </w:r>
      <w:proofErr w:type="spellEnd"/>
      <w:r w:rsidR="009677D1" w:rsidRPr="006A2252">
        <w:rPr>
          <w:bCs/>
          <w:sz w:val="20"/>
          <w:szCs w:val="20"/>
        </w:rPr>
        <w:t xml:space="preserve"> </w:t>
      </w:r>
      <w:r w:rsidRPr="006A2252">
        <w:rPr>
          <w:bCs/>
          <w:sz w:val="20"/>
          <w:szCs w:val="20"/>
        </w:rPr>
        <w:t>KC.</w:t>
      </w:r>
      <w:r w:rsidR="009677D1" w:rsidRPr="006A2252">
        <w:rPr>
          <w:bCs/>
          <w:sz w:val="20"/>
          <w:szCs w:val="20"/>
        </w:rPr>
        <w:t xml:space="preserve"> </w:t>
      </w:r>
      <w:r w:rsidRPr="006A2252">
        <w:rPr>
          <w:bCs/>
          <w:sz w:val="20"/>
          <w:szCs w:val="20"/>
        </w:rPr>
        <w:t>“</w:t>
      </w:r>
      <w:r w:rsidRPr="006A2252">
        <w:rPr>
          <w:sz w:val="20"/>
          <w:szCs w:val="20"/>
        </w:rPr>
        <w:t>Enhanced</w:t>
      </w:r>
      <w:r w:rsidR="009677D1" w:rsidRPr="006A2252">
        <w:rPr>
          <w:sz w:val="20"/>
          <w:szCs w:val="20"/>
        </w:rPr>
        <w:t xml:space="preserve"> </w:t>
      </w:r>
      <w:r w:rsidRPr="006A2252">
        <w:rPr>
          <w:sz w:val="20"/>
          <w:szCs w:val="20"/>
        </w:rPr>
        <w:t>recovery</w:t>
      </w:r>
      <w:r w:rsidR="009677D1" w:rsidRPr="006A2252">
        <w:rPr>
          <w:sz w:val="20"/>
          <w:szCs w:val="20"/>
        </w:rPr>
        <w:t xml:space="preserve"> </w:t>
      </w:r>
      <w:r w:rsidRPr="006A2252">
        <w:rPr>
          <w:sz w:val="20"/>
          <w:szCs w:val="20"/>
        </w:rPr>
        <w:t>after</w:t>
      </w:r>
      <w:r w:rsidR="009677D1" w:rsidRPr="006A2252">
        <w:rPr>
          <w:sz w:val="20"/>
          <w:szCs w:val="20"/>
        </w:rPr>
        <w:t xml:space="preserve"> </w:t>
      </w:r>
      <w:r w:rsidRPr="006A2252">
        <w:rPr>
          <w:sz w:val="20"/>
          <w:szCs w:val="20"/>
        </w:rPr>
        <w:t>surgery:</w:t>
      </w:r>
      <w:r w:rsidR="009677D1" w:rsidRPr="006A2252">
        <w:rPr>
          <w:sz w:val="20"/>
          <w:szCs w:val="20"/>
        </w:rPr>
        <w:t xml:space="preserve"> </w:t>
      </w:r>
      <w:r w:rsidRPr="006A2252">
        <w:rPr>
          <w:sz w:val="20"/>
          <w:szCs w:val="20"/>
        </w:rPr>
        <w:t>a</w:t>
      </w:r>
      <w:r w:rsidR="009677D1" w:rsidRPr="006A2252">
        <w:rPr>
          <w:sz w:val="20"/>
          <w:szCs w:val="20"/>
        </w:rPr>
        <w:t xml:space="preserve"> </w:t>
      </w:r>
      <w:r w:rsidRPr="006A2252">
        <w:rPr>
          <w:sz w:val="20"/>
          <w:szCs w:val="20"/>
        </w:rPr>
        <w:t>review.”</w:t>
      </w:r>
      <w:r w:rsidR="009677D1" w:rsidRPr="006A2252">
        <w:rPr>
          <w:sz w:val="20"/>
          <w:szCs w:val="20"/>
        </w:rPr>
        <w:t xml:space="preserve"> </w:t>
      </w:r>
      <w:r w:rsidRPr="006A2252">
        <w:rPr>
          <w:sz w:val="20"/>
          <w:szCs w:val="20"/>
        </w:rPr>
        <w:t>JAMA</w:t>
      </w:r>
      <w:r w:rsidR="009677D1" w:rsidRPr="006A2252">
        <w:rPr>
          <w:sz w:val="20"/>
          <w:szCs w:val="20"/>
        </w:rPr>
        <w:t xml:space="preserve"> </w:t>
      </w:r>
      <w:r w:rsidRPr="006A2252">
        <w:rPr>
          <w:sz w:val="20"/>
          <w:szCs w:val="20"/>
        </w:rPr>
        <w:t>surgery,</w:t>
      </w:r>
      <w:r w:rsidR="009677D1" w:rsidRPr="006A2252">
        <w:rPr>
          <w:sz w:val="20"/>
          <w:szCs w:val="20"/>
        </w:rPr>
        <w:t xml:space="preserve"> </w:t>
      </w:r>
      <w:r w:rsidRPr="006A2252">
        <w:rPr>
          <w:sz w:val="20"/>
          <w:szCs w:val="20"/>
        </w:rPr>
        <w:t>2017;</w:t>
      </w:r>
      <w:r w:rsidR="009677D1" w:rsidRPr="006A2252">
        <w:rPr>
          <w:sz w:val="20"/>
          <w:szCs w:val="20"/>
        </w:rPr>
        <w:t xml:space="preserve"> </w:t>
      </w:r>
      <w:r w:rsidRPr="006A2252">
        <w:rPr>
          <w:sz w:val="20"/>
          <w:szCs w:val="20"/>
        </w:rPr>
        <w:t>152(3):</w:t>
      </w:r>
      <w:r w:rsidR="009677D1" w:rsidRPr="006A2252">
        <w:rPr>
          <w:sz w:val="20"/>
          <w:szCs w:val="20"/>
        </w:rPr>
        <w:t xml:space="preserve"> </w:t>
      </w:r>
      <w:r w:rsidRPr="006A2252">
        <w:rPr>
          <w:sz w:val="20"/>
          <w:szCs w:val="20"/>
        </w:rPr>
        <w:t>292-298.</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McRae</w:t>
      </w:r>
      <w:r w:rsidR="009677D1" w:rsidRPr="006A2252">
        <w:rPr>
          <w:bCs/>
          <w:sz w:val="20"/>
          <w:szCs w:val="20"/>
        </w:rPr>
        <w:t xml:space="preserve"> </w:t>
      </w:r>
      <w:r w:rsidRPr="006A2252">
        <w:rPr>
          <w:bCs/>
          <w:sz w:val="20"/>
          <w:szCs w:val="20"/>
        </w:rPr>
        <w:t>MP.</w:t>
      </w:r>
      <w:r w:rsidRPr="006A2252">
        <w:rPr>
          <w:sz w:val="20"/>
          <w:szCs w:val="20"/>
        </w:rPr>
        <w:t>“Therapeutic</w:t>
      </w:r>
      <w:r w:rsidR="009677D1" w:rsidRPr="006A2252">
        <w:rPr>
          <w:sz w:val="20"/>
          <w:szCs w:val="20"/>
        </w:rPr>
        <w:t xml:space="preserve"> </w:t>
      </w:r>
      <w:r w:rsidRPr="006A2252">
        <w:rPr>
          <w:sz w:val="20"/>
          <w:szCs w:val="20"/>
        </w:rPr>
        <w:t>benefits</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glutamine:</w:t>
      </w:r>
      <w:r w:rsidR="009677D1" w:rsidRPr="006A2252">
        <w:rPr>
          <w:sz w:val="20"/>
          <w:szCs w:val="20"/>
        </w:rPr>
        <w:t xml:space="preserve"> </w:t>
      </w:r>
      <w:r w:rsidRPr="006A2252">
        <w:rPr>
          <w:sz w:val="20"/>
          <w:szCs w:val="20"/>
        </w:rPr>
        <w:t>An</w:t>
      </w:r>
      <w:r w:rsidR="009677D1" w:rsidRPr="006A2252">
        <w:rPr>
          <w:sz w:val="20"/>
          <w:szCs w:val="20"/>
        </w:rPr>
        <w:t xml:space="preserve"> </w:t>
      </w:r>
      <w:r w:rsidRPr="006A2252">
        <w:rPr>
          <w:sz w:val="20"/>
          <w:szCs w:val="20"/>
        </w:rPr>
        <w:t>umbrella</w:t>
      </w:r>
      <w:r w:rsidR="009677D1" w:rsidRPr="006A2252">
        <w:rPr>
          <w:sz w:val="20"/>
          <w:szCs w:val="20"/>
        </w:rPr>
        <w:t xml:space="preserve"> </w:t>
      </w:r>
      <w:r w:rsidRPr="006A2252">
        <w:rPr>
          <w:sz w:val="20"/>
          <w:szCs w:val="20"/>
        </w:rPr>
        <w:t>review</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meta-analyses.”</w:t>
      </w:r>
      <w:r w:rsidR="009677D1" w:rsidRPr="006A2252">
        <w:rPr>
          <w:sz w:val="20"/>
          <w:szCs w:val="20"/>
        </w:rPr>
        <w:t xml:space="preserve"> </w:t>
      </w:r>
      <w:r w:rsidRPr="006A2252">
        <w:rPr>
          <w:sz w:val="20"/>
          <w:szCs w:val="20"/>
        </w:rPr>
        <w:t>Biomedical</w:t>
      </w:r>
      <w:r w:rsidR="009677D1" w:rsidRPr="006A2252">
        <w:rPr>
          <w:sz w:val="20"/>
          <w:szCs w:val="20"/>
        </w:rPr>
        <w:t xml:space="preserve"> </w:t>
      </w:r>
      <w:r w:rsidRPr="006A2252">
        <w:rPr>
          <w:sz w:val="20"/>
          <w:szCs w:val="20"/>
        </w:rPr>
        <w:t>reports,</w:t>
      </w:r>
      <w:r w:rsidR="009677D1" w:rsidRPr="006A2252">
        <w:rPr>
          <w:sz w:val="20"/>
          <w:szCs w:val="20"/>
        </w:rPr>
        <w:t xml:space="preserve"> </w:t>
      </w:r>
      <w:r w:rsidRPr="006A2252">
        <w:rPr>
          <w:sz w:val="20"/>
          <w:szCs w:val="20"/>
        </w:rPr>
        <w:t>2017;</w:t>
      </w:r>
      <w:r w:rsidR="009677D1" w:rsidRPr="006A2252">
        <w:rPr>
          <w:sz w:val="20"/>
          <w:szCs w:val="20"/>
        </w:rPr>
        <w:t xml:space="preserve"> </w:t>
      </w:r>
      <w:r w:rsidRPr="006A2252">
        <w:rPr>
          <w:sz w:val="20"/>
          <w:szCs w:val="20"/>
        </w:rPr>
        <w:t>6(5),</w:t>
      </w:r>
      <w:r w:rsidR="009677D1" w:rsidRPr="006A2252">
        <w:rPr>
          <w:sz w:val="20"/>
          <w:szCs w:val="20"/>
        </w:rPr>
        <w:t xml:space="preserve"> </w:t>
      </w:r>
      <w:r w:rsidRPr="006A2252">
        <w:rPr>
          <w:sz w:val="20"/>
          <w:szCs w:val="20"/>
        </w:rPr>
        <w:t>576-584.</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Mortensen</w:t>
      </w:r>
      <w:r w:rsidR="009677D1" w:rsidRPr="006A2252">
        <w:rPr>
          <w:bCs/>
          <w:sz w:val="20"/>
          <w:szCs w:val="20"/>
        </w:rPr>
        <w:t xml:space="preserve"> </w:t>
      </w:r>
      <w:r w:rsidRPr="006A2252">
        <w:rPr>
          <w:bCs/>
          <w:sz w:val="20"/>
          <w:szCs w:val="20"/>
        </w:rPr>
        <w:t>K,</w:t>
      </w:r>
      <w:r w:rsidR="009677D1" w:rsidRPr="006A2252">
        <w:rPr>
          <w:bCs/>
          <w:sz w:val="20"/>
          <w:szCs w:val="20"/>
        </w:rPr>
        <w:t xml:space="preserve"> </w:t>
      </w:r>
      <w:r w:rsidRPr="006A2252">
        <w:rPr>
          <w:bCs/>
          <w:sz w:val="20"/>
          <w:szCs w:val="20"/>
        </w:rPr>
        <w:t>Nilsson</w:t>
      </w:r>
      <w:r w:rsidR="009677D1" w:rsidRPr="006A2252">
        <w:rPr>
          <w:bCs/>
          <w:sz w:val="20"/>
          <w:szCs w:val="20"/>
        </w:rPr>
        <w:t xml:space="preserve"> </w:t>
      </w:r>
      <w:r w:rsidRPr="006A2252">
        <w:rPr>
          <w:bCs/>
          <w:sz w:val="20"/>
          <w:szCs w:val="20"/>
        </w:rPr>
        <w:t>M,</w:t>
      </w:r>
      <w:r w:rsidR="009677D1" w:rsidRPr="006A2252">
        <w:rPr>
          <w:bCs/>
          <w:sz w:val="20"/>
          <w:szCs w:val="20"/>
        </w:rPr>
        <w:t xml:space="preserve"> </w:t>
      </w:r>
      <w:r w:rsidRPr="006A2252">
        <w:rPr>
          <w:bCs/>
          <w:sz w:val="20"/>
          <w:szCs w:val="20"/>
        </w:rPr>
        <w:t>Slim</w:t>
      </w:r>
      <w:r w:rsidR="009677D1" w:rsidRPr="006A2252">
        <w:rPr>
          <w:bCs/>
          <w:sz w:val="20"/>
          <w:szCs w:val="20"/>
        </w:rPr>
        <w:t xml:space="preserve"> </w:t>
      </w:r>
      <w:r w:rsidRPr="006A2252">
        <w:rPr>
          <w:bCs/>
          <w:sz w:val="20"/>
          <w:szCs w:val="20"/>
        </w:rPr>
        <w:t>K,</w:t>
      </w:r>
      <w:r w:rsidR="009677D1" w:rsidRPr="006A2252">
        <w:rPr>
          <w:bCs/>
          <w:sz w:val="20"/>
          <w:szCs w:val="20"/>
        </w:rPr>
        <w:t xml:space="preserve"> </w:t>
      </w:r>
      <w:proofErr w:type="spellStart"/>
      <w:r w:rsidRPr="006A2252">
        <w:rPr>
          <w:bCs/>
          <w:sz w:val="20"/>
          <w:szCs w:val="20"/>
        </w:rPr>
        <w:t>Schäfer</w:t>
      </w:r>
      <w:proofErr w:type="spellEnd"/>
      <w:r w:rsidR="009677D1" w:rsidRPr="006A2252">
        <w:rPr>
          <w:bCs/>
          <w:sz w:val="20"/>
          <w:szCs w:val="20"/>
        </w:rPr>
        <w:t xml:space="preserve"> </w:t>
      </w:r>
      <w:r w:rsidRPr="006A2252">
        <w:rPr>
          <w:bCs/>
          <w:sz w:val="20"/>
          <w:szCs w:val="20"/>
        </w:rPr>
        <w:t>M,</w:t>
      </w:r>
      <w:r w:rsidR="009677D1" w:rsidRPr="006A2252">
        <w:rPr>
          <w:bCs/>
          <w:sz w:val="20"/>
          <w:szCs w:val="20"/>
        </w:rPr>
        <w:t xml:space="preserve"> </w:t>
      </w:r>
      <w:r w:rsidRPr="006A2252">
        <w:rPr>
          <w:bCs/>
          <w:sz w:val="20"/>
          <w:szCs w:val="20"/>
        </w:rPr>
        <w:t>Mariette</w:t>
      </w:r>
      <w:r w:rsidR="009677D1" w:rsidRPr="006A2252">
        <w:rPr>
          <w:bCs/>
          <w:sz w:val="20"/>
          <w:szCs w:val="20"/>
        </w:rPr>
        <w:t xml:space="preserve"> </w:t>
      </w:r>
      <w:r w:rsidRPr="006A2252">
        <w:rPr>
          <w:bCs/>
          <w:sz w:val="20"/>
          <w:szCs w:val="20"/>
        </w:rPr>
        <w:t>C,</w:t>
      </w:r>
      <w:r w:rsidR="009677D1" w:rsidRPr="006A2252">
        <w:rPr>
          <w:bCs/>
          <w:sz w:val="20"/>
          <w:szCs w:val="20"/>
        </w:rPr>
        <w:t xml:space="preserve"> </w:t>
      </w:r>
      <w:r w:rsidRPr="006A2252">
        <w:rPr>
          <w:bCs/>
          <w:sz w:val="20"/>
          <w:szCs w:val="20"/>
        </w:rPr>
        <w:t>Braga</w:t>
      </w:r>
      <w:r w:rsidR="009677D1" w:rsidRPr="006A2252">
        <w:rPr>
          <w:bCs/>
          <w:sz w:val="20"/>
          <w:szCs w:val="20"/>
        </w:rPr>
        <w:t xml:space="preserve"> </w:t>
      </w:r>
      <w:r w:rsidRPr="006A2252">
        <w:rPr>
          <w:bCs/>
          <w:sz w:val="20"/>
          <w:szCs w:val="20"/>
        </w:rPr>
        <w:t>M</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Enhanced</w:t>
      </w:r>
      <w:r w:rsidR="009677D1" w:rsidRPr="006A2252">
        <w:rPr>
          <w:bCs/>
          <w:sz w:val="20"/>
          <w:szCs w:val="20"/>
        </w:rPr>
        <w:t xml:space="preserve"> </w:t>
      </w:r>
      <w:r w:rsidRPr="006A2252">
        <w:rPr>
          <w:bCs/>
          <w:sz w:val="20"/>
          <w:szCs w:val="20"/>
        </w:rPr>
        <w:t>Recovery</w:t>
      </w:r>
      <w:r w:rsidR="009677D1" w:rsidRPr="006A2252">
        <w:rPr>
          <w:bCs/>
          <w:sz w:val="20"/>
          <w:szCs w:val="20"/>
        </w:rPr>
        <w:t xml:space="preserve"> </w:t>
      </w:r>
      <w:r w:rsidRPr="006A2252">
        <w:rPr>
          <w:bCs/>
          <w:sz w:val="20"/>
          <w:szCs w:val="20"/>
        </w:rPr>
        <w:t>After</w:t>
      </w:r>
      <w:r w:rsidR="009677D1" w:rsidRPr="006A2252">
        <w:rPr>
          <w:bCs/>
          <w:sz w:val="20"/>
          <w:szCs w:val="20"/>
        </w:rPr>
        <w:t xml:space="preserve"> </w:t>
      </w:r>
      <w:r w:rsidRPr="006A2252">
        <w:rPr>
          <w:bCs/>
          <w:sz w:val="20"/>
          <w:szCs w:val="20"/>
        </w:rPr>
        <w:t>Surgery</w:t>
      </w:r>
      <w:r w:rsidR="009677D1" w:rsidRPr="006A2252">
        <w:rPr>
          <w:bCs/>
          <w:sz w:val="20"/>
          <w:szCs w:val="20"/>
        </w:rPr>
        <w:t xml:space="preserve"> </w:t>
      </w:r>
      <w:r w:rsidRPr="006A2252">
        <w:rPr>
          <w:bCs/>
          <w:sz w:val="20"/>
          <w:szCs w:val="20"/>
        </w:rPr>
        <w:t>(ERAS®)</w:t>
      </w:r>
      <w:r w:rsidR="009677D1" w:rsidRPr="006A2252">
        <w:rPr>
          <w:bCs/>
          <w:sz w:val="20"/>
          <w:szCs w:val="20"/>
        </w:rPr>
        <w:t xml:space="preserve"> </w:t>
      </w:r>
      <w:r w:rsidRPr="006A2252">
        <w:rPr>
          <w:bCs/>
          <w:sz w:val="20"/>
          <w:szCs w:val="20"/>
        </w:rPr>
        <w:t>Group.</w:t>
      </w:r>
      <w:r w:rsidR="009677D1" w:rsidRPr="006A2252">
        <w:rPr>
          <w:bCs/>
          <w:sz w:val="20"/>
          <w:szCs w:val="20"/>
        </w:rPr>
        <w:t xml:space="preserve"> </w:t>
      </w:r>
      <w:r w:rsidRPr="006A2252">
        <w:rPr>
          <w:bCs/>
          <w:sz w:val="20"/>
          <w:szCs w:val="20"/>
        </w:rPr>
        <w:t>“</w:t>
      </w:r>
      <w:r w:rsidRPr="006A2252">
        <w:rPr>
          <w:sz w:val="20"/>
          <w:szCs w:val="20"/>
        </w:rPr>
        <w:t>Consensus</w:t>
      </w:r>
      <w:r w:rsidR="009677D1" w:rsidRPr="006A2252">
        <w:rPr>
          <w:sz w:val="20"/>
          <w:szCs w:val="20"/>
        </w:rPr>
        <w:t xml:space="preserve"> </w:t>
      </w:r>
      <w:r w:rsidRPr="006A2252">
        <w:rPr>
          <w:sz w:val="20"/>
          <w:szCs w:val="20"/>
        </w:rPr>
        <w:t>guidelines</w:t>
      </w:r>
      <w:r w:rsidR="009677D1" w:rsidRPr="006A2252">
        <w:rPr>
          <w:sz w:val="20"/>
          <w:szCs w:val="20"/>
        </w:rPr>
        <w:t xml:space="preserve"> </w:t>
      </w:r>
      <w:r w:rsidRPr="006A2252">
        <w:rPr>
          <w:sz w:val="20"/>
          <w:szCs w:val="20"/>
        </w:rPr>
        <w:t>for</w:t>
      </w:r>
      <w:r w:rsidR="009677D1" w:rsidRPr="006A2252">
        <w:rPr>
          <w:sz w:val="20"/>
          <w:szCs w:val="20"/>
        </w:rPr>
        <w:t xml:space="preserve"> </w:t>
      </w:r>
      <w:r w:rsidRPr="006A2252">
        <w:rPr>
          <w:sz w:val="20"/>
          <w:szCs w:val="20"/>
        </w:rPr>
        <w:t>enhanced</w:t>
      </w:r>
      <w:r w:rsidR="009677D1" w:rsidRPr="006A2252">
        <w:rPr>
          <w:sz w:val="20"/>
          <w:szCs w:val="20"/>
        </w:rPr>
        <w:t xml:space="preserve"> </w:t>
      </w:r>
      <w:r w:rsidRPr="006A2252">
        <w:rPr>
          <w:sz w:val="20"/>
          <w:szCs w:val="20"/>
        </w:rPr>
        <w:t>recovery</w:t>
      </w:r>
      <w:r w:rsidR="009677D1" w:rsidRPr="006A2252">
        <w:rPr>
          <w:sz w:val="20"/>
          <w:szCs w:val="20"/>
        </w:rPr>
        <w:t xml:space="preserve"> </w:t>
      </w:r>
      <w:r w:rsidRPr="006A2252">
        <w:rPr>
          <w:sz w:val="20"/>
          <w:szCs w:val="20"/>
        </w:rPr>
        <w:t>after</w:t>
      </w:r>
      <w:r w:rsidR="009677D1" w:rsidRPr="006A2252">
        <w:rPr>
          <w:sz w:val="20"/>
          <w:szCs w:val="20"/>
        </w:rPr>
        <w:t xml:space="preserve"> </w:t>
      </w:r>
      <w:proofErr w:type="spellStart"/>
      <w:r w:rsidRPr="006A2252">
        <w:rPr>
          <w:sz w:val="20"/>
          <w:szCs w:val="20"/>
        </w:rPr>
        <w:t>gastrectomy</w:t>
      </w:r>
      <w:proofErr w:type="spellEnd"/>
      <w:r w:rsidRPr="006A2252">
        <w:rPr>
          <w:sz w:val="20"/>
          <w:szCs w:val="20"/>
        </w:rPr>
        <w:t>:</w:t>
      </w:r>
      <w:r w:rsidR="009677D1" w:rsidRPr="006A2252">
        <w:rPr>
          <w:sz w:val="20"/>
          <w:szCs w:val="20"/>
        </w:rPr>
        <w:t xml:space="preserve"> </w:t>
      </w:r>
      <w:r w:rsidRPr="006A2252">
        <w:rPr>
          <w:sz w:val="20"/>
          <w:szCs w:val="20"/>
        </w:rPr>
        <w:t>Enhanced</w:t>
      </w:r>
      <w:r w:rsidR="009677D1" w:rsidRPr="006A2252">
        <w:rPr>
          <w:sz w:val="20"/>
          <w:szCs w:val="20"/>
        </w:rPr>
        <w:t xml:space="preserve"> </w:t>
      </w:r>
      <w:r w:rsidRPr="006A2252">
        <w:rPr>
          <w:sz w:val="20"/>
          <w:szCs w:val="20"/>
        </w:rPr>
        <w:t>Recovery</w:t>
      </w:r>
      <w:r w:rsidR="009677D1" w:rsidRPr="006A2252">
        <w:rPr>
          <w:sz w:val="20"/>
          <w:szCs w:val="20"/>
        </w:rPr>
        <w:t xml:space="preserve"> </w:t>
      </w:r>
      <w:r w:rsidRPr="006A2252">
        <w:rPr>
          <w:sz w:val="20"/>
          <w:szCs w:val="20"/>
        </w:rPr>
        <w:t>after</w:t>
      </w:r>
      <w:r w:rsidR="009677D1" w:rsidRPr="006A2252">
        <w:rPr>
          <w:sz w:val="20"/>
          <w:szCs w:val="20"/>
        </w:rPr>
        <w:t xml:space="preserve"> </w:t>
      </w:r>
      <w:r w:rsidRPr="006A2252">
        <w:rPr>
          <w:sz w:val="20"/>
          <w:szCs w:val="20"/>
        </w:rPr>
        <w:t>Surgery</w:t>
      </w:r>
      <w:r w:rsidR="009677D1" w:rsidRPr="006A2252">
        <w:rPr>
          <w:sz w:val="20"/>
          <w:szCs w:val="20"/>
        </w:rPr>
        <w:t xml:space="preserve"> </w:t>
      </w:r>
      <w:r w:rsidRPr="006A2252">
        <w:rPr>
          <w:sz w:val="20"/>
          <w:szCs w:val="20"/>
        </w:rPr>
        <w:lastRenderedPageBreak/>
        <w:t>(ERAS®)</w:t>
      </w:r>
      <w:r w:rsidR="009677D1" w:rsidRPr="006A2252">
        <w:rPr>
          <w:sz w:val="20"/>
          <w:szCs w:val="20"/>
        </w:rPr>
        <w:t xml:space="preserve"> </w:t>
      </w:r>
      <w:r w:rsidRPr="006A2252">
        <w:rPr>
          <w:sz w:val="20"/>
          <w:szCs w:val="20"/>
        </w:rPr>
        <w:t>Society</w:t>
      </w:r>
      <w:r w:rsidR="009677D1" w:rsidRPr="006A2252">
        <w:rPr>
          <w:sz w:val="20"/>
          <w:szCs w:val="20"/>
        </w:rPr>
        <w:t xml:space="preserve"> </w:t>
      </w:r>
      <w:r w:rsidRPr="006A2252">
        <w:rPr>
          <w:sz w:val="20"/>
          <w:szCs w:val="20"/>
        </w:rPr>
        <w:t>recommendations.”</w:t>
      </w:r>
      <w:r w:rsidR="009677D1" w:rsidRPr="006A2252">
        <w:rPr>
          <w:sz w:val="20"/>
          <w:szCs w:val="20"/>
        </w:rPr>
        <w:t xml:space="preserve"> </w:t>
      </w:r>
      <w:r w:rsidRPr="006A2252">
        <w:rPr>
          <w:sz w:val="20"/>
          <w:szCs w:val="20"/>
        </w:rPr>
        <w:t>British</w:t>
      </w:r>
      <w:r w:rsidR="009677D1" w:rsidRPr="006A2252">
        <w:rPr>
          <w:sz w:val="20"/>
          <w:szCs w:val="20"/>
        </w:rPr>
        <w:t xml:space="preserve"> </w:t>
      </w:r>
      <w:r w:rsidRPr="006A2252">
        <w:rPr>
          <w:sz w:val="20"/>
          <w:szCs w:val="20"/>
        </w:rPr>
        <w:t>Journal</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Surgery,</w:t>
      </w:r>
      <w:r w:rsidR="009677D1" w:rsidRPr="006A2252">
        <w:rPr>
          <w:sz w:val="20"/>
          <w:szCs w:val="20"/>
        </w:rPr>
        <w:t xml:space="preserve"> </w:t>
      </w:r>
      <w:r w:rsidRPr="006A2252">
        <w:rPr>
          <w:sz w:val="20"/>
          <w:szCs w:val="20"/>
        </w:rPr>
        <w:t>2014;</w:t>
      </w:r>
      <w:r w:rsidR="009677D1" w:rsidRPr="006A2252">
        <w:rPr>
          <w:sz w:val="20"/>
          <w:szCs w:val="20"/>
        </w:rPr>
        <w:t xml:space="preserve"> </w:t>
      </w:r>
      <w:r w:rsidRPr="006A2252">
        <w:rPr>
          <w:sz w:val="20"/>
          <w:szCs w:val="20"/>
        </w:rPr>
        <w:t>101(10):</w:t>
      </w:r>
      <w:r w:rsidR="009677D1" w:rsidRPr="006A2252">
        <w:rPr>
          <w:sz w:val="20"/>
          <w:szCs w:val="20"/>
        </w:rPr>
        <w:t xml:space="preserve"> </w:t>
      </w:r>
      <w:r w:rsidRPr="006A2252">
        <w:rPr>
          <w:sz w:val="20"/>
          <w:szCs w:val="20"/>
        </w:rPr>
        <w:t>1209-1229.</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Mundi</w:t>
      </w:r>
      <w:r w:rsidR="009677D1" w:rsidRPr="006A2252">
        <w:rPr>
          <w:bCs/>
          <w:sz w:val="20"/>
          <w:szCs w:val="20"/>
        </w:rPr>
        <w:t xml:space="preserve"> </w:t>
      </w:r>
      <w:r w:rsidRPr="006A2252">
        <w:rPr>
          <w:bCs/>
          <w:sz w:val="20"/>
          <w:szCs w:val="20"/>
        </w:rPr>
        <w:t>MS,</w:t>
      </w:r>
      <w:r w:rsidR="009677D1" w:rsidRPr="006A2252">
        <w:rPr>
          <w:bCs/>
          <w:sz w:val="20"/>
          <w:szCs w:val="20"/>
        </w:rPr>
        <w:t xml:space="preserve"> </w:t>
      </w:r>
      <w:r w:rsidRPr="006A2252">
        <w:rPr>
          <w:bCs/>
          <w:sz w:val="20"/>
          <w:szCs w:val="20"/>
        </w:rPr>
        <w:t>Shah</w:t>
      </w:r>
      <w:r w:rsidR="009677D1" w:rsidRPr="006A2252">
        <w:rPr>
          <w:bCs/>
          <w:sz w:val="20"/>
          <w:szCs w:val="20"/>
        </w:rPr>
        <w:t xml:space="preserve"> </w:t>
      </w:r>
      <w:r w:rsidRPr="006A2252">
        <w:rPr>
          <w:bCs/>
          <w:sz w:val="20"/>
          <w:szCs w:val="20"/>
        </w:rPr>
        <w:t>M</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Hurt</w:t>
      </w:r>
      <w:r w:rsidR="009677D1" w:rsidRPr="006A2252">
        <w:rPr>
          <w:bCs/>
          <w:sz w:val="20"/>
          <w:szCs w:val="20"/>
        </w:rPr>
        <w:t xml:space="preserve"> </w:t>
      </w:r>
      <w:r w:rsidRPr="006A2252">
        <w:rPr>
          <w:bCs/>
          <w:sz w:val="20"/>
          <w:szCs w:val="20"/>
        </w:rPr>
        <w:t>RT.</w:t>
      </w:r>
      <w:r w:rsidR="009677D1" w:rsidRPr="006A2252">
        <w:rPr>
          <w:bCs/>
          <w:sz w:val="20"/>
          <w:szCs w:val="20"/>
        </w:rPr>
        <w:t xml:space="preserve"> </w:t>
      </w:r>
      <w:r w:rsidRPr="006A2252">
        <w:rPr>
          <w:bCs/>
          <w:sz w:val="20"/>
          <w:szCs w:val="20"/>
        </w:rPr>
        <w:t>“</w:t>
      </w:r>
      <w:r w:rsidRPr="006A2252">
        <w:rPr>
          <w:sz w:val="20"/>
          <w:szCs w:val="20"/>
        </w:rPr>
        <w:t>When</w:t>
      </w:r>
      <w:r w:rsidR="009677D1" w:rsidRPr="006A2252">
        <w:rPr>
          <w:sz w:val="20"/>
          <w:szCs w:val="20"/>
        </w:rPr>
        <w:t xml:space="preserve"> </w:t>
      </w:r>
      <w:r w:rsidRPr="006A2252">
        <w:rPr>
          <w:sz w:val="20"/>
          <w:szCs w:val="20"/>
        </w:rPr>
        <w:t>is</w:t>
      </w:r>
      <w:r w:rsidR="009677D1" w:rsidRPr="006A2252">
        <w:rPr>
          <w:sz w:val="20"/>
          <w:szCs w:val="20"/>
        </w:rPr>
        <w:t xml:space="preserve"> </w:t>
      </w:r>
      <w:r w:rsidRPr="006A2252">
        <w:rPr>
          <w:sz w:val="20"/>
          <w:szCs w:val="20"/>
        </w:rPr>
        <w:t>it</w:t>
      </w:r>
      <w:r w:rsidR="009677D1" w:rsidRPr="006A2252">
        <w:rPr>
          <w:sz w:val="20"/>
          <w:szCs w:val="20"/>
        </w:rPr>
        <w:t xml:space="preserve"> </w:t>
      </w:r>
      <w:r w:rsidRPr="006A2252">
        <w:rPr>
          <w:sz w:val="20"/>
          <w:szCs w:val="20"/>
        </w:rPr>
        <w:t>appropriate</w:t>
      </w:r>
      <w:r w:rsidR="009677D1" w:rsidRPr="006A2252">
        <w:rPr>
          <w:sz w:val="20"/>
          <w:szCs w:val="20"/>
        </w:rPr>
        <w:t xml:space="preserve"> </w:t>
      </w:r>
      <w:r w:rsidRPr="006A2252">
        <w:rPr>
          <w:sz w:val="20"/>
          <w:szCs w:val="20"/>
        </w:rPr>
        <w:t>to</w:t>
      </w:r>
      <w:r w:rsidR="009677D1" w:rsidRPr="006A2252">
        <w:rPr>
          <w:sz w:val="20"/>
          <w:szCs w:val="20"/>
        </w:rPr>
        <w:t xml:space="preserve"> </w:t>
      </w:r>
      <w:r w:rsidRPr="006A2252">
        <w:rPr>
          <w:sz w:val="20"/>
          <w:szCs w:val="20"/>
        </w:rPr>
        <w:t>use</w:t>
      </w:r>
      <w:r w:rsidR="009677D1" w:rsidRPr="006A2252">
        <w:rPr>
          <w:sz w:val="20"/>
          <w:szCs w:val="20"/>
        </w:rPr>
        <w:t xml:space="preserve"> </w:t>
      </w:r>
      <w:r w:rsidRPr="006A2252">
        <w:rPr>
          <w:sz w:val="20"/>
          <w:szCs w:val="20"/>
        </w:rPr>
        <w:t>glutamine</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critical</w:t>
      </w:r>
      <w:r w:rsidR="009677D1" w:rsidRPr="006A2252">
        <w:rPr>
          <w:sz w:val="20"/>
          <w:szCs w:val="20"/>
        </w:rPr>
        <w:t xml:space="preserve"> </w:t>
      </w:r>
      <w:r w:rsidRPr="006A2252">
        <w:rPr>
          <w:sz w:val="20"/>
          <w:szCs w:val="20"/>
        </w:rPr>
        <w:t>illness?.”</w:t>
      </w:r>
      <w:r w:rsidR="009677D1" w:rsidRPr="006A2252">
        <w:rPr>
          <w:sz w:val="20"/>
          <w:szCs w:val="20"/>
        </w:rPr>
        <w:t xml:space="preserve"> </w:t>
      </w:r>
      <w:r w:rsidRPr="006A2252">
        <w:rPr>
          <w:sz w:val="20"/>
          <w:szCs w:val="20"/>
        </w:rPr>
        <w:t>Nutrition</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Clinical</w:t>
      </w:r>
      <w:r w:rsidR="009677D1" w:rsidRPr="006A2252">
        <w:rPr>
          <w:sz w:val="20"/>
          <w:szCs w:val="20"/>
        </w:rPr>
        <w:t xml:space="preserve"> </w:t>
      </w:r>
      <w:r w:rsidRPr="006A2252">
        <w:rPr>
          <w:sz w:val="20"/>
          <w:szCs w:val="20"/>
        </w:rPr>
        <w:t>Practice,</w:t>
      </w:r>
      <w:r w:rsidR="009677D1" w:rsidRPr="006A2252">
        <w:rPr>
          <w:sz w:val="20"/>
          <w:szCs w:val="20"/>
        </w:rPr>
        <w:t xml:space="preserve"> </w:t>
      </w:r>
      <w:r w:rsidRPr="006A2252">
        <w:rPr>
          <w:sz w:val="20"/>
          <w:szCs w:val="20"/>
        </w:rPr>
        <w:t>2016;</w:t>
      </w:r>
      <w:r w:rsidR="009677D1" w:rsidRPr="006A2252">
        <w:rPr>
          <w:sz w:val="20"/>
          <w:szCs w:val="20"/>
        </w:rPr>
        <w:t xml:space="preserve"> </w:t>
      </w:r>
      <w:r w:rsidRPr="006A2252">
        <w:rPr>
          <w:sz w:val="20"/>
          <w:szCs w:val="20"/>
        </w:rPr>
        <w:t>31(4):</w:t>
      </w:r>
      <w:r w:rsidR="009677D1" w:rsidRPr="006A2252">
        <w:rPr>
          <w:sz w:val="20"/>
          <w:szCs w:val="20"/>
        </w:rPr>
        <w:t xml:space="preserve"> </w:t>
      </w:r>
      <w:r w:rsidRPr="006A2252">
        <w:rPr>
          <w:sz w:val="20"/>
          <w:szCs w:val="20"/>
        </w:rPr>
        <w:t>445-450.</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Nienaber</w:t>
      </w:r>
      <w:proofErr w:type="spellEnd"/>
      <w:r w:rsidR="009677D1" w:rsidRPr="006A2252">
        <w:rPr>
          <w:bCs/>
          <w:sz w:val="20"/>
          <w:szCs w:val="20"/>
        </w:rPr>
        <w:t xml:space="preserve"> </w:t>
      </w:r>
      <w:r w:rsidRPr="006A2252">
        <w:rPr>
          <w:bCs/>
          <w:sz w:val="20"/>
          <w:szCs w:val="20"/>
        </w:rPr>
        <w:t>A.</w:t>
      </w:r>
      <w:r w:rsidR="009677D1" w:rsidRPr="006A2252">
        <w:rPr>
          <w:bCs/>
          <w:sz w:val="20"/>
          <w:szCs w:val="20"/>
        </w:rPr>
        <w:t xml:space="preserve"> </w:t>
      </w:r>
      <w:r w:rsidRPr="006A2252">
        <w:rPr>
          <w:bCs/>
          <w:sz w:val="20"/>
          <w:szCs w:val="20"/>
        </w:rPr>
        <w:t>“</w:t>
      </w:r>
      <w:r w:rsidRPr="006A2252">
        <w:rPr>
          <w:sz w:val="20"/>
          <w:szCs w:val="20"/>
        </w:rPr>
        <w:t>Plasma</w:t>
      </w:r>
      <w:r w:rsidR="009677D1" w:rsidRPr="006A2252">
        <w:rPr>
          <w:sz w:val="20"/>
          <w:szCs w:val="20"/>
        </w:rPr>
        <w:t xml:space="preserve"> </w:t>
      </w:r>
      <w:r w:rsidRPr="006A2252">
        <w:rPr>
          <w:sz w:val="20"/>
          <w:szCs w:val="20"/>
        </w:rPr>
        <w:t>glutamine</w:t>
      </w:r>
      <w:r w:rsidR="009677D1" w:rsidRPr="006A2252">
        <w:rPr>
          <w:sz w:val="20"/>
          <w:szCs w:val="20"/>
        </w:rPr>
        <w:t xml:space="preserve"> </w:t>
      </w:r>
      <w:r w:rsidRPr="006A2252">
        <w:rPr>
          <w:sz w:val="20"/>
          <w:szCs w:val="20"/>
        </w:rPr>
        <w:t>levels</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critically</w:t>
      </w:r>
      <w:r w:rsidR="009677D1" w:rsidRPr="006A2252">
        <w:rPr>
          <w:sz w:val="20"/>
          <w:szCs w:val="20"/>
        </w:rPr>
        <w:t xml:space="preserve"> </w:t>
      </w:r>
      <w:r w:rsidRPr="006A2252">
        <w:rPr>
          <w:sz w:val="20"/>
          <w:szCs w:val="20"/>
        </w:rPr>
        <w:t>ill</w:t>
      </w:r>
      <w:r w:rsidR="009677D1" w:rsidRPr="006A2252">
        <w:rPr>
          <w:sz w:val="20"/>
          <w:szCs w:val="20"/>
        </w:rPr>
        <w:t xml:space="preserve"> </w:t>
      </w:r>
      <w:r w:rsidRPr="006A2252">
        <w:rPr>
          <w:sz w:val="20"/>
          <w:szCs w:val="20"/>
        </w:rPr>
        <w:t>intensive</w:t>
      </w:r>
      <w:r w:rsidR="009677D1" w:rsidRPr="006A2252">
        <w:rPr>
          <w:sz w:val="20"/>
          <w:szCs w:val="20"/>
        </w:rPr>
        <w:t xml:space="preserve"> </w:t>
      </w:r>
      <w:r w:rsidRPr="006A2252">
        <w:rPr>
          <w:sz w:val="20"/>
          <w:szCs w:val="20"/>
        </w:rPr>
        <w:t>care</w:t>
      </w:r>
      <w:r w:rsidR="009677D1" w:rsidRPr="006A2252">
        <w:rPr>
          <w:sz w:val="20"/>
          <w:szCs w:val="20"/>
        </w:rPr>
        <w:t xml:space="preserve"> </w:t>
      </w:r>
      <w:r w:rsidRPr="006A2252">
        <w:rPr>
          <w:sz w:val="20"/>
          <w:szCs w:val="20"/>
        </w:rPr>
        <w:t>patients.”</w:t>
      </w:r>
      <w:r w:rsidR="009677D1" w:rsidRPr="006A2252">
        <w:rPr>
          <w:sz w:val="20"/>
          <w:szCs w:val="20"/>
        </w:rPr>
        <w:t xml:space="preserve"> </w:t>
      </w:r>
      <w:r w:rsidRPr="006A2252">
        <w:rPr>
          <w:sz w:val="20"/>
          <w:szCs w:val="20"/>
        </w:rPr>
        <w:t>(Doctoral</w:t>
      </w:r>
      <w:r w:rsidR="009677D1" w:rsidRPr="006A2252">
        <w:rPr>
          <w:sz w:val="20"/>
          <w:szCs w:val="20"/>
        </w:rPr>
        <w:t xml:space="preserve"> </w:t>
      </w:r>
      <w:r w:rsidRPr="006A2252">
        <w:rPr>
          <w:sz w:val="20"/>
          <w:szCs w:val="20"/>
        </w:rPr>
        <w:t>dissertation)</w:t>
      </w:r>
      <w:r w:rsidR="009677D1" w:rsidRPr="006A2252">
        <w:rPr>
          <w:sz w:val="20"/>
          <w:szCs w:val="20"/>
        </w:rPr>
        <w:t xml:space="preserve"> </w:t>
      </w:r>
      <w:r w:rsidRPr="006A2252">
        <w:rPr>
          <w:sz w:val="20"/>
          <w:szCs w:val="20"/>
        </w:rPr>
        <w:t>2015.</w:t>
      </w:r>
      <w:r w:rsidR="009677D1" w:rsidRPr="006A2252">
        <w:rPr>
          <w:sz w:val="20"/>
          <w:szCs w:val="20"/>
        </w:rPr>
        <w:t xml:space="preserve"> </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Peters</w:t>
      </w:r>
      <w:r w:rsidR="009677D1" w:rsidRPr="006A2252">
        <w:rPr>
          <w:bCs/>
          <w:sz w:val="20"/>
          <w:szCs w:val="20"/>
        </w:rPr>
        <w:t xml:space="preserve"> </w:t>
      </w:r>
      <w:r w:rsidRPr="006A2252">
        <w:rPr>
          <w:bCs/>
          <w:sz w:val="20"/>
          <w:szCs w:val="20"/>
        </w:rPr>
        <w:t>ME,</w:t>
      </w:r>
      <w:r w:rsidR="009677D1" w:rsidRPr="006A2252">
        <w:rPr>
          <w:bCs/>
          <w:sz w:val="20"/>
          <w:szCs w:val="20"/>
        </w:rPr>
        <w:t xml:space="preserve"> </w:t>
      </w:r>
      <w:proofErr w:type="spellStart"/>
      <w:r w:rsidRPr="006A2252">
        <w:rPr>
          <w:bCs/>
          <w:sz w:val="20"/>
          <w:szCs w:val="20"/>
        </w:rPr>
        <w:t>Goedendorp</w:t>
      </w:r>
      <w:proofErr w:type="spellEnd"/>
      <w:r w:rsidR="009677D1" w:rsidRPr="006A2252">
        <w:rPr>
          <w:bCs/>
          <w:sz w:val="20"/>
          <w:szCs w:val="20"/>
        </w:rPr>
        <w:t xml:space="preserve"> </w:t>
      </w:r>
      <w:r w:rsidRPr="006A2252">
        <w:rPr>
          <w:bCs/>
          <w:sz w:val="20"/>
          <w:szCs w:val="20"/>
        </w:rPr>
        <w:t>MM,</w:t>
      </w:r>
      <w:r w:rsidR="009677D1" w:rsidRPr="006A2252">
        <w:rPr>
          <w:bCs/>
          <w:sz w:val="20"/>
          <w:szCs w:val="20"/>
        </w:rPr>
        <w:t xml:space="preserve"> </w:t>
      </w:r>
      <w:proofErr w:type="spellStart"/>
      <w:r w:rsidRPr="006A2252">
        <w:rPr>
          <w:bCs/>
          <w:sz w:val="20"/>
          <w:szCs w:val="20"/>
        </w:rPr>
        <w:t>Verhagen</w:t>
      </w:r>
      <w:proofErr w:type="spellEnd"/>
      <w:r w:rsidR="009677D1" w:rsidRPr="006A2252">
        <w:rPr>
          <w:bCs/>
          <w:sz w:val="20"/>
          <w:szCs w:val="20"/>
        </w:rPr>
        <w:t xml:space="preserve"> </w:t>
      </w:r>
      <w:r w:rsidRPr="006A2252">
        <w:rPr>
          <w:bCs/>
          <w:sz w:val="20"/>
          <w:szCs w:val="20"/>
        </w:rPr>
        <w:t>CA,</w:t>
      </w:r>
      <w:r w:rsidR="009677D1" w:rsidRPr="006A2252">
        <w:rPr>
          <w:bCs/>
          <w:sz w:val="20"/>
          <w:szCs w:val="20"/>
        </w:rPr>
        <w:t xml:space="preserve"> </w:t>
      </w:r>
      <w:r w:rsidRPr="006A2252">
        <w:rPr>
          <w:bCs/>
          <w:sz w:val="20"/>
          <w:szCs w:val="20"/>
        </w:rPr>
        <w:t>van</w:t>
      </w:r>
      <w:r w:rsidR="009677D1" w:rsidRPr="006A2252">
        <w:rPr>
          <w:bCs/>
          <w:sz w:val="20"/>
          <w:szCs w:val="20"/>
        </w:rPr>
        <w:t xml:space="preserve"> </w:t>
      </w:r>
      <w:proofErr w:type="spellStart"/>
      <w:r w:rsidRPr="006A2252">
        <w:rPr>
          <w:bCs/>
          <w:sz w:val="20"/>
          <w:szCs w:val="20"/>
        </w:rPr>
        <w:t>der</w:t>
      </w:r>
      <w:proofErr w:type="spellEnd"/>
      <w:r w:rsidR="009677D1" w:rsidRPr="006A2252">
        <w:rPr>
          <w:bCs/>
          <w:sz w:val="20"/>
          <w:szCs w:val="20"/>
        </w:rPr>
        <w:t xml:space="preserve"> </w:t>
      </w:r>
      <w:proofErr w:type="spellStart"/>
      <w:r w:rsidRPr="006A2252">
        <w:rPr>
          <w:bCs/>
          <w:sz w:val="20"/>
          <w:szCs w:val="20"/>
        </w:rPr>
        <w:t>Graaf</w:t>
      </w:r>
      <w:proofErr w:type="spellEnd"/>
      <w:r w:rsidR="009677D1" w:rsidRPr="006A2252">
        <w:rPr>
          <w:bCs/>
          <w:sz w:val="20"/>
          <w:szCs w:val="20"/>
        </w:rPr>
        <w:t xml:space="preserve"> </w:t>
      </w:r>
      <w:r w:rsidRPr="006A2252">
        <w:rPr>
          <w:bCs/>
          <w:sz w:val="20"/>
          <w:szCs w:val="20"/>
        </w:rPr>
        <w:t>WT,</w:t>
      </w:r>
      <w:r w:rsidR="009677D1" w:rsidRPr="006A2252">
        <w:rPr>
          <w:bCs/>
          <w:sz w:val="20"/>
          <w:szCs w:val="20"/>
        </w:rPr>
        <w:t xml:space="preserve"> </w:t>
      </w:r>
      <w:proofErr w:type="spellStart"/>
      <w:r w:rsidRPr="006A2252">
        <w:rPr>
          <w:bCs/>
          <w:sz w:val="20"/>
          <w:szCs w:val="20"/>
        </w:rPr>
        <w:t>Bleijenberg</w:t>
      </w:r>
      <w:proofErr w:type="spellEnd"/>
      <w:r w:rsidR="009677D1" w:rsidRPr="006A2252">
        <w:rPr>
          <w:bCs/>
          <w:sz w:val="20"/>
          <w:szCs w:val="20"/>
        </w:rPr>
        <w:t xml:space="preserve"> </w:t>
      </w:r>
      <w:r w:rsidRPr="006A2252">
        <w:rPr>
          <w:bCs/>
          <w:sz w:val="20"/>
          <w:szCs w:val="20"/>
        </w:rPr>
        <w:t>G.</w:t>
      </w:r>
      <w:r w:rsidR="009677D1" w:rsidRPr="006A2252">
        <w:rPr>
          <w:bCs/>
          <w:sz w:val="20"/>
          <w:szCs w:val="20"/>
        </w:rPr>
        <w:t xml:space="preserve"> </w:t>
      </w:r>
      <w:r w:rsidRPr="006A2252">
        <w:rPr>
          <w:bCs/>
          <w:sz w:val="20"/>
          <w:szCs w:val="20"/>
        </w:rPr>
        <w:t>“</w:t>
      </w:r>
      <w:r w:rsidRPr="006A2252">
        <w:rPr>
          <w:sz w:val="20"/>
          <w:szCs w:val="20"/>
        </w:rPr>
        <w:t>Severe</w:t>
      </w:r>
      <w:r w:rsidR="009677D1" w:rsidRPr="006A2252">
        <w:rPr>
          <w:sz w:val="20"/>
          <w:szCs w:val="20"/>
        </w:rPr>
        <w:t xml:space="preserve"> </w:t>
      </w:r>
      <w:r w:rsidRPr="006A2252">
        <w:rPr>
          <w:sz w:val="20"/>
          <w:szCs w:val="20"/>
        </w:rPr>
        <w:t>fatigue</w:t>
      </w:r>
      <w:r w:rsidR="009677D1" w:rsidRPr="006A2252">
        <w:rPr>
          <w:sz w:val="20"/>
          <w:szCs w:val="20"/>
        </w:rPr>
        <w:t xml:space="preserve"> </w:t>
      </w:r>
      <w:r w:rsidRPr="006A2252">
        <w:rPr>
          <w:sz w:val="20"/>
          <w:szCs w:val="20"/>
        </w:rPr>
        <w:t>during</w:t>
      </w:r>
      <w:r w:rsidR="009677D1" w:rsidRPr="006A2252">
        <w:rPr>
          <w:sz w:val="20"/>
          <w:szCs w:val="20"/>
        </w:rPr>
        <w:t xml:space="preserve"> </w:t>
      </w:r>
      <w:r w:rsidRPr="006A2252">
        <w:rPr>
          <w:sz w:val="20"/>
          <w:szCs w:val="20"/>
        </w:rPr>
        <w:t>palliative</w:t>
      </w:r>
      <w:r w:rsidR="009677D1" w:rsidRPr="006A2252">
        <w:rPr>
          <w:sz w:val="20"/>
          <w:szCs w:val="20"/>
        </w:rPr>
        <w:t xml:space="preserve"> </w:t>
      </w:r>
      <w:r w:rsidRPr="006A2252">
        <w:rPr>
          <w:sz w:val="20"/>
          <w:szCs w:val="20"/>
        </w:rPr>
        <w:t>treatment</w:t>
      </w:r>
      <w:r w:rsidR="009677D1" w:rsidRPr="006A2252">
        <w:rPr>
          <w:sz w:val="20"/>
          <w:szCs w:val="20"/>
        </w:rPr>
        <w:t xml:space="preserve"> </w:t>
      </w:r>
      <w:r w:rsidRPr="006A2252">
        <w:rPr>
          <w:sz w:val="20"/>
          <w:szCs w:val="20"/>
        </w:rPr>
        <w:t>phase</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cancer:</w:t>
      </w:r>
      <w:r w:rsidR="009677D1" w:rsidRPr="006A2252">
        <w:rPr>
          <w:sz w:val="20"/>
          <w:szCs w:val="20"/>
        </w:rPr>
        <w:t xml:space="preserve"> </w:t>
      </w:r>
      <w:r w:rsidRPr="006A2252">
        <w:rPr>
          <w:sz w:val="20"/>
          <w:szCs w:val="20"/>
        </w:rPr>
        <w:t>an</w:t>
      </w:r>
      <w:r w:rsidR="009677D1" w:rsidRPr="006A2252">
        <w:rPr>
          <w:sz w:val="20"/>
          <w:szCs w:val="20"/>
        </w:rPr>
        <w:t xml:space="preserve"> </w:t>
      </w:r>
      <w:r w:rsidRPr="006A2252">
        <w:rPr>
          <w:sz w:val="20"/>
          <w:szCs w:val="20"/>
        </w:rPr>
        <w:t>exploratory</w:t>
      </w:r>
      <w:r w:rsidR="009677D1" w:rsidRPr="006A2252">
        <w:rPr>
          <w:sz w:val="20"/>
          <w:szCs w:val="20"/>
        </w:rPr>
        <w:t xml:space="preserve"> </w:t>
      </w:r>
      <w:r w:rsidRPr="006A2252">
        <w:rPr>
          <w:sz w:val="20"/>
          <w:szCs w:val="20"/>
        </w:rPr>
        <w:t>study.”</w:t>
      </w:r>
      <w:r w:rsidR="009677D1" w:rsidRPr="006A2252">
        <w:rPr>
          <w:sz w:val="20"/>
          <w:szCs w:val="20"/>
        </w:rPr>
        <w:t xml:space="preserve"> </w:t>
      </w:r>
      <w:r w:rsidRPr="006A2252">
        <w:rPr>
          <w:sz w:val="20"/>
          <w:szCs w:val="20"/>
        </w:rPr>
        <w:t>Cancer</w:t>
      </w:r>
      <w:r w:rsidR="009677D1" w:rsidRPr="006A2252">
        <w:rPr>
          <w:sz w:val="20"/>
          <w:szCs w:val="20"/>
        </w:rPr>
        <w:t xml:space="preserve"> </w:t>
      </w:r>
      <w:proofErr w:type="spellStart"/>
      <w:r w:rsidRPr="006A2252">
        <w:rPr>
          <w:sz w:val="20"/>
          <w:szCs w:val="20"/>
        </w:rPr>
        <w:t>Nurs</w:t>
      </w:r>
      <w:proofErr w:type="spellEnd"/>
      <w:r w:rsidR="009677D1" w:rsidRPr="006A2252">
        <w:rPr>
          <w:sz w:val="20"/>
          <w:szCs w:val="20"/>
        </w:rPr>
        <w:t xml:space="preserve"> </w:t>
      </w:r>
      <w:r w:rsidRPr="006A2252">
        <w:rPr>
          <w:sz w:val="20"/>
          <w:szCs w:val="20"/>
        </w:rPr>
        <w:t>2014;</w:t>
      </w:r>
      <w:r w:rsidR="009677D1" w:rsidRPr="006A2252">
        <w:rPr>
          <w:sz w:val="20"/>
          <w:szCs w:val="20"/>
        </w:rPr>
        <w:t xml:space="preserve"> </w:t>
      </w:r>
      <w:r w:rsidRPr="006A2252">
        <w:rPr>
          <w:sz w:val="20"/>
          <w:szCs w:val="20"/>
        </w:rPr>
        <w:t>37:139e45.</w:t>
      </w:r>
      <w:r w:rsidR="009677D1" w:rsidRPr="006A2252">
        <w:rPr>
          <w:sz w:val="20"/>
          <w:szCs w:val="20"/>
        </w:rPr>
        <w:t xml:space="preserve"> </w:t>
      </w:r>
    </w:p>
    <w:p w:rsidR="00DE776F" w:rsidRPr="006A2252" w:rsidRDefault="00DE776F" w:rsidP="00FF4C83">
      <w:pPr>
        <w:pStyle w:val="ListParagraph"/>
        <w:numPr>
          <w:ilvl w:val="0"/>
          <w:numId w:val="2"/>
        </w:numPr>
        <w:snapToGrid w:val="0"/>
        <w:ind w:left="425" w:hanging="425"/>
        <w:jc w:val="both"/>
        <w:rPr>
          <w:sz w:val="20"/>
          <w:szCs w:val="20"/>
          <w:lang w:bidi="ar-EG"/>
        </w:rPr>
      </w:pPr>
      <w:r w:rsidRPr="006A2252">
        <w:rPr>
          <w:bCs/>
          <w:sz w:val="20"/>
          <w:szCs w:val="20"/>
          <w:lang w:bidi="ar-EG"/>
        </w:rPr>
        <w:t>Salem</w:t>
      </w:r>
      <w:r w:rsidR="009677D1" w:rsidRPr="006A2252">
        <w:rPr>
          <w:bCs/>
          <w:sz w:val="20"/>
          <w:szCs w:val="20"/>
          <w:lang w:bidi="ar-EG"/>
        </w:rPr>
        <w:t xml:space="preserve"> </w:t>
      </w:r>
      <w:r w:rsidRPr="006A2252">
        <w:rPr>
          <w:bCs/>
          <w:sz w:val="20"/>
          <w:szCs w:val="20"/>
          <w:lang w:bidi="ar-EG"/>
        </w:rPr>
        <w:t>YA,</w:t>
      </w:r>
      <w:r w:rsidR="009677D1" w:rsidRPr="006A2252">
        <w:rPr>
          <w:bCs/>
          <w:sz w:val="20"/>
          <w:szCs w:val="20"/>
          <w:lang w:bidi="ar-EG"/>
        </w:rPr>
        <w:t xml:space="preserve"> </w:t>
      </w:r>
      <w:proofErr w:type="spellStart"/>
      <w:r w:rsidRPr="006A2252">
        <w:rPr>
          <w:bCs/>
          <w:sz w:val="20"/>
          <w:szCs w:val="20"/>
          <w:lang w:bidi="ar-EG"/>
        </w:rPr>
        <w:t>Labib</w:t>
      </w:r>
      <w:proofErr w:type="spellEnd"/>
      <w:r w:rsidR="009677D1" w:rsidRPr="006A2252">
        <w:rPr>
          <w:bCs/>
          <w:sz w:val="20"/>
          <w:szCs w:val="20"/>
          <w:lang w:bidi="ar-EG"/>
        </w:rPr>
        <w:t xml:space="preserve"> </w:t>
      </w:r>
      <w:r w:rsidRPr="006A2252">
        <w:rPr>
          <w:bCs/>
          <w:sz w:val="20"/>
          <w:szCs w:val="20"/>
          <w:lang w:bidi="ar-EG"/>
        </w:rPr>
        <w:t>HA</w:t>
      </w:r>
      <w:r w:rsidR="009677D1" w:rsidRPr="006A2252">
        <w:rPr>
          <w:bCs/>
          <w:sz w:val="20"/>
          <w:szCs w:val="20"/>
          <w:lang w:bidi="ar-EG"/>
        </w:rPr>
        <w:t xml:space="preserve"> </w:t>
      </w:r>
      <w:r w:rsidRPr="006A2252">
        <w:rPr>
          <w:bCs/>
          <w:sz w:val="20"/>
          <w:szCs w:val="20"/>
          <w:lang w:bidi="ar-EG"/>
        </w:rPr>
        <w:t>and</w:t>
      </w:r>
      <w:r w:rsidR="009677D1" w:rsidRPr="006A2252">
        <w:rPr>
          <w:bCs/>
          <w:sz w:val="20"/>
          <w:szCs w:val="20"/>
          <w:lang w:bidi="ar-EG"/>
        </w:rPr>
        <w:t xml:space="preserve"> </w:t>
      </w:r>
      <w:proofErr w:type="spellStart"/>
      <w:r w:rsidRPr="006A2252">
        <w:rPr>
          <w:bCs/>
          <w:sz w:val="20"/>
          <w:szCs w:val="20"/>
          <w:lang w:bidi="ar-EG"/>
        </w:rPr>
        <w:t>Algendy</w:t>
      </w:r>
      <w:proofErr w:type="spellEnd"/>
      <w:r w:rsidR="009677D1" w:rsidRPr="006A2252">
        <w:rPr>
          <w:bCs/>
          <w:sz w:val="20"/>
          <w:szCs w:val="20"/>
          <w:lang w:bidi="ar-EG"/>
        </w:rPr>
        <w:t xml:space="preserve"> </w:t>
      </w:r>
      <w:r w:rsidRPr="006A2252">
        <w:rPr>
          <w:bCs/>
          <w:sz w:val="20"/>
          <w:szCs w:val="20"/>
          <w:lang w:bidi="ar-EG"/>
        </w:rPr>
        <w:t>MA.</w:t>
      </w:r>
      <w:r w:rsidR="009677D1" w:rsidRPr="006A2252">
        <w:rPr>
          <w:bCs/>
          <w:sz w:val="20"/>
          <w:szCs w:val="20"/>
          <w:lang w:bidi="ar-EG"/>
        </w:rPr>
        <w:t xml:space="preserve"> </w:t>
      </w:r>
      <w:r w:rsidRPr="006A2252">
        <w:rPr>
          <w:bCs/>
          <w:sz w:val="20"/>
          <w:szCs w:val="20"/>
          <w:lang w:bidi="ar-EG"/>
        </w:rPr>
        <w:t>“</w:t>
      </w:r>
      <w:r w:rsidRPr="006A2252">
        <w:rPr>
          <w:sz w:val="20"/>
          <w:szCs w:val="20"/>
          <w:lang w:bidi="ar-EG"/>
        </w:rPr>
        <w:t>Intravenous</w:t>
      </w:r>
      <w:r w:rsidR="009677D1" w:rsidRPr="006A2252">
        <w:rPr>
          <w:sz w:val="20"/>
          <w:szCs w:val="20"/>
          <w:lang w:bidi="ar-EG"/>
        </w:rPr>
        <w:t xml:space="preserve"> </w:t>
      </w:r>
      <w:r w:rsidRPr="006A2252">
        <w:rPr>
          <w:sz w:val="20"/>
          <w:szCs w:val="20"/>
          <w:lang w:bidi="ar-EG"/>
        </w:rPr>
        <w:t>glutamine</w:t>
      </w:r>
      <w:r w:rsidR="009677D1" w:rsidRPr="006A2252">
        <w:rPr>
          <w:sz w:val="20"/>
          <w:szCs w:val="20"/>
          <w:lang w:bidi="ar-EG"/>
        </w:rPr>
        <w:t xml:space="preserve"> </w:t>
      </w:r>
      <w:r w:rsidRPr="006A2252">
        <w:rPr>
          <w:sz w:val="20"/>
          <w:szCs w:val="20"/>
          <w:lang w:bidi="ar-EG"/>
        </w:rPr>
        <w:t>supplementation</w:t>
      </w:r>
      <w:r w:rsidR="009677D1" w:rsidRPr="006A2252">
        <w:rPr>
          <w:sz w:val="20"/>
          <w:szCs w:val="20"/>
          <w:lang w:bidi="ar-EG"/>
        </w:rPr>
        <w:t xml:space="preserve"> </w:t>
      </w:r>
      <w:r w:rsidRPr="006A2252">
        <w:rPr>
          <w:sz w:val="20"/>
          <w:szCs w:val="20"/>
          <w:lang w:bidi="ar-EG"/>
        </w:rPr>
        <w:t>improves</w:t>
      </w:r>
      <w:r w:rsidR="009677D1" w:rsidRPr="006A2252">
        <w:rPr>
          <w:sz w:val="20"/>
          <w:szCs w:val="20"/>
          <w:lang w:bidi="ar-EG"/>
        </w:rPr>
        <w:t xml:space="preserve"> </w:t>
      </w:r>
      <w:r w:rsidRPr="006A2252">
        <w:rPr>
          <w:sz w:val="20"/>
          <w:szCs w:val="20"/>
          <w:lang w:bidi="ar-EG"/>
        </w:rPr>
        <w:t>gut</w:t>
      </w:r>
      <w:r w:rsidR="009677D1" w:rsidRPr="006A2252">
        <w:rPr>
          <w:sz w:val="20"/>
          <w:szCs w:val="20"/>
          <w:lang w:bidi="ar-EG"/>
        </w:rPr>
        <w:t xml:space="preserve"> </w:t>
      </w:r>
      <w:r w:rsidRPr="006A2252">
        <w:rPr>
          <w:sz w:val="20"/>
          <w:szCs w:val="20"/>
          <w:lang w:bidi="ar-EG"/>
        </w:rPr>
        <w:t>mucosal</w:t>
      </w:r>
      <w:r w:rsidR="009677D1" w:rsidRPr="006A2252">
        <w:rPr>
          <w:sz w:val="20"/>
          <w:szCs w:val="20"/>
          <w:lang w:bidi="ar-EG"/>
        </w:rPr>
        <w:t xml:space="preserve"> </w:t>
      </w:r>
      <w:r w:rsidRPr="006A2252">
        <w:rPr>
          <w:sz w:val="20"/>
          <w:szCs w:val="20"/>
          <w:lang w:bidi="ar-EG"/>
        </w:rPr>
        <w:t>function</w:t>
      </w:r>
      <w:r w:rsidR="009677D1" w:rsidRPr="006A2252">
        <w:rPr>
          <w:sz w:val="20"/>
          <w:szCs w:val="20"/>
          <w:lang w:bidi="ar-EG"/>
        </w:rPr>
        <w:t xml:space="preserve"> </w:t>
      </w:r>
      <w:r w:rsidRPr="006A2252">
        <w:rPr>
          <w:sz w:val="20"/>
          <w:szCs w:val="20"/>
          <w:lang w:bidi="ar-EG"/>
        </w:rPr>
        <w:t>in</w:t>
      </w:r>
      <w:r w:rsidR="009677D1" w:rsidRPr="006A2252">
        <w:rPr>
          <w:sz w:val="20"/>
          <w:szCs w:val="20"/>
          <w:lang w:bidi="ar-EG"/>
        </w:rPr>
        <w:t xml:space="preserve"> </w:t>
      </w:r>
      <w:r w:rsidRPr="006A2252">
        <w:rPr>
          <w:sz w:val="20"/>
          <w:szCs w:val="20"/>
          <w:lang w:bidi="ar-EG"/>
        </w:rPr>
        <w:t>burn</w:t>
      </w:r>
      <w:r w:rsidR="009677D1" w:rsidRPr="006A2252">
        <w:rPr>
          <w:sz w:val="20"/>
          <w:szCs w:val="20"/>
          <w:lang w:bidi="ar-EG"/>
        </w:rPr>
        <w:t xml:space="preserve"> </w:t>
      </w:r>
      <w:r w:rsidRPr="006A2252">
        <w:rPr>
          <w:sz w:val="20"/>
          <w:szCs w:val="20"/>
          <w:lang w:bidi="ar-EG"/>
        </w:rPr>
        <w:t>patients:</w:t>
      </w:r>
      <w:r w:rsidR="009677D1" w:rsidRPr="006A2252">
        <w:rPr>
          <w:sz w:val="20"/>
          <w:szCs w:val="20"/>
          <w:lang w:bidi="ar-EG"/>
        </w:rPr>
        <w:t xml:space="preserve"> </w:t>
      </w:r>
      <w:r w:rsidRPr="006A2252">
        <w:rPr>
          <w:sz w:val="20"/>
          <w:szCs w:val="20"/>
          <w:lang w:bidi="ar-EG"/>
        </w:rPr>
        <w:t>a</w:t>
      </w:r>
      <w:r w:rsidR="009677D1" w:rsidRPr="006A2252">
        <w:rPr>
          <w:sz w:val="20"/>
          <w:szCs w:val="20"/>
          <w:lang w:bidi="ar-EG"/>
        </w:rPr>
        <w:t xml:space="preserve"> </w:t>
      </w:r>
      <w:r w:rsidRPr="006A2252">
        <w:rPr>
          <w:sz w:val="20"/>
          <w:szCs w:val="20"/>
          <w:lang w:bidi="ar-EG"/>
        </w:rPr>
        <w:t>randomized</w:t>
      </w:r>
      <w:r w:rsidR="009677D1" w:rsidRPr="006A2252">
        <w:rPr>
          <w:sz w:val="20"/>
          <w:szCs w:val="20"/>
          <w:lang w:bidi="ar-EG"/>
        </w:rPr>
        <w:t xml:space="preserve"> </w:t>
      </w:r>
      <w:r w:rsidRPr="006A2252">
        <w:rPr>
          <w:sz w:val="20"/>
          <w:szCs w:val="20"/>
          <w:lang w:bidi="ar-EG"/>
        </w:rPr>
        <w:t>controlled</w:t>
      </w:r>
      <w:r w:rsidR="009677D1" w:rsidRPr="006A2252">
        <w:rPr>
          <w:sz w:val="20"/>
          <w:szCs w:val="20"/>
          <w:lang w:bidi="ar-EG"/>
        </w:rPr>
        <w:t xml:space="preserve"> </w:t>
      </w:r>
      <w:r w:rsidRPr="006A2252">
        <w:rPr>
          <w:sz w:val="20"/>
          <w:szCs w:val="20"/>
          <w:lang w:bidi="ar-EG"/>
        </w:rPr>
        <w:t>trial.”</w:t>
      </w:r>
      <w:r w:rsidR="009677D1" w:rsidRPr="006A2252">
        <w:rPr>
          <w:sz w:val="20"/>
          <w:szCs w:val="20"/>
          <w:lang w:bidi="ar-EG"/>
        </w:rPr>
        <w:t xml:space="preserve"> </w:t>
      </w:r>
      <w:r w:rsidRPr="006A2252">
        <w:rPr>
          <w:sz w:val="20"/>
          <w:szCs w:val="20"/>
          <w:lang w:bidi="ar-EG"/>
        </w:rPr>
        <w:t>Ain-Shams</w:t>
      </w:r>
      <w:r w:rsidR="009677D1" w:rsidRPr="006A2252">
        <w:rPr>
          <w:sz w:val="20"/>
          <w:szCs w:val="20"/>
          <w:lang w:bidi="ar-EG"/>
        </w:rPr>
        <w:t xml:space="preserve"> </w:t>
      </w:r>
      <w:r w:rsidRPr="006A2252">
        <w:rPr>
          <w:sz w:val="20"/>
          <w:szCs w:val="20"/>
          <w:lang w:bidi="ar-EG"/>
        </w:rPr>
        <w:t>Journal</w:t>
      </w:r>
      <w:r w:rsidR="009677D1" w:rsidRPr="006A2252">
        <w:rPr>
          <w:sz w:val="20"/>
          <w:szCs w:val="20"/>
          <w:lang w:bidi="ar-EG"/>
        </w:rPr>
        <w:t xml:space="preserve"> </w:t>
      </w:r>
      <w:r w:rsidRPr="006A2252">
        <w:rPr>
          <w:sz w:val="20"/>
          <w:szCs w:val="20"/>
          <w:lang w:bidi="ar-EG"/>
        </w:rPr>
        <w:t>of</w:t>
      </w:r>
      <w:r w:rsidR="009677D1" w:rsidRPr="006A2252">
        <w:rPr>
          <w:sz w:val="20"/>
          <w:szCs w:val="20"/>
          <w:lang w:bidi="ar-EG"/>
        </w:rPr>
        <w:t xml:space="preserve"> </w:t>
      </w:r>
      <w:proofErr w:type="spellStart"/>
      <w:r w:rsidRPr="006A2252">
        <w:rPr>
          <w:sz w:val="20"/>
          <w:szCs w:val="20"/>
          <w:lang w:bidi="ar-EG"/>
        </w:rPr>
        <w:t>Anaesthesiology</w:t>
      </w:r>
      <w:proofErr w:type="spellEnd"/>
      <w:r w:rsidRPr="006A2252">
        <w:rPr>
          <w:sz w:val="20"/>
          <w:szCs w:val="20"/>
          <w:lang w:bidi="ar-EG"/>
        </w:rPr>
        <w:t>,</w:t>
      </w:r>
      <w:r w:rsidR="009677D1" w:rsidRPr="006A2252">
        <w:rPr>
          <w:sz w:val="20"/>
          <w:szCs w:val="20"/>
          <w:lang w:bidi="ar-EG"/>
        </w:rPr>
        <w:t xml:space="preserve"> </w:t>
      </w:r>
      <w:r w:rsidRPr="006A2252">
        <w:rPr>
          <w:sz w:val="20"/>
          <w:szCs w:val="20"/>
          <w:lang w:bidi="ar-EG"/>
        </w:rPr>
        <w:t>2017;</w:t>
      </w:r>
      <w:r w:rsidR="009677D1" w:rsidRPr="006A2252">
        <w:rPr>
          <w:sz w:val="20"/>
          <w:szCs w:val="20"/>
          <w:lang w:bidi="ar-EG"/>
        </w:rPr>
        <w:t xml:space="preserve"> </w:t>
      </w:r>
      <w:r w:rsidRPr="006A2252">
        <w:rPr>
          <w:sz w:val="20"/>
          <w:szCs w:val="20"/>
          <w:lang w:bidi="ar-EG"/>
        </w:rPr>
        <w:t>10(1),</w:t>
      </w:r>
      <w:r w:rsidR="009677D1" w:rsidRPr="006A2252">
        <w:rPr>
          <w:sz w:val="20"/>
          <w:szCs w:val="20"/>
          <w:lang w:bidi="ar-EG"/>
        </w:rPr>
        <w:t xml:space="preserve"> </w:t>
      </w:r>
      <w:r w:rsidRPr="006A2252">
        <w:rPr>
          <w:sz w:val="20"/>
          <w:szCs w:val="20"/>
          <w:lang w:bidi="ar-EG"/>
        </w:rPr>
        <w:t>60.‏</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Shibuya</w:t>
      </w:r>
      <w:r w:rsidR="009677D1" w:rsidRPr="006A2252">
        <w:rPr>
          <w:bCs/>
          <w:sz w:val="20"/>
          <w:szCs w:val="20"/>
        </w:rPr>
        <w:t xml:space="preserve"> </w:t>
      </w:r>
      <w:r w:rsidRPr="006A2252">
        <w:rPr>
          <w:bCs/>
          <w:sz w:val="20"/>
          <w:szCs w:val="20"/>
        </w:rPr>
        <w:t>N,</w:t>
      </w:r>
      <w:r w:rsidR="009677D1" w:rsidRPr="006A2252">
        <w:rPr>
          <w:bCs/>
          <w:sz w:val="20"/>
          <w:szCs w:val="20"/>
        </w:rPr>
        <w:t xml:space="preserve"> </w:t>
      </w:r>
      <w:r w:rsidRPr="006A2252">
        <w:rPr>
          <w:bCs/>
          <w:sz w:val="20"/>
          <w:szCs w:val="20"/>
        </w:rPr>
        <w:t>Ishizuka</w:t>
      </w:r>
      <w:r w:rsidR="009677D1" w:rsidRPr="006A2252">
        <w:rPr>
          <w:bCs/>
          <w:sz w:val="20"/>
          <w:szCs w:val="20"/>
        </w:rPr>
        <w:t xml:space="preserve"> </w:t>
      </w:r>
      <w:r w:rsidRPr="006A2252">
        <w:rPr>
          <w:bCs/>
          <w:sz w:val="20"/>
          <w:szCs w:val="20"/>
        </w:rPr>
        <w:t>M,</w:t>
      </w:r>
      <w:r w:rsidR="009677D1" w:rsidRPr="006A2252">
        <w:rPr>
          <w:bCs/>
          <w:sz w:val="20"/>
          <w:szCs w:val="20"/>
        </w:rPr>
        <w:t xml:space="preserve"> </w:t>
      </w:r>
      <w:r w:rsidRPr="006A2252">
        <w:rPr>
          <w:bCs/>
          <w:sz w:val="20"/>
          <w:szCs w:val="20"/>
        </w:rPr>
        <w:t>Takagi</w:t>
      </w:r>
      <w:r w:rsidR="009677D1" w:rsidRPr="006A2252">
        <w:rPr>
          <w:bCs/>
          <w:sz w:val="20"/>
          <w:szCs w:val="20"/>
        </w:rPr>
        <w:t xml:space="preserve"> </w:t>
      </w:r>
      <w:r w:rsidRPr="006A2252">
        <w:rPr>
          <w:bCs/>
          <w:sz w:val="20"/>
          <w:szCs w:val="20"/>
        </w:rPr>
        <w:t>K,</w:t>
      </w:r>
      <w:r w:rsidR="009677D1" w:rsidRPr="006A2252">
        <w:rPr>
          <w:bCs/>
          <w:sz w:val="20"/>
          <w:szCs w:val="20"/>
        </w:rPr>
        <w:t xml:space="preserve"> </w:t>
      </w:r>
      <w:r w:rsidRPr="006A2252">
        <w:rPr>
          <w:bCs/>
          <w:sz w:val="20"/>
          <w:szCs w:val="20"/>
        </w:rPr>
        <w:t>Iwasaki</w:t>
      </w:r>
      <w:r w:rsidR="009677D1" w:rsidRPr="006A2252">
        <w:rPr>
          <w:bCs/>
          <w:sz w:val="20"/>
          <w:szCs w:val="20"/>
        </w:rPr>
        <w:t xml:space="preserve"> </w:t>
      </w:r>
      <w:r w:rsidRPr="006A2252">
        <w:rPr>
          <w:bCs/>
          <w:sz w:val="20"/>
          <w:szCs w:val="20"/>
        </w:rPr>
        <w:t>Y,</w:t>
      </w:r>
      <w:r w:rsidR="009677D1" w:rsidRPr="006A2252">
        <w:rPr>
          <w:bCs/>
          <w:sz w:val="20"/>
          <w:szCs w:val="20"/>
        </w:rPr>
        <w:t xml:space="preserve"> </w:t>
      </w:r>
      <w:proofErr w:type="spellStart"/>
      <w:r w:rsidRPr="006A2252">
        <w:rPr>
          <w:bCs/>
          <w:sz w:val="20"/>
          <w:szCs w:val="20"/>
        </w:rPr>
        <w:t>Hachiya</w:t>
      </w:r>
      <w:proofErr w:type="spellEnd"/>
      <w:r w:rsidR="009677D1" w:rsidRPr="006A2252">
        <w:rPr>
          <w:bCs/>
          <w:sz w:val="20"/>
          <w:szCs w:val="20"/>
        </w:rPr>
        <w:t xml:space="preserve"> </w:t>
      </w:r>
      <w:r w:rsidRPr="006A2252">
        <w:rPr>
          <w:bCs/>
          <w:sz w:val="20"/>
          <w:szCs w:val="20"/>
        </w:rPr>
        <w:t>H,</w:t>
      </w:r>
      <w:r w:rsidR="009677D1" w:rsidRPr="006A2252">
        <w:rPr>
          <w:bCs/>
          <w:sz w:val="20"/>
          <w:szCs w:val="20"/>
        </w:rPr>
        <w:t xml:space="preserve"> </w:t>
      </w:r>
      <w:r w:rsidRPr="006A2252">
        <w:rPr>
          <w:bCs/>
          <w:sz w:val="20"/>
          <w:szCs w:val="20"/>
        </w:rPr>
        <w:t>Aoki</w:t>
      </w:r>
      <w:r w:rsidR="009677D1" w:rsidRPr="006A2252">
        <w:rPr>
          <w:bCs/>
          <w:sz w:val="20"/>
          <w:szCs w:val="20"/>
        </w:rPr>
        <w:t xml:space="preserve"> </w:t>
      </w:r>
      <w:r w:rsidRPr="006A2252">
        <w:rPr>
          <w:bCs/>
          <w:sz w:val="20"/>
          <w:szCs w:val="20"/>
        </w:rPr>
        <w:t>T</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Kubota</w:t>
      </w:r>
      <w:r w:rsidR="009677D1" w:rsidRPr="006A2252">
        <w:rPr>
          <w:bCs/>
          <w:sz w:val="20"/>
          <w:szCs w:val="20"/>
        </w:rPr>
        <w:t xml:space="preserve"> </w:t>
      </w:r>
      <w:r w:rsidRPr="006A2252">
        <w:rPr>
          <w:bCs/>
          <w:sz w:val="20"/>
          <w:szCs w:val="20"/>
        </w:rPr>
        <w:t>K.</w:t>
      </w:r>
      <w:r w:rsidRPr="006A2252">
        <w:rPr>
          <w:sz w:val="20"/>
          <w:szCs w:val="20"/>
        </w:rPr>
        <w:t>“Relationship</w:t>
      </w:r>
      <w:r w:rsidR="009677D1" w:rsidRPr="006A2252">
        <w:rPr>
          <w:sz w:val="20"/>
          <w:szCs w:val="20"/>
        </w:rPr>
        <w:t xml:space="preserve"> </w:t>
      </w:r>
      <w:r w:rsidRPr="006A2252">
        <w:rPr>
          <w:sz w:val="20"/>
          <w:szCs w:val="20"/>
        </w:rPr>
        <w:t>Between</w:t>
      </w:r>
      <w:r w:rsidR="009677D1" w:rsidRPr="006A2252">
        <w:rPr>
          <w:sz w:val="20"/>
          <w:szCs w:val="20"/>
        </w:rPr>
        <w:t xml:space="preserve"> </w:t>
      </w:r>
      <w:r w:rsidRPr="006A2252">
        <w:rPr>
          <w:sz w:val="20"/>
          <w:szCs w:val="20"/>
        </w:rPr>
        <w:t>Preoperative</w:t>
      </w:r>
      <w:r w:rsidR="009677D1" w:rsidRPr="006A2252">
        <w:rPr>
          <w:sz w:val="20"/>
          <w:szCs w:val="20"/>
        </w:rPr>
        <w:t xml:space="preserve"> </w:t>
      </w:r>
      <w:r w:rsidRPr="006A2252">
        <w:rPr>
          <w:sz w:val="20"/>
          <w:szCs w:val="20"/>
        </w:rPr>
        <w:t>Erythrocyte</w:t>
      </w:r>
      <w:r w:rsidR="009677D1" w:rsidRPr="006A2252">
        <w:rPr>
          <w:sz w:val="20"/>
          <w:szCs w:val="20"/>
        </w:rPr>
        <w:t xml:space="preserve"> </w:t>
      </w:r>
      <w:r w:rsidRPr="006A2252">
        <w:rPr>
          <w:sz w:val="20"/>
          <w:szCs w:val="20"/>
        </w:rPr>
        <w:t>Sedimentation</w:t>
      </w:r>
      <w:r w:rsidR="009677D1" w:rsidRPr="006A2252">
        <w:rPr>
          <w:sz w:val="20"/>
          <w:szCs w:val="20"/>
        </w:rPr>
        <w:t xml:space="preserve"> </w:t>
      </w:r>
      <w:r w:rsidRPr="006A2252">
        <w:rPr>
          <w:sz w:val="20"/>
          <w:szCs w:val="20"/>
        </w:rPr>
        <w:t>Rate</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Survival</w:t>
      </w:r>
      <w:r w:rsidR="009677D1" w:rsidRPr="006A2252">
        <w:rPr>
          <w:sz w:val="20"/>
          <w:szCs w:val="20"/>
        </w:rPr>
        <w:t xml:space="preserve"> </w:t>
      </w:r>
      <w:r w:rsidRPr="006A2252">
        <w:rPr>
          <w:sz w:val="20"/>
          <w:szCs w:val="20"/>
        </w:rPr>
        <w:t>After</w:t>
      </w:r>
      <w:r w:rsidR="009677D1" w:rsidRPr="006A2252">
        <w:rPr>
          <w:sz w:val="20"/>
          <w:szCs w:val="20"/>
        </w:rPr>
        <w:t xml:space="preserve"> </w:t>
      </w:r>
      <w:r w:rsidRPr="006A2252">
        <w:rPr>
          <w:sz w:val="20"/>
          <w:szCs w:val="20"/>
        </w:rPr>
        <w:t>Surgery</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Patients</w:t>
      </w:r>
      <w:r w:rsidR="009677D1" w:rsidRPr="006A2252">
        <w:rPr>
          <w:sz w:val="20"/>
          <w:szCs w:val="20"/>
        </w:rPr>
        <w:t xml:space="preserve"> </w:t>
      </w:r>
      <w:r w:rsidRPr="006A2252">
        <w:rPr>
          <w:sz w:val="20"/>
          <w:szCs w:val="20"/>
        </w:rPr>
        <w:t>with</w:t>
      </w:r>
      <w:r w:rsidR="009677D1" w:rsidRPr="006A2252">
        <w:rPr>
          <w:sz w:val="20"/>
          <w:szCs w:val="20"/>
        </w:rPr>
        <w:t xml:space="preserve"> </w:t>
      </w:r>
      <w:r w:rsidRPr="006A2252">
        <w:rPr>
          <w:sz w:val="20"/>
          <w:szCs w:val="20"/>
        </w:rPr>
        <w:t>Colorectal</w:t>
      </w:r>
      <w:r w:rsidR="009677D1" w:rsidRPr="006A2252">
        <w:rPr>
          <w:sz w:val="20"/>
          <w:szCs w:val="20"/>
        </w:rPr>
        <w:t xml:space="preserve"> </w:t>
      </w:r>
      <w:r w:rsidRPr="006A2252">
        <w:rPr>
          <w:sz w:val="20"/>
          <w:szCs w:val="20"/>
        </w:rPr>
        <w:t>Cancer.”</w:t>
      </w:r>
      <w:r w:rsidR="009677D1" w:rsidRPr="006A2252">
        <w:rPr>
          <w:sz w:val="20"/>
          <w:szCs w:val="20"/>
        </w:rPr>
        <w:t xml:space="preserve"> </w:t>
      </w:r>
      <w:r w:rsidRPr="006A2252">
        <w:rPr>
          <w:sz w:val="20"/>
          <w:szCs w:val="20"/>
        </w:rPr>
        <w:t>Anticancer</w:t>
      </w:r>
      <w:r w:rsidR="009677D1" w:rsidRPr="006A2252">
        <w:rPr>
          <w:sz w:val="20"/>
          <w:szCs w:val="20"/>
        </w:rPr>
        <w:t xml:space="preserve"> </w:t>
      </w:r>
      <w:r w:rsidRPr="006A2252">
        <w:rPr>
          <w:sz w:val="20"/>
          <w:szCs w:val="20"/>
        </w:rPr>
        <w:t>research,</w:t>
      </w:r>
      <w:r w:rsidR="009677D1" w:rsidRPr="006A2252">
        <w:rPr>
          <w:sz w:val="20"/>
          <w:szCs w:val="20"/>
        </w:rPr>
        <w:t xml:space="preserve"> </w:t>
      </w:r>
      <w:r w:rsidRPr="006A2252">
        <w:rPr>
          <w:sz w:val="20"/>
          <w:szCs w:val="20"/>
        </w:rPr>
        <w:t>2018;</w:t>
      </w:r>
      <w:r w:rsidR="009677D1" w:rsidRPr="006A2252">
        <w:rPr>
          <w:sz w:val="20"/>
          <w:szCs w:val="20"/>
        </w:rPr>
        <w:t xml:space="preserve"> </w:t>
      </w:r>
      <w:r w:rsidRPr="006A2252">
        <w:rPr>
          <w:sz w:val="20"/>
          <w:szCs w:val="20"/>
        </w:rPr>
        <w:t>38(12),</w:t>
      </w:r>
      <w:r w:rsidR="009677D1" w:rsidRPr="006A2252">
        <w:rPr>
          <w:sz w:val="20"/>
          <w:szCs w:val="20"/>
        </w:rPr>
        <w:t xml:space="preserve"> </w:t>
      </w:r>
      <w:r w:rsidRPr="006A2252">
        <w:rPr>
          <w:sz w:val="20"/>
          <w:szCs w:val="20"/>
        </w:rPr>
        <w:t>6783-6788.</w:t>
      </w:r>
      <w:r w:rsidRPr="006A2252">
        <w:rPr>
          <w:sz w:val="20"/>
          <w:szCs w:val="20"/>
          <w:lang w:bidi="ar-EG"/>
        </w:rPr>
        <w:t>‏</w:t>
      </w:r>
      <w:r w:rsidR="00FF4C83" w:rsidRPr="006A2252">
        <w:rPr>
          <w:rFonts w:eastAsiaTheme="minorEastAsia" w:hint="eastAsia"/>
          <w:sz w:val="20"/>
          <w:szCs w:val="20"/>
          <w:lang w:eastAsia="zh-CN" w:bidi="ar-EG"/>
        </w:rPr>
        <w:t xml:space="preserve"> </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Singer</w:t>
      </w:r>
      <w:r w:rsidR="009677D1" w:rsidRPr="006A2252">
        <w:rPr>
          <w:bCs/>
          <w:sz w:val="20"/>
          <w:szCs w:val="20"/>
        </w:rPr>
        <w:t xml:space="preserve"> </w:t>
      </w:r>
      <w:r w:rsidRPr="006A2252">
        <w:rPr>
          <w:bCs/>
          <w:sz w:val="20"/>
          <w:szCs w:val="20"/>
        </w:rPr>
        <w:t>S,</w:t>
      </w:r>
      <w:r w:rsidR="009677D1" w:rsidRPr="006A2252">
        <w:rPr>
          <w:bCs/>
          <w:sz w:val="20"/>
          <w:szCs w:val="20"/>
        </w:rPr>
        <w:t xml:space="preserve"> </w:t>
      </w:r>
      <w:proofErr w:type="spellStart"/>
      <w:r w:rsidRPr="006A2252">
        <w:rPr>
          <w:bCs/>
          <w:sz w:val="20"/>
          <w:szCs w:val="20"/>
        </w:rPr>
        <w:t>Kuhnt</w:t>
      </w:r>
      <w:proofErr w:type="spellEnd"/>
      <w:r w:rsidR="009677D1" w:rsidRPr="006A2252">
        <w:rPr>
          <w:bCs/>
          <w:sz w:val="20"/>
          <w:szCs w:val="20"/>
        </w:rPr>
        <w:t xml:space="preserve"> </w:t>
      </w:r>
      <w:r w:rsidRPr="006A2252">
        <w:rPr>
          <w:bCs/>
          <w:sz w:val="20"/>
          <w:szCs w:val="20"/>
        </w:rPr>
        <w:t>S,</w:t>
      </w:r>
      <w:r w:rsidR="009677D1" w:rsidRPr="006A2252">
        <w:rPr>
          <w:bCs/>
          <w:sz w:val="20"/>
          <w:szCs w:val="20"/>
        </w:rPr>
        <w:t xml:space="preserve"> </w:t>
      </w:r>
      <w:proofErr w:type="spellStart"/>
      <w:r w:rsidRPr="006A2252">
        <w:rPr>
          <w:bCs/>
          <w:sz w:val="20"/>
          <w:szCs w:val="20"/>
        </w:rPr>
        <w:t>Zwerenz</w:t>
      </w:r>
      <w:proofErr w:type="spellEnd"/>
      <w:r w:rsidR="009677D1" w:rsidRPr="006A2252">
        <w:rPr>
          <w:bCs/>
          <w:sz w:val="20"/>
          <w:szCs w:val="20"/>
        </w:rPr>
        <w:t xml:space="preserve"> </w:t>
      </w:r>
      <w:r w:rsidRPr="006A2252">
        <w:rPr>
          <w:bCs/>
          <w:sz w:val="20"/>
          <w:szCs w:val="20"/>
        </w:rPr>
        <w:t>R,</w:t>
      </w:r>
      <w:r w:rsidR="009677D1" w:rsidRPr="006A2252">
        <w:rPr>
          <w:bCs/>
          <w:sz w:val="20"/>
          <w:szCs w:val="20"/>
        </w:rPr>
        <w:t xml:space="preserve"> </w:t>
      </w:r>
      <w:r w:rsidRPr="006A2252">
        <w:rPr>
          <w:bCs/>
          <w:sz w:val="20"/>
          <w:szCs w:val="20"/>
        </w:rPr>
        <w:t>Eckert</w:t>
      </w:r>
      <w:r w:rsidR="009677D1" w:rsidRPr="006A2252">
        <w:rPr>
          <w:bCs/>
          <w:sz w:val="20"/>
          <w:szCs w:val="20"/>
        </w:rPr>
        <w:t xml:space="preserve"> </w:t>
      </w:r>
      <w:r w:rsidRPr="006A2252">
        <w:rPr>
          <w:bCs/>
          <w:sz w:val="20"/>
          <w:szCs w:val="20"/>
        </w:rPr>
        <w:t>K,</w:t>
      </w:r>
      <w:r w:rsidR="009677D1" w:rsidRPr="006A2252">
        <w:rPr>
          <w:bCs/>
          <w:sz w:val="20"/>
          <w:szCs w:val="20"/>
        </w:rPr>
        <w:t xml:space="preserve"> </w:t>
      </w:r>
      <w:proofErr w:type="spellStart"/>
      <w:r w:rsidRPr="006A2252">
        <w:rPr>
          <w:bCs/>
          <w:sz w:val="20"/>
          <w:szCs w:val="20"/>
        </w:rPr>
        <w:t>Hofmeister</w:t>
      </w:r>
      <w:proofErr w:type="spellEnd"/>
      <w:r w:rsidR="009677D1" w:rsidRPr="006A2252">
        <w:rPr>
          <w:bCs/>
          <w:sz w:val="20"/>
          <w:szCs w:val="20"/>
        </w:rPr>
        <w:t xml:space="preserve"> </w:t>
      </w:r>
      <w:r w:rsidRPr="006A2252">
        <w:rPr>
          <w:bCs/>
          <w:sz w:val="20"/>
          <w:szCs w:val="20"/>
        </w:rPr>
        <w:t>D,</w:t>
      </w:r>
      <w:r w:rsidR="009677D1" w:rsidRPr="006A2252">
        <w:rPr>
          <w:bCs/>
          <w:sz w:val="20"/>
          <w:szCs w:val="20"/>
        </w:rPr>
        <w:t xml:space="preserve"> </w:t>
      </w:r>
      <w:r w:rsidRPr="006A2252">
        <w:rPr>
          <w:bCs/>
          <w:sz w:val="20"/>
          <w:szCs w:val="20"/>
        </w:rPr>
        <w:t>Dietz</w:t>
      </w:r>
      <w:r w:rsidR="009677D1" w:rsidRPr="006A2252">
        <w:rPr>
          <w:bCs/>
          <w:sz w:val="20"/>
          <w:szCs w:val="20"/>
        </w:rPr>
        <w:t xml:space="preserve"> </w:t>
      </w:r>
      <w:r w:rsidRPr="006A2252">
        <w:rPr>
          <w:bCs/>
          <w:sz w:val="20"/>
          <w:szCs w:val="20"/>
        </w:rPr>
        <w:t>A,</w:t>
      </w:r>
      <w:r w:rsidR="009677D1" w:rsidRPr="006A2252">
        <w:rPr>
          <w:bCs/>
          <w:sz w:val="20"/>
          <w:szCs w:val="20"/>
        </w:rPr>
        <w:t xml:space="preserve"> </w:t>
      </w:r>
      <w:r w:rsidRPr="006A2252">
        <w:rPr>
          <w:bCs/>
          <w:sz w:val="20"/>
          <w:szCs w:val="20"/>
        </w:rPr>
        <w:t>et</w:t>
      </w:r>
      <w:r w:rsidR="009677D1" w:rsidRPr="006A2252">
        <w:rPr>
          <w:bCs/>
          <w:sz w:val="20"/>
          <w:szCs w:val="20"/>
        </w:rPr>
        <w:t xml:space="preserve"> </w:t>
      </w:r>
      <w:r w:rsidRPr="006A2252">
        <w:rPr>
          <w:bCs/>
          <w:sz w:val="20"/>
          <w:szCs w:val="20"/>
        </w:rPr>
        <w:t>al.</w:t>
      </w:r>
      <w:r w:rsidR="009677D1" w:rsidRPr="006A2252">
        <w:rPr>
          <w:bCs/>
          <w:sz w:val="20"/>
          <w:szCs w:val="20"/>
        </w:rPr>
        <w:t xml:space="preserve"> </w:t>
      </w:r>
      <w:r w:rsidRPr="006A2252">
        <w:rPr>
          <w:bCs/>
          <w:sz w:val="20"/>
          <w:szCs w:val="20"/>
        </w:rPr>
        <w:t>“</w:t>
      </w:r>
      <w:r w:rsidRPr="006A2252">
        <w:rPr>
          <w:sz w:val="20"/>
          <w:szCs w:val="20"/>
        </w:rPr>
        <w:t>Age-</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sex-</w:t>
      </w:r>
      <w:proofErr w:type="spellStart"/>
      <w:r w:rsidRPr="006A2252">
        <w:rPr>
          <w:sz w:val="20"/>
          <w:szCs w:val="20"/>
        </w:rPr>
        <w:t>standardised</w:t>
      </w:r>
      <w:proofErr w:type="spellEnd"/>
      <w:r w:rsidR="009677D1" w:rsidRPr="006A2252">
        <w:rPr>
          <w:sz w:val="20"/>
          <w:szCs w:val="20"/>
        </w:rPr>
        <w:t xml:space="preserve"> </w:t>
      </w:r>
      <w:r w:rsidRPr="006A2252">
        <w:rPr>
          <w:sz w:val="20"/>
          <w:szCs w:val="20"/>
        </w:rPr>
        <w:t>prevalence</w:t>
      </w:r>
      <w:r w:rsidR="009677D1" w:rsidRPr="006A2252">
        <w:rPr>
          <w:sz w:val="20"/>
          <w:szCs w:val="20"/>
        </w:rPr>
        <w:t xml:space="preserve"> </w:t>
      </w:r>
      <w:r w:rsidRPr="006A2252">
        <w:rPr>
          <w:sz w:val="20"/>
          <w:szCs w:val="20"/>
        </w:rPr>
        <w:t>rates</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fatigue</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a</w:t>
      </w:r>
      <w:r w:rsidR="009677D1" w:rsidRPr="006A2252">
        <w:rPr>
          <w:sz w:val="20"/>
          <w:szCs w:val="20"/>
        </w:rPr>
        <w:t xml:space="preserve"> </w:t>
      </w:r>
      <w:r w:rsidRPr="006A2252">
        <w:rPr>
          <w:sz w:val="20"/>
          <w:szCs w:val="20"/>
        </w:rPr>
        <w:t>large</w:t>
      </w:r>
      <w:r w:rsidR="009677D1" w:rsidRPr="006A2252">
        <w:rPr>
          <w:sz w:val="20"/>
          <w:szCs w:val="20"/>
        </w:rPr>
        <w:t xml:space="preserve"> </w:t>
      </w:r>
      <w:r w:rsidRPr="006A2252">
        <w:rPr>
          <w:sz w:val="20"/>
          <w:szCs w:val="20"/>
        </w:rPr>
        <w:t>hospital-based</w:t>
      </w:r>
      <w:r w:rsidR="009677D1" w:rsidRPr="006A2252">
        <w:rPr>
          <w:sz w:val="20"/>
          <w:szCs w:val="20"/>
        </w:rPr>
        <w:t xml:space="preserve"> </w:t>
      </w:r>
      <w:r w:rsidRPr="006A2252">
        <w:rPr>
          <w:sz w:val="20"/>
          <w:szCs w:val="20"/>
        </w:rPr>
        <w:t>sample</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cancer</w:t>
      </w:r>
      <w:r w:rsidR="009677D1" w:rsidRPr="006A2252">
        <w:rPr>
          <w:sz w:val="20"/>
          <w:szCs w:val="20"/>
        </w:rPr>
        <w:t xml:space="preserve"> </w:t>
      </w:r>
      <w:r w:rsidRPr="006A2252">
        <w:rPr>
          <w:sz w:val="20"/>
          <w:szCs w:val="20"/>
        </w:rPr>
        <w:t>patients.”</w:t>
      </w:r>
      <w:r w:rsidR="009677D1" w:rsidRPr="006A2252">
        <w:rPr>
          <w:sz w:val="20"/>
          <w:szCs w:val="20"/>
        </w:rPr>
        <w:t xml:space="preserve"> </w:t>
      </w:r>
      <w:r w:rsidRPr="006A2252">
        <w:rPr>
          <w:sz w:val="20"/>
          <w:szCs w:val="20"/>
        </w:rPr>
        <w:t>Br</w:t>
      </w:r>
      <w:r w:rsidR="009677D1" w:rsidRPr="006A2252">
        <w:rPr>
          <w:sz w:val="20"/>
          <w:szCs w:val="20"/>
        </w:rPr>
        <w:t xml:space="preserve"> </w:t>
      </w:r>
      <w:r w:rsidRPr="006A2252">
        <w:rPr>
          <w:sz w:val="20"/>
          <w:szCs w:val="20"/>
        </w:rPr>
        <w:t>J</w:t>
      </w:r>
      <w:r w:rsidR="009677D1" w:rsidRPr="006A2252">
        <w:rPr>
          <w:sz w:val="20"/>
          <w:szCs w:val="20"/>
        </w:rPr>
        <w:t xml:space="preserve"> </w:t>
      </w:r>
      <w:r w:rsidRPr="006A2252">
        <w:rPr>
          <w:sz w:val="20"/>
          <w:szCs w:val="20"/>
        </w:rPr>
        <w:t>Cancer</w:t>
      </w:r>
      <w:r w:rsidR="009677D1" w:rsidRPr="006A2252">
        <w:rPr>
          <w:sz w:val="20"/>
          <w:szCs w:val="20"/>
        </w:rPr>
        <w:t xml:space="preserve"> </w:t>
      </w:r>
      <w:r w:rsidRPr="006A2252">
        <w:rPr>
          <w:sz w:val="20"/>
          <w:szCs w:val="20"/>
        </w:rPr>
        <w:t>2011;</w:t>
      </w:r>
      <w:r w:rsidR="009677D1" w:rsidRPr="006A2252">
        <w:rPr>
          <w:sz w:val="20"/>
          <w:szCs w:val="20"/>
        </w:rPr>
        <w:t xml:space="preserve"> </w:t>
      </w:r>
      <w:r w:rsidRPr="006A2252">
        <w:rPr>
          <w:sz w:val="20"/>
          <w:szCs w:val="20"/>
        </w:rPr>
        <w:t>195:445e51.</w:t>
      </w:r>
      <w:r w:rsidR="009677D1" w:rsidRPr="006A2252">
        <w:rPr>
          <w:sz w:val="20"/>
          <w:szCs w:val="20"/>
        </w:rPr>
        <w:t xml:space="preserve"> </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Singh</w:t>
      </w:r>
      <w:r w:rsidR="009677D1" w:rsidRPr="006A2252">
        <w:rPr>
          <w:bCs/>
          <w:sz w:val="20"/>
          <w:szCs w:val="20"/>
        </w:rPr>
        <w:t xml:space="preserve"> </w:t>
      </w:r>
      <w:r w:rsidRPr="006A2252">
        <w:rPr>
          <w:bCs/>
          <w:sz w:val="20"/>
          <w:szCs w:val="20"/>
        </w:rPr>
        <w:t>D,</w:t>
      </w:r>
      <w:r w:rsidR="009677D1" w:rsidRPr="006A2252">
        <w:rPr>
          <w:bCs/>
          <w:sz w:val="20"/>
          <w:szCs w:val="20"/>
        </w:rPr>
        <w:t xml:space="preserve"> </w:t>
      </w:r>
      <w:proofErr w:type="spellStart"/>
      <w:r w:rsidRPr="006A2252">
        <w:rPr>
          <w:bCs/>
          <w:sz w:val="20"/>
          <w:szCs w:val="20"/>
        </w:rPr>
        <w:t>Saxena</w:t>
      </w:r>
      <w:proofErr w:type="spellEnd"/>
      <w:r w:rsidR="009677D1" w:rsidRPr="006A2252">
        <w:rPr>
          <w:bCs/>
          <w:sz w:val="20"/>
          <w:szCs w:val="20"/>
        </w:rPr>
        <w:t xml:space="preserve"> </w:t>
      </w:r>
      <w:r w:rsidRPr="006A2252">
        <w:rPr>
          <w:bCs/>
          <w:sz w:val="20"/>
          <w:szCs w:val="20"/>
        </w:rPr>
        <w:t>S,</w:t>
      </w:r>
      <w:r w:rsidR="009677D1" w:rsidRPr="006A2252">
        <w:rPr>
          <w:bCs/>
          <w:sz w:val="20"/>
          <w:szCs w:val="20"/>
        </w:rPr>
        <w:t xml:space="preserve"> </w:t>
      </w:r>
      <w:proofErr w:type="spellStart"/>
      <w:r w:rsidRPr="006A2252">
        <w:rPr>
          <w:bCs/>
          <w:sz w:val="20"/>
          <w:szCs w:val="20"/>
        </w:rPr>
        <w:t>Bogra</w:t>
      </w:r>
      <w:proofErr w:type="spellEnd"/>
      <w:r w:rsidR="009677D1" w:rsidRPr="006A2252">
        <w:rPr>
          <w:bCs/>
          <w:sz w:val="20"/>
          <w:szCs w:val="20"/>
        </w:rPr>
        <w:t xml:space="preserve"> </w:t>
      </w:r>
      <w:r w:rsidRPr="006A2252">
        <w:rPr>
          <w:bCs/>
          <w:sz w:val="20"/>
          <w:szCs w:val="20"/>
        </w:rPr>
        <w:t>JS,</w:t>
      </w:r>
      <w:r w:rsidR="009677D1" w:rsidRPr="006A2252">
        <w:rPr>
          <w:bCs/>
          <w:sz w:val="20"/>
          <w:szCs w:val="20"/>
        </w:rPr>
        <w:t xml:space="preserve"> </w:t>
      </w:r>
      <w:proofErr w:type="spellStart"/>
      <w:r w:rsidRPr="006A2252">
        <w:rPr>
          <w:bCs/>
          <w:sz w:val="20"/>
          <w:szCs w:val="20"/>
        </w:rPr>
        <w:t>Chaudhary</w:t>
      </w:r>
      <w:proofErr w:type="spellEnd"/>
      <w:r w:rsidR="009677D1" w:rsidRPr="006A2252">
        <w:rPr>
          <w:bCs/>
          <w:sz w:val="20"/>
          <w:szCs w:val="20"/>
        </w:rPr>
        <w:t xml:space="preserve"> </w:t>
      </w:r>
      <w:r w:rsidRPr="006A2252">
        <w:rPr>
          <w:bCs/>
          <w:sz w:val="20"/>
          <w:szCs w:val="20"/>
        </w:rPr>
        <w:t>AK,</w:t>
      </w:r>
      <w:r w:rsidR="009677D1" w:rsidRPr="006A2252">
        <w:rPr>
          <w:bCs/>
          <w:sz w:val="20"/>
          <w:szCs w:val="20"/>
        </w:rPr>
        <w:t xml:space="preserve"> </w:t>
      </w:r>
      <w:r w:rsidRPr="006A2252">
        <w:rPr>
          <w:bCs/>
          <w:sz w:val="20"/>
          <w:szCs w:val="20"/>
        </w:rPr>
        <w:t>Chandra</w:t>
      </w:r>
      <w:r w:rsidR="009677D1" w:rsidRPr="006A2252">
        <w:rPr>
          <w:bCs/>
          <w:sz w:val="20"/>
          <w:szCs w:val="20"/>
        </w:rPr>
        <w:t xml:space="preserve"> </w:t>
      </w:r>
      <w:r w:rsidRPr="006A2252">
        <w:rPr>
          <w:bCs/>
          <w:sz w:val="20"/>
          <w:szCs w:val="20"/>
        </w:rPr>
        <w:t>G</w:t>
      </w:r>
      <w:r w:rsidR="009677D1" w:rsidRPr="006A2252">
        <w:rPr>
          <w:bCs/>
          <w:sz w:val="20"/>
          <w:szCs w:val="20"/>
        </w:rPr>
        <w:t xml:space="preserve"> </w:t>
      </w:r>
      <w:r w:rsidRPr="006A2252">
        <w:rPr>
          <w:bCs/>
          <w:sz w:val="20"/>
          <w:szCs w:val="20"/>
        </w:rPr>
        <w:t>and</w:t>
      </w:r>
      <w:r w:rsidR="009677D1" w:rsidRPr="006A2252">
        <w:rPr>
          <w:bCs/>
          <w:sz w:val="20"/>
          <w:szCs w:val="20"/>
        </w:rPr>
        <w:t xml:space="preserve"> </w:t>
      </w:r>
      <w:proofErr w:type="spellStart"/>
      <w:r w:rsidRPr="006A2252">
        <w:rPr>
          <w:bCs/>
          <w:sz w:val="20"/>
          <w:szCs w:val="20"/>
        </w:rPr>
        <w:t>Bhushan</w:t>
      </w:r>
      <w:proofErr w:type="spellEnd"/>
      <w:r w:rsidR="009677D1" w:rsidRPr="006A2252">
        <w:rPr>
          <w:bCs/>
          <w:sz w:val="20"/>
          <w:szCs w:val="20"/>
        </w:rPr>
        <w:t xml:space="preserve"> </w:t>
      </w:r>
      <w:r w:rsidRPr="006A2252">
        <w:rPr>
          <w:bCs/>
          <w:sz w:val="20"/>
          <w:szCs w:val="20"/>
        </w:rPr>
        <w:t>S.</w:t>
      </w:r>
      <w:r w:rsidR="009677D1" w:rsidRPr="006A2252">
        <w:rPr>
          <w:bCs/>
          <w:sz w:val="20"/>
          <w:szCs w:val="20"/>
        </w:rPr>
        <w:t xml:space="preserve"> </w:t>
      </w:r>
      <w:r w:rsidRPr="006A2252">
        <w:rPr>
          <w:bCs/>
          <w:sz w:val="20"/>
          <w:szCs w:val="20"/>
        </w:rPr>
        <w:t>“</w:t>
      </w:r>
      <w:r w:rsidRPr="006A2252">
        <w:rPr>
          <w:sz w:val="20"/>
          <w:szCs w:val="20"/>
        </w:rPr>
        <w:t>A</w:t>
      </w:r>
      <w:r w:rsidR="009677D1" w:rsidRPr="006A2252">
        <w:rPr>
          <w:sz w:val="20"/>
          <w:szCs w:val="20"/>
        </w:rPr>
        <w:t xml:space="preserve"> </w:t>
      </w:r>
      <w:r w:rsidRPr="006A2252">
        <w:rPr>
          <w:sz w:val="20"/>
          <w:szCs w:val="20"/>
        </w:rPr>
        <w:t>comparative</w:t>
      </w:r>
      <w:r w:rsidR="009677D1" w:rsidRPr="006A2252">
        <w:rPr>
          <w:sz w:val="20"/>
          <w:szCs w:val="20"/>
        </w:rPr>
        <w:t xml:space="preserve"> </w:t>
      </w:r>
      <w:r w:rsidRPr="006A2252">
        <w:rPr>
          <w:sz w:val="20"/>
          <w:szCs w:val="20"/>
        </w:rPr>
        <w:t>study</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t>effect</w:t>
      </w:r>
      <w:r w:rsidR="009677D1" w:rsidRPr="006A2252">
        <w:rPr>
          <w:sz w:val="20"/>
          <w:szCs w:val="20"/>
        </w:rPr>
        <w:t xml:space="preserve"> </w:t>
      </w:r>
      <w:r w:rsidRPr="006A2252">
        <w:rPr>
          <w:sz w:val="20"/>
          <w:szCs w:val="20"/>
        </w:rPr>
        <w:t>of</w:t>
      </w:r>
      <w:r w:rsidR="009677D1" w:rsidRPr="006A2252">
        <w:rPr>
          <w:sz w:val="20"/>
          <w:szCs w:val="20"/>
        </w:rPr>
        <w:t xml:space="preserve"> </w:t>
      </w:r>
      <w:proofErr w:type="spellStart"/>
      <w:r w:rsidRPr="006A2252">
        <w:rPr>
          <w:sz w:val="20"/>
          <w:szCs w:val="20"/>
        </w:rPr>
        <w:t>parentral</w:t>
      </w:r>
      <w:proofErr w:type="spellEnd"/>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oral</w:t>
      </w:r>
      <w:r w:rsidR="009677D1" w:rsidRPr="006A2252">
        <w:rPr>
          <w:sz w:val="20"/>
          <w:szCs w:val="20"/>
        </w:rPr>
        <w:t xml:space="preserve"> </w:t>
      </w:r>
      <w:r w:rsidRPr="006A2252">
        <w:rPr>
          <w:sz w:val="20"/>
          <w:szCs w:val="20"/>
        </w:rPr>
        <w:t>glutamine</w:t>
      </w:r>
      <w:r w:rsidR="009677D1" w:rsidRPr="006A2252">
        <w:rPr>
          <w:sz w:val="20"/>
          <w:szCs w:val="20"/>
        </w:rPr>
        <w:t xml:space="preserve"> </w:t>
      </w:r>
      <w:r w:rsidRPr="006A2252">
        <w:rPr>
          <w:sz w:val="20"/>
          <w:szCs w:val="20"/>
        </w:rPr>
        <w:t>on</w:t>
      </w:r>
      <w:r w:rsidR="009677D1" w:rsidRPr="006A2252">
        <w:rPr>
          <w:sz w:val="20"/>
          <w:szCs w:val="20"/>
        </w:rPr>
        <w:t xml:space="preserve"> </w:t>
      </w:r>
      <w:r w:rsidRPr="006A2252">
        <w:rPr>
          <w:sz w:val="20"/>
          <w:szCs w:val="20"/>
        </w:rPr>
        <w:t>biochemical</w:t>
      </w:r>
      <w:r w:rsidR="009677D1" w:rsidRPr="006A2252">
        <w:rPr>
          <w:sz w:val="20"/>
          <w:szCs w:val="20"/>
        </w:rPr>
        <w:t xml:space="preserve"> </w:t>
      </w:r>
      <w:r w:rsidRPr="006A2252">
        <w:rPr>
          <w:sz w:val="20"/>
          <w:szCs w:val="20"/>
        </w:rPr>
        <w:t>parameters</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on</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lastRenderedPageBreak/>
        <w:t>duration</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ICU</w:t>
      </w:r>
      <w:r w:rsidR="009677D1" w:rsidRPr="006A2252">
        <w:rPr>
          <w:sz w:val="20"/>
          <w:szCs w:val="20"/>
        </w:rPr>
        <w:t xml:space="preserve"> </w:t>
      </w:r>
      <w:r w:rsidRPr="006A2252">
        <w:rPr>
          <w:sz w:val="20"/>
          <w:szCs w:val="20"/>
        </w:rPr>
        <w:t>stay</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critically</w:t>
      </w:r>
      <w:r w:rsidR="009677D1" w:rsidRPr="006A2252">
        <w:rPr>
          <w:sz w:val="20"/>
          <w:szCs w:val="20"/>
        </w:rPr>
        <w:t xml:space="preserve"> </w:t>
      </w:r>
      <w:r w:rsidRPr="006A2252">
        <w:rPr>
          <w:sz w:val="20"/>
          <w:szCs w:val="20"/>
        </w:rPr>
        <w:t>ill</w:t>
      </w:r>
      <w:r w:rsidR="009677D1" w:rsidRPr="006A2252">
        <w:rPr>
          <w:sz w:val="20"/>
          <w:szCs w:val="20"/>
        </w:rPr>
        <w:t xml:space="preserve"> </w:t>
      </w:r>
      <w:r w:rsidRPr="006A2252">
        <w:rPr>
          <w:sz w:val="20"/>
          <w:szCs w:val="20"/>
        </w:rPr>
        <w:t>patients.”</w:t>
      </w:r>
      <w:r w:rsidR="009677D1" w:rsidRPr="006A2252">
        <w:rPr>
          <w:sz w:val="20"/>
          <w:szCs w:val="20"/>
        </w:rPr>
        <w:t xml:space="preserve"> </w:t>
      </w:r>
      <w:proofErr w:type="spellStart"/>
      <w:r w:rsidRPr="006A2252">
        <w:rPr>
          <w:sz w:val="20"/>
          <w:szCs w:val="20"/>
        </w:rPr>
        <w:t>Anaesthesia</w:t>
      </w:r>
      <w:proofErr w:type="spellEnd"/>
      <w:r w:rsidRPr="006A2252">
        <w:rPr>
          <w:sz w:val="20"/>
          <w:szCs w:val="20"/>
        </w:rPr>
        <w:t>,</w:t>
      </w:r>
      <w:r w:rsidR="009677D1" w:rsidRPr="006A2252">
        <w:rPr>
          <w:sz w:val="20"/>
          <w:szCs w:val="20"/>
        </w:rPr>
        <w:t xml:space="preserve"> </w:t>
      </w:r>
      <w:r w:rsidRPr="006A2252">
        <w:rPr>
          <w:sz w:val="20"/>
          <w:szCs w:val="20"/>
        </w:rPr>
        <w:t>Pain</w:t>
      </w:r>
      <w:r w:rsidR="009677D1" w:rsidRPr="006A2252">
        <w:rPr>
          <w:sz w:val="20"/>
          <w:szCs w:val="20"/>
        </w:rPr>
        <w:t xml:space="preserve"> &amp; </w:t>
      </w:r>
      <w:r w:rsidRPr="006A2252">
        <w:rPr>
          <w:sz w:val="20"/>
          <w:szCs w:val="20"/>
        </w:rPr>
        <w:t>Intensive</w:t>
      </w:r>
      <w:r w:rsidR="009677D1" w:rsidRPr="006A2252">
        <w:rPr>
          <w:sz w:val="20"/>
          <w:szCs w:val="20"/>
        </w:rPr>
        <w:t xml:space="preserve"> </w:t>
      </w:r>
      <w:r w:rsidRPr="006A2252">
        <w:rPr>
          <w:sz w:val="20"/>
          <w:szCs w:val="20"/>
        </w:rPr>
        <w:t>Care,</w:t>
      </w:r>
      <w:r w:rsidR="009677D1" w:rsidRPr="006A2252">
        <w:rPr>
          <w:sz w:val="20"/>
          <w:szCs w:val="20"/>
        </w:rPr>
        <w:t xml:space="preserve"> </w:t>
      </w:r>
      <w:r w:rsidRPr="006A2252">
        <w:rPr>
          <w:sz w:val="20"/>
          <w:szCs w:val="20"/>
        </w:rPr>
        <w:t>2019;</w:t>
      </w:r>
      <w:r w:rsidR="009677D1" w:rsidRPr="006A2252">
        <w:rPr>
          <w:sz w:val="20"/>
          <w:szCs w:val="20"/>
        </w:rPr>
        <w:t xml:space="preserve"> </w:t>
      </w:r>
      <w:r w:rsidRPr="006A2252">
        <w:rPr>
          <w:sz w:val="20"/>
          <w:szCs w:val="20"/>
        </w:rPr>
        <w:t>123-127.</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Sproston</w:t>
      </w:r>
      <w:proofErr w:type="spellEnd"/>
      <w:r w:rsidR="009677D1" w:rsidRPr="006A2252">
        <w:rPr>
          <w:bCs/>
          <w:sz w:val="20"/>
          <w:szCs w:val="20"/>
        </w:rPr>
        <w:t xml:space="preserve"> </w:t>
      </w:r>
      <w:r w:rsidRPr="006A2252">
        <w:rPr>
          <w:bCs/>
          <w:sz w:val="20"/>
          <w:szCs w:val="20"/>
        </w:rPr>
        <w:t>NR</w:t>
      </w:r>
      <w:r w:rsidR="009677D1" w:rsidRPr="006A2252">
        <w:rPr>
          <w:bCs/>
          <w:sz w:val="20"/>
          <w:szCs w:val="20"/>
        </w:rPr>
        <w:t xml:space="preserve"> </w:t>
      </w:r>
      <w:r w:rsidRPr="006A2252">
        <w:rPr>
          <w:bCs/>
          <w:sz w:val="20"/>
          <w:szCs w:val="20"/>
        </w:rPr>
        <w:t>and</w:t>
      </w:r>
      <w:r w:rsidR="009677D1" w:rsidRPr="006A2252">
        <w:rPr>
          <w:bCs/>
          <w:sz w:val="20"/>
          <w:szCs w:val="20"/>
        </w:rPr>
        <w:t xml:space="preserve"> </w:t>
      </w:r>
      <w:r w:rsidRPr="006A2252">
        <w:rPr>
          <w:bCs/>
          <w:sz w:val="20"/>
          <w:szCs w:val="20"/>
        </w:rPr>
        <w:t>Ashworth</w:t>
      </w:r>
      <w:r w:rsidR="009677D1" w:rsidRPr="006A2252">
        <w:rPr>
          <w:bCs/>
          <w:sz w:val="20"/>
          <w:szCs w:val="20"/>
        </w:rPr>
        <w:t xml:space="preserve"> </w:t>
      </w:r>
      <w:r w:rsidRPr="006A2252">
        <w:rPr>
          <w:bCs/>
          <w:sz w:val="20"/>
          <w:szCs w:val="20"/>
        </w:rPr>
        <w:t>JJ.</w:t>
      </w:r>
      <w:r w:rsidRPr="006A2252">
        <w:rPr>
          <w:sz w:val="20"/>
          <w:szCs w:val="20"/>
        </w:rPr>
        <w:t>“Role</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C-Reactive</w:t>
      </w:r>
      <w:r w:rsidR="009677D1" w:rsidRPr="006A2252">
        <w:rPr>
          <w:sz w:val="20"/>
          <w:szCs w:val="20"/>
        </w:rPr>
        <w:t xml:space="preserve"> </w:t>
      </w:r>
      <w:r w:rsidRPr="006A2252">
        <w:rPr>
          <w:sz w:val="20"/>
          <w:szCs w:val="20"/>
        </w:rPr>
        <w:t>Protein</w:t>
      </w:r>
      <w:r w:rsidR="009677D1" w:rsidRPr="006A2252">
        <w:rPr>
          <w:sz w:val="20"/>
          <w:szCs w:val="20"/>
        </w:rPr>
        <w:t xml:space="preserve"> </w:t>
      </w:r>
      <w:r w:rsidRPr="006A2252">
        <w:rPr>
          <w:sz w:val="20"/>
          <w:szCs w:val="20"/>
        </w:rPr>
        <w:t>at</w:t>
      </w:r>
      <w:r w:rsidR="009677D1" w:rsidRPr="006A2252">
        <w:rPr>
          <w:sz w:val="20"/>
          <w:szCs w:val="20"/>
        </w:rPr>
        <w:t xml:space="preserve"> </w:t>
      </w:r>
      <w:r w:rsidRPr="006A2252">
        <w:rPr>
          <w:sz w:val="20"/>
          <w:szCs w:val="20"/>
        </w:rPr>
        <w:t>Sites</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Inflammation</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Infection.”</w:t>
      </w:r>
      <w:r w:rsidR="009677D1" w:rsidRPr="006A2252">
        <w:rPr>
          <w:sz w:val="20"/>
          <w:szCs w:val="20"/>
        </w:rPr>
        <w:t xml:space="preserve"> </w:t>
      </w:r>
      <w:r w:rsidRPr="006A2252">
        <w:rPr>
          <w:sz w:val="20"/>
          <w:szCs w:val="20"/>
        </w:rPr>
        <w:t>Frontiers</w:t>
      </w:r>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immunology,</w:t>
      </w:r>
      <w:r w:rsidR="009677D1" w:rsidRPr="006A2252">
        <w:rPr>
          <w:sz w:val="20"/>
          <w:szCs w:val="20"/>
        </w:rPr>
        <w:t xml:space="preserve"> </w:t>
      </w:r>
      <w:r w:rsidRPr="006A2252">
        <w:rPr>
          <w:sz w:val="20"/>
          <w:szCs w:val="20"/>
        </w:rPr>
        <w:t>2018;</w:t>
      </w:r>
      <w:r w:rsidR="009677D1" w:rsidRPr="006A2252">
        <w:rPr>
          <w:sz w:val="20"/>
          <w:szCs w:val="20"/>
        </w:rPr>
        <w:t xml:space="preserve"> </w:t>
      </w:r>
      <w:r w:rsidRPr="006A2252">
        <w:rPr>
          <w:sz w:val="20"/>
          <w:szCs w:val="20"/>
        </w:rPr>
        <w:t>9:</w:t>
      </w:r>
      <w:r w:rsidR="009677D1" w:rsidRPr="006A2252">
        <w:rPr>
          <w:sz w:val="20"/>
          <w:szCs w:val="20"/>
        </w:rPr>
        <w:t xml:space="preserve"> </w:t>
      </w:r>
      <w:r w:rsidRPr="006A2252">
        <w:rPr>
          <w:sz w:val="20"/>
          <w:szCs w:val="20"/>
        </w:rPr>
        <w:t>754.</w:t>
      </w:r>
      <w:r w:rsidR="009677D1" w:rsidRPr="006A2252">
        <w:rPr>
          <w:sz w:val="20"/>
          <w:szCs w:val="20"/>
        </w:rPr>
        <w:t xml:space="preserve"> </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Tao</w:t>
      </w:r>
      <w:r w:rsidR="009677D1" w:rsidRPr="006A2252">
        <w:rPr>
          <w:bCs/>
          <w:sz w:val="20"/>
          <w:szCs w:val="20"/>
        </w:rPr>
        <w:t xml:space="preserve"> </w:t>
      </w:r>
      <w:r w:rsidRPr="006A2252">
        <w:rPr>
          <w:bCs/>
          <w:sz w:val="20"/>
          <w:szCs w:val="20"/>
        </w:rPr>
        <w:t>K,</w:t>
      </w:r>
      <w:r w:rsidR="009677D1" w:rsidRPr="006A2252">
        <w:rPr>
          <w:bCs/>
          <w:sz w:val="20"/>
          <w:szCs w:val="20"/>
        </w:rPr>
        <w:t xml:space="preserve"> </w:t>
      </w:r>
      <w:r w:rsidRPr="006A2252">
        <w:rPr>
          <w:bCs/>
          <w:sz w:val="20"/>
          <w:szCs w:val="20"/>
        </w:rPr>
        <w:t>Li</w:t>
      </w:r>
      <w:r w:rsidR="009677D1" w:rsidRPr="006A2252">
        <w:rPr>
          <w:bCs/>
          <w:sz w:val="20"/>
          <w:szCs w:val="20"/>
        </w:rPr>
        <w:t xml:space="preserve"> </w:t>
      </w:r>
      <w:r w:rsidRPr="006A2252">
        <w:rPr>
          <w:bCs/>
          <w:sz w:val="20"/>
          <w:szCs w:val="20"/>
        </w:rPr>
        <w:t>X,</w:t>
      </w:r>
      <w:r w:rsidR="009677D1" w:rsidRPr="006A2252">
        <w:rPr>
          <w:bCs/>
          <w:sz w:val="20"/>
          <w:szCs w:val="20"/>
        </w:rPr>
        <w:t xml:space="preserve"> </w:t>
      </w:r>
      <w:r w:rsidRPr="006A2252">
        <w:rPr>
          <w:bCs/>
          <w:sz w:val="20"/>
          <w:szCs w:val="20"/>
        </w:rPr>
        <w:t>Yang</w:t>
      </w:r>
      <w:r w:rsidR="009677D1" w:rsidRPr="006A2252">
        <w:rPr>
          <w:bCs/>
          <w:sz w:val="20"/>
          <w:szCs w:val="20"/>
        </w:rPr>
        <w:t xml:space="preserve"> </w:t>
      </w:r>
      <w:r w:rsidRPr="006A2252">
        <w:rPr>
          <w:bCs/>
          <w:sz w:val="20"/>
          <w:szCs w:val="20"/>
        </w:rPr>
        <w:t>L,</w:t>
      </w:r>
      <w:r w:rsidR="009677D1" w:rsidRPr="006A2252">
        <w:rPr>
          <w:bCs/>
          <w:sz w:val="20"/>
          <w:szCs w:val="20"/>
        </w:rPr>
        <w:t xml:space="preserve"> </w:t>
      </w:r>
      <w:r w:rsidRPr="006A2252">
        <w:rPr>
          <w:bCs/>
          <w:sz w:val="20"/>
          <w:szCs w:val="20"/>
        </w:rPr>
        <w:t>Yu</w:t>
      </w:r>
      <w:r w:rsidR="009677D1" w:rsidRPr="006A2252">
        <w:rPr>
          <w:bCs/>
          <w:sz w:val="20"/>
          <w:szCs w:val="20"/>
        </w:rPr>
        <w:t xml:space="preserve"> </w:t>
      </w:r>
      <w:r w:rsidRPr="006A2252">
        <w:rPr>
          <w:bCs/>
          <w:sz w:val="20"/>
          <w:szCs w:val="20"/>
        </w:rPr>
        <w:t>W,</w:t>
      </w:r>
      <w:r w:rsidR="009677D1" w:rsidRPr="006A2252">
        <w:rPr>
          <w:bCs/>
          <w:sz w:val="20"/>
          <w:szCs w:val="20"/>
        </w:rPr>
        <w:t xml:space="preserve"> </w:t>
      </w:r>
      <w:r w:rsidRPr="006A2252">
        <w:rPr>
          <w:bCs/>
          <w:sz w:val="20"/>
          <w:szCs w:val="20"/>
        </w:rPr>
        <w:t>Lu</w:t>
      </w:r>
      <w:r w:rsidR="009677D1" w:rsidRPr="006A2252">
        <w:rPr>
          <w:bCs/>
          <w:sz w:val="20"/>
          <w:szCs w:val="20"/>
        </w:rPr>
        <w:t xml:space="preserve"> </w:t>
      </w:r>
      <w:r w:rsidRPr="006A2252">
        <w:rPr>
          <w:bCs/>
          <w:sz w:val="20"/>
          <w:szCs w:val="20"/>
        </w:rPr>
        <w:t>Z,</w:t>
      </w:r>
      <w:r w:rsidR="009677D1" w:rsidRPr="006A2252">
        <w:rPr>
          <w:bCs/>
          <w:sz w:val="20"/>
          <w:szCs w:val="20"/>
        </w:rPr>
        <w:t xml:space="preserve"> </w:t>
      </w:r>
      <w:r w:rsidRPr="006A2252">
        <w:rPr>
          <w:bCs/>
          <w:sz w:val="20"/>
          <w:szCs w:val="20"/>
        </w:rPr>
        <w:t>Sun</w:t>
      </w:r>
      <w:r w:rsidR="009677D1" w:rsidRPr="006A2252">
        <w:rPr>
          <w:bCs/>
          <w:sz w:val="20"/>
          <w:szCs w:val="20"/>
        </w:rPr>
        <w:t xml:space="preserve"> </w:t>
      </w:r>
      <w:r w:rsidRPr="006A2252">
        <w:rPr>
          <w:bCs/>
          <w:sz w:val="20"/>
          <w:szCs w:val="20"/>
        </w:rPr>
        <w:t>Y,</w:t>
      </w:r>
      <w:r w:rsidR="009677D1" w:rsidRPr="006A2252">
        <w:rPr>
          <w:bCs/>
          <w:sz w:val="20"/>
          <w:szCs w:val="20"/>
        </w:rPr>
        <w:t xml:space="preserve"> </w:t>
      </w:r>
      <w:r w:rsidRPr="006A2252">
        <w:rPr>
          <w:bCs/>
          <w:sz w:val="20"/>
          <w:szCs w:val="20"/>
        </w:rPr>
        <w:t>Wu</w:t>
      </w:r>
      <w:r w:rsidR="009677D1" w:rsidRPr="006A2252">
        <w:rPr>
          <w:bCs/>
          <w:sz w:val="20"/>
          <w:szCs w:val="20"/>
        </w:rPr>
        <w:t xml:space="preserve"> </w:t>
      </w:r>
      <w:r w:rsidRPr="006A2252">
        <w:rPr>
          <w:bCs/>
          <w:sz w:val="20"/>
          <w:szCs w:val="20"/>
        </w:rPr>
        <w:t>F.</w:t>
      </w:r>
      <w:r w:rsidR="009677D1" w:rsidRPr="006A2252">
        <w:rPr>
          <w:bCs/>
          <w:sz w:val="20"/>
          <w:szCs w:val="20"/>
        </w:rPr>
        <w:t xml:space="preserve"> </w:t>
      </w:r>
      <w:r w:rsidRPr="006A2252">
        <w:rPr>
          <w:bCs/>
          <w:sz w:val="20"/>
          <w:szCs w:val="20"/>
        </w:rPr>
        <w:t>“</w:t>
      </w:r>
      <w:r w:rsidRPr="006A2252">
        <w:rPr>
          <w:sz w:val="20"/>
          <w:szCs w:val="20"/>
        </w:rPr>
        <w:t>Glutamine</w:t>
      </w:r>
      <w:r w:rsidR="009677D1" w:rsidRPr="006A2252">
        <w:rPr>
          <w:sz w:val="20"/>
          <w:szCs w:val="20"/>
        </w:rPr>
        <w:t xml:space="preserve"> </w:t>
      </w:r>
      <w:r w:rsidRPr="006A2252">
        <w:rPr>
          <w:sz w:val="20"/>
          <w:szCs w:val="20"/>
        </w:rPr>
        <w:t>supplementation</w:t>
      </w:r>
      <w:r w:rsidR="009677D1" w:rsidRPr="006A2252">
        <w:rPr>
          <w:sz w:val="20"/>
          <w:szCs w:val="20"/>
        </w:rPr>
        <w:t xml:space="preserve"> </w:t>
      </w:r>
      <w:r w:rsidRPr="006A2252">
        <w:rPr>
          <w:sz w:val="20"/>
          <w:szCs w:val="20"/>
        </w:rPr>
        <w:t>for</w:t>
      </w:r>
      <w:r w:rsidR="009677D1" w:rsidRPr="006A2252">
        <w:rPr>
          <w:sz w:val="20"/>
          <w:szCs w:val="20"/>
        </w:rPr>
        <w:t xml:space="preserve"> </w:t>
      </w:r>
      <w:r w:rsidRPr="006A2252">
        <w:rPr>
          <w:sz w:val="20"/>
          <w:szCs w:val="20"/>
        </w:rPr>
        <w:t>critically</w:t>
      </w:r>
      <w:r w:rsidR="009677D1" w:rsidRPr="006A2252">
        <w:rPr>
          <w:sz w:val="20"/>
          <w:szCs w:val="20"/>
        </w:rPr>
        <w:t xml:space="preserve"> </w:t>
      </w:r>
      <w:r w:rsidRPr="006A2252">
        <w:rPr>
          <w:sz w:val="20"/>
          <w:szCs w:val="20"/>
        </w:rPr>
        <w:t>ill</w:t>
      </w:r>
      <w:r w:rsidR="009677D1" w:rsidRPr="006A2252">
        <w:rPr>
          <w:sz w:val="20"/>
          <w:szCs w:val="20"/>
        </w:rPr>
        <w:t xml:space="preserve"> </w:t>
      </w:r>
      <w:r w:rsidRPr="006A2252">
        <w:rPr>
          <w:sz w:val="20"/>
          <w:szCs w:val="20"/>
        </w:rPr>
        <w:t>adults.”</w:t>
      </w:r>
      <w:r w:rsidR="009677D1" w:rsidRPr="006A2252">
        <w:rPr>
          <w:sz w:val="20"/>
          <w:szCs w:val="20"/>
        </w:rPr>
        <w:t xml:space="preserve"> </w:t>
      </w:r>
      <w:r w:rsidRPr="006A2252">
        <w:rPr>
          <w:sz w:val="20"/>
          <w:szCs w:val="20"/>
        </w:rPr>
        <w:t>Cochrane</w:t>
      </w:r>
      <w:r w:rsidR="009677D1" w:rsidRPr="006A2252">
        <w:rPr>
          <w:sz w:val="20"/>
          <w:szCs w:val="20"/>
        </w:rPr>
        <w:t xml:space="preserve"> </w:t>
      </w:r>
      <w:r w:rsidRPr="006A2252">
        <w:rPr>
          <w:sz w:val="20"/>
          <w:szCs w:val="20"/>
        </w:rPr>
        <w:t>Database</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Systematic</w:t>
      </w:r>
      <w:r w:rsidR="009677D1" w:rsidRPr="006A2252">
        <w:rPr>
          <w:sz w:val="20"/>
          <w:szCs w:val="20"/>
        </w:rPr>
        <w:t xml:space="preserve"> </w:t>
      </w:r>
      <w:r w:rsidRPr="006A2252">
        <w:rPr>
          <w:sz w:val="20"/>
          <w:szCs w:val="20"/>
        </w:rPr>
        <w:t>Reviews</w:t>
      </w:r>
      <w:r w:rsidR="009677D1" w:rsidRPr="006A2252">
        <w:rPr>
          <w:sz w:val="20"/>
          <w:szCs w:val="20"/>
        </w:rPr>
        <w:t xml:space="preserve"> </w:t>
      </w:r>
      <w:r w:rsidRPr="006A2252">
        <w:rPr>
          <w:sz w:val="20"/>
          <w:szCs w:val="20"/>
        </w:rPr>
        <w:t>2014;</w:t>
      </w:r>
      <w:r w:rsidR="009677D1" w:rsidRPr="006A2252">
        <w:rPr>
          <w:sz w:val="20"/>
          <w:szCs w:val="20"/>
        </w:rPr>
        <w:t xml:space="preserve"> </w:t>
      </w:r>
      <w:r w:rsidRPr="006A2252">
        <w:rPr>
          <w:sz w:val="20"/>
          <w:szCs w:val="20"/>
        </w:rPr>
        <w:t>9:</w:t>
      </w:r>
      <w:r w:rsidR="009677D1" w:rsidRPr="006A2252">
        <w:rPr>
          <w:sz w:val="20"/>
          <w:szCs w:val="20"/>
        </w:rPr>
        <w:t xml:space="preserve"> </w:t>
      </w:r>
      <w:r w:rsidRPr="006A2252">
        <w:rPr>
          <w:sz w:val="20"/>
          <w:szCs w:val="20"/>
        </w:rPr>
        <w:t>CD010050.</w:t>
      </w:r>
      <w:r w:rsidR="009677D1" w:rsidRPr="006A2252">
        <w:rPr>
          <w:sz w:val="20"/>
          <w:szCs w:val="20"/>
        </w:rPr>
        <w:t xml:space="preserve"> </w:t>
      </w:r>
    </w:p>
    <w:p w:rsidR="00DE776F" w:rsidRPr="006A2252" w:rsidRDefault="00DE776F" w:rsidP="00FF4C83">
      <w:pPr>
        <w:pStyle w:val="ListParagraph"/>
        <w:numPr>
          <w:ilvl w:val="0"/>
          <w:numId w:val="2"/>
        </w:numPr>
        <w:snapToGrid w:val="0"/>
        <w:ind w:left="425" w:hanging="425"/>
        <w:jc w:val="both"/>
        <w:rPr>
          <w:sz w:val="20"/>
          <w:szCs w:val="20"/>
          <w:lang w:bidi="ar-EG"/>
        </w:rPr>
      </w:pPr>
      <w:r w:rsidRPr="006A2252">
        <w:rPr>
          <w:bCs/>
          <w:sz w:val="20"/>
          <w:szCs w:val="20"/>
          <w:lang w:bidi="ar-EG"/>
        </w:rPr>
        <w:t>Wang</w:t>
      </w:r>
      <w:r w:rsidR="009677D1" w:rsidRPr="006A2252">
        <w:rPr>
          <w:bCs/>
          <w:sz w:val="20"/>
          <w:szCs w:val="20"/>
          <w:lang w:bidi="ar-EG"/>
        </w:rPr>
        <w:t xml:space="preserve"> </w:t>
      </w:r>
      <w:r w:rsidRPr="006A2252">
        <w:rPr>
          <w:bCs/>
          <w:sz w:val="20"/>
          <w:szCs w:val="20"/>
          <w:lang w:bidi="ar-EG"/>
        </w:rPr>
        <w:t>X,</w:t>
      </w:r>
      <w:r w:rsidR="009677D1" w:rsidRPr="006A2252">
        <w:rPr>
          <w:color w:val="000000"/>
          <w:sz w:val="20"/>
          <w:szCs w:val="20"/>
          <w:shd w:val="clear" w:color="auto" w:fill="FFFFFF"/>
        </w:rPr>
        <w:t xml:space="preserve"> </w:t>
      </w:r>
      <w:r w:rsidRPr="006A2252">
        <w:rPr>
          <w:bCs/>
          <w:color w:val="000000"/>
          <w:sz w:val="20"/>
          <w:szCs w:val="20"/>
          <w:shd w:val="clear" w:color="auto" w:fill="FFFFFF"/>
        </w:rPr>
        <w:t>Pierre</w:t>
      </w:r>
      <w:r w:rsidR="009677D1" w:rsidRPr="006A2252">
        <w:rPr>
          <w:bCs/>
          <w:color w:val="000000"/>
          <w:sz w:val="20"/>
          <w:szCs w:val="20"/>
          <w:shd w:val="clear" w:color="auto" w:fill="FFFFFF"/>
        </w:rPr>
        <w:t xml:space="preserve"> </w:t>
      </w:r>
      <w:r w:rsidRPr="006A2252">
        <w:rPr>
          <w:bCs/>
          <w:color w:val="000000"/>
          <w:sz w:val="20"/>
          <w:szCs w:val="20"/>
          <w:shd w:val="clear" w:color="auto" w:fill="FFFFFF"/>
        </w:rPr>
        <w:t>JF,</w:t>
      </w:r>
      <w:r w:rsidR="009677D1" w:rsidRPr="006A2252">
        <w:rPr>
          <w:bCs/>
          <w:color w:val="000000"/>
          <w:sz w:val="20"/>
          <w:szCs w:val="20"/>
          <w:shd w:val="clear" w:color="auto" w:fill="FFFFFF"/>
        </w:rPr>
        <w:t xml:space="preserve"> </w:t>
      </w:r>
      <w:proofErr w:type="spellStart"/>
      <w:r w:rsidRPr="006A2252">
        <w:rPr>
          <w:bCs/>
          <w:color w:val="000000"/>
          <w:sz w:val="20"/>
          <w:szCs w:val="20"/>
          <w:shd w:val="clear" w:color="auto" w:fill="FFFFFF"/>
        </w:rPr>
        <w:t>Heneghan</w:t>
      </w:r>
      <w:proofErr w:type="spellEnd"/>
      <w:r w:rsidR="009677D1" w:rsidRPr="006A2252">
        <w:rPr>
          <w:bCs/>
          <w:color w:val="000000"/>
          <w:sz w:val="20"/>
          <w:szCs w:val="20"/>
          <w:shd w:val="clear" w:color="auto" w:fill="FFFFFF"/>
        </w:rPr>
        <w:t xml:space="preserve"> </w:t>
      </w:r>
      <w:r w:rsidRPr="006A2252">
        <w:rPr>
          <w:bCs/>
          <w:color w:val="000000"/>
          <w:sz w:val="20"/>
          <w:szCs w:val="20"/>
          <w:shd w:val="clear" w:color="auto" w:fill="FFFFFF"/>
        </w:rPr>
        <w:t>AF,</w:t>
      </w:r>
      <w:r w:rsidR="009677D1" w:rsidRPr="006A2252">
        <w:rPr>
          <w:bCs/>
          <w:color w:val="000000"/>
          <w:sz w:val="20"/>
          <w:szCs w:val="20"/>
          <w:shd w:val="clear" w:color="auto" w:fill="FFFFFF"/>
        </w:rPr>
        <w:t xml:space="preserve"> </w:t>
      </w:r>
      <w:r w:rsidRPr="006A2252">
        <w:rPr>
          <w:bCs/>
          <w:color w:val="000000"/>
          <w:sz w:val="20"/>
          <w:szCs w:val="20"/>
          <w:shd w:val="clear" w:color="auto" w:fill="FFFFFF"/>
        </w:rPr>
        <w:t>Busch</w:t>
      </w:r>
      <w:r w:rsidR="009677D1" w:rsidRPr="006A2252">
        <w:rPr>
          <w:bCs/>
          <w:color w:val="000000"/>
          <w:sz w:val="20"/>
          <w:szCs w:val="20"/>
          <w:shd w:val="clear" w:color="auto" w:fill="FFFFFF"/>
        </w:rPr>
        <w:t xml:space="preserve"> </w:t>
      </w:r>
      <w:r w:rsidRPr="006A2252">
        <w:rPr>
          <w:bCs/>
          <w:color w:val="000000"/>
          <w:sz w:val="20"/>
          <w:szCs w:val="20"/>
          <w:shd w:val="clear" w:color="auto" w:fill="FFFFFF"/>
        </w:rPr>
        <w:t>RA,</w:t>
      </w:r>
      <w:r w:rsidR="009677D1" w:rsidRPr="006A2252">
        <w:rPr>
          <w:bCs/>
          <w:color w:val="000000"/>
          <w:sz w:val="20"/>
          <w:szCs w:val="20"/>
          <w:shd w:val="clear" w:color="auto" w:fill="FFFFFF"/>
        </w:rPr>
        <w:t xml:space="preserve"> </w:t>
      </w:r>
      <w:proofErr w:type="spellStart"/>
      <w:r w:rsidRPr="006A2252">
        <w:rPr>
          <w:bCs/>
          <w:color w:val="000000"/>
          <w:sz w:val="20"/>
          <w:szCs w:val="20"/>
          <w:shd w:val="clear" w:color="auto" w:fill="FFFFFF"/>
        </w:rPr>
        <w:t>Kudsk</w:t>
      </w:r>
      <w:proofErr w:type="spellEnd"/>
      <w:r w:rsidR="009677D1" w:rsidRPr="006A2252">
        <w:rPr>
          <w:bCs/>
          <w:color w:val="000000"/>
          <w:sz w:val="20"/>
          <w:szCs w:val="20"/>
          <w:shd w:val="clear" w:color="auto" w:fill="FFFFFF"/>
        </w:rPr>
        <w:t xml:space="preserve"> </w:t>
      </w:r>
      <w:r w:rsidRPr="006A2252">
        <w:rPr>
          <w:bCs/>
          <w:color w:val="000000"/>
          <w:sz w:val="20"/>
          <w:szCs w:val="20"/>
          <w:shd w:val="clear" w:color="auto" w:fill="FFFFFF"/>
        </w:rPr>
        <w:t>KA</w:t>
      </w:r>
      <w:r w:rsidRPr="006A2252">
        <w:rPr>
          <w:bCs/>
          <w:sz w:val="20"/>
          <w:szCs w:val="20"/>
          <w:lang w:bidi="ar-EG"/>
        </w:rPr>
        <w:t>.</w:t>
      </w:r>
      <w:r w:rsidR="009677D1" w:rsidRPr="006A2252">
        <w:rPr>
          <w:bCs/>
          <w:sz w:val="20"/>
          <w:szCs w:val="20"/>
          <w:lang w:bidi="ar-EG"/>
        </w:rPr>
        <w:t xml:space="preserve"> </w:t>
      </w:r>
      <w:r w:rsidRPr="006A2252">
        <w:rPr>
          <w:sz w:val="20"/>
          <w:szCs w:val="20"/>
          <w:lang w:bidi="ar-EG"/>
        </w:rPr>
        <w:t>“Glutamine</w:t>
      </w:r>
      <w:r w:rsidR="009677D1" w:rsidRPr="006A2252">
        <w:rPr>
          <w:sz w:val="20"/>
          <w:szCs w:val="20"/>
          <w:lang w:bidi="ar-EG"/>
        </w:rPr>
        <w:t xml:space="preserve"> </w:t>
      </w:r>
      <w:r w:rsidRPr="006A2252">
        <w:rPr>
          <w:sz w:val="20"/>
          <w:szCs w:val="20"/>
          <w:lang w:bidi="ar-EG"/>
        </w:rPr>
        <w:t>Improves</w:t>
      </w:r>
      <w:r w:rsidR="009677D1" w:rsidRPr="006A2252">
        <w:rPr>
          <w:sz w:val="20"/>
          <w:szCs w:val="20"/>
          <w:lang w:bidi="ar-EG"/>
        </w:rPr>
        <w:t xml:space="preserve"> </w:t>
      </w:r>
      <w:r w:rsidRPr="006A2252">
        <w:rPr>
          <w:sz w:val="20"/>
          <w:szCs w:val="20"/>
          <w:lang w:bidi="ar-EG"/>
        </w:rPr>
        <w:t>Innate</w:t>
      </w:r>
      <w:r w:rsidR="009677D1" w:rsidRPr="006A2252">
        <w:rPr>
          <w:sz w:val="20"/>
          <w:szCs w:val="20"/>
          <w:lang w:bidi="ar-EG"/>
        </w:rPr>
        <w:t xml:space="preserve"> </w:t>
      </w:r>
      <w:r w:rsidRPr="006A2252">
        <w:rPr>
          <w:sz w:val="20"/>
          <w:szCs w:val="20"/>
          <w:lang w:bidi="ar-EG"/>
        </w:rPr>
        <w:t>Immunity</w:t>
      </w:r>
      <w:r w:rsidR="009677D1" w:rsidRPr="006A2252">
        <w:rPr>
          <w:sz w:val="20"/>
          <w:szCs w:val="20"/>
          <w:lang w:bidi="ar-EG"/>
        </w:rPr>
        <w:t xml:space="preserve"> </w:t>
      </w:r>
      <w:r w:rsidRPr="006A2252">
        <w:rPr>
          <w:sz w:val="20"/>
          <w:szCs w:val="20"/>
          <w:lang w:bidi="ar-EG"/>
        </w:rPr>
        <w:t>and</w:t>
      </w:r>
      <w:r w:rsidR="009677D1" w:rsidRPr="006A2252">
        <w:rPr>
          <w:sz w:val="20"/>
          <w:szCs w:val="20"/>
          <w:lang w:bidi="ar-EG"/>
        </w:rPr>
        <w:t xml:space="preserve"> </w:t>
      </w:r>
      <w:r w:rsidRPr="006A2252">
        <w:rPr>
          <w:sz w:val="20"/>
          <w:szCs w:val="20"/>
          <w:lang w:bidi="ar-EG"/>
        </w:rPr>
        <w:t>Prevents</w:t>
      </w:r>
      <w:r w:rsidR="009677D1" w:rsidRPr="006A2252">
        <w:rPr>
          <w:sz w:val="20"/>
          <w:szCs w:val="20"/>
          <w:lang w:bidi="ar-EG"/>
        </w:rPr>
        <w:t xml:space="preserve"> </w:t>
      </w:r>
      <w:r w:rsidRPr="006A2252">
        <w:rPr>
          <w:sz w:val="20"/>
          <w:szCs w:val="20"/>
          <w:lang w:bidi="ar-EG"/>
        </w:rPr>
        <w:t>Bacterial</w:t>
      </w:r>
      <w:r w:rsidR="009677D1" w:rsidRPr="006A2252">
        <w:rPr>
          <w:sz w:val="20"/>
          <w:szCs w:val="20"/>
          <w:lang w:bidi="ar-EG"/>
        </w:rPr>
        <w:t xml:space="preserve"> </w:t>
      </w:r>
      <w:proofErr w:type="spellStart"/>
      <w:r w:rsidRPr="006A2252">
        <w:rPr>
          <w:sz w:val="20"/>
          <w:szCs w:val="20"/>
          <w:lang w:bidi="ar-EG"/>
        </w:rPr>
        <w:t>Enteroinvasion</w:t>
      </w:r>
      <w:proofErr w:type="spellEnd"/>
      <w:r w:rsidR="009677D1" w:rsidRPr="006A2252">
        <w:rPr>
          <w:sz w:val="20"/>
          <w:szCs w:val="20"/>
          <w:lang w:bidi="ar-EG"/>
        </w:rPr>
        <w:t xml:space="preserve"> </w:t>
      </w:r>
      <w:r w:rsidRPr="006A2252">
        <w:rPr>
          <w:sz w:val="20"/>
          <w:szCs w:val="20"/>
          <w:lang w:bidi="ar-EG"/>
        </w:rPr>
        <w:t>During</w:t>
      </w:r>
      <w:r w:rsidR="009677D1" w:rsidRPr="006A2252">
        <w:rPr>
          <w:sz w:val="20"/>
          <w:szCs w:val="20"/>
          <w:lang w:bidi="ar-EG"/>
        </w:rPr>
        <w:t xml:space="preserve"> </w:t>
      </w:r>
      <w:r w:rsidRPr="006A2252">
        <w:rPr>
          <w:sz w:val="20"/>
          <w:szCs w:val="20"/>
          <w:lang w:bidi="ar-EG"/>
        </w:rPr>
        <w:t>Parenteral</w:t>
      </w:r>
      <w:r w:rsidR="009677D1" w:rsidRPr="006A2252">
        <w:rPr>
          <w:sz w:val="20"/>
          <w:szCs w:val="20"/>
          <w:lang w:bidi="ar-EG"/>
        </w:rPr>
        <w:t xml:space="preserve"> </w:t>
      </w:r>
      <w:r w:rsidRPr="006A2252">
        <w:rPr>
          <w:sz w:val="20"/>
          <w:szCs w:val="20"/>
          <w:lang w:bidi="ar-EG"/>
        </w:rPr>
        <w:t>Nutrition”</w:t>
      </w:r>
      <w:r w:rsidR="009677D1" w:rsidRPr="006A2252">
        <w:rPr>
          <w:sz w:val="20"/>
          <w:szCs w:val="20"/>
          <w:lang w:bidi="ar-EG"/>
        </w:rPr>
        <w:t xml:space="preserve"> </w:t>
      </w:r>
      <w:r w:rsidRPr="006A2252">
        <w:rPr>
          <w:sz w:val="20"/>
          <w:szCs w:val="20"/>
          <w:lang w:bidi="ar-EG"/>
        </w:rPr>
        <w:t>JPEN.</w:t>
      </w:r>
      <w:r w:rsidR="009677D1" w:rsidRPr="006A2252">
        <w:rPr>
          <w:sz w:val="20"/>
          <w:szCs w:val="20"/>
          <w:lang w:bidi="ar-EG"/>
        </w:rPr>
        <w:t xml:space="preserve"> </w:t>
      </w:r>
      <w:r w:rsidRPr="006A2252">
        <w:rPr>
          <w:sz w:val="20"/>
          <w:szCs w:val="20"/>
          <w:lang w:bidi="ar-EG"/>
        </w:rPr>
        <w:t>Journal</w:t>
      </w:r>
      <w:r w:rsidR="009677D1" w:rsidRPr="006A2252">
        <w:rPr>
          <w:sz w:val="20"/>
          <w:szCs w:val="20"/>
          <w:lang w:bidi="ar-EG"/>
        </w:rPr>
        <w:t xml:space="preserve"> </w:t>
      </w:r>
      <w:r w:rsidRPr="006A2252">
        <w:rPr>
          <w:sz w:val="20"/>
          <w:szCs w:val="20"/>
          <w:lang w:bidi="ar-EG"/>
        </w:rPr>
        <w:t>of</w:t>
      </w:r>
      <w:r w:rsidR="009677D1" w:rsidRPr="006A2252">
        <w:rPr>
          <w:sz w:val="20"/>
          <w:szCs w:val="20"/>
          <w:lang w:bidi="ar-EG"/>
        </w:rPr>
        <w:t xml:space="preserve"> </w:t>
      </w:r>
      <w:r w:rsidRPr="006A2252">
        <w:rPr>
          <w:sz w:val="20"/>
          <w:szCs w:val="20"/>
          <w:lang w:bidi="ar-EG"/>
        </w:rPr>
        <w:t>Parenteral</w:t>
      </w:r>
      <w:r w:rsidR="009677D1" w:rsidRPr="006A2252">
        <w:rPr>
          <w:sz w:val="20"/>
          <w:szCs w:val="20"/>
          <w:lang w:bidi="ar-EG"/>
        </w:rPr>
        <w:t xml:space="preserve"> </w:t>
      </w:r>
      <w:r w:rsidRPr="006A2252">
        <w:rPr>
          <w:sz w:val="20"/>
          <w:szCs w:val="20"/>
          <w:lang w:bidi="ar-EG"/>
        </w:rPr>
        <w:t>and</w:t>
      </w:r>
      <w:r w:rsidR="009677D1" w:rsidRPr="006A2252">
        <w:rPr>
          <w:sz w:val="20"/>
          <w:szCs w:val="20"/>
          <w:lang w:bidi="ar-EG"/>
        </w:rPr>
        <w:t xml:space="preserve"> </w:t>
      </w:r>
      <w:proofErr w:type="spellStart"/>
      <w:r w:rsidRPr="006A2252">
        <w:rPr>
          <w:sz w:val="20"/>
          <w:szCs w:val="20"/>
          <w:lang w:bidi="ar-EG"/>
        </w:rPr>
        <w:t>Enteral</w:t>
      </w:r>
      <w:proofErr w:type="spellEnd"/>
      <w:r w:rsidR="009677D1" w:rsidRPr="006A2252">
        <w:rPr>
          <w:sz w:val="20"/>
          <w:szCs w:val="20"/>
          <w:lang w:bidi="ar-EG"/>
        </w:rPr>
        <w:t xml:space="preserve"> </w:t>
      </w:r>
      <w:r w:rsidRPr="006A2252">
        <w:rPr>
          <w:sz w:val="20"/>
          <w:szCs w:val="20"/>
          <w:lang w:bidi="ar-EG"/>
        </w:rPr>
        <w:t>Nutrition</w:t>
      </w:r>
      <w:r w:rsidR="009677D1" w:rsidRPr="006A2252">
        <w:rPr>
          <w:sz w:val="20"/>
          <w:szCs w:val="20"/>
          <w:lang w:bidi="ar-EG"/>
        </w:rPr>
        <w:t xml:space="preserve"> </w:t>
      </w:r>
      <w:r w:rsidRPr="006A2252">
        <w:rPr>
          <w:sz w:val="20"/>
          <w:szCs w:val="20"/>
          <w:lang w:bidi="ar-EG"/>
        </w:rPr>
        <w:t>2014;</w:t>
      </w:r>
      <w:r w:rsidR="009677D1" w:rsidRPr="006A2252">
        <w:rPr>
          <w:sz w:val="20"/>
          <w:szCs w:val="20"/>
          <w:lang w:bidi="ar-EG"/>
        </w:rPr>
        <w:t xml:space="preserve"> </w:t>
      </w:r>
      <w:r w:rsidRPr="006A2252">
        <w:rPr>
          <w:sz w:val="20"/>
          <w:szCs w:val="20"/>
          <w:lang w:bidi="ar-EG"/>
        </w:rPr>
        <w:t>39(6):</w:t>
      </w:r>
      <w:r w:rsidR="009677D1" w:rsidRPr="006A2252">
        <w:rPr>
          <w:sz w:val="20"/>
          <w:szCs w:val="20"/>
          <w:lang w:bidi="ar-EG"/>
        </w:rPr>
        <w:t xml:space="preserve"> </w:t>
      </w:r>
      <w:r w:rsidRPr="006A2252">
        <w:rPr>
          <w:sz w:val="20"/>
          <w:szCs w:val="20"/>
          <w:lang w:bidi="ar-EG"/>
        </w:rPr>
        <w:t>688-97.</w:t>
      </w:r>
    </w:p>
    <w:p w:rsidR="00DE776F" w:rsidRPr="006A2252" w:rsidRDefault="00DE776F" w:rsidP="00FF4C83">
      <w:pPr>
        <w:pStyle w:val="ListParagraph"/>
        <w:numPr>
          <w:ilvl w:val="0"/>
          <w:numId w:val="2"/>
        </w:numPr>
        <w:snapToGrid w:val="0"/>
        <w:ind w:left="425" w:hanging="425"/>
        <w:jc w:val="both"/>
        <w:rPr>
          <w:sz w:val="20"/>
          <w:szCs w:val="20"/>
        </w:rPr>
      </w:pPr>
      <w:proofErr w:type="spellStart"/>
      <w:r w:rsidRPr="006A2252">
        <w:rPr>
          <w:bCs/>
          <w:sz w:val="20"/>
          <w:szCs w:val="20"/>
        </w:rPr>
        <w:t>Wasinski</w:t>
      </w:r>
      <w:proofErr w:type="spellEnd"/>
      <w:r w:rsidR="009677D1" w:rsidRPr="006A2252">
        <w:rPr>
          <w:bCs/>
          <w:sz w:val="20"/>
          <w:szCs w:val="20"/>
        </w:rPr>
        <w:t xml:space="preserve"> </w:t>
      </w:r>
      <w:r w:rsidRPr="006A2252">
        <w:rPr>
          <w:bCs/>
          <w:sz w:val="20"/>
          <w:szCs w:val="20"/>
        </w:rPr>
        <w:t>F,</w:t>
      </w:r>
      <w:r w:rsidR="009677D1" w:rsidRPr="006A2252">
        <w:rPr>
          <w:bCs/>
          <w:sz w:val="20"/>
          <w:szCs w:val="20"/>
        </w:rPr>
        <w:t xml:space="preserve"> </w:t>
      </w:r>
      <w:proofErr w:type="spellStart"/>
      <w:r w:rsidRPr="006A2252">
        <w:rPr>
          <w:bCs/>
          <w:sz w:val="20"/>
          <w:szCs w:val="20"/>
        </w:rPr>
        <w:t>Gregnani</w:t>
      </w:r>
      <w:proofErr w:type="spellEnd"/>
      <w:r w:rsidR="009677D1" w:rsidRPr="006A2252">
        <w:rPr>
          <w:bCs/>
          <w:sz w:val="20"/>
          <w:szCs w:val="20"/>
        </w:rPr>
        <w:t xml:space="preserve"> </w:t>
      </w:r>
      <w:r w:rsidRPr="006A2252">
        <w:rPr>
          <w:bCs/>
          <w:sz w:val="20"/>
          <w:szCs w:val="20"/>
        </w:rPr>
        <w:t>MF,</w:t>
      </w:r>
      <w:r w:rsidR="009677D1" w:rsidRPr="006A2252">
        <w:rPr>
          <w:bCs/>
          <w:sz w:val="20"/>
          <w:szCs w:val="20"/>
        </w:rPr>
        <w:t xml:space="preserve"> </w:t>
      </w:r>
      <w:proofErr w:type="spellStart"/>
      <w:r w:rsidRPr="006A2252">
        <w:rPr>
          <w:bCs/>
          <w:sz w:val="20"/>
          <w:szCs w:val="20"/>
        </w:rPr>
        <w:t>Ornellas</w:t>
      </w:r>
      <w:proofErr w:type="spellEnd"/>
      <w:r w:rsidR="009677D1" w:rsidRPr="006A2252">
        <w:rPr>
          <w:bCs/>
          <w:sz w:val="20"/>
          <w:szCs w:val="20"/>
        </w:rPr>
        <w:t xml:space="preserve"> </w:t>
      </w:r>
      <w:r w:rsidRPr="006A2252">
        <w:rPr>
          <w:bCs/>
          <w:sz w:val="20"/>
          <w:szCs w:val="20"/>
        </w:rPr>
        <w:t>FH,</w:t>
      </w:r>
      <w:r w:rsidR="009677D1" w:rsidRPr="006A2252">
        <w:rPr>
          <w:bCs/>
          <w:sz w:val="20"/>
          <w:szCs w:val="20"/>
        </w:rPr>
        <w:t xml:space="preserve"> </w:t>
      </w:r>
      <w:proofErr w:type="spellStart"/>
      <w:r w:rsidRPr="006A2252">
        <w:rPr>
          <w:bCs/>
          <w:sz w:val="20"/>
          <w:szCs w:val="20"/>
        </w:rPr>
        <w:t>Bacurau</w:t>
      </w:r>
      <w:proofErr w:type="spellEnd"/>
      <w:r w:rsidR="009677D1" w:rsidRPr="006A2252">
        <w:rPr>
          <w:bCs/>
          <w:sz w:val="20"/>
          <w:szCs w:val="20"/>
        </w:rPr>
        <w:t xml:space="preserve"> </w:t>
      </w:r>
      <w:r w:rsidRPr="006A2252">
        <w:rPr>
          <w:bCs/>
          <w:sz w:val="20"/>
          <w:szCs w:val="20"/>
        </w:rPr>
        <w:t>AV,</w:t>
      </w:r>
      <w:r w:rsidR="009677D1" w:rsidRPr="006A2252">
        <w:rPr>
          <w:bCs/>
          <w:sz w:val="20"/>
          <w:szCs w:val="20"/>
        </w:rPr>
        <w:t xml:space="preserve"> </w:t>
      </w:r>
      <w:proofErr w:type="spellStart"/>
      <w:r w:rsidRPr="006A2252">
        <w:rPr>
          <w:bCs/>
          <w:sz w:val="20"/>
          <w:szCs w:val="20"/>
        </w:rPr>
        <w:t>Câmara</w:t>
      </w:r>
      <w:proofErr w:type="spellEnd"/>
      <w:r w:rsidR="009677D1" w:rsidRPr="006A2252">
        <w:rPr>
          <w:bCs/>
          <w:sz w:val="20"/>
          <w:szCs w:val="20"/>
        </w:rPr>
        <w:t xml:space="preserve"> </w:t>
      </w:r>
      <w:r w:rsidRPr="006A2252">
        <w:rPr>
          <w:bCs/>
          <w:sz w:val="20"/>
          <w:szCs w:val="20"/>
        </w:rPr>
        <w:t>NO,</w:t>
      </w:r>
      <w:r w:rsidR="009677D1" w:rsidRPr="006A2252">
        <w:rPr>
          <w:bCs/>
          <w:sz w:val="20"/>
          <w:szCs w:val="20"/>
        </w:rPr>
        <w:t xml:space="preserve"> </w:t>
      </w:r>
      <w:proofErr w:type="spellStart"/>
      <w:r w:rsidRPr="006A2252">
        <w:rPr>
          <w:bCs/>
          <w:sz w:val="20"/>
          <w:szCs w:val="20"/>
        </w:rPr>
        <w:t>Araujo</w:t>
      </w:r>
      <w:proofErr w:type="spellEnd"/>
      <w:r w:rsidR="009677D1" w:rsidRPr="006A2252">
        <w:rPr>
          <w:bCs/>
          <w:sz w:val="20"/>
          <w:szCs w:val="20"/>
        </w:rPr>
        <w:t xml:space="preserve"> </w:t>
      </w:r>
      <w:r w:rsidRPr="006A2252">
        <w:rPr>
          <w:bCs/>
          <w:sz w:val="20"/>
          <w:szCs w:val="20"/>
        </w:rPr>
        <w:t>RC</w:t>
      </w:r>
      <w:r w:rsidR="009677D1" w:rsidRPr="006A2252">
        <w:rPr>
          <w:bCs/>
          <w:sz w:val="20"/>
          <w:szCs w:val="20"/>
        </w:rPr>
        <w:t xml:space="preserve"> </w:t>
      </w:r>
      <w:r w:rsidRPr="006A2252">
        <w:rPr>
          <w:bCs/>
          <w:sz w:val="20"/>
          <w:szCs w:val="20"/>
        </w:rPr>
        <w:t>and</w:t>
      </w:r>
      <w:r w:rsidR="009677D1" w:rsidRPr="006A2252">
        <w:rPr>
          <w:bCs/>
          <w:sz w:val="20"/>
          <w:szCs w:val="20"/>
        </w:rPr>
        <w:t xml:space="preserve"> </w:t>
      </w:r>
      <w:proofErr w:type="spellStart"/>
      <w:r w:rsidRPr="006A2252">
        <w:rPr>
          <w:bCs/>
          <w:sz w:val="20"/>
          <w:szCs w:val="20"/>
        </w:rPr>
        <w:t>Bacurau</w:t>
      </w:r>
      <w:proofErr w:type="spellEnd"/>
      <w:r w:rsidR="009677D1" w:rsidRPr="006A2252">
        <w:rPr>
          <w:bCs/>
          <w:sz w:val="20"/>
          <w:szCs w:val="20"/>
        </w:rPr>
        <w:t xml:space="preserve"> </w:t>
      </w:r>
      <w:r w:rsidRPr="006A2252">
        <w:rPr>
          <w:bCs/>
          <w:sz w:val="20"/>
          <w:szCs w:val="20"/>
        </w:rPr>
        <w:t>RF.</w:t>
      </w:r>
      <w:r w:rsidR="009677D1" w:rsidRPr="006A2252">
        <w:rPr>
          <w:bCs/>
          <w:sz w:val="20"/>
          <w:szCs w:val="20"/>
        </w:rPr>
        <w:t xml:space="preserve"> </w:t>
      </w:r>
      <w:r w:rsidRPr="006A2252">
        <w:rPr>
          <w:bCs/>
          <w:sz w:val="20"/>
          <w:szCs w:val="20"/>
        </w:rPr>
        <w:t>“</w:t>
      </w:r>
      <w:r w:rsidRPr="006A2252">
        <w:rPr>
          <w:sz w:val="20"/>
          <w:szCs w:val="20"/>
        </w:rPr>
        <w:t>Lymphocyte</w:t>
      </w:r>
      <w:r w:rsidR="009677D1" w:rsidRPr="006A2252">
        <w:rPr>
          <w:sz w:val="20"/>
          <w:szCs w:val="20"/>
        </w:rPr>
        <w:t xml:space="preserve"> </w:t>
      </w:r>
      <w:r w:rsidRPr="006A2252">
        <w:rPr>
          <w:sz w:val="20"/>
          <w:szCs w:val="20"/>
        </w:rPr>
        <w:t>glucose</w:t>
      </w:r>
      <w:r w:rsidR="009677D1" w:rsidRPr="006A2252">
        <w:rPr>
          <w:sz w:val="20"/>
          <w:szCs w:val="20"/>
        </w:rPr>
        <w:t xml:space="preserve"> </w:t>
      </w:r>
      <w:r w:rsidRPr="006A2252">
        <w:rPr>
          <w:sz w:val="20"/>
          <w:szCs w:val="20"/>
        </w:rPr>
        <w:t>and</w:t>
      </w:r>
      <w:r w:rsidR="009677D1" w:rsidRPr="006A2252">
        <w:rPr>
          <w:sz w:val="20"/>
          <w:szCs w:val="20"/>
        </w:rPr>
        <w:t xml:space="preserve"> </w:t>
      </w:r>
      <w:r w:rsidRPr="006A2252">
        <w:rPr>
          <w:sz w:val="20"/>
          <w:szCs w:val="20"/>
        </w:rPr>
        <w:t>glutamine</w:t>
      </w:r>
      <w:r w:rsidR="009677D1" w:rsidRPr="006A2252">
        <w:rPr>
          <w:sz w:val="20"/>
          <w:szCs w:val="20"/>
        </w:rPr>
        <w:t xml:space="preserve"> </w:t>
      </w:r>
      <w:r w:rsidRPr="006A2252">
        <w:rPr>
          <w:sz w:val="20"/>
          <w:szCs w:val="20"/>
        </w:rPr>
        <w:t>metabolism</w:t>
      </w:r>
      <w:r w:rsidR="009677D1" w:rsidRPr="006A2252">
        <w:rPr>
          <w:sz w:val="20"/>
          <w:szCs w:val="20"/>
        </w:rPr>
        <w:t xml:space="preserve"> </w:t>
      </w:r>
      <w:r w:rsidRPr="006A2252">
        <w:rPr>
          <w:sz w:val="20"/>
          <w:szCs w:val="20"/>
        </w:rPr>
        <w:t>as</w:t>
      </w:r>
      <w:r w:rsidR="009677D1" w:rsidRPr="006A2252">
        <w:rPr>
          <w:sz w:val="20"/>
          <w:szCs w:val="20"/>
        </w:rPr>
        <w:t xml:space="preserve"> </w:t>
      </w:r>
      <w:r w:rsidRPr="006A2252">
        <w:rPr>
          <w:sz w:val="20"/>
          <w:szCs w:val="20"/>
        </w:rPr>
        <w:t>targets</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t>anti-inflammatory</w:t>
      </w:r>
      <w:r w:rsidR="009677D1" w:rsidRPr="006A2252">
        <w:rPr>
          <w:sz w:val="20"/>
          <w:szCs w:val="20"/>
        </w:rPr>
        <w:t xml:space="preserve"> </w:t>
      </w:r>
      <w:r w:rsidRPr="006A2252">
        <w:rPr>
          <w:sz w:val="20"/>
          <w:szCs w:val="20"/>
        </w:rPr>
        <w:t>and</w:t>
      </w:r>
      <w:r w:rsidR="009677D1" w:rsidRPr="006A2252">
        <w:rPr>
          <w:sz w:val="20"/>
          <w:szCs w:val="20"/>
        </w:rPr>
        <w:t xml:space="preserve"> </w:t>
      </w:r>
      <w:proofErr w:type="spellStart"/>
      <w:r w:rsidRPr="006A2252">
        <w:rPr>
          <w:sz w:val="20"/>
          <w:szCs w:val="20"/>
        </w:rPr>
        <w:t>immunomodulatory</w:t>
      </w:r>
      <w:proofErr w:type="spellEnd"/>
      <w:r w:rsidR="009677D1" w:rsidRPr="006A2252">
        <w:rPr>
          <w:sz w:val="20"/>
          <w:szCs w:val="20"/>
        </w:rPr>
        <w:t xml:space="preserve"> </w:t>
      </w:r>
      <w:r w:rsidRPr="006A2252">
        <w:rPr>
          <w:sz w:val="20"/>
          <w:szCs w:val="20"/>
        </w:rPr>
        <w:t>effects</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exercise.”</w:t>
      </w:r>
      <w:r w:rsidR="009677D1" w:rsidRPr="006A2252">
        <w:rPr>
          <w:sz w:val="20"/>
          <w:szCs w:val="20"/>
        </w:rPr>
        <w:t xml:space="preserve"> </w:t>
      </w:r>
      <w:r w:rsidRPr="006A2252">
        <w:rPr>
          <w:sz w:val="20"/>
          <w:szCs w:val="20"/>
        </w:rPr>
        <w:t>Mediators</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inflammation,</w:t>
      </w:r>
      <w:r w:rsidR="009677D1" w:rsidRPr="006A2252">
        <w:rPr>
          <w:sz w:val="20"/>
          <w:szCs w:val="20"/>
        </w:rPr>
        <w:t xml:space="preserve"> </w:t>
      </w:r>
      <w:r w:rsidRPr="006A2252">
        <w:rPr>
          <w:sz w:val="20"/>
          <w:szCs w:val="20"/>
        </w:rPr>
        <w:t>2014.</w:t>
      </w:r>
      <w:r w:rsidRPr="006A2252">
        <w:rPr>
          <w:sz w:val="20"/>
          <w:szCs w:val="20"/>
          <w:lang w:bidi="ar-EG"/>
        </w:rPr>
        <w:t>‏</w:t>
      </w:r>
    </w:p>
    <w:p w:rsidR="00DE776F" w:rsidRPr="006A2252" w:rsidRDefault="00DE776F" w:rsidP="00FF4C83">
      <w:pPr>
        <w:pStyle w:val="ListParagraph"/>
        <w:numPr>
          <w:ilvl w:val="0"/>
          <w:numId w:val="2"/>
        </w:numPr>
        <w:snapToGrid w:val="0"/>
        <w:ind w:left="425" w:hanging="425"/>
        <w:jc w:val="both"/>
        <w:rPr>
          <w:sz w:val="20"/>
          <w:szCs w:val="20"/>
        </w:rPr>
      </w:pPr>
      <w:r w:rsidRPr="006A2252">
        <w:rPr>
          <w:bCs/>
          <w:sz w:val="20"/>
          <w:szCs w:val="20"/>
        </w:rPr>
        <w:t>Wernerman</w:t>
      </w:r>
      <w:r w:rsidR="009677D1" w:rsidRPr="006A2252">
        <w:rPr>
          <w:bCs/>
          <w:sz w:val="20"/>
          <w:szCs w:val="20"/>
        </w:rPr>
        <w:t xml:space="preserve"> </w:t>
      </w:r>
      <w:r w:rsidRPr="006A2252">
        <w:rPr>
          <w:bCs/>
          <w:sz w:val="20"/>
          <w:szCs w:val="20"/>
        </w:rPr>
        <w:t>J.</w:t>
      </w:r>
      <w:r w:rsidR="009677D1" w:rsidRPr="006A2252">
        <w:rPr>
          <w:bCs/>
          <w:sz w:val="20"/>
          <w:szCs w:val="20"/>
        </w:rPr>
        <w:t xml:space="preserve"> </w:t>
      </w:r>
      <w:r w:rsidRPr="006A2252">
        <w:rPr>
          <w:sz w:val="20"/>
          <w:szCs w:val="20"/>
        </w:rPr>
        <w:t>“Clinical</w:t>
      </w:r>
      <w:r w:rsidR="009677D1" w:rsidRPr="006A2252">
        <w:rPr>
          <w:sz w:val="20"/>
          <w:szCs w:val="20"/>
        </w:rPr>
        <w:t xml:space="preserve"> </w:t>
      </w:r>
      <w:r w:rsidRPr="006A2252">
        <w:rPr>
          <w:sz w:val="20"/>
          <w:szCs w:val="20"/>
        </w:rPr>
        <w:t>Use</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Glutamine</w:t>
      </w:r>
      <w:r w:rsidR="009677D1" w:rsidRPr="006A2252">
        <w:rPr>
          <w:sz w:val="20"/>
          <w:szCs w:val="20"/>
        </w:rPr>
        <w:t xml:space="preserve"> </w:t>
      </w:r>
      <w:r w:rsidRPr="006A2252">
        <w:rPr>
          <w:sz w:val="20"/>
          <w:szCs w:val="20"/>
        </w:rPr>
        <w:t>Supplementation.”</w:t>
      </w:r>
      <w:r w:rsidR="009677D1" w:rsidRPr="006A2252">
        <w:rPr>
          <w:sz w:val="20"/>
          <w:szCs w:val="20"/>
        </w:rPr>
        <w:t xml:space="preserve"> </w:t>
      </w:r>
      <w:r w:rsidRPr="006A2252">
        <w:rPr>
          <w:sz w:val="20"/>
          <w:szCs w:val="20"/>
        </w:rPr>
        <w:t>The</w:t>
      </w:r>
      <w:r w:rsidR="009677D1" w:rsidRPr="006A2252">
        <w:rPr>
          <w:sz w:val="20"/>
          <w:szCs w:val="20"/>
        </w:rPr>
        <w:t xml:space="preserve"> </w:t>
      </w:r>
      <w:r w:rsidRPr="006A2252">
        <w:rPr>
          <w:sz w:val="20"/>
          <w:szCs w:val="20"/>
        </w:rPr>
        <w:t>Journal</w:t>
      </w:r>
      <w:r w:rsidR="009677D1" w:rsidRPr="006A2252">
        <w:rPr>
          <w:sz w:val="20"/>
          <w:szCs w:val="20"/>
        </w:rPr>
        <w:t xml:space="preserve"> </w:t>
      </w:r>
      <w:r w:rsidRPr="006A2252">
        <w:rPr>
          <w:sz w:val="20"/>
          <w:szCs w:val="20"/>
        </w:rPr>
        <w:t>of</w:t>
      </w:r>
      <w:r w:rsidR="009677D1" w:rsidRPr="006A2252">
        <w:rPr>
          <w:sz w:val="20"/>
          <w:szCs w:val="20"/>
        </w:rPr>
        <w:t xml:space="preserve"> </w:t>
      </w:r>
      <w:r w:rsidRPr="006A2252">
        <w:rPr>
          <w:sz w:val="20"/>
          <w:szCs w:val="20"/>
        </w:rPr>
        <w:t>Nutrition</w:t>
      </w:r>
      <w:r w:rsidR="009677D1" w:rsidRPr="006A2252">
        <w:rPr>
          <w:sz w:val="20"/>
          <w:szCs w:val="20"/>
        </w:rPr>
        <w:t xml:space="preserve"> </w:t>
      </w:r>
      <w:r w:rsidRPr="006A2252">
        <w:rPr>
          <w:sz w:val="20"/>
          <w:szCs w:val="20"/>
        </w:rPr>
        <w:t>2008;</w:t>
      </w:r>
      <w:r w:rsidR="009677D1" w:rsidRPr="006A2252">
        <w:rPr>
          <w:sz w:val="20"/>
          <w:szCs w:val="20"/>
        </w:rPr>
        <w:t xml:space="preserve"> </w:t>
      </w:r>
      <w:r w:rsidRPr="006A2252">
        <w:rPr>
          <w:sz w:val="20"/>
          <w:szCs w:val="20"/>
        </w:rPr>
        <w:t>138</w:t>
      </w:r>
      <w:r w:rsidR="009677D1" w:rsidRPr="006A2252">
        <w:rPr>
          <w:sz w:val="20"/>
          <w:szCs w:val="20"/>
        </w:rPr>
        <w:t xml:space="preserve"> </w:t>
      </w:r>
      <w:r w:rsidRPr="006A2252">
        <w:rPr>
          <w:sz w:val="20"/>
          <w:szCs w:val="20"/>
        </w:rPr>
        <w:t>(10):</w:t>
      </w:r>
      <w:r w:rsidR="009677D1" w:rsidRPr="006A2252">
        <w:rPr>
          <w:sz w:val="20"/>
          <w:szCs w:val="20"/>
        </w:rPr>
        <w:t xml:space="preserve"> </w:t>
      </w:r>
      <w:r w:rsidRPr="006A2252">
        <w:rPr>
          <w:sz w:val="20"/>
          <w:szCs w:val="20"/>
        </w:rPr>
        <w:t>2040S–2044S.</w:t>
      </w:r>
      <w:r w:rsidR="009677D1" w:rsidRPr="006A2252">
        <w:rPr>
          <w:sz w:val="20"/>
          <w:szCs w:val="20"/>
        </w:rPr>
        <w:t xml:space="preserve"> </w:t>
      </w:r>
    </w:p>
    <w:p w:rsidR="00FF4C83" w:rsidRPr="006A2252" w:rsidRDefault="00DE776F" w:rsidP="00FF4C83">
      <w:pPr>
        <w:pStyle w:val="ListParagraph"/>
        <w:numPr>
          <w:ilvl w:val="0"/>
          <w:numId w:val="2"/>
        </w:numPr>
        <w:snapToGrid w:val="0"/>
        <w:ind w:left="425" w:hanging="425"/>
        <w:jc w:val="both"/>
        <w:rPr>
          <w:sz w:val="20"/>
          <w:szCs w:val="20"/>
          <w:lang w:bidi="ar-EG"/>
        </w:rPr>
        <w:sectPr w:rsidR="00FF4C83" w:rsidRPr="006A2252" w:rsidSect="00851763">
          <w:type w:val="continuous"/>
          <w:pgSz w:w="12240" w:h="15840" w:code="9"/>
          <w:pgMar w:top="1440" w:right="1440" w:bottom="1440" w:left="1440" w:header="720" w:footer="720" w:gutter="0"/>
          <w:cols w:num="2" w:space="600"/>
          <w:docGrid w:linePitch="360"/>
        </w:sectPr>
      </w:pPr>
      <w:proofErr w:type="spellStart"/>
      <w:r w:rsidRPr="006A2252">
        <w:rPr>
          <w:bCs/>
          <w:sz w:val="20"/>
          <w:szCs w:val="20"/>
        </w:rPr>
        <w:t>Wischmeyer</w:t>
      </w:r>
      <w:proofErr w:type="spellEnd"/>
      <w:r w:rsidR="009677D1" w:rsidRPr="006A2252">
        <w:rPr>
          <w:bCs/>
          <w:sz w:val="20"/>
          <w:szCs w:val="20"/>
        </w:rPr>
        <w:t xml:space="preserve"> </w:t>
      </w:r>
      <w:r w:rsidRPr="006A2252">
        <w:rPr>
          <w:bCs/>
          <w:sz w:val="20"/>
          <w:szCs w:val="20"/>
        </w:rPr>
        <w:t>PE,</w:t>
      </w:r>
      <w:r w:rsidR="009677D1" w:rsidRPr="006A2252">
        <w:rPr>
          <w:bCs/>
          <w:sz w:val="20"/>
          <w:szCs w:val="20"/>
        </w:rPr>
        <w:t xml:space="preserve"> </w:t>
      </w:r>
      <w:r w:rsidRPr="006A2252">
        <w:rPr>
          <w:bCs/>
          <w:sz w:val="20"/>
          <w:szCs w:val="20"/>
        </w:rPr>
        <w:t>Lynch</w:t>
      </w:r>
      <w:r w:rsidR="009677D1" w:rsidRPr="006A2252">
        <w:rPr>
          <w:bCs/>
          <w:sz w:val="20"/>
          <w:szCs w:val="20"/>
        </w:rPr>
        <w:t xml:space="preserve"> </w:t>
      </w:r>
      <w:r w:rsidRPr="006A2252">
        <w:rPr>
          <w:bCs/>
          <w:sz w:val="20"/>
          <w:szCs w:val="20"/>
        </w:rPr>
        <w:t>J,</w:t>
      </w:r>
      <w:r w:rsidR="009677D1" w:rsidRPr="006A2252">
        <w:rPr>
          <w:bCs/>
          <w:sz w:val="20"/>
          <w:szCs w:val="20"/>
        </w:rPr>
        <w:t xml:space="preserve"> </w:t>
      </w:r>
      <w:proofErr w:type="spellStart"/>
      <w:r w:rsidRPr="006A2252">
        <w:rPr>
          <w:bCs/>
          <w:sz w:val="20"/>
          <w:szCs w:val="20"/>
        </w:rPr>
        <w:t>Liedel</w:t>
      </w:r>
      <w:proofErr w:type="spellEnd"/>
      <w:r w:rsidR="009677D1" w:rsidRPr="006A2252">
        <w:rPr>
          <w:bCs/>
          <w:sz w:val="20"/>
          <w:szCs w:val="20"/>
        </w:rPr>
        <w:t xml:space="preserve"> </w:t>
      </w:r>
      <w:r w:rsidRPr="006A2252">
        <w:rPr>
          <w:bCs/>
          <w:sz w:val="20"/>
          <w:szCs w:val="20"/>
        </w:rPr>
        <w:t>J,</w:t>
      </w:r>
      <w:r w:rsidR="009677D1" w:rsidRPr="006A2252">
        <w:rPr>
          <w:bCs/>
          <w:sz w:val="20"/>
          <w:szCs w:val="20"/>
        </w:rPr>
        <w:t xml:space="preserve"> </w:t>
      </w:r>
      <w:proofErr w:type="spellStart"/>
      <w:r w:rsidRPr="006A2252">
        <w:rPr>
          <w:bCs/>
          <w:sz w:val="20"/>
          <w:szCs w:val="20"/>
        </w:rPr>
        <w:t>Wolfson</w:t>
      </w:r>
      <w:proofErr w:type="spellEnd"/>
      <w:r w:rsidR="009677D1" w:rsidRPr="006A2252">
        <w:rPr>
          <w:bCs/>
          <w:sz w:val="20"/>
          <w:szCs w:val="20"/>
        </w:rPr>
        <w:t xml:space="preserve"> </w:t>
      </w:r>
      <w:r w:rsidRPr="006A2252">
        <w:rPr>
          <w:bCs/>
          <w:sz w:val="20"/>
          <w:szCs w:val="20"/>
        </w:rPr>
        <w:t>R,</w:t>
      </w:r>
      <w:r w:rsidR="009677D1" w:rsidRPr="006A2252">
        <w:rPr>
          <w:bCs/>
          <w:sz w:val="20"/>
          <w:szCs w:val="20"/>
        </w:rPr>
        <w:t xml:space="preserve"> </w:t>
      </w:r>
      <w:proofErr w:type="spellStart"/>
      <w:r w:rsidRPr="006A2252">
        <w:rPr>
          <w:bCs/>
          <w:sz w:val="20"/>
          <w:szCs w:val="20"/>
        </w:rPr>
        <w:t>Riehm</w:t>
      </w:r>
      <w:proofErr w:type="spellEnd"/>
      <w:r w:rsidR="009677D1" w:rsidRPr="006A2252">
        <w:rPr>
          <w:bCs/>
          <w:sz w:val="20"/>
          <w:szCs w:val="20"/>
        </w:rPr>
        <w:t xml:space="preserve"> </w:t>
      </w:r>
      <w:r w:rsidRPr="006A2252">
        <w:rPr>
          <w:bCs/>
          <w:sz w:val="20"/>
          <w:szCs w:val="20"/>
        </w:rPr>
        <w:t>J,</w:t>
      </w:r>
      <w:r w:rsidR="009677D1" w:rsidRPr="006A2252">
        <w:rPr>
          <w:bCs/>
          <w:sz w:val="20"/>
          <w:szCs w:val="20"/>
        </w:rPr>
        <w:t xml:space="preserve"> </w:t>
      </w:r>
      <w:r w:rsidRPr="006A2252">
        <w:rPr>
          <w:bCs/>
          <w:sz w:val="20"/>
          <w:szCs w:val="20"/>
        </w:rPr>
        <w:t>Gottlieb</w:t>
      </w:r>
      <w:r w:rsidR="009677D1" w:rsidRPr="006A2252">
        <w:rPr>
          <w:bCs/>
          <w:sz w:val="20"/>
          <w:szCs w:val="20"/>
        </w:rPr>
        <w:t xml:space="preserve"> </w:t>
      </w:r>
      <w:r w:rsidRPr="006A2252">
        <w:rPr>
          <w:bCs/>
          <w:sz w:val="20"/>
          <w:szCs w:val="20"/>
        </w:rPr>
        <w:t>L</w:t>
      </w:r>
      <w:r w:rsidR="009677D1" w:rsidRPr="006A2252">
        <w:rPr>
          <w:bCs/>
          <w:sz w:val="20"/>
          <w:szCs w:val="20"/>
        </w:rPr>
        <w:t xml:space="preserve"> </w:t>
      </w:r>
      <w:r w:rsidRPr="006A2252">
        <w:rPr>
          <w:bCs/>
          <w:sz w:val="20"/>
          <w:szCs w:val="20"/>
        </w:rPr>
        <w:t>and</w:t>
      </w:r>
      <w:r w:rsidR="009677D1" w:rsidRPr="006A2252">
        <w:rPr>
          <w:bCs/>
          <w:sz w:val="20"/>
          <w:szCs w:val="20"/>
        </w:rPr>
        <w:t xml:space="preserve"> </w:t>
      </w:r>
      <w:proofErr w:type="spellStart"/>
      <w:r w:rsidRPr="006A2252">
        <w:rPr>
          <w:bCs/>
          <w:sz w:val="20"/>
          <w:szCs w:val="20"/>
        </w:rPr>
        <w:t>Kahana</w:t>
      </w:r>
      <w:proofErr w:type="spellEnd"/>
      <w:r w:rsidR="009677D1" w:rsidRPr="006A2252">
        <w:rPr>
          <w:bCs/>
          <w:sz w:val="20"/>
          <w:szCs w:val="20"/>
        </w:rPr>
        <w:t xml:space="preserve"> </w:t>
      </w:r>
      <w:r w:rsidRPr="006A2252">
        <w:rPr>
          <w:bCs/>
          <w:sz w:val="20"/>
          <w:szCs w:val="20"/>
        </w:rPr>
        <w:t>M.</w:t>
      </w:r>
      <w:r w:rsidR="009677D1" w:rsidRPr="006A2252">
        <w:rPr>
          <w:bCs/>
          <w:sz w:val="20"/>
          <w:szCs w:val="20"/>
        </w:rPr>
        <w:t xml:space="preserve"> </w:t>
      </w:r>
      <w:r w:rsidRPr="006A2252">
        <w:rPr>
          <w:bCs/>
          <w:sz w:val="20"/>
          <w:szCs w:val="20"/>
        </w:rPr>
        <w:t>“</w:t>
      </w:r>
      <w:r w:rsidRPr="006A2252">
        <w:rPr>
          <w:sz w:val="20"/>
          <w:szCs w:val="20"/>
        </w:rPr>
        <w:t>Glutamine</w:t>
      </w:r>
      <w:r w:rsidR="009677D1" w:rsidRPr="006A2252">
        <w:rPr>
          <w:sz w:val="20"/>
          <w:szCs w:val="20"/>
        </w:rPr>
        <w:t xml:space="preserve"> </w:t>
      </w:r>
      <w:r w:rsidRPr="006A2252">
        <w:rPr>
          <w:sz w:val="20"/>
          <w:szCs w:val="20"/>
        </w:rPr>
        <w:t>administration</w:t>
      </w:r>
      <w:r w:rsidR="009677D1" w:rsidRPr="006A2252">
        <w:rPr>
          <w:sz w:val="20"/>
          <w:szCs w:val="20"/>
        </w:rPr>
        <w:t xml:space="preserve"> </w:t>
      </w:r>
      <w:r w:rsidRPr="006A2252">
        <w:rPr>
          <w:sz w:val="20"/>
          <w:szCs w:val="20"/>
        </w:rPr>
        <w:t>reduces</w:t>
      </w:r>
      <w:r w:rsidR="009677D1" w:rsidRPr="006A2252">
        <w:rPr>
          <w:sz w:val="20"/>
          <w:szCs w:val="20"/>
        </w:rPr>
        <w:t xml:space="preserve"> </w:t>
      </w:r>
      <w:r w:rsidRPr="006A2252">
        <w:rPr>
          <w:sz w:val="20"/>
          <w:szCs w:val="20"/>
        </w:rPr>
        <w:t>Gram-negative</w:t>
      </w:r>
      <w:r w:rsidR="009677D1" w:rsidRPr="006A2252">
        <w:rPr>
          <w:sz w:val="20"/>
          <w:szCs w:val="20"/>
        </w:rPr>
        <w:t xml:space="preserve"> </w:t>
      </w:r>
      <w:proofErr w:type="spellStart"/>
      <w:r w:rsidRPr="006A2252">
        <w:rPr>
          <w:sz w:val="20"/>
          <w:szCs w:val="20"/>
        </w:rPr>
        <w:t>bacteremia</w:t>
      </w:r>
      <w:proofErr w:type="spellEnd"/>
      <w:r w:rsidR="009677D1" w:rsidRPr="006A2252">
        <w:rPr>
          <w:sz w:val="20"/>
          <w:szCs w:val="20"/>
        </w:rPr>
        <w:t xml:space="preserve"> </w:t>
      </w:r>
      <w:r w:rsidRPr="006A2252">
        <w:rPr>
          <w:sz w:val="20"/>
          <w:szCs w:val="20"/>
        </w:rPr>
        <w:t>in</w:t>
      </w:r>
      <w:r w:rsidR="009677D1" w:rsidRPr="006A2252">
        <w:rPr>
          <w:sz w:val="20"/>
          <w:szCs w:val="20"/>
        </w:rPr>
        <w:t xml:space="preserve"> </w:t>
      </w:r>
      <w:r w:rsidRPr="006A2252">
        <w:rPr>
          <w:sz w:val="20"/>
          <w:szCs w:val="20"/>
        </w:rPr>
        <w:t>severely</w:t>
      </w:r>
      <w:r w:rsidR="009677D1" w:rsidRPr="006A2252">
        <w:rPr>
          <w:sz w:val="20"/>
          <w:szCs w:val="20"/>
        </w:rPr>
        <w:t xml:space="preserve"> </w:t>
      </w:r>
      <w:r w:rsidRPr="006A2252">
        <w:rPr>
          <w:sz w:val="20"/>
          <w:szCs w:val="20"/>
        </w:rPr>
        <w:t>burned</w:t>
      </w:r>
      <w:r w:rsidR="009677D1" w:rsidRPr="006A2252">
        <w:rPr>
          <w:sz w:val="20"/>
          <w:szCs w:val="20"/>
        </w:rPr>
        <w:t xml:space="preserve"> </w:t>
      </w:r>
      <w:r w:rsidRPr="006A2252">
        <w:rPr>
          <w:sz w:val="20"/>
          <w:szCs w:val="20"/>
        </w:rPr>
        <w:t>patients:</w:t>
      </w:r>
      <w:r w:rsidR="009677D1" w:rsidRPr="006A2252">
        <w:rPr>
          <w:sz w:val="20"/>
          <w:szCs w:val="20"/>
        </w:rPr>
        <w:t xml:space="preserve"> </w:t>
      </w:r>
      <w:r w:rsidRPr="006A2252">
        <w:rPr>
          <w:sz w:val="20"/>
          <w:szCs w:val="20"/>
        </w:rPr>
        <w:t>a</w:t>
      </w:r>
      <w:r w:rsidR="009677D1" w:rsidRPr="006A2252">
        <w:rPr>
          <w:sz w:val="20"/>
          <w:szCs w:val="20"/>
        </w:rPr>
        <w:t xml:space="preserve"> </w:t>
      </w:r>
      <w:r w:rsidRPr="006A2252">
        <w:rPr>
          <w:sz w:val="20"/>
          <w:szCs w:val="20"/>
        </w:rPr>
        <w:t>prospective,</w:t>
      </w:r>
      <w:r w:rsidR="009677D1" w:rsidRPr="006A2252">
        <w:rPr>
          <w:sz w:val="20"/>
          <w:szCs w:val="20"/>
        </w:rPr>
        <w:t xml:space="preserve"> </w:t>
      </w:r>
      <w:r w:rsidRPr="006A2252">
        <w:rPr>
          <w:sz w:val="20"/>
          <w:szCs w:val="20"/>
        </w:rPr>
        <w:t>randomized,</w:t>
      </w:r>
      <w:r w:rsidR="009677D1" w:rsidRPr="006A2252">
        <w:rPr>
          <w:sz w:val="20"/>
          <w:szCs w:val="20"/>
        </w:rPr>
        <w:t xml:space="preserve"> </w:t>
      </w:r>
      <w:r w:rsidRPr="006A2252">
        <w:rPr>
          <w:sz w:val="20"/>
          <w:szCs w:val="20"/>
        </w:rPr>
        <w:t>double-blind</w:t>
      </w:r>
      <w:r w:rsidR="009677D1" w:rsidRPr="006A2252">
        <w:rPr>
          <w:sz w:val="20"/>
          <w:szCs w:val="20"/>
        </w:rPr>
        <w:t xml:space="preserve"> </w:t>
      </w:r>
      <w:r w:rsidRPr="006A2252">
        <w:rPr>
          <w:sz w:val="20"/>
          <w:szCs w:val="20"/>
        </w:rPr>
        <w:t>trial</w:t>
      </w:r>
      <w:r w:rsidR="009677D1" w:rsidRPr="006A2252">
        <w:rPr>
          <w:sz w:val="20"/>
          <w:szCs w:val="20"/>
        </w:rPr>
        <w:t xml:space="preserve"> </w:t>
      </w:r>
      <w:r w:rsidRPr="006A2252">
        <w:rPr>
          <w:sz w:val="20"/>
          <w:szCs w:val="20"/>
        </w:rPr>
        <w:t>versus</w:t>
      </w:r>
      <w:r w:rsidR="009677D1" w:rsidRPr="006A2252">
        <w:rPr>
          <w:sz w:val="20"/>
          <w:szCs w:val="20"/>
        </w:rPr>
        <w:t xml:space="preserve"> </w:t>
      </w:r>
      <w:proofErr w:type="spellStart"/>
      <w:r w:rsidRPr="006A2252">
        <w:rPr>
          <w:sz w:val="20"/>
          <w:szCs w:val="20"/>
        </w:rPr>
        <w:t>isonitrogenous</w:t>
      </w:r>
      <w:proofErr w:type="spellEnd"/>
      <w:r w:rsidR="009677D1" w:rsidRPr="006A2252">
        <w:rPr>
          <w:sz w:val="20"/>
          <w:szCs w:val="20"/>
        </w:rPr>
        <w:t xml:space="preserve"> </w:t>
      </w:r>
      <w:r w:rsidRPr="006A2252">
        <w:rPr>
          <w:sz w:val="20"/>
          <w:szCs w:val="20"/>
        </w:rPr>
        <w:t>control.”</w:t>
      </w:r>
      <w:r w:rsidR="009677D1" w:rsidRPr="006A2252">
        <w:rPr>
          <w:sz w:val="20"/>
          <w:szCs w:val="20"/>
        </w:rPr>
        <w:t xml:space="preserve"> </w:t>
      </w:r>
      <w:r w:rsidRPr="006A2252">
        <w:rPr>
          <w:sz w:val="20"/>
          <w:szCs w:val="20"/>
        </w:rPr>
        <w:t>Critical</w:t>
      </w:r>
      <w:r w:rsidR="009677D1" w:rsidRPr="006A2252">
        <w:rPr>
          <w:sz w:val="20"/>
          <w:szCs w:val="20"/>
        </w:rPr>
        <w:t xml:space="preserve"> </w:t>
      </w:r>
      <w:r w:rsidRPr="006A2252">
        <w:rPr>
          <w:sz w:val="20"/>
          <w:szCs w:val="20"/>
        </w:rPr>
        <w:t>care</w:t>
      </w:r>
      <w:r w:rsidR="009677D1" w:rsidRPr="006A2252">
        <w:rPr>
          <w:sz w:val="20"/>
          <w:szCs w:val="20"/>
        </w:rPr>
        <w:t xml:space="preserve"> </w:t>
      </w:r>
      <w:r w:rsidRPr="006A2252">
        <w:rPr>
          <w:sz w:val="20"/>
          <w:szCs w:val="20"/>
        </w:rPr>
        <w:t>medicine,</w:t>
      </w:r>
      <w:r w:rsidR="009677D1" w:rsidRPr="006A2252">
        <w:rPr>
          <w:sz w:val="20"/>
          <w:szCs w:val="20"/>
        </w:rPr>
        <w:t xml:space="preserve"> </w:t>
      </w:r>
      <w:r w:rsidRPr="006A2252">
        <w:rPr>
          <w:sz w:val="20"/>
          <w:szCs w:val="20"/>
        </w:rPr>
        <w:t>2001;</w:t>
      </w:r>
      <w:r w:rsidR="009677D1" w:rsidRPr="006A2252">
        <w:rPr>
          <w:sz w:val="20"/>
          <w:szCs w:val="20"/>
        </w:rPr>
        <w:t xml:space="preserve"> </w:t>
      </w:r>
      <w:r w:rsidRPr="006A2252">
        <w:rPr>
          <w:sz w:val="20"/>
          <w:szCs w:val="20"/>
        </w:rPr>
        <w:t>29(11):</w:t>
      </w:r>
      <w:r w:rsidR="009677D1" w:rsidRPr="006A2252">
        <w:rPr>
          <w:sz w:val="20"/>
          <w:szCs w:val="20"/>
        </w:rPr>
        <w:t xml:space="preserve"> </w:t>
      </w:r>
      <w:r w:rsidRPr="006A2252">
        <w:rPr>
          <w:sz w:val="20"/>
          <w:szCs w:val="20"/>
        </w:rPr>
        <w:t>2075-2080.</w:t>
      </w:r>
      <w:r w:rsidRPr="006A2252">
        <w:rPr>
          <w:sz w:val="20"/>
          <w:szCs w:val="20"/>
          <w:lang w:bidi="ar-EG"/>
        </w:rPr>
        <w:t>‏</w:t>
      </w:r>
    </w:p>
    <w:p w:rsidR="00DE776F" w:rsidRPr="006A2252" w:rsidRDefault="00DE776F" w:rsidP="00FF4C83">
      <w:pPr>
        <w:snapToGrid w:val="0"/>
        <w:ind w:left="425" w:hanging="425"/>
        <w:jc w:val="both"/>
        <w:rPr>
          <w:sz w:val="20"/>
          <w:szCs w:val="20"/>
        </w:rPr>
      </w:pPr>
    </w:p>
    <w:p w:rsidR="00FF4C83" w:rsidRPr="006A2252" w:rsidRDefault="00FF4C83" w:rsidP="00FF4C83">
      <w:pPr>
        <w:snapToGrid w:val="0"/>
        <w:jc w:val="both"/>
        <w:rPr>
          <w:rFonts w:eastAsiaTheme="minorEastAsia"/>
          <w:b/>
          <w:bCs/>
          <w:sz w:val="20"/>
          <w:szCs w:val="20"/>
          <w:lang w:eastAsia="zh-CN"/>
        </w:rPr>
      </w:pPr>
    </w:p>
    <w:p w:rsidR="002C7817" w:rsidRPr="006A2252" w:rsidRDefault="009677D1" w:rsidP="00FF4C83">
      <w:pPr>
        <w:snapToGrid w:val="0"/>
        <w:jc w:val="both"/>
        <w:rPr>
          <w:bCs/>
          <w:sz w:val="20"/>
          <w:szCs w:val="20"/>
        </w:rPr>
      </w:pPr>
      <w:r w:rsidRPr="006A2252">
        <w:rPr>
          <w:bCs/>
          <w:sz w:val="20"/>
          <w:szCs w:val="20"/>
        </w:rPr>
        <w:t>5/15/2019</w:t>
      </w:r>
    </w:p>
    <w:sectPr w:rsidR="002C7817" w:rsidRPr="006A2252" w:rsidSect="009677D1">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6F1" w:rsidRDefault="00A266F1">
      <w:r>
        <w:separator/>
      </w:r>
    </w:p>
  </w:endnote>
  <w:endnote w:type="continuationSeparator" w:id="0">
    <w:p w:rsidR="00A266F1" w:rsidRDefault="00A266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BF" w:rsidRDefault="003A54B7" w:rsidP="00775A79">
    <w:pPr>
      <w:pStyle w:val="Footer"/>
      <w:framePr w:wrap="around" w:vAnchor="text" w:hAnchor="margin" w:xAlign="center" w:y="1"/>
      <w:rPr>
        <w:rStyle w:val="PageNumber"/>
      </w:rPr>
    </w:pPr>
    <w:r>
      <w:rPr>
        <w:rStyle w:val="PageNumber"/>
      </w:rPr>
      <w:fldChar w:fldCharType="begin"/>
    </w:r>
    <w:r w:rsidR="00F837BF">
      <w:rPr>
        <w:rStyle w:val="PageNumber"/>
      </w:rPr>
      <w:instrText xml:space="preserve">PAGE  </w:instrText>
    </w:r>
    <w:r>
      <w:rPr>
        <w:rStyle w:val="PageNumber"/>
      </w:rPr>
      <w:fldChar w:fldCharType="end"/>
    </w:r>
  </w:p>
  <w:p w:rsidR="00F837BF" w:rsidRDefault="00F837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BF" w:rsidRPr="00851763" w:rsidRDefault="003A54B7" w:rsidP="00851763">
    <w:pPr>
      <w:jc w:val="center"/>
      <w:rPr>
        <w:sz w:val="20"/>
      </w:rPr>
    </w:pPr>
    <w:r w:rsidRPr="00851763">
      <w:rPr>
        <w:sz w:val="20"/>
      </w:rPr>
      <w:fldChar w:fldCharType="begin"/>
    </w:r>
    <w:r w:rsidR="00851763" w:rsidRPr="00851763">
      <w:rPr>
        <w:sz w:val="20"/>
      </w:rPr>
      <w:instrText xml:space="preserve"> page </w:instrText>
    </w:r>
    <w:r w:rsidRPr="00851763">
      <w:rPr>
        <w:sz w:val="20"/>
      </w:rPr>
      <w:fldChar w:fldCharType="separate"/>
    </w:r>
    <w:r w:rsidR="008E215A">
      <w:rPr>
        <w:noProof/>
        <w:sz w:val="20"/>
      </w:rPr>
      <w:t>14</w:t>
    </w:r>
    <w:r w:rsidRPr="0085176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6F1" w:rsidRDefault="00A266F1">
      <w:r>
        <w:separator/>
      </w:r>
    </w:p>
  </w:footnote>
  <w:footnote w:type="continuationSeparator" w:id="0">
    <w:p w:rsidR="00A266F1" w:rsidRDefault="00A26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63" w:rsidRPr="00851763" w:rsidRDefault="00851763" w:rsidP="00851763">
    <w:pPr>
      <w:pBdr>
        <w:bottom w:val="thinThickMediumGap" w:sz="12" w:space="1" w:color="auto"/>
      </w:pBdr>
      <w:tabs>
        <w:tab w:val="left" w:pos="851"/>
        <w:tab w:val="right" w:pos="8364"/>
      </w:tabs>
      <w:adjustRightInd w:val="0"/>
      <w:snapToGrid w:val="0"/>
      <w:jc w:val="both"/>
      <w:rPr>
        <w:iCs/>
        <w:sz w:val="20"/>
        <w:szCs w:val="20"/>
      </w:rPr>
    </w:pPr>
    <w:r w:rsidRPr="00851763">
      <w:rPr>
        <w:rFonts w:hint="eastAsia"/>
        <w:iCs/>
        <w:color w:val="000000"/>
        <w:sz w:val="20"/>
        <w:szCs w:val="20"/>
      </w:rPr>
      <w:tab/>
    </w:r>
    <w:r w:rsidRPr="00851763">
      <w:rPr>
        <w:iCs/>
        <w:color w:val="000000"/>
        <w:sz w:val="20"/>
        <w:szCs w:val="20"/>
      </w:rPr>
      <w:t xml:space="preserve">Researcher </w:t>
    </w:r>
    <w:r w:rsidRPr="00851763">
      <w:rPr>
        <w:iCs/>
        <w:sz w:val="20"/>
        <w:szCs w:val="20"/>
      </w:rPr>
      <w:t>201</w:t>
    </w:r>
    <w:r w:rsidRPr="00851763">
      <w:rPr>
        <w:rFonts w:hint="eastAsia"/>
        <w:iCs/>
        <w:sz w:val="20"/>
        <w:szCs w:val="20"/>
      </w:rPr>
      <w:t>9</w:t>
    </w:r>
    <w:r w:rsidRPr="00851763">
      <w:rPr>
        <w:iCs/>
        <w:sz w:val="20"/>
        <w:szCs w:val="20"/>
      </w:rPr>
      <w:t>;</w:t>
    </w:r>
    <w:r w:rsidRPr="00851763">
      <w:rPr>
        <w:rFonts w:hint="eastAsia"/>
        <w:iCs/>
        <w:sz w:val="20"/>
        <w:szCs w:val="20"/>
      </w:rPr>
      <w:t>11</w:t>
    </w:r>
    <w:r w:rsidRPr="00851763">
      <w:rPr>
        <w:iCs/>
        <w:sz w:val="20"/>
        <w:szCs w:val="20"/>
      </w:rPr>
      <w:t>(</w:t>
    </w:r>
    <w:r w:rsidRPr="00851763">
      <w:rPr>
        <w:rFonts w:hint="eastAsia"/>
        <w:iCs/>
        <w:sz w:val="20"/>
        <w:szCs w:val="20"/>
      </w:rPr>
      <w:t>5</w:t>
    </w:r>
    <w:r w:rsidRPr="00851763">
      <w:rPr>
        <w:iCs/>
        <w:sz w:val="20"/>
        <w:szCs w:val="20"/>
      </w:rPr>
      <w:t xml:space="preserve">)  </w:t>
    </w:r>
    <w:r w:rsidRPr="00851763">
      <w:rPr>
        <w:rFonts w:hint="eastAsia"/>
        <w:iCs/>
        <w:sz w:val="20"/>
        <w:szCs w:val="20"/>
      </w:rPr>
      <w:t xml:space="preserve"> </w:t>
    </w:r>
    <w:r w:rsidRPr="00851763">
      <w:rPr>
        <w:iCs/>
        <w:sz w:val="20"/>
        <w:szCs w:val="20"/>
      </w:rPr>
      <w:t xml:space="preserve"> </w:t>
    </w:r>
    <w:r w:rsidRPr="00851763">
      <w:rPr>
        <w:rFonts w:hint="eastAsia"/>
        <w:iCs/>
        <w:sz w:val="20"/>
        <w:szCs w:val="20"/>
      </w:rPr>
      <w:tab/>
    </w:r>
    <w:r w:rsidRPr="00851763">
      <w:rPr>
        <w:iCs/>
        <w:sz w:val="20"/>
        <w:szCs w:val="20"/>
      </w:rPr>
      <w:t xml:space="preserve">    </w:t>
    </w:r>
    <w:r w:rsidRPr="00851763">
      <w:rPr>
        <w:sz w:val="20"/>
        <w:szCs w:val="20"/>
      </w:rPr>
      <w:t xml:space="preserve"> </w:t>
    </w:r>
    <w:hyperlink r:id="rId1" w:history="1">
      <w:r w:rsidRPr="00851763">
        <w:rPr>
          <w:rStyle w:val="Hyperlink"/>
          <w:color w:val="0000FF"/>
          <w:sz w:val="20"/>
          <w:szCs w:val="20"/>
        </w:rPr>
        <w:t>http://www.sciencepub.net/researcher</w:t>
      </w:r>
    </w:hyperlink>
  </w:p>
  <w:p w:rsidR="00851763" w:rsidRPr="00851763" w:rsidRDefault="00851763" w:rsidP="0085176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62A86"/>
    <w:multiLevelType w:val="hybridMultilevel"/>
    <w:tmpl w:val="3AA4141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6D0663D"/>
    <w:multiLevelType w:val="hybridMultilevel"/>
    <w:tmpl w:val="F23C9D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AB5777"/>
    <w:rsid w:val="00015432"/>
    <w:rsid w:val="000A7917"/>
    <w:rsid w:val="000D6F00"/>
    <w:rsid w:val="00105277"/>
    <w:rsid w:val="001176ED"/>
    <w:rsid w:val="001409FF"/>
    <w:rsid w:val="00177ACF"/>
    <w:rsid w:val="001A2544"/>
    <w:rsid w:val="001D77C7"/>
    <w:rsid w:val="001F40C9"/>
    <w:rsid w:val="001F6F90"/>
    <w:rsid w:val="002034F8"/>
    <w:rsid w:val="00222EE1"/>
    <w:rsid w:val="002364A3"/>
    <w:rsid w:val="0025493E"/>
    <w:rsid w:val="0025671E"/>
    <w:rsid w:val="00262FC7"/>
    <w:rsid w:val="00274E81"/>
    <w:rsid w:val="0027507E"/>
    <w:rsid w:val="002B7ACB"/>
    <w:rsid w:val="002C7817"/>
    <w:rsid w:val="002D6C75"/>
    <w:rsid w:val="0033029E"/>
    <w:rsid w:val="003674C1"/>
    <w:rsid w:val="00382647"/>
    <w:rsid w:val="003A39DF"/>
    <w:rsid w:val="003A54B7"/>
    <w:rsid w:val="003C2252"/>
    <w:rsid w:val="004053B7"/>
    <w:rsid w:val="00414F5A"/>
    <w:rsid w:val="00444704"/>
    <w:rsid w:val="004470C5"/>
    <w:rsid w:val="00461D2C"/>
    <w:rsid w:val="004678D9"/>
    <w:rsid w:val="004745EC"/>
    <w:rsid w:val="0049342B"/>
    <w:rsid w:val="004C1F7D"/>
    <w:rsid w:val="005123FA"/>
    <w:rsid w:val="00520FCB"/>
    <w:rsid w:val="0054530F"/>
    <w:rsid w:val="005478F2"/>
    <w:rsid w:val="005B2A3D"/>
    <w:rsid w:val="005C7277"/>
    <w:rsid w:val="005E7B42"/>
    <w:rsid w:val="0061491C"/>
    <w:rsid w:val="0068567F"/>
    <w:rsid w:val="00692D91"/>
    <w:rsid w:val="006A2252"/>
    <w:rsid w:val="006E6880"/>
    <w:rsid w:val="006F3924"/>
    <w:rsid w:val="00724092"/>
    <w:rsid w:val="0075026C"/>
    <w:rsid w:val="00761C29"/>
    <w:rsid w:val="00775A79"/>
    <w:rsid w:val="0078292D"/>
    <w:rsid w:val="00793104"/>
    <w:rsid w:val="007B1733"/>
    <w:rsid w:val="007D27CF"/>
    <w:rsid w:val="007D388E"/>
    <w:rsid w:val="007E08D5"/>
    <w:rsid w:val="00843D84"/>
    <w:rsid w:val="008463BA"/>
    <w:rsid w:val="00851763"/>
    <w:rsid w:val="008752D7"/>
    <w:rsid w:val="008921F7"/>
    <w:rsid w:val="008A0746"/>
    <w:rsid w:val="008E215A"/>
    <w:rsid w:val="008F111F"/>
    <w:rsid w:val="008F2CBD"/>
    <w:rsid w:val="009062A8"/>
    <w:rsid w:val="00912B08"/>
    <w:rsid w:val="009235D0"/>
    <w:rsid w:val="009677D1"/>
    <w:rsid w:val="00975319"/>
    <w:rsid w:val="009A17D6"/>
    <w:rsid w:val="009C3B63"/>
    <w:rsid w:val="009D440A"/>
    <w:rsid w:val="009D7587"/>
    <w:rsid w:val="009F5F5F"/>
    <w:rsid w:val="00A05E56"/>
    <w:rsid w:val="00A266F1"/>
    <w:rsid w:val="00A44A7B"/>
    <w:rsid w:val="00A54CD5"/>
    <w:rsid w:val="00A56137"/>
    <w:rsid w:val="00A6438D"/>
    <w:rsid w:val="00A92C47"/>
    <w:rsid w:val="00AB5777"/>
    <w:rsid w:val="00AC7EA8"/>
    <w:rsid w:val="00AD34C1"/>
    <w:rsid w:val="00AD673D"/>
    <w:rsid w:val="00AE73F9"/>
    <w:rsid w:val="00AF54EB"/>
    <w:rsid w:val="00B141E8"/>
    <w:rsid w:val="00B222E0"/>
    <w:rsid w:val="00B247C1"/>
    <w:rsid w:val="00B703D9"/>
    <w:rsid w:val="00B93304"/>
    <w:rsid w:val="00BA260F"/>
    <w:rsid w:val="00BA73FE"/>
    <w:rsid w:val="00BA76FF"/>
    <w:rsid w:val="00BD72C3"/>
    <w:rsid w:val="00BF55FF"/>
    <w:rsid w:val="00C12183"/>
    <w:rsid w:val="00CB1354"/>
    <w:rsid w:val="00CF0FB5"/>
    <w:rsid w:val="00D7401D"/>
    <w:rsid w:val="00D861CA"/>
    <w:rsid w:val="00DA70BD"/>
    <w:rsid w:val="00DD6F5F"/>
    <w:rsid w:val="00DE3589"/>
    <w:rsid w:val="00DE776F"/>
    <w:rsid w:val="00DF219A"/>
    <w:rsid w:val="00E04BAE"/>
    <w:rsid w:val="00E36755"/>
    <w:rsid w:val="00E72D9A"/>
    <w:rsid w:val="00EF01C3"/>
    <w:rsid w:val="00F1689A"/>
    <w:rsid w:val="00F75A37"/>
    <w:rsid w:val="00F837BF"/>
    <w:rsid w:val="00F96F53"/>
    <w:rsid w:val="00FB1750"/>
    <w:rsid w:val="00FE6FB8"/>
    <w:rsid w:val="00FF4C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777"/>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5777"/>
    <w:pPr>
      <w:tabs>
        <w:tab w:val="center" w:pos="4320"/>
        <w:tab w:val="right" w:pos="8640"/>
      </w:tabs>
    </w:pPr>
  </w:style>
  <w:style w:type="character" w:customStyle="1" w:styleId="FooterChar">
    <w:name w:val="Footer Char"/>
    <w:link w:val="Footer"/>
    <w:rsid w:val="00AB5777"/>
    <w:rPr>
      <w:rFonts w:ascii="Times New Roman" w:eastAsia="Times New Roman" w:hAnsi="Times New Roman" w:cs="Times New Roman"/>
      <w:sz w:val="24"/>
      <w:szCs w:val="24"/>
    </w:rPr>
  </w:style>
  <w:style w:type="character" w:styleId="PageNumber">
    <w:name w:val="page number"/>
    <w:basedOn w:val="DefaultParagraphFont"/>
    <w:rsid w:val="00AB5777"/>
  </w:style>
  <w:style w:type="paragraph" w:styleId="ListParagraph">
    <w:name w:val="List Paragraph"/>
    <w:basedOn w:val="Normal"/>
    <w:uiPriority w:val="34"/>
    <w:qFormat/>
    <w:rsid w:val="00F837BF"/>
    <w:pPr>
      <w:ind w:left="720"/>
      <w:contextualSpacing/>
    </w:pPr>
  </w:style>
  <w:style w:type="character" w:styleId="Hyperlink">
    <w:name w:val="Hyperlink"/>
    <w:uiPriority w:val="99"/>
    <w:unhideWhenUsed/>
    <w:rsid w:val="00F837BF"/>
    <w:rPr>
      <w:color w:val="0563C1"/>
      <w:u w:val="single"/>
    </w:rPr>
  </w:style>
  <w:style w:type="paragraph" w:styleId="Header">
    <w:name w:val="header"/>
    <w:basedOn w:val="Normal"/>
    <w:link w:val="HeaderChar"/>
    <w:uiPriority w:val="99"/>
    <w:unhideWhenUsed/>
    <w:rsid w:val="00DE776F"/>
    <w:pPr>
      <w:tabs>
        <w:tab w:val="center" w:pos="4153"/>
        <w:tab w:val="right" w:pos="8306"/>
      </w:tabs>
    </w:pPr>
  </w:style>
  <w:style w:type="character" w:customStyle="1" w:styleId="HeaderChar">
    <w:name w:val="Header Char"/>
    <w:link w:val="Header"/>
    <w:uiPriority w:val="99"/>
    <w:rsid w:val="00DE776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neemkabeel3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10519.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mailto:tasneemkabeel33@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55E7-7542-4F95-9103-529F966E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5585</Words>
  <Characters>31836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37347</CharactersWithSpaces>
  <SharedDoc>false</SharedDoc>
  <HLinks>
    <vt:vector size="120" baseType="variant">
      <vt:variant>
        <vt:i4>1376303</vt:i4>
      </vt:variant>
      <vt:variant>
        <vt:i4>66</vt:i4>
      </vt:variant>
      <vt:variant>
        <vt:i4>0</vt:i4>
      </vt:variant>
      <vt:variant>
        <vt:i4>5</vt:i4>
      </vt:variant>
      <vt:variant>
        <vt:lpwstr>https://www.ncbi.nlm.nih.gov/pubmed/?term=Kudsk%20KA%5BAuthor%5D&amp;cauthor=true&amp;cauthor_uid=24836948</vt:lpwstr>
      </vt:variant>
      <vt:variant>
        <vt:lpwstr/>
      </vt:variant>
      <vt:variant>
        <vt:i4>327723</vt:i4>
      </vt:variant>
      <vt:variant>
        <vt:i4>63</vt:i4>
      </vt:variant>
      <vt:variant>
        <vt:i4>0</vt:i4>
      </vt:variant>
      <vt:variant>
        <vt:i4>5</vt:i4>
      </vt:variant>
      <vt:variant>
        <vt:lpwstr>https://www.ncbi.nlm.nih.gov/pubmed/?term=Busch%20RA%5BAuthor%5D&amp;cauthor=true&amp;cauthor_uid=24836948</vt:lpwstr>
      </vt:variant>
      <vt:variant>
        <vt:lpwstr/>
      </vt:variant>
      <vt:variant>
        <vt:i4>1966197</vt:i4>
      </vt:variant>
      <vt:variant>
        <vt:i4>60</vt:i4>
      </vt:variant>
      <vt:variant>
        <vt:i4>0</vt:i4>
      </vt:variant>
      <vt:variant>
        <vt:i4>5</vt:i4>
      </vt:variant>
      <vt:variant>
        <vt:lpwstr>https://www.ncbi.nlm.nih.gov/pubmed/?term=Heneghan%20AF%5BAuthor%5D&amp;cauthor=true&amp;cauthor_uid=24836948</vt:lpwstr>
      </vt:variant>
      <vt:variant>
        <vt:lpwstr/>
      </vt:variant>
      <vt:variant>
        <vt:i4>7143442</vt:i4>
      </vt:variant>
      <vt:variant>
        <vt:i4>57</vt:i4>
      </vt:variant>
      <vt:variant>
        <vt:i4>0</vt:i4>
      </vt:variant>
      <vt:variant>
        <vt:i4>5</vt:i4>
      </vt:variant>
      <vt:variant>
        <vt:lpwstr>https://www.ncbi.nlm.nih.gov/pubmed/?term=Pierre%20JF%5BAuthor%5D&amp;cauthor=true&amp;cauthor_uid=24836948</vt:lpwstr>
      </vt:variant>
      <vt:variant>
        <vt:lpwstr/>
      </vt:variant>
      <vt:variant>
        <vt:i4>8192024</vt:i4>
      </vt:variant>
      <vt:variant>
        <vt:i4>54</vt:i4>
      </vt:variant>
      <vt:variant>
        <vt:i4>0</vt:i4>
      </vt:variant>
      <vt:variant>
        <vt:i4>5</vt:i4>
      </vt:variant>
      <vt:variant>
        <vt:lpwstr>https://www.ncbi.nlm.nih.gov/pubmed/?term=Maresh%20CM%5BAuthor%5D&amp;cauthor=true&amp;cauthor_uid=19346975</vt:lpwstr>
      </vt:variant>
      <vt:variant>
        <vt:lpwstr/>
      </vt:variant>
      <vt:variant>
        <vt:i4>4522020</vt:i4>
      </vt:variant>
      <vt:variant>
        <vt:i4>51</vt:i4>
      </vt:variant>
      <vt:variant>
        <vt:i4>0</vt:i4>
      </vt:variant>
      <vt:variant>
        <vt:i4>5</vt:i4>
      </vt:variant>
      <vt:variant>
        <vt:lpwstr>https://www.ncbi.nlm.nih.gov/pubmed/?term=H%C3%A4kkinen%20K%5BAuthor%5D&amp;cauthor=true&amp;cauthor_uid=19346975</vt:lpwstr>
      </vt:variant>
      <vt:variant>
        <vt:lpwstr/>
      </vt:variant>
      <vt:variant>
        <vt:i4>5963839</vt:i4>
      </vt:variant>
      <vt:variant>
        <vt:i4>48</vt:i4>
      </vt:variant>
      <vt:variant>
        <vt:i4>0</vt:i4>
      </vt:variant>
      <vt:variant>
        <vt:i4>5</vt:i4>
      </vt:variant>
      <vt:variant>
        <vt:lpwstr>https://www.ncbi.nlm.nih.gov/pubmed/?term=Izquierdo%20M%5BAuthor%5D&amp;cauthor=true&amp;cauthor_uid=19346975</vt:lpwstr>
      </vt:variant>
      <vt:variant>
        <vt:lpwstr/>
      </vt:variant>
      <vt:variant>
        <vt:i4>720944</vt:i4>
      </vt:variant>
      <vt:variant>
        <vt:i4>45</vt:i4>
      </vt:variant>
      <vt:variant>
        <vt:i4>0</vt:i4>
      </vt:variant>
      <vt:variant>
        <vt:i4>5</vt:i4>
      </vt:variant>
      <vt:variant>
        <vt:lpwstr>https://www.ncbi.nlm.nih.gov/pubmed/?term=Quann%20EE%5BAuthor%5D&amp;cauthor=true&amp;cauthor_uid=19346975</vt:lpwstr>
      </vt:variant>
      <vt:variant>
        <vt:lpwstr/>
      </vt:variant>
      <vt:variant>
        <vt:i4>7798792</vt:i4>
      </vt:variant>
      <vt:variant>
        <vt:i4>42</vt:i4>
      </vt:variant>
      <vt:variant>
        <vt:i4>0</vt:i4>
      </vt:variant>
      <vt:variant>
        <vt:i4>5</vt:i4>
      </vt:variant>
      <vt:variant>
        <vt:lpwstr>https://www.ncbi.nlm.nih.gov/pubmed/?term=Ho%20JY%5BAuthor%5D&amp;cauthor=true&amp;cauthor_uid=19346975</vt:lpwstr>
      </vt:variant>
      <vt:variant>
        <vt:lpwstr/>
      </vt:variant>
      <vt:variant>
        <vt:i4>6488066</vt:i4>
      </vt:variant>
      <vt:variant>
        <vt:i4>39</vt:i4>
      </vt:variant>
      <vt:variant>
        <vt:i4>0</vt:i4>
      </vt:variant>
      <vt:variant>
        <vt:i4>5</vt:i4>
      </vt:variant>
      <vt:variant>
        <vt:lpwstr>https://www.ncbi.nlm.nih.gov/pubmed/?term=Thomas%20GA%5BAuthor%5D&amp;cauthor=true&amp;cauthor_uid=19346975</vt:lpwstr>
      </vt:variant>
      <vt:variant>
        <vt:lpwstr/>
      </vt:variant>
      <vt:variant>
        <vt:i4>721022</vt:i4>
      </vt:variant>
      <vt:variant>
        <vt:i4>36</vt:i4>
      </vt:variant>
      <vt:variant>
        <vt:i4>0</vt:i4>
      </vt:variant>
      <vt:variant>
        <vt:i4>5</vt:i4>
      </vt:variant>
      <vt:variant>
        <vt:lpwstr>https://www.ncbi.nlm.nih.gov/pubmed/?term=Spiering%20BA%5BAuthor%5D&amp;cauthor=true&amp;cauthor_uid=19346975</vt:lpwstr>
      </vt:variant>
      <vt:variant>
        <vt:lpwstr/>
      </vt:variant>
      <vt:variant>
        <vt:i4>917612</vt:i4>
      </vt:variant>
      <vt:variant>
        <vt:i4>33</vt:i4>
      </vt:variant>
      <vt:variant>
        <vt:i4>0</vt:i4>
      </vt:variant>
      <vt:variant>
        <vt:i4>5</vt:i4>
      </vt:variant>
      <vt:variant>
        <vt:lpwstr>https://www.ncbi.nlm.nih.gov/pubmed/?term=Anderson%20JM%5BAuthor%5D&amp;cauthor=true&amp;cauthor_uid=19346975</vt:lpwstr>
      </vt:variant>
      <vt:variant>
        <vt:lpwstr/>
      </vt:variant>
      <vt:variant>
        <vt:i4>7471173</vt:i4>
      </vt:variant>
      <vt:variant>
        <vt:i4>30</vt:i4>
      </vt:variant>
      <vt:variant>
        <vt:i4>0</vt:i4>
      </vt:variant>
      <vt:variant>
        <vt:i4>5</vt:i4>
      </vt:variant>
      <vt:variant>
        <vt:lpwstr>https://www.ncbi.nlm.nih.gov/pubmed/?term=Vingren%20JL%5BAuthor%5D&amp;cauthor=true&amp;cauthor_uid=19346975</vt:lpwstr>
      </vt:variant>
      <vt:variant>
        <vt:lpwstr/>
      </vt:variant>
      <vt:variant>
        <vt:i4>8323137</vt:i4>
      </vt:variant>
      <vt:variant>
        <vt:i4>27</vt:i4>
      </vt:variant>
      <vt:variant>
        <vt:i4>0</vt:i4>
      </vt:variant>
      <vt:variant>
        <vt:i4>5</vt:i4>
      </vt:variant>
      <vt:variant>
        <vt:lpwstr>https://www.ncbi.nlm.nih.gov/pubmed/?term=Fragala%20MS%5BAuthor%5D&amp;cauthor=true&amp;cauthor_uid=19346975</vt:lpwstr>
      </vt:variant>
      <vt:variant>
        <vt:lpwstr/>
      </vt:variant>
      <vt:variant>
        <vt:i4>786480</vt:i4>
      </vt:variant>
      <vt:variant>
        <vt:i4>24</vt:i4>
      </vt:variant>
      <vt:variant>
        <vt:i4>0</vt:i4>
      </vt:variant>
      <vt:variant>
        <vt:i4>5</vt:i4>
      </vt:variant>
      <vt:variant>
        <vt:lpwstr>https://www.ncbi.nlm.nih.gov/pubmed/?term=Volek%20JS%5BAuthor%5D&amp;cauthor=true&amp;cauthor_uid=19346975</vt:lpwstr>
      </vt:variant>
      <vt:variant>
        <vt:lpwstr/>
      </vt:variant>
      <vt:variant>
        <vt:i4>1048684</vt:i4>
      </vt:variant>
      <vt:variant>
        <vt:i4>21</vt:i4>
      </vt:variant>
      <vt:variant>
        <vt:i4>0</vt:i4>
      </vt:variant>
      <vt:variant>
        <vt:i4>5</vt:i4>
      </vt:variant>
      <vt:variant>
        <vt:lpwstr>https://www.ncbi.nlm.nih.gov/pubmed/?term=Hatfield%20DL%5BAuthor%5D&amp;cauthor=true&amp;cauthor_uid=19346975</vt:lpwstr>
      </vt:variant>
      <vt:variant>
        <vt:lpwstr/>
      </vt:variant>
      <vt:variant>
        <vt:i4>5374074</vt:i4>
      </vt:variant>
      <vt:variant>
        <vt:i4>18</vt:i4>
      </vt:variant>
      <vt:variant>
        <vt:i4>0</vt:i4>
      </vt:variant>
      <vt:variant>
        <vt:i4>5</vt:i4>
      </vt:variant>
      <vt:variant>
        <vt:lpwstr>mailto:tasneemkabeel33@gmail.com</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5374074</vt:i4>
      </vt:variant>
      <vt:variant>
        <vt:i4>0</vt:i4>
      </vt:variant>
      <vt:variant>
        <vt:i4>0</vt:i4>
      </vt:variant>
      <vt:variant>
        <vt:i4>5</vt:i4>
      </vt:variant>
      <vt:variant>
        <vt:lpwstr>mailto:tasneemkabeel33@gmail.com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mona</dc:creator>
  <cp:lastModifiedBy>Administrator</cp:lastModifiedBy>
  <cp:revision>4</cp:revision>
  <cp:lastPrinted>2019-05-16T15:09:00Z</cp:lastPrinted>
  <dcterms:created xsi:type="dcterms:W3CDTF">2019-05-17T13:13:00Z</dcterms:created>
  <dcterms:modified xsi:type="dcterms:W3CDTF">2019-05-18T03:23:00Z</dcterms:modified>
</cp:coreProperties>
</file>