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78" w:rsidRPr="00C9559D" w:rsidRDefault="00414D55" w:rsidP="00E616B2">
      <w:pPr>
        <w:snapToGrid w:val="0"/>
        <w:jc w:val="center"/>
        <w:rPr>
          <w:b/>
          <w:bCs/>
          <w:sz w:val="20"/>
          <w:szCs w:val="20"/>
        </w:rPr>
      </w:pPr>
      <w:r w:rsidRPr="00C9559D">
        <w:rPr>
          <w:b/>
          <w:bCs/>
          <w:sz w:val="20"/>
          <w:szCs w:val="20"/>
        </w:rPr>
        <w:t xml:space="preserve">The Role of CT-Scan Guided </w:t>
      </w:r>
      <w:proofErr w:type="spellStart"/>
      <w:r w:rsidRPr="00C9559D">
        <w:rPr>
          <w:b/>
          <w:bCs/>
          <w:sz w:val="20"/>
          <w:szCs w:val="20"/>
        </w:rPr>
        <w:t>T</w:t>
      </w:r>
      <w:r w:rsidR="00BC7F1F" w:rsidRPr="00C9559D">
        <w:rPr>
          <w:b/>
          <w:bCs/>
          <w:sz w:val="20"/>
          <w:szCs w:val="20"/>
        </w:rPr>
        <w:t>r</w:t>
      </w:r>
      <w:r w:rsidRPr="00C9559D">
        <w:rPr>
          <w:b/>
          <w:bCs/>
          <w:sz w:val="20"/>
          <w:szCs w:val="20"/>
        </w:rPr>
        <w:t>ansforaminal</w:t>
      </w:r>
      <w:proofErr w:type="spellEnd"/>
      <w:r w:rsidRPr="00C9559D">
        <w:rPr>
          <w:b/>
          <w:bCs/>
          <w:sz w:val="20"/>
          <w:szCs w:val="20"/>
        </w:rPr>
        <w:t xml:space="preserve"> Epidural Steroid Injection </w:t>
      </w:r>
      <w:r w:rsidR="00EA0D94" w:rsidRPr="00C9559D">
        <w:rPr>
          <w:b/>
          <w:bCs/>
          <w:sz w:val="20"/>
          <w:szCs w:val="20"/>
        </w:rPr>
        <w:t>in Lumbar</w:t>
      </w:r>
      <w:r w:rsidRPr="00C9559D">
        <w:rPr>
          <w:b/>
          <w:bCs/>
          <w:sz w:val="20"/>
          <w:szCs w:val="20"/>
        </w:rPr>
        <w:t xml:space="preserve"> </w:t>
      </w:r>
      <w:proofErr w:type="spellStart"/>
      <w:r w:rsidRPr="00C9559D">
        <w:rPr>
          <w:b/>
          <w:bCs/>
          <w:sz w:val="20"/>
          <w:szCs w:val="20"/>
        </w:rPr>
        <w:t>Radiculopathy</w:t>
      </w:r>
      <w:proofErr w:type="spellEnd"/>
    </w:p>
    <w:p w:rsidR="00D51578" w:rsidRPr="00C9559D" w:rsidRDefault="00D51578" w:rsidP="00E616B2">
      <w:pPr>
        <w:snapToGrid w:val="0"/>
        <w:jc w:val="center"/>
        <w:rPr>
          <w:b/>
          <w:bCs/>
          <w:sz w:val="20"/>
          <w:szCs w:val="20"/>
        </w:rPr>
      </w:pPr>
    </w:p>
    <w:p w:rsidR="00D51578" w:rsidRPr="00C9559D" w:rsidRDefault="00414D55" w:rsidP="00E616B2">
      <w:pPr>
        <w:snapToGrid w:val="0"/>
        <w:jc w:val="center"/>
        <w:rPr>
          <w:sz w:val="20"/>
          <w:szCs w:val="20"/>
          <w:vertAlign w:val="superscript"/>
          <w:lang w:eastAsia="zh-CN"/>
        </w:rPr>
      </w:pPr>
      <w:r w:rsidRPr="00C9559D">
        <w:rPr>
          <w:sz w:val="20"/>
          <w:szCs w:val="20"/>
        </w:rPr>
        <w:t xml:space="preserve">Prof. Dr. </w:t>
      </w:r>
      <w:proofErr w:type="spellStart"/>
      <w:r w:rsidRPr="00C9559D">
        <w:rPr>
          <w:sz w:val="20"/>
          <w:szCs w:val="20"/>
        </w:rPr>
        <w:t>Henaz</w:t>
      </w:r>
      <w:proofErr w:type="spellEnd"/>
      <w:r w:rsidRPr="00C9559D">
        <w:rPr>
          <w:sz w:val="20"/>
          <w:szCs w:val="20"/>
        </w:rPr>
        <w:t xml:space="preserve"> Farouk </w:t>
      </w:r>
      <w:proofErr w:type="spellStart"/>
      <w:r w:rsidRPr="00C9559D">
        <w:rPr>
          <w:sz w:val="20"/>
          <w:szCs w:val="20"/>
        </w:rPr>
        <w:t>Khaled</w:t>
      </w:r>
      <w:proofErr w:type="spellEnd"/>
      <w:r w:rsidRPr="00C9559D">
        <w:rPr>
          <w:sz w:val="20"/>
          <w:szCs w:val="20"/>
        </w:rPr>
        <w:t xml:space="preserve"> </w:t>
      </w:r>
      <w:r w:rsidRPr="00C9559D">
        <w:rPr>
          <w:sz w:val="20"/>
          <w:szCs w:val="20"/>
          <w:vertAlign w:val="superscript"/>
        </w:rPr>
        <w:t>1</w:t>
      </w:r>
      <w:r w:rsidRPr="00C9559D">
        <w:rPr>
          <w:sz w:val="20"/>
          <w:szCs w:val="20"/>
        </w:rPr>
        <w:t xml:space="preserve">, Prof. Dr. </w:t>
      </w:r>
      <w:proofErr w:type="spellStart"/>
      <w:r w:rsidRPr="00C9559D">
        <w:rPr>
          <w:sz w:val="20"/>
          <w:szCs w:val="20"/>
        </w:rPr>
        <w:t>Hasham</w:t>
      </w:r>
      <w:proofErr w:type="spellEnd"/>
      <w:r w:rsidRPr="00C9559D">
        <w:rPr>
          <w:sz w:val="20"/>
          <w:szCs w:val="20"/>
        </w:rPr>
        <w:t xml:space="preserve"> </w:t>
      </w:r>
      <w:proofErr w:type="spellStart"/>
      <w:r w:rsidRPr="00C9559D">
        <w:rPr>
          <w:sz w:val="20"/>
          <w:szCs w:val="20"/>
        </w:rPr>
        <w:t>Mahmoud</w:t>
      </w:r>
      <w:proofErr w:type="spellEnd"/>
      <w:r w:rsidRPr="00C9559D">
        <w:rPr>
          <w:sz w:val="20"/>
          <w:szCs w:val="20"/>
        </w:rPr>
        <w:t xml:space="preserve"> Ahmed</w:t>
      </w:r>
      <w:r w:rsidRPr="00C9559D">
        <w:rPr>
          <w:sz w:val="20"/>
          <w:szCs w:val="20"/>
          <w:vertAlign w:val="superscript"/>
        </w:rPr>
        <w:t xml:space="preserve"> 2</w:t>
      </w:r>
      <w:r w:rsidR="00EA0D94" w:rsidRPr="00C9559D">
        <w:rPr>
          <w:sz w:val="20"/>
          <w:szCs w:val="20"/>
        </w:rPr>
        <w:t>,</w:t>
      </w:r>
      <w:r w:rsidR="00D51578" w:rsidRPr="00C9559D">
        <w:rPr>
          <w:sz w:val="20"/>
          <w:szCs w:val="20"/>
        </w:rPr>
        <w:t xml:space="preserve"> </w:t>
      </w:r>
      <w:r w:rsidRPr="00C9559D">
        <w:rPr>
          <w:sz w:val="20"/>
          <w:szCs w:val="20"/>
        </w:rPr>
        <w:t xml:space="preserve">Ass. Prof. Dr. </w:t>
      </w:r>
      <w:proofErr w:type="spellStart"/>
      <w:r w:rsidRPr="00C9559D">
        <w:rPr>
          <w:sz w:val="20"/>
          <w:szCs w:val="20"/>
        </w:rPr>
        <w:t>Eman</w:t>
      </w:r>
      <w:proofErr w:type="spellEnd"/>
      <w:r w:rsidRPr="00C9559D">
        <w:rPr>
          <w:sz w:val="20"/>
          <w:szCs w:val="20"/>
        </w:rPr>
        <w:t xml:space="preserve"> Ahmed </w:t>
      </w:r>
      <w:proofErr w:type="spellStart"/>
      <w:r w:rsidRPr="00C9559D">
        <w:rPr>
          <w:sz w:val="20"/>
          <w:szCs w:val="20"/>
        </w:rPr>
        <w:t>Tawfik</w:t>
      </w:r>
      <w:proofErr w:type="spellEnd"/>
      <w:r w:rsidRPr="00C9559D">
        <w:rPr>
          <w:sz w:val="20"/>
          <w:szCs w:val="20"/>
        </w:rPr>
        <w:t xml:space="preserve"> </w:t>
      </w:r>
      <w:r w:rsidRPr="00C9559D">
        <w:rPr>
          <w:sz w:val="20"/>
          <w:szCs w:val="20"/>
          <w:vertAlign w:val="superscript"/>
        </w:rPr>
        <w:t>1</w:t>
      </w:r>
      <w:r w:rsidRPr="00C9559D">
        <w:rPr>
          <w:sz w:val="20"/>
          <w:szCs w:val="20"/>
        </w:rPr>
        <w:t xml:space="preserve">, </w:t>
      </w:r>
      <w:proofErr w:type="spellStart"/>
      <w:r w:rsidRPr="00C9559D">
        <w:rPr>
          <w:sz w:val="20"/>
          <w:szCs w:val="20"/>
        </w:rPr>
        <w:t>Hajed</w:t>
      </w:r>
      <w:proofErr w:type="spellEnd"/>
      <w:r w:rsidRPr="00C9559D">
        <w:rPr>
          <w:sz w:val="20"/>
          <w:szCs w:val="20"/>
        </w:rPr>
        <w:t xml:space="preserve"> Hani </w:t>
      </w:r>
      <w:proofErr w:type="spellStart"/>
      <w:r w:rsidRPr="00C9559D">
        <w:rPr>
          <w:sz w:val="20"/>
          <w:szCs w:val="20"/>
        </w:rPr>
        <w:t>Muhamed</w:t>
      </w:r>
      <w:proofErr w:type="spellEnd"/>
      <w:r w:rsidRPr="00C9559D">
        <w:rPr>
          <w:sz w:val="20"/>
          <w:szCs w:val="20"/>
        </w:rPr>
        <w:t xml:space="preserve"> </w:t>
      </w:r>
      <w:proofErr w:type="spellStart"/>
      <w:r w:rsidRPr="00C9559D">
        <w:rPr>
          <w:sz w:val="20"/>
          <w:szCs w:val="20"/>
        </w:rPr>
        <w:t>Antabli</w:t>
      </w:r>
      <w:proofErr w:type="spellEnd"/>
      <w:r w:rsidRPr="00C9559D">
        <w:rPr>
          <w:sz w:val="20"/>
          <w:szCs w:val="20"/>
        </w:rPr>
        <w:t xml:space="preserve"> </w:t>
      </w:r>
      <w:r w:rsidRPr="00C9559D">
        <w:rPr>
          <w:sz w:val="20"/>
          <w:szCs w:val="20"/>
          <w:vertAlign w:val="superscript"/>
        </w:rPr>
        <w:t>1</w:t>
      </w:r>
    </w:p>
    <w:p w:rsidR="00D51578" w:rsidRPr="00C9559D" w:rsidRDefault="00D51578" w:rsidP="00E616B2">
      <w:pPr>
        <w:snapToGrid w:val="0"/>
        <w:jc w:val="center"/>
        <w:rPr>
          <w:sz w:val="20"/>
          <w:szCs w:val="20"/>
          <w:vertAlign w:val="superscript"/>
          <w:lang w:eastAsia="zh-CN"/>
        </w:rPr>
      </w:pPr>
    </w:p>
    <w:p w:rsidR="00EA0D94" w:rsidRPr="00C9559D" w:rsidRDefault="00414D55" w:rsidP="00E616B2">
      <w:pPr>
        <w:snapToGrid w:val="0"/>
        <w:jc w:val="center"/>
        <w:rPr>
          <w:sz w:val="20"/>
          <w:szCs w:val="20"/>
          <w:vertAlign w:val="superscript"/>
        </w:rPr>
      </w:pPr>
      <w:r w:rsidRPr="00C9559D">
        <w:rPr>
          <w:sz w:val="20"/>
          <w:szCs w:val="20"/>
          <w:vertAlign w:val="superscript"/>
        </w:rPr>
        <w:t>1</w:t>
      </w:r>
      <w:r w:rsidRPr="00C9559D">
        <w:rPr>
          <w:sz w:val="20"/>
          <w:szCs w:val="20"/>
        </w:rPr>
        <w:t xml:space="preserve"> Physical Medicine, Rheumatology and Rehabilitation, </w:t>
      </w:r>
      <w:r w:rsidR="00EA0D94" w:rsidRPr="00C9559D">
        <w:rPr>
          <w:sz w:val="20"/>
          <w:szCs w:val="20"/>
        </w:rPr>
        <w:t xml:space="preserve">Faculty of Medicine, </w:t>
      </w:r>
      <w:proofErr w:type="spellStart"/>
      <w:r w:rsidR="00EA0D94" w:rsidRPr="00C9559D">
        <w:rPr>
          <w:sz w:val="20"/>
          <w:szCs w:val="20"/>
        </w:rPr>
        <w:t>Ain</w:t>
      </w:r>
      <w:proofErr w:type="spellEnd"/>
      <w:r w:rsidR="00EA0D94" w:rsidRPr="00C9559D">
        <w:rPr>
          <w:sz w:val="20"/>
          <w:szCs w:val="20"/>
        </w:rPr>
        <w:t xml:space="preserve"> Shams University,</w:t>
      </w:r>
      <w:r w:rsidR="00D51578" w:rsidRPr="00C9559D">
        <w:rPr>
          <w:sz w:val="20"/>
          <w:szCs w:val="20"/>
        </w:rPr>
        <w:t xml:space="preserve"> </w:t>
      </w:r>
      <w:r w:rsidR="00EA0D94" w:rsidRPr="00C9559D">
        <w:rPr>
          <w:sz w:val="20"/>
          <w:szCs w:val="20"/>
        </w:rPr>
        <w:t>Egypt</w:t>
      </w:r>
    </w:p>
    <w:p w:rsidR="00EA0D94" w:rsidRPr="00C9559D" w:rsidRDefault="00414D55" w:rsidP="00E616B2">
      <w:pPr>
        <w:snapToGrid w:val="0"/>
        <w:jc w:val="center"/>
        <w:rPr>
          <w:sz w:val="20"/>
          <w:szCs w:val="20"/>
          <w:vertAlign w:val="superscript"/>
        </w:rPr>
      </w:pPr>
      <w:r w:rsidRPr="00C9559D">
        <w:rPr>
          <w:sz w:val="20"/>
          <w:szCs w:val="20"/>
          <w:vertAlign w:val="superscript"/>
        </w:rPr>
        <w:t>2</w:t>
      </w:r>
      <w:r w:rsidRPr="00C9559D">
        <w:rPr>
          <w:sz w:val="20"/>
          <w:szCs w:val="20"/>
        </w:rPr>
        <w:t xml:space="preserve"> Radiology Department, Faculty of Medicine, </w:t>
      </w:r>
      <w:proofErr w:type="spellStart"/>
      <w:r w:rsidRPr="00C9559D">
        <w:rPr>
          <w:sz w:val="20"/>
          <w:szCs w:val="20"/>
        </w:rPr>
        <w:t>Ain</w:t>
      </w:r>
      <w:proofErr w:type="spellEnd"/>
      <w:r w:rsidRPr="00C9559D">
        <w:rPr>
          <w:sz w:val="20"/>
          <w:szCs w:val="20"/>
        </w:rPr>
        <w:t xml:space="preserve"> Shams University</w:t>
      </w:r>
      <w:r w:rsidR="00EA0D94" w:rsidRPr="00C9559D">
        <w:rPr>
          <w:sz w:val="20"/>
          <w:szCs w:val="20"/>
        </w:rPr>
        <w:t>, Egypt</w:t>
      </w:r>
    </w:p>
    <w:p w:rsidR="00D51578" w:rsidRPr="00C9559D" w:rsidRDefault="00FA4FCE" w:rsidP="00E616B2">
      <w:pPr>
        <w:snapToGrid w:val="0"/>
        <w:jc w:val="center"/>
        <w:rPr>
          <w:sz w:val="20"/>
          <w:szCs w:val="20"/>
        </w:rPr>
      </w:pPr>
      <w:hyperlink r:id="rId7" w:history="1">
        <w:r w:rsidR="00BD7F25" w:rsidRPr="00C9559D">
          <w:rPr>
            <w:rStyle w:val="Hyperlink"/>
            <w:sz w:val="20"/>
            <w:szCs w:val="20"/>
          </w:rPr>
          <w:t>hajedalantably@gmail.com</w:t>
        </w:r>
      </w:hyperlink>
      <w:r w:rsidR="00BD7F25" w:rsidRPr="00C9559D">
        <w:rPr>
          <w:sz w:val="20"/>
          <w:szCs w:val="20"/>
        </w:rPr>
        <w:t xml:space="preserve"> </w:t>
      </w:r>
    </w:p>
    <w:p w:rsidR="00D51578" w:rsidRPr="00C9559D" w:rsidRDefault="00D51578" w:rsidP="00E616B2">
      <w:pPr>
        <w:snapToGrid w:val="0"/>
        <w:jc w:val="center"/>
        <w:rPr>
          <w:sz w:val="20"/>
          <w:szCs w:val="20"/>
        </w:rPr>
      </w:pPr>
    </w:p>
    <w:p w:rsidR="00414D55" w:rsidRPr="00C9559D" w:rsidRDefault="00EA0D94" w:rsidP="00E616B2">
      <w:pPr>
        <w:snapToGrid w:val="0"/>
        <w:jc w:val="both"/>
        <w:rPr>
          <w:sz w:val="20"/>
          <w:szCs w:val="20"/>
        </w:rPr>
      </w:pPr>
      <w:r w:rsidRPr="00C9559D">
        <w:rPr>
          <w:b/>
          <w:bCs/>
          <w:sz w:val="20"/>
          <w:szCs w:val="20"/>
        </w:rPr>
        <w:t xml:space="preserve">Abstract: </w:t>
      </w:r>
      <w:r w:rsidR="00414D55" w:rsidRPr="00C9559D">
        <w:rPr>
          <w:b/>
          <w:bCs/>
          <w:sz w:val="20"/>
          <w:szCs w:val="20"/>
        </w:rPr>
        <w:t>Background:</w:t>
      </w:r>
      <w:r w:rsidR="00CB2CC9" w:rsidRPr="00C9559D">
        <w:rPr>
          <w:b/>
          <w:bCs/>
          <w:sz w:val="20"/>
          <w:szCs w:val="20"/>
          <w:lang w:bidi="ar-EG"/>
        </w:rPr>
        <w:t xml:space="preserve"> </w:t>
      </w:r>
      <w:r w:rsidR="00CB2CC9" w:rsidRPr="00C9559D">
        <w:rPr>
          <w:sz w:val="20"/>
          <w:szCs w:val="20"/>
        </w:rPr>
        <w:t xml:space="preserve">Lumbar </w:t>
      </w:r>
      <w:proofErr w:type="spellStart"/>
      <w:r w:rsidR="00CB2CC9" w:rsidRPr="00C9559D">
        <w:rPr>
          <w:sz w:val="20"/>
          <w:szCs w:val="20"/>
        </w:rPr>
        <w:t>radiculopathy</w:t>
      </w:r>
      <w:proofErr w:type="spellEnd"/>
      <w:r w:rsidR="00CB2CC9" w:rsidRPr="00C9559D">
        <w:rPr>
          <w:sz w:val="20"/>
          <w:szCs w:val="20"/>
        </w:rPr>
        <w:t xml:space="preserve"> is a common clinical condition. An epidemiological review noted lifetime prevalence estimates ranging from 12.2% to 43% and annual prevalence ranging from 2.2% to 34%.</w:t>
      </w:r>
      <w:r w:rsidR="00CB2CC9" w:rsidRPr="00C9559D">
        <w:rPr>
          <w:sz w:val="20"/>
          <w:szCs w:val="20"/>
          <w:vertAlign w:val="superscript"/>
        </w:rPr>
        <w:t xml:space="preserve"> </w:t>
      </w:r>
      <w:r w:rsidR="00CB2CC9" w:rsidRPr="00C9559D">
        <w:rPr>
          <w:sz w:val="20"/>
          <w:szCs w:val="20"/>
        </w:rPr>
        <w:t xml:space="preserve">Although the natural history is generally favorable, patients with </w:t>
      </w:r>
      <w:proofErr w:type="spellStart"/>
      <w:r w:rsidR="00CB2CC9" w:rsidRPr="00C9559D">
        <w:rPr>
          <w:sz w:val="20"/>
          <w:szCs w:val="20"/>
        </w:rPr>
        <w:t>radicular</w:t>
      </w:r>
      <w:proofErr w:type="spellEnd"/>
      <w:r w:rsidR="00CB2CC9" w:rsidRPr="00C9559D">
        <w:rPr>
          <w:sz w:val="20"/>
          <w:szCs w:val="20"/>
        </w:rPr>
        <w:t xml:space="preserve"> pain tend to have poorer outcomes, consume more health care resources, and have greater disability than patients with purely axial back pain. </w:t>
      </w:r>
      <w:r w:rsidR="00414D55" w:rsidRPr="00C9559D">
        <w:rPr>
          <w:b/>
          <w:bCs/>
          <w:sz w:val="20"/>
          <w:szCs w:val="20"/>
        </w:rPr>
        <w:t>Objectives:</w:t>
      </w:r>
      <w:r w:rsidR="00F275D5" w:rsidRPr="00C9559D">
        <w:rPr>
          <w:b/>
          <w:bCs/>
          <w:sz w:val="20"/>
          <w:szCs w:val="20"/>
          <w:lang w:bidi="ar-EG"/>
        </w:rPr>
        <w:t xml:space="preserve"> </w:t>
      </w:r>
      <w:r w:rsidR="00F275D5" w:rsidRPr="00C9559D">
        <w:rPr>
          <w:sz w:val="20"/>
          <w:szCs w:val="20"/>
        </w:rPr>
        <w:t xml:space="preserve">The objective of this study was to assess the immediate and short-term effects of </w:t>
      </w:r>
      <w:proofErr w:type="spellStart"/>
      <w:r w:rsidR="00F275D5" w:rsidRPr="00C9559D">
        <w:rPr>
          <w:sz w:val="20"/>
          <w:szCs w:val="20"/>
        </w:rPr>
        <w:t>transforaminal</w:t>
      </w:r>
      <w:proofErr w:type="spellEnd"/>
      <w:r w:rsidR="00F275D5" w:rsidRPr="00C9559D">
        <w:rPr>
          <w:sz w:val="20"/>
          <w:szCs w:val="20"/>
        </w:rPr>
        <w:t xml:space="preserve"> epidural steroid injections in patients with </w:t>
      </w:r>
      <w:proofErr w:type="spellStart"/>
      <w:r w:rsidR="00F275D5" w:rsidRPr="00C9559D">
        <w:rPr>
          <w:sz w:val="20"/>
          <w:szCs w:val="20"/>
        </w:rPr>
        <w:t>lumbosacral</w:t>
      </w:r>
      <w:proofErr w:type="spellEnd"/>
      <w:r w:rsidR="00F275D5" w:rsidRPr="00C9559D">
        <w:rPr>
          <w:sz w:val="20"/>
          <w:szCs w:val="20"/>
        </w:rPr>
        <w:t xml:space="preserve"> </w:t>
      </w:r>
      <w:proofErr w:type="spellStart"/>
      <w:r w:rsidR="00F275D5" w:rsidRPr="00C9559D">
        <w:rPr>
          <w:sz w:val="20"/>
          <w:szCs w:val="20"/>
        </w:rPr>
        <w:t>radiculopathy</w:t>
      </w:r>
      <w:proofErr w:type="spellEnd"/>
      <w:r w:rsidR="00F275D5" w:rsidRPr="00C9559D">
        <w:rPr>
          <w:sz w:val="20"/>
          <w:szCs w:val="20"/>
        </w:rPr>
        <w:t>.</w:t>
      </w:r>
      <w:r w:rsidRPr="00C9559D">
        <w:rPr>
          <w:b/>
          <w:bCs/>
          <w:sz w:val="20"/>
          <w:szCs w:val="20"/>
        </w:rPr>
        <w:t xml:space="preserve"> </w:t>
      </w:r>
      <w:r w:rsidR="00414D55" w:rsidRPr="00C9559D">
        <w:rPr>
          <w:b/>
          <w:bCs/>
          <w:sz w:val="20"/>
          <w:szCs w:val="20"/>
        </w:rPr>
        <w:t>Patients and Methods:</w:t>
      </w:r>
      <w:r w:rsidR="007B216D" w:rsidRPr="00C9559D">
        <w:rPr>
          <w:b/>
          <w:bCs/>
          <w:sz w:val="20"/>
          <w:szCs w:val="20"/>
        </w:rPr>
        <w:t xml:space="preserve"> </w:t>
      </w:r>
      <w:r w:rsidR="007B216D" w:rsidRPr="00C9559D">
        <w:rPr>
          <w:sz w:val="20"/>
          <w:szCs w:val="20"/>
        </w:rPr>
        <w:t xml:space="preserve">This study was conducted on 30 patients with </w:t>
      </w:r>
      <w:proofErr w:type="spellStart"/>
      <w:r w:rsidR="007B216D" w:rsidRPr="00C9559D">
        <w:rPr>
          <w:sz w:val="20"/>
          <w:szCs w:val="20"/>
        </w:rPr>
        <w:t>lumbosacral</w:t>
      </w:r>
      <w:proofErr w:type="spellEnd"/>
      <w:r w:rsidR="007B216D" w:rsidRPr="00C9559D">
        <w:rPr>
          <w:sz w:val="20"/>
          <w:szCs w:val="20"/>
        </w:rPr>
        <w:t xml:space="preserve"> </w:t>
      </w:r>
      <w:proofErr w:type="spellStart"/>
      <w:r w:rsidR="007B216D" w:rsidRPr="00C9559D">
        <w:rPr>
          <w:sz w:val="20"/>
          <w:szCs w:val="20"/>
        </w:rPr>
        <w:t>radiculopathy</w:t>
      </w:r>
      <w:proofErr w:type="spellEnd"/>
      <w:r w:rsidR="007B216D" w:rsidRPr="00C9559D">
        <w:rPr>
          <w:sz w:val="20"/>
          <w:szCs w:val="20"/>
        </w:rPr>
        <w:t xml:space="preserve">. All patients were subjected to </w:t>
      </w:r>
      <w:proofErr w:type="spellStart"/>
      <w:r w:rsidR="007B216D" w:rsidRPr="00C9559D">
        <w:rPr>
          <w:sz w:val="20"/>
          <w:szCs w:val="20"/>
        </w:rPr>
        <w:t>transforaminal</w:t>
      </w:r>
      <w:proofErr w:type="spellEnd"/>
      <w:r w:rsidR="007B216D" w:rsidRPr="00C9559D">
        <w:rPr>
          <w:sz w:val="20"/>
          <w:szCs w:val="20"/>
        </w:rPr>
        <w:t xml:space="preserve"> epidural steroid injection and were followed up for 3 months. They were assessed clinically and functionally pre-injection and twice post-injection (1 and half month and 3-month post-injection).</w:t>
      </w:r>
      <w:r w:rsidRPr="00C9559D">
        <w:rPr>
          <w:b/>
          <w:bCs/>
          <w:sz w:val="20"/>
          <w:szCs w:val="20"/>
        </w:rPr>
        <w:t xml:space="preserve"> </w:t>
      </w:r>
      <w:r w:rsidR="00414D55" w:rsidRPr="00C9559D">
        <w:rPr>
          <w:b/>
          <w:bCs/>
          <w:sz w:val="20"/>
          <w:szCs w:val="20"/>
        </w:rPr>
        <w:t>Results:</w:t>
      </w:r>
      <w:r w:rsidR="007B216D" w:rsidRPr="00C9559D">
        <w:rPr>
          <w:bCs/>
          <w:sz w:val="20"/>
          <w:szCs w:val="20"/>
          <w:lang w:val="en-GB"/>
        </w:rPr>
        <w:t xml:space="preserve"> A </w:t>
      </w:r>
      <w:r w:rsidR="007B216D" w:rsidRPr="00C9559D">
        <w:rPr>
          <w:bCs/>
          <w:sz w:val="20"/>
          <w:szCs w:val="20"/>
        </w:rPr>
        <w:t>statistically</w:t>
      </w:r>
      <w:r w:rsidR="007B216D" w:rsidRPr="00C9559D">
        <w:rPr>
          <w:sz w:val="20"/>
          <w:szCs w:val="20"/>
        </w:rPr>
        <w:t xml:space="preserve"> significant difference regarding </w:t>
      </w:r>
      <w:r w:rsidR="007B216D" w:rsidRPr="00C9559D">
        <w:rPr>
          <w:bCs/>
          <w:iCs/>
          <w:sz w:val="20"/>
          <w:szCs w:val="20"/>
        </w:rPr>
        <w:t xml:space="preserve">femoral nerve stretch test </w:t>
      </w:r>
      <w:r w:rsidR="007B216D" w:rsidRPr="00C9559D">
        <w:rPr>
          <w:b/>
          <w:bCs/>
          <w:sz w:val="20"/>
          <w:szCs w:val="20"/>
        </w:rPr>
        <w:t xml:space="preserve">(p-value &lt;0.05) </w:t>
      </w:r>
      <w:r w:rsidR="007B216D" w:rsidRPr="00C9559D">
        <w:rPr>
          <w:sz w:val="20"/>
          <w:szCs w:val="20"/>
        </w:rPr>
        <w:t>and highly statistically significant difference regarding central LBP, SIJ pain, tingling</w:t>
      </w:r>
      <w:r w:rsidR="00D51578" w:rsidRPr="00C9559D">
        <w:rPr>
          <w:sz w:val="20"/>
          <w:szCs w:val="20"/>
        </w:rPr>
        <w:t xml:space="preserve"> &amp; </w:t>
      </w:r>
      <w:r w:rsidR="007B216D" w:rsidRPr="00C9559D">
        <w:rPr>
          <w:sz w:val="20"/>
          <w:szCs w:val="20"/>
        </w:rPr>
        <w:t>numbness; SLR; and CSLR between 1</w:t>
      </w:r>
      <w:r w:rsidR="007B216D" w:rsidRPr="00C9559D">
        <w:rPr>
          <w:sz w:val="20"/>
          <w:szCs w:val="20"/>
          <w:vertAlign w:val="superscript"/>
        </w:rPr>
        <w:t>st</w:t>
      </w:r>
      <w:r w:rsidR="007B216D" w:rsidRPr="00C9559D">
        <w:rPr>
          <w:sz w:val="20"/>
          <w:szCs w:val="20"/>
        </w:rPr>
        <w:t xml:space="preserve"> visit post-injection and pre-injection visit </w:t>
      </w:r>
      <w:r w:rsidR="007B216D" w:rsidRPr="00C9559D">
        <w:rPr>
          <w:b/>
          <w:bCs/>
          <w:sz w:val="20"/>
          <w:szCs w:val="20"/>
        </w:rPr>
        <w:t xml:space="preserve">(p-value &lt;0.01), </w:t>
      </w:r>
      <w:r w:rsidR="007B216D" w:rsidRPr="00C9559D">
        <w:rPr>
          <w:sz w:val="20"/>
          <w:szCs w:val="20"/>
        </w:rPr>
        <w:t xml:space="preserve">while there was no statistically significant difference regarding SIJ. </w:t>
      </w:r>
      <w:r w:rsidR="007B216D" w:rsidRPr="00C9559D">
        <w:rPr>
          <w:bCs/>
          <w:sz w:val="20"/>
          <w:szCs w:val="20"/>
        </w:rPr>
        <w:t>Statistically significant difference regarding sacroiliac pain (p-value &lt;0.05) and highly statistically significant difference regarding central LBP, tingling</w:t>
      </w:r>
      <w:r w:rsidR="00D51578" w:rsidRPr="00C9559D">
        <w:rPr>
          <w:bCs/>
          <w:sz w:val="20"/>
          <w:szCs w:val="20"/>
        </w:rPr>
        <w:t xml:space="preserve"> &amp; </w:t>
      </w:r>
      <w:r w:rsidR="007B216D" w:rsidRPr="00C9559D">
        <w:rPr>
          <w:bCs/>
          <w:sz w:val="20"/>
          <w:szCs w:val="20"/>
        </w:rPr>
        <w:t>numbness; SLR; and CSLR between 2</w:t>
      </w:r>
      <w:r w:rsidR="007B216D" w:rsidRPr="00C9559D">
        <w:rPr>
          <w:bCs/>
          <w:sz w:val="20"/>
          <w:szCs w:val="20"/>
          <w:vertAlign w:val="superscript"/>
        </w:rPr>
        <w:t>nd</w:t>
      </w:r>
      <w:r w:rsidR="007B216D" w:rsidRPr="00C9559D">
        <w:rPr>
          <w:bCs/>
          <w:sz w:val="20"/>
          <w:szCs w:val="20"/>
        </w:rPr>
        <w:t xml:space="preserve"> visit post-injection and pre-injection visit (p-value &lt;0.01), while there was no statistically significant difference as regards femoral nerve stretch test and SIJ test.</w:t>
      </w:r>
      <w:r w:rsidRPr="00C9559D">
        <w:rPr>
          <w:b/>
          <w:bCs/>
          <w:sz w:val="20"/>
          <w:szCs w:val="20"/>
        </w:rPr>
        <w:t xml:space="preserve"> </w:t>
      </w:r>
      <w:r w:rsidR="00414D55" w:rsidRPr="00C9559D">
        <w:rPr>
          <w:b/>
          <w:bCs/>
          <w:sz w:val="20"/>
          <w:szCs w:val="20"/>
        </w:rPr>
        <w:t>Conclusion:</w:t>
      </w:r>
      <w:r w:rsidR="00996925" w:rsidRPr="00C9559D">
        <w:rPr>
          <w:b/>
          <w:bCs/>
          <w:sz w:val="20"/>
          <w:szCs w:val="20"/>
        </w:rPr>
        <w:t xml:space="preserve"> </w:t>
      </w:r>
      <w:r w:rsidR="00996925" w:rsidRPr="00C9559D">
        <w:rPr>
          <w:sz w:val="20"/>
          <w:szCs w:val="20"/>
        </w:rPr>
        <w:t>Steroid injection treatment resulted in significant improvement of pain intensity and reduction in functional impairment after one month of treatment and after a three month follow up from baseline. Steroid injection had the highest functional improvement that was significantly associated with pain control, especially in patients with shorter disease duration.</w:t>
      </w:r>
    </w:p>
    <w:p w:rsidR="00E616B2" w:rsidRPr="00C9559D" w:rsidRDefault="00EA0D94" w:rsidP="00E616B2">
      <w:pPr>
        <w:snapToGrid w:val="0"/>
        <w:contextualSpacing/>
        <w:jc w:val="both"/>
        <w:rPr>
          <w:b/>
          <w:bCs/>
          <w:sz w:val="20"/>
          <w:szCs w:val="20"/>
        </w:rPr>
      </w:pPr>
      <w:r w:rsidRPr="00C9559D">
        <w:rPr>
          <w:sz w:val="20"/>
          <w:szCs w:val="20"/>
        </w:rPr>
        <w:t>[</w:t>
      </w:r>
      <w:proofErr w:type="spellStart"/>
      <w:r w:rsidRPr="00C9559D">
        <w:rPr>
          <w:sz w:val="20"/>
          <w:szCs w:val="20"/>
        </w:rPr>
        <w:t>Henaz</w:t>
      </w:r>
      <w:proofErr w:type="spellEnd"/>
      <w:r w:rsidRPr="00C9559D">
        <w:rPr>
          <w:sz w:val="20"/>
          <w:szCs w:val="20"/>
        </w:rPr>
        <w:t xml:space="preserve"> Farouk </w:t>
      </w:r>
      <w:proofErr w:type="spellStart"/>
      <w:r w:rsidRPr="00C9559D">
        <w:rPr>
          <w:sz w:val="20"/>
          <w:szCs w:val="20"/>
        </w:rPr>
        <w:t>Khaled</w:t>
      </w:r>
      <w:proofErr w:type="spellEnd"/>
      <w:r w:rsidR="00D51578" w:rsidRPr="00C9559D">
        <w:rPr>
          <w:sz w:val="20"/>
          <w:szCs w:val="20"/>
        </w:rPr>
        <w:t>,</w:t>
      </w:r>
      <w:r w:rsidRPr="00C9559D">
        <w:rPr>
          <w:sz w:val="20"/>
          <w:szCs w:val="20"/>
        </w:rPr>
        <w:t xml:space="preserve"> </w:t>
      </w:r>
      <w:proofErr w:type="spellStart"/>
      <w:r w:rsidRPr="00C9559D">
        <w:rPr>
          <w:sz w:val="20"/>
          <w:szCs w:val="20"/>
        </w:rPr>
        <w:t>Hasham</w:t>
      </w:r>
      <w:proofErr w:type="spellEnd"/>
      <w:r w:rsidRPr="00C9559D">
        <w:rPr>
          <w:sz w:val="20"/>
          <w:szCs w:val="20"/>
        </w:rPr>
        <w:t xml:space="preserve"> </w:t>
      </w:r>
      <w:proofErr w:type="spellStart"/>
      <w:r w:rsidRPr="00C9559D">
        <w:rPr>
          <w:sz w:val="20"/>
          <w:szCs w:val="20"/>
        </w:rPr>
        <w:t>Mahmoud</w:t>
      </w:r>
      <w:proofErr w:type="spellEnd"/>
      <w:r w:rsidRPr="00C9559D">
        <w:rPr>
          <w:sz w:val="20"/>
          <w:szCs w:val="20"/>
        </w:rPr>
        <w:t xml:space="preserve"> Ahmed</w:t>
      </w:r>
      <w:r w:rsidR="00D51578" w:rsidRPr="00C9559D">
        <w:rPr>
          <w:sz w:val="20"/>
          <w:szCs w:val="20"/>
        </w:rPr>
        <w:t xml:space="preserve">, </w:t>
      </w:r>
      <w:proofErr w:type="spellStart"/>
      <w:r w:rsidRPr="00C9559D">
        <w:rPr>
          <w:sz w:val="20"/>
          <w:szCs w:val="20"/>
        </w:rPr>
        <w:t>Eman</w:t>
      </w:r>
      <w:proofErr w:type="spellEnd"/>
      <w:r w:rsidRPr="00C9559D">
        <w:rPr>
          <w:sz w:val="20"/>
          <w:szCs w:val="20"/>
        </w:rPr>
        <w:t xml:space="preserve"> Ahmed </w:t>
      </w:r>
      <w:proofErr w:type="spellStart"/>
      <w:r w:rsidRPr="00C9559D">
        <w:rPr>
          <w:sz w:val="20"/>
          <w:szCs w:val="20"/>
        </w:rPr>
        <w:t>Tawfik</w:t>
      </w:r>
      <w:proofErr w:type="spellEnd"/>
      <w:r w:rsidRPr="00C9559D">
        <w:rPr>
          <w:sz w:val="20"/>
          <w:szCs w:val="20"/>
        </w:rPr>
        <w:t xml:space="preserve">, </w:t>
      </w:r>
      <w:proofErr w:type="spellStart"/>
      <w:r w:rsidRPr="00C9559D">
        <w:rPr>
          <w:sz w:val="20"/>
          <w:szCs w:val="20"/>
        </w:rPr>
        <w:t>Hajed</w:t>
      </w:r>
      <w:proofErr w:type="spellEnd"/>
      <w:r w:rsidRPr="00C9559D">
        <w:rPr>
          <w:sz w:val="20"/>
          <w:szCs w:val="20"/>
        </w:rPr>
        <w:t xml:space="preserve"> Hani </w:t>
      </w:r>
      <w:proofErr w:type="spellStart"/>
      <w:r w:rsidRPr="00C9559D">
        <w:rPr>
          <w:sz w:val="20"/>
          <w:szCs w:val="20"/>
        </w:rPr>
        <w:t>Muhamed</w:t>
      </w:r>
      <w:proofErr w:type="spellEnd"/>
      <w:r w:rsidRPr="00C9559D">
        <w:rPr>
          <w:sz w:val="20"/>
          <w:szCs w:val="20"/>
        </w:rPr>
        <w:t xml:space="preserve"> </w:t>
      </w:r>
      <w:proofErr w:type="spellStart"/>
      <w:r w:rsidRPr="00C9559D">
        <w:rPr>
          <w:sz w:val="20"/>
          <w:szCs w:val="20"/>
        </w:rPr>
        <w:t>Antabli</w:t>
      </w:r>
      <w:proofErr w:type="spellEnd"/>
      <w:r w:rsidR="00E616B2" w:rsidRPr="00C9559D">
        <w:rPr>
          <w:sz w:val="20"/>
          <w:szCs w:val="20"/>
        </w:rPr>
        <w:t>.</w:t>
      </w:r>
      <w:r w:rsidR="00E616B2" w:rsidRPr="00C9559D">
        <w:rPr>
          <w:rFonts w:hint="eastAsia"/>
          <w:b/>
          <w:bCs/>
          <w:sz w:val="20"/>
          <w:szCs w:val="20"/>
          <w:lang w:bidi="fa-IR"/>
        </w:rPr>
        <w:t xml:space="preserve"> </w:t>
      </w:r>
      <w:r w:rsidR="00E616B2" w:rsidRPr="00C9559D">
        <w:rPr>
          <w:b/>
          <w:bCs/>
          <w:sz w:val="20"/>
          <w:szCs w:val="20"/>
        </w:rPr>
        <w:t xml:space="preserve">The Role of CT-Scan Guided </w:t>
      </w:r>
      <w:proofErr w:type="spellStart"/>
      <w:r w:rsidR="00E616B2" w:rsidRPr="00C9559D">
        <w:rPr>
          <w:b/>
          <w:bCs/>
          <w:sz w:val="20"/>
          <w:szCs w:val="20"/>
        </w:rPr>
        <w:t>Transforaminal</w:t>
      </w:r>
      <w:proofErr w:type="spellEnd"/>
      <w:r w:rsidR="00E616B2" w:rsidRPr="00C9559D">
        <w:rPr>
          <w:b/>
          <w:bCs/>
          <w:sz w:val="20"/>
          <w:szCs w:val="20"/>
        </w:rPr>
        <w:t xml:space="preserve"> Epidural Steroid Injection in Lumbar </w:t>
      </w:r>
      <w:proofErr w:type="spellStart"/>
      <w:r w:rsidR="00E616B2" w:rsidRPr="00C9559D">
        <w:rPr>
          <w:b/>
          <w:bCs/>
          <w:sz w:val="20"/>
          <w:szCs w:val="20"/>
        </w:rPr>
        <w:t>Radiculopathy</w:t>
      </w:r>
      <w:proofErr w:type="spellEnd"/>
      <w:r w:rsidR="00E616B2" w:rsidRPr="00C9559D">
        <w:rPr>
          <w:rFonts w:eastAsia="Times New Roman"/>
          <w:b/>
          <w:bCs/>
          <w:sz w:val="20"/>
          <w:szCs w:val="20"/>
          <w:lang w:bidi="fa-IR"/>
        </w:rPr>
        <w:t>.</w:t>
      </w:r>
      <w:r w:rsidR="00E616B2" w:rsidRPr="00C9559D">
        <w:rPr>
          <w:bCs/>
          <w:i/>
          <w:sz w:val="20"/>
          <w:szCs w:val="20"/>
        </w:rPr>
        <w:t xml:space="preserve"> Researcher</w:t>
      </w:r>
      <w:r w:rsidR="00E616B2" w:rsidRPr="00C9559D">
        <w:rPr>
          <w:bCs/>
          <w:sz w:val="20"/>
          <w:szCs w:val="20"/>
        </w:rPr>
        <w:t xml:space="preserve"> 201</w:t>
      </w:r>
      <w:r w:rsidR="00E616B2" w:rsidRPr="00C9559D">
        <w:rPr>
          <w:rFonts w:hint="eastAsia"/>
          <w:bCs/>
          <w:sz w:val="20"/>
          <w:szCs w:val="20"/>
        </w:rPr>
        <w:t>9</w:t>
      </w:r>
      <w:r w:rsidR="00E616B2" w:rsidRPr="00C9559D">
        <w:rPr>
          <w:bCs/>
          <w:sz w:val="20"/>
          <w:szCs w:val="20"/>
        </w:rPr>
        <w:t>;</w:t>
      </w:r>
      <w:r w:rsidR="00E616B2" w:rsidRPr="00C9559D">
        <w:rPr>
          <w:rFonts w:hint="eastAsia"/>
          <w:bCs/>
          <w:sz w:val="20"/>
          <w:szCs w:val="20"/>
        </w:rPr>
        <w:t>11</w:t>
      </w:r>
      <w:r w:rsidR="00E616B2" w:rsidRPr="00C9559D">
        <w:rPr>
          <w:bCs/>
          <w:sz w:val="20"/>
          <w:szCs w:val="20"/>
        </w:rPr>
        <w:t>(</w:t>
      </w:r>
      <w:r w:rsidR="00E616B2" w:rsidRPr="00C9559D">
        <w:rPr>
          <w:rFonts w:hint="eastAsia"/>
          <w:bCs/>
          <w:sz w:val="20"/>
          <w:szCs w:val="20"/>
        </w:rPr>
        <w:t>7</w:t>
      </w:r>
      <w:r w:rsidR="00E616B2" w:rsidRPr="00C9559D">
        <w:rPr>
          <w:bCs/>
          <w:sz w:val="20"/>
          <w:szCs w:val="20"/>
        </w:rPr>
        <w:t>):</w:t>
      </w:r>
      <w:r w:rsidR="004D52F3" w:rsidRPr="00C9559D">
        <w:rPr>
          <w:noProof/>
          <w:color w:val="000000"/>
          <w:sz w:val="20"/>
          <w:szCs w:val="20"/>
        </w:rPr>
        <w:t>41-50</w:t>
      </w:r>
      <w:r w:rsidR="00E616B2" w:rsidRPr="00C9559D">
        <w:rPr>
          <w:bCs/>
          <w:sz w:val="20"/>
          <w:szCs w:val="20"/>
        </w:rPr>
        <w:t xml:space="preserve">]. </w:t>
      </w:r>
      <w:r w:rsidR="00E616B2" w:rsidRPr="00C9559D">
        <w:rPr>
          <w:sz w:val="20"/>
          <w:szCs w:val="20"/>
        </w:rPr>
        <w:t>ISSN 1553-9865 (print); ISSN 2163-8950 (online)</w:t>
      </w:r>
      <w:r w:rsidR="00E616B2" w:rsidRPr="00C9559D">
        <w:rPr>
          <w:bCs/>
          <w:sz w:val="20"/>
          <w:szCs w:val="20"/>
        </w:rPr>
        <w:t xml:space="preserve">. </w:t>
      </w:r>
      <w:hyperlink r:id="rId8" w:history="1">
        <w:r w:rsidR="00E616B2" w:rsidRPr="00C9559D">
          <w:rPr>
            <w:rStyle w:val="Hyperlink"/>
            <w:sz w:val="20"/>
            <w:szCs w:val="20"/>
          </w:rPr>
          <w:t>http://www.sciencepub.net/researcher</w:t>
        </w:r>
      </w:hyperlink>
      <w:r w:rsidR="00E616B2" w:rsidRPr="00C9559D">
        <w:rPr>
          <w:bCs/>
          <w:sz w:val="20"/>
          <w:szCs w:val="20"/>
        </w:rPr>
        <w:t>.</w:t>
      </w:r>
      <w:r w:rsidR="00E616B2" w:rsidRPr="00C9559D">
        <w:rPr>
          <w:rFonts w:hint="eastAsia"/>
          <w:bCs/>
          <w:sz w:val="20"/>
          <w:szCs w:val="20"/>
        </w:rPr>
        <w:t xml:space="preserve"> </w:t>
      </w:r>
      <w:r w:rsidR="00E616B2" w:rsidRPr="00C9559D">
        <w:rPr>
          <w:rFonts w:hint="eastAsia"/>
          <w:bCs/>
          <w:sz w:val="20"/>
          <w:szCs w:val="20"/>
          <w:lang w:eastAsia="zh-CN"/>
        </w:rPr>
        <w:t>4</w:t>
      </w:r>
      <w:r w:rsidR="00E616B2" w:rsidRPr="00C9559D">
        <w:rPr>
          <w:rFonts w:hint="eastAsia"/>
          <w:bCs/>
          <w:sz w:val="20"/>
          <w:szCs w:val="20"/>
        </w:rPr>
        <w:t xml:space="preserve">. </w:t>
      </w:r>
      <w:r w:rsidR="00E616B2" w:rsidRPr="00C9559D">
        <w:rPr>
          <w:color w:val="000000"/>
          <w:sz w:val="20"/>
          <w:szCs w:val="20"/>
          <w:shd w:val="clear" w:color="auto" w:fill="FFFFFF"/>
        </w:rPr>
        <w:t>doi:</w:t>
      </w:r>
      <w:hyperlink r:id="rId9" w:history="1">
        <w:r w:rsidR="00E616B2" w:rsidRPr="00C9559D">
          <w:rPr>
            <w:rStyle w:val="Hyperlink"/>
            <w:sz w:val="20"/>
            <w:szCs w:val="20"/>
            <w:shd w:val="clear" w:color="auto" w:fill="FFFFFF"/>
          </w:rPr>
          <w:t>10.7537/mars</w:t>
        </w:r>
        <w:r w:rsidR="00E616B2" w:rsidRPr="00C9559D">
          <w:rPr>
            <w:rStyle w:val="Hyperlink"/>
            <w:rFonts w:hint="eastAsia"/>
            <w:sz w:val="20"/>
            <w:szCs w:val="20"/>
            <w:shd w:val="clear" w:color="auto" w:fill="FFFFFF"/>
          </w:rPr>
          <w:t>r</w:t>
        </w:r>
        <w:r w:rsidR="00E616B2" w:rsidRPr="00C9559D">
          <w:rPr>
            <w:rStyle w:val="Hyperlink"/>
            <w:sz w:val="20"/>
            <w:szCs w:val="20"/>
            <w:shd w:val="clear" w:color="auto" w:fill="FFFFFF"/>
          </w:rPr>
          <w:t>sj</w:t>
        </w:r>
        <w:r w:rsidR="00E616B2" w:rsidRPr="00C9559D">
          <w:rPr>
            <w:rStyle w:val="Hyperlink"/>
            <w:rFonts w:hint="eastAsia"/>
            <w:sz w:val="20"/>
            <w:szCs w:val="20"/>
            <w:shd w:val="clear" w:color="auto" w:fill="FFFFFF"/>
          </w:rPr>
          <w:t>110719.</w:t>
        </w:r>
        <w:r w:rsidR="00E616B2" w:rsidRPr="00C9559D">
          <w:rPr>
            <w:rStyle w:val="Hyperlink"/>
            <w:sz w:val="20"/>
            <w:szCs w:val="20"/>
            <w:shd w:val="clear" w:color="auto" w:fill="FFFFFF"/>
          </w:rPr>
          <w:t>0</w:t>
        </w:r>
        <w:r w:rsidR="00E616B2" w:rsidRPr="00C9559D">
          <w:rPr>
            <w:rStyle w:val="Hyperlink"/>
            <w:rFonts w:hint="eastAsia"/>
            <w:sz w:val="20"/>
            <w:szCs w:val="20"/>
            <w:shd w:val="clear" w:color="auto" w:fill="FFFFFF"/>
            <w:lang w:eastAsia="zh-CN"/>
          </w:rPr>
          <w:t>4</w:t>
        </w:r>
      </w:hyperlink>
      <w:r w:rsidR="00E616B2" w:rsidRPr="00C9559D">
        <w:rPr>
          <w:color w:val="000000"/>
          <w:sz w:val="20"/>
          <w:szCs w:val="20"/>
          <w:shd w:val="clear" w:color="auto" w:fill="FFFFFF"/>
        </w:rPr>
        <w:t>.</w:t>
      </w:r>
    </w:p>
    <w:p w:rsidR="00EA0D94" w:rsidRPr="00C9559D" w:rsidRDefault="00EA0D94" w:rsidP="00E616B2">
      <w:pPr>
        <w:snapToGrid w:val="0"/>
        <w:jc w:val="both"/>
        <w:rPr>
          <w:sz w:val="20"/>
          <w:szCs w:val="20"/>
        </w:rPr>
      </w:pPr>
    </w:p>
    <w:p w:rsidR="00414D55" w:rsidRPr="00C9559D" w:rsidRDefault="00414D55" w:rsidP="00E616B2">
      <w:pPr>
        <w:snapToGrid w:val="0"/>
        <w:jc w:val="both"/>
        <w:rPr>
          <w:sz w:val="20"/>
          <w:szCs w:val="20"/>
        </w:rPr>
      </w:pPr>
      <w:r w:rsidRPr="00C9559D">
        <w:rPr>
          <w:b/>
          <w:bCs/>
          <w:sz w:val="20"/>
          <w:szCs w:val="20"/>
        </w:rPr>
        <w:t>Keywords:</w:t>
      </w:r>
      <w:r w:rsidR="00BC7F1F" w:rsidRPr="00C9559D">
        <w:rPr>
          <w:b/>
          <w:bCs/>
          <w:sz w:val="20"/>
          <w:szCs w:val="20"/>
        </w:rPr>
        <w:t xml:space="preserve"> </w:t>
      </w:r>
      <w:r w:rsidR="00BC7F1F" w:rsidRPr="00C9559D">
        <w:rPr>
          <w:sz w:val="20"/>
          <w:szCs w:val="20"/>
        </w:rPr>
        <w:t xml:space="preserve">CT-Scan Guided, </w:t>
      </w:r>
      <w:proofErr w:type="spellStart"/>
      <w:r w:rsidR="00BC7F1F" w:rsidRPr="00C9559D">
        <w:rPr>
          <w:sz w:val="20"/>
          <w:szCs w:val="20"/>
        </w:rPr>
        <w:t>Transforaminal</w:t>
      </w:r>
      <w:proofErr w:type="spellEnd"/>
      <w:r w:rsidR="00BC7F1F" w:rsidRPr="00C9559D">
        <w:rPr>
          <w:sz w:val="20"/>
          <w:szCs w:val="20"/>
        </w:rPr>
        <w:t xml:space="preserve"> Epidural Steroid Injection, Lumbar </w:t>
      </w:r>
      <w:proofErr w:type="spellStart"/>
      <w:r w:rsidR="00BC7F1F" w:rsidRPr="00C9559D">
        <w:rPr>
          <w:sz w:val="20"/>
          <w:szCs w:val="20"/>
        </w:rPr>
        <w:t>Radiculopathy</w:t>
      </w:r>
      <w:proofErr w:type="spellEnd"/>
    </w:p>
    <w:p w:rsidR="00EA0D94" w:rsidRDefault="00EA0D94" w:rsidP="00E616B2">
      <w:pPr>
        <w:snapToGrid w:val="0"/>
        <w:jc w:val="both"/>
        <w:rPr>
          <w:rFonts w:hint="eastAsia"/>
          <w:b/>
          <w:bCs/>
          <w:sz w:val="20"/>
          <w:szCs w:val="20"/>
          <w:lang w:eastAsia="zh-CN"/>
        </w:rPr>
      </w:pPr>
    </w:p>
    <w:p w:rsidR="00C9559D" w:rsidRPr="00C9559D" w:rsidRDefault="00C9559D" w:rsidP="00E616B2">
      <w:pPr>
        <w:snapToGrid w:val="0"/>
        <w:jc w:val="both"/>
        <w:rPr>
          <w:rFonts w:hint="eastAsia"/>
          <w:b/>
          <w:bCs/>
          <w:sz w:val="20"/>
          <w:szCs w:val="20"/>
          <w:lang w:eastAsia="zh-CN"/>
        </w:rPr>
      </w:pPr>
    </w:p>
    <w:p w:rsidR="00E616B2" w:rsidRPr="00C9559D" w:rsidRDefault="00E616B2" w:rsidP="00E616B2">
      <w:pPr>
        <w:snapToGrid w:val="0"/>
        <w:jc w:val="both"/>
        <w:rPr>
          <w:b/>
          <w:bCs/>
          <w:sz w:val="20"/>
          <w:szCs w:val="20"/>
        </w:rPr>
        <w:sectPr w:rsidR="00E616B2" w:rsidRPr="00C9559D" w:rsidSect="004D52F3">
          <w:headerReference w:type="default" r:id="rId10"/>
          <w:footerReference w:type="even" r:id="rId11"/>
          <w:footerReference w:type="default" r:id="rId12"/>
          <w:type w:val="continuous"/>
          <w:pgSz w:w="12240" w:h="15840" w:code="9"/>
          <w:pgMar w:top="1440" w:right="1440" w:bottom="1440" w:left="1440" w:header="720" w:footer="720" w:gutter="0"/>
          <w:pgNumType w:start="41"/>
          <w:cols w:space="720"/>
          <w:docGrid w:linePitch="360"/>
        </w:sectPr>
      </w:pPr>
    </w:p>
    <w:p w:rsidR="007344C3" w:rsidRPr="00C9559D" w:rsidRDefault="00EA0D94" w:rsidP="00E616B2">
      <w:pPr>
        <w:snapToGrid w:val="0"/>
        <w:jc w:val="both"/>
        <w:rPr>
          <w:b/>
          <w:bCs/>
          <w:sz w:val="20"/>
          <w:szCs w:val="20"/>
        </w:rPr>
      </w:pPr>
      <w:r w:rsidRPr="00C9559D">
        <w:rPr>
          <w:b/>
          <w:bCs/>
          <w:sz w:val="20"/>
          <w:szCs w:val="20"/>
        </w:rPr>
        <w:lastRenderedPageBreak/>
        <w:t>1. Introduction</w:t>
      </w:r>
    </w:p>
    <w:p w:rsidR="007344C3" w:rsidRPr="00C9559D" w:rsidRDefault="007344C3" w:rsidP="00E616B2">
      <w:pPr>
        <w:snapToGrid w:val="0"/>
        <w:ind w:firstLine="425"/>
        <w:jc w:val="both"/>
        <w:rPr>
          <w:sz w:val="20"/>
          <w:szCs w:val="20"/>
          <w:vertAlign w:val="superscript"/>
        </w:rPr>
      </w:pPr>
      <w:r w:rsidRPr="00C9559D">
        <w:rPr>
          <w:sz w:val="20"/>
          <w:szCs w:val="20"/>
        </w:rPr>
        <w:t xml:space="preserve">Lumbar </w:t>
      </w:r>
      <w:proofErr w:type="spellStart"/>
      <w:r w:rsidRPr="00C9559D">
        <w:rPr>
          <w:sz w:val="20"/>
          <w:szCs w:val="20"/>
        </w:rPr>
        <w:t>radiculopathy</w:t>
      </w:r>
      <w:proofErr w:type="spellEnd"/>
      <w:r w:rsidRPr="00C9559D">
        <w:rPr>
          <w:sz w:val="20"/>
          <w:szCs w:val="20"/>
        </w:rPr>
        <w:t xml:space="preserve"> is a common clinical condition. An epidemiological review noted lifetime prevalence estimates ranging from 12.2% to 43% and annual prevalence ranging from 2.2% to 34% </w:t>
      </w:r>
      <w:r w:rsidRPr="00C9559D">
        <w:rPr>
          <w:b/>
          <w:bCs/>
          <w:i/>
          <w:iCs/>
          <w:sz w:val="20"/>
          <w:szCs w:val="20"/>
        </w:rPr>
        <w:t>(</w:t>
      </w:r>
      <w:proofErr w:type="spellStart"/>
      <w:r w:rsidRPr="00C9559D">
        <w:rPr>
          <w:b/>
          <w:bCs/>
          <w:i/>
          <w:iCs/>
          <w:sz w:val="20"/>
          <w:szCs w:val="20"/>
        </w:rPr>
        <w:t>Konstantinou</w:t>
      </w:r>
      <w:proofErr w:type="spellEnd"/>
      <w:r w:rsidRPr="00C9559D">
        <w:rPr>
          <w:b/>
          <w:bCs/>
          <w:i/>
          <w:iCs/>
          <w:sz w:val="20"/>
          <w:szCs w:val="20"/>
        </w:rPr>
        <w:t xml:space="preserve"> and Dunn, 2008)</w:t>
      </w:r>
      <w:r w:rsidRPr="00C9559D">
        <w:rPr>
          <w:sz w:val="20"/>
          <w:szCs w:val="20"/>
        </w:rPr>
        <w:t>.</w:t>
      </w:r>
      <w:r w:rsidRPr="00C9559D">
        <w:rPr>
          <w:sz w:val="20"/>
          <w:szCs w:val="20"/>
          <w:vertAlign w:val="superscript"/>
        </w:rPr>
        <w:t xml:space="preserve"> </w:t>
      </w:r>
      <w:r w:rsidRPr="00C9559D">
        <w:rPr>
          <w:sz w:val="20"/>
          <w:szCs w:val="20"/>
        </w:rPr>
        <w:t xml:space="preserve">Although the natural history is generally favorable, patients with </w:t>
      </w:r>
      <w:proofErr w:type="spellStart"/>
      <w:r w:rsidRPr="00C9559D">
        <w:rPr>
          <w:sz w:val="20"/>
          <w:szCs w:val="20"/>
        </w:rPr>
        <w:t>radicular</w:t>
      </w:r>
      <w:proofErr w:type="spellEnd"/>
      <w:r w:rsidRPr="00C9559D">
        <w:rPr>
          <w:sz w:val="20"/>
          <w:szCs w:val="20"/>
        </w:rPr>
        <w:t xml:space="preserve"> pain tend to have poorer outcomes, consume more health care resources, and have greater disability than patients with purely axial back pain </w:t>
      </w:r>
      <w:r w:rsidRPr="00C9559D">
        <w:rPr>
          <w:b/>
          <w:bCs/>
          <w:i/>
          <w:iCs/>
          <w:sz w:val="20"/>
          <w:szCs w:val="20"/>
        </w:rPr>
        <w:t>(Kaufmann et al., 2013)</w:t>
      </w:r>
      <w:r w:rsidRPr="00C9559D">
        <w:rPr>
          <w:sz w:val="20"/>
          <w:szCs w:val="20"/>
        </w:rPr>
        <w:t xml:space="preserve">. The </w:t>
      </w:r>
      <w:proofErr w:type="spellStart"/>
      <w:r w:rsidRPr="00C9559D">
        <w:rPr>
          <w:sz w:val="20"/>
          <w:szCs w:val="20"/>
        </w:rPr>
        <w:t>pathophysiology</w:t>
      </w:r>
      <w:proofErr w:type="spellEnd"/>
      <w:r w:rsidRPr="00C9559D">
        <w:rPr>
          <w:sz w:val="20"/>
          <w:szCs w:val="20"/>
        </w:rPr>
        <w:t xml:space="preserve"> of </w:t>
      </w:r>
      <w:proofErr w:type="spellStart"/>
      <w:r w:rsidRPr="00C9559D">
        <w:rPr>
          <w:sz w:val="20"/>
          <w:szCs w:val="20"/>
        </w:rPr>
        <w:t>radicular</w:t>
      </w:r>
      <w:proofErr w:type="spellEnd"/>
      <w:r w:rsidRPr="00C9559D">
        <w:rPr>
          <w:sz w:val="20"/>
          <w:szCs w:val="20"/>
        </w:rPr>
        <w:t xml:space="preserve"> pain likely involves both mechanical nerve compression and an inflammatory response, mediated by inflammatory cytokines </w:t>
      </w:r>
      <w:r w:rsidRPr="00C9559D">
        <w:rPr>
          <w:b/>
          <w:bCs/>
          <w:i/>
          <w:iCs/>
          <w:sz w:val="20"/>
          <w:szCs w:val="20"/>
        </w:rPr>
        <w:t>(</w:t>
      </w:r>
      <w:proofErr w:type="spellStart"/>
      <w:r w:rsidRPr="00C9559D">
        <w:rPr>
          <w:b/>
          <w:bCs/>
          <w:i/>
          <w:iCs/>
          <w:sz w:val="20"/>
          <w:szCs w:val="20"/>
        </w:rPr>
        <w:t>Mulleman</w:t>
      </w:r>
      <w:proofErr w:type="spellEnd"/>
      <w:r w:rsidRPr="00C9559D">
        <w:rPr>
          <w:b/>
          <w:bCs/>
          <w:i/>
          <w:iCs/>
          <w:sz w:val="20"/>
          <w:szCs w:val="20"/>
        </w:rPr>
        <w:t xml:space="preserve"> et al., 2006)</w:t>
      </w:r>
      <w:r w:rsidRPr="00C9559D">
        <w:rPr>
          <w:sz w:val="20"/>
          <w:szCs w:val="20"/>
        </w:rPr>
        <w:t>.</w:t>
      </w:r>
    </w:p>
    <w:p w:rsidR="007344C3" w:rsidRPr="00C9559D" w:rsidRDefault="007344C3" w:rsidP="00E616B2">
      <w:pPr>
        <w:snapToGrid w:val="0"/>
        <w:ind w:firstLine="425"/>
        <w:jc w:val="both"/>
        <w:rPr>
          <w:bCs/>
          <w:sz w:val="20"/>
          <w:szCs w:val="20"/>
        </w:rPr>
      </w:pPr>
      <w:r w:rsidRPr="00C9559D">
        <w:rPr>
          <w:bCs/>
          <w:sz w:val="20"/>
          <w:szCs w:val="20"/>
        </w:rPr>
        <w:t xml:space="preserve">Epidural injection of medications for management of low back pain and lower extremity pain was introduced in 1901 by </w:t>
      </w:r>
      <w:proofErr w:type="spellStart"/>
      <w:r w:rsidRPr="00C9559D">
        <w:rPr>
          <w:b/>
          <w:bCs/>
          <w:i/>
          <w:iCs/>
          <w:sz w:val="20"/>
          <w:szCs w:val="20"/>
        </w:rPr>
        <w:t>Cathelin</w:t>
      </w:r>
      <w:proofErr w:type="spellEnd"/>
      <w:r w:rsidRPr="00C9559D">
        <w:rPr>
          <w:b/>
          <w:bCs/>
          <w:i/>
          <w:iCs/>
          <w:sz w:val="20"/>
          <w:szCs w:val="20"/>
        </w:rPr>
        <w:t xml:space="preserve"> (2000), </w:t>
      </w:r>
      <w:proofErr w:type="spellStart"/>
      <w:r w:rsidRPr="00C9559D">
        <w:rPr>
          <w:b/>
          <w:bCs/>
          <w:i/>
          <w:iCs/>
          <w:sz w:val="20"/>
          <w:szCs w:val="20"/>
        </w:rPr>
        <w:t>Pasqier</w:t>
      </w:r>
      <w:proofErr w:type="spellEnd"/>
      <w:r w:rsidRPr="00C9559D">
        <w:rPr>
          <w:b/>
          <w:bCs/>
          <w:i/>
          <w:iCs/>
          <w:sz w:val="20"/>
          <w:szCs w:val="20"/>
        </w:rPr>
        <w:t xml:space="preserve"> and </w:t>
      </w:r>
      <w:proofErr w:type="spellStart"/>
      <w:r w:rsidRPr="00C9559D">
        <w:rPr>
          <w:b/>
          <w:bCs/>
          <w:i/>
          <w:iCs/>
          <w:sz w:val="20"/>
          <w:szCs w:val="20"/>
        </w:rPr>
        <w:t>Leri</w:t>
      </w:r>
      <w:proofErr w:type="spellEnd"/>
      <w:r w:rsidRPr="00C9559D">
        <w:rPr>
          <w:b/>
          <w:bCs/>
          <w:i/>
          <w:iCs/>
          <w:sz w:val="20"/>
          <w:szCs w:val="20"/>
        </w:rPr>
        <w:t xml:space="preserve"> (2000)</w:t>
      </w:r>
      <w:r w:rsidRPr="00C9559D">
        <w:rPr>
          <w:bCs/>
          <w:sz w:val="20"/>
          <w:szCs w:val="20"/>
        </w:rPr>
        <w:t xml:space="preserve"> and </w:t>
      </w:r>
      <w:proofErr w:type="spellStart"/>
      <w:r w:rsidRPr="00C9559D">
        <w:rPr>
          <w:b/>
          <w:bCs/>
          <w:i/>
          <w:iCs/>
          <w:sz w:val="20"/>
          <w:szCs w:val="20"/>
        </w:rPr>
        <w:t>Sicard</w:t>
      </w:r>
      <w:proofErr w:type="spellEnd"/>
      <w:r w:rsidRPr="00C9559D">
        <w:rPr>
          <w:b/>
          <w:bCs/>
          <w:i/>
          <w:iCs/>
          <w:sz w:val="20"/>
          <w:szCs w:val="20"/>
        </w:rPr>
        <w:t xml:space="preserve"> (2000). </w:t>
      </w:r>
      <w:r w:rsidRPr="00C9559D">
        <w:rPr>
          <w:bCs/>
          <w:sz w:val="20"/>
          <w:szCs w:val="20"/>
        </w:rPr>
        <w:t xml:space="preserve">The earliest technique for epidural steroids injection was the caudal approach, but it didn’t gain international </w:t>
      </w:r>
      <w:r w:rsidRPr="00C9559D">
        <w:rPr>
          <w:bCs/>
          <w:sz w:val="20"/>
          <w:szCs w:val="20"/>
        </w:rPr>
        <w:lastRenderedPageBreak/>
        <w:t xml:space="preserve">universal application until 1925, when </w:t>
      </w:r>
      <w:proofErr w:type="spellStart"/>
      <w:r w:rsidRPr="00C9559D">
        <w:rPr>
          <w:b/>
          <w:bCs/>
          <w:i/>
          <w:iCs/>
          <w:sz w:val="20"/>
          <w:szCs w:val="20"/>
        </w:rPr>
        <w:t>Viner</w:t>
      </w:r>
      <w:proofErr w:type="spellEnd"/>
      <w:r w:rsidRPr="00C9559D">
        <w:rPr>
          <w:b/>
          <w:bCs/>
          <w:i/>
          <w:iCs/>
          <w:sz w:val="20"/>
          <w:szCs w:val="20"/>
        </w:rPr>
        <w:t xml:space="preserve"> (2000)</w:t>
      </w:r>
      <w:r w:rsidRPr="00C9559D">
        <w:rPr>
          <w:bCs/>
          <w:sz w:val="20"/>
          <w:szCs w:val="20"/>
        </w:rPr>
        <w:t xml:space="preserve"> popularized its use for treating sciatica where he used procaine, Ringer's solution and saline </w:t>
      </w:r>
      <w:r w:rsidRPr="00C9559D">
        <w:rPr>
          <w:b/>
          <w:bCs/>
          <w:i/>
          <w:iCs/>
          <w:sz w:val="20"/>
          <w:szCs w:val="20"/>
        </w:rPr>
        <w:t>(</w:t>
      </w:r>
      <w:proofErr w:type="spellStart"/>
      <w:r w:rsidRPr="00C9559D">
        <w:rPr>
          <w:b/>
          <w:bCs/>
          <w:i/>
          <w:iCs/>
          <w:sz w:val="20"/>
          <w:szCs w:val="20"/>
        </w:rPr>
        <w:t>Ogoke</w:t>
      </w:r>
      <w:proofErr w:type="spellEnd"/>
      <w:r w:rsidRPr="00C9559D">
        <w:rPr>
          <w:b/>
          <w:bCs/>
          <w:i/>
          <w:iCs/>
          <w:sz w:val="20"/>
          <w:szCs w:val="20"/>
        </w:rPr>
        <w:t>, 2000)</w:t>
      </w:r>
      <w:r w:rsidRPr="00C9559D">
        <w:rPr>
          <w:bCs/>
          <w:sz w:val="20"/>
          <w:szCs w:val="20"/>
        </w:rPr>
        <w:t>.</w:t>
      </w:r>
    </w:p>
    <w:p w:rsidR="007344C3" w:rsidRPr="00C9559D" w:rsidRDefault="007344C3" w:rsidP="00E616B2">
      <w:pPr>
        <w:snapToGrid w:val="0"/>
        <w:ind w:firstLine="425"/>
        <w:jc w:val="both"/>
        <w:rPr>
          <w:bCs/>
          <w:sz w:val="20"/>
          <w:szCs w:val="20"/>
        </w:rPr>
      </w:pPr>
      <w:r w:rsidRPr="00C9559D">
        <w:rPr>
          <w:bCs/>
          <w:sz w:val="20"/>
          <w:szCs w:val="20"/>
        </w:rPr>
        <w:t xml:space="preserve">The objective of an epidural steroid injection is to deliver corticosteroids close to the site of pathology, presumably into an </w:t>
      </w:r>
      <w:proofErr w:type="spellStart"/>
      <w:r w:rsidRPr="00C9559D">
        <w:rPr>
          <w:bCs/>
          <w:sz w:val="20"/>
          <w:szCs w:val="20"/>
        </w:rPr>
        <w:t>inflammed</w:t>
      </w:r>
      <w:proofErr w:type="spellEnd"/>
      <w:r w:rsidRPr="00C9559D">
        <w:rPr>
          <w:bCs/>
          <w:sz w:val="20"/>
          <w:szCs w:val="20"/>
        </w:rPr>
        <w:t xml:space="preserve"> nerve root resulting in a much higher local concentration of steroids in the target site </w:t>
      </w:r>
      <w:r w:rsidRPr="00C9559D">
        <w:rPr>
          <w:b/>
          <w:bCs/>
          <w:i/>
          <w:iCs/>
          <w:sz w:val="20"/>
          <w:szCs w:val="20"/>
        </w:rPr>
        <w:t>(Dooley et al., 1988; Stanley et al., 1990)</w:t>
      </w:r>
      <w:r w:rsidRPr="00C9559D">
        <w:rPr>
          <w:bCs/>
          <w:sz w:val="20"/>
          <w:szCs w:val="20"/>
        </w:rPr>
        <w:t xml:space="preserve">. The </w:t>
      </w:r>
      <w:proofErr w:type="spellStart"/>
      <w:r w:rsidRPr="00C9559D">
        <w:rPr>
          <w:bCs/>
          <w:sz w:val="20"/>
          <w:szCs w:val="20"/>
        </w:rPr>
        <w:t>epidurally</w:t>
      </w:r>
      <w:proofErr w:type="spellEnd"/>
      <w:r w:rsidRPr="00C9559D">
        <w:rPr>
          <w:bCs/>
          <w:sz w:val="20"/>
          <w:szCs w:val="20"/>
        </w:rPr>
        <w:t xml:space="preserve"> administered steroids reduce inflammation by inhibiting the synthesis and/or release of a number of pro-inflammatory mediators and also causing reversible local anesthetic effect </w:t>
      </w:r>
      <w:r w:rsidRPr="00C9559D">
        <w:rPr>
          <w:b/>
          <w:bCs/>
          <w:i/>
          <w:iCs/>
          <w:sz w:val="20"/>
          <w:szCs w:val="20"/>
        </w:rPr>
        <w:t>(</w:t>
      </w:r>
      <w:proofErr w:type="spellStart"/>
      <w:r w:rsidRPr="00C9559D">
        <w:rPr>
          <w:b/>
          <w:bCs/>
          <w:i/>
          <w:iCs/>
          <w:sz w:val="20"/>
          <w:szCs w:val="20"/>
        </w:rPr>
        <w:t>Pasqualucci</w:t>
      </w:r>
      <w:proofErr w:type="spellEnd"/>
      <w:r w:rsidRPr="00C9559D">
        <w:rPr>
          <w:b/>
          <w:bCs/>
          <w:i/>
          <w:iCs/>
          <w:sz w:val="20"/>
          <w:szCs w:val="20"/>
        </w:rPr>
        <w:t xml:space="preserve"> et al., 2007)</w:t>
      </w:r>
      <w:r w:rsidRPr="00C9559D">
        <w:rPr>
          <w:bCs/>
          <w:sz w:val="20"/>
          <w:szCs w:val="20"/>
        </w:rPr>
        <w:t>.</w:t>
      </w:r>
    </w:p>
    <w:p w:rsidR="007344C3" w:rsidRPr="00C9559D" w:rsidRDefault="007344C3" w:rsidP="00E616B2">
      <w:pPr>
        <w:snapToGrid w:val="0"/>
        <w:ind w:firstLine="425"/>
        <w:jc w:val="both"/>
        <w:rPr>
          <w:bCs/>
          <w:sz w:val="20"/>
          <w:szCs w:val="20"/>
        </w:rPr>
      </w:pPr>
      <w:r w:rsidRPr="00C9559D">
        <w:rPr>
          <w:bCs/>
          <w:sz w:val="20"/>
          <w:szCs w:val="20"/>
        </w:rPr>
        <w:t xml:space="preserve">Numerous reports of effectiveness of epidural steroid injections have varied in their response rates from 18% to 90%. Surprisingly, most controlled studies involving epidural steroid injections were performed without fluoroscopic guidance, whereas few uncontrolled open-ended clinical trials used it to ensure delivering the </w:t>
      </w:r>
      <w:proofErr w:type="spellStart"/>
      <w:r w:rsidRPr="00C9559D">
        <w:rPr>
          <w:bCs/>
          <w:sz w:val="20"/>
          <w:szCs w:val="20"/>
        </w:rPr>
        <w:t>injectate</w:t>
      </w:r>
      <w:proofErr w:type="spellEnd"/>
      <w:r w:rsidRPr="00C9559D">
        <w:rPr>
          <w:bCs/>
          <w:sz w:val="20"/>
          <w:szCs w:val="20"/>
        </w:rPr>
        <w:t xml:space="preserve"> into at least the epidural </w:t>
      </w:r>
      <w:r w:rsidRPr="00C9559D">
        <w:rPr>
          <w:bCs/>
          <w:sz w:val="20"/>
          <w:szCs w:val="20"/>
        </w:rPr>
        <w:lastRenderedPageBreak/>
        <w:t xml:space="preserve">space if not to the target site. The major cause of disparity proposed is technical error which includes sub-optimal placement or non-placement of the needle in the correct position near the target nerve route leading to the failure of delivery of steroids to the target site </w:t>
      </w:r>
      <w:r w:rsidRPr="00C9559D">
        <w:rPr>
          <w:b/>
          <w:bCs/>
          <w:i/>
          <w:iCs/>
          <w:sz w:val="20"/>
          <w:szCs w:val="20"/>
        </w:rPr>
        <w:t>(</w:t>
      </w:r>
      <w:proofErr w:type="spellStart"/>
      <w:r w:rsidRPr="00C9559D">
        <w:rPr>
          <w:b/>
          <w:bCs/>
          <w:i/>
          <w:iCs/>
          <w:sz w:val="20"/>
          <w:szCs w:val="20"/>
        </w:rPr>
        <w:t>Manchikanti</w:t>
      </w:r>
      <w:proofErr w:type="spellEnd"/>
      <w:r w:rsidRPr="00C9559D">
        <w:rPr>
          <w:b/>
          <w:bCs/>
          <w:i/>
          <w:iCs/>
          <w:sz w:val="20"/>
          <w:szCs w:val="20"/>
        </w:rPr>
        <w:t xml:space="preserve"> et al., 2010; Roberts et al., 2009)</w:t>
      </w:r>
      <w:r w:rsidRPr="00C9559D">
        <w:rPr>
          <w:bCs/>
          <w:sz w:val="20"/>
          <w:szCs w:val="20"/>
        </w:rPr>
        <w:t>.</w:t>
      </w:r>
      <w:r w:rsidRPr="00C9559D">
        <w:rPr>
          <w:bCs/>
          <w:sz w:val="20"/>
          <w:szCs w:val="20"/>
          <w:vertAlign w:val="superscript"/>
        </w:rPr>
        <w:t xml:space="preserve"> </w:t>
      </w:r>
    </w:p>
    <w:p w:rsidR="007344C3" w:rsidRPr="00C9559D" w:rsidRDefault="007344C3" w:rsidP="00E616B2">
      <w:pPr>
        <w:snapToGrid w:val="0"/>
        <w:ind w:firstLine="425"/>
        <w:jc w:val="both"/>
        <w:rPr>
          <w:sz w:val="20"/>
          <w:szCs w:val="20"/>
        </w:rPr>
      </w:pPr>
      <w:r w:rsidRPr="00C9559D">
        <w:rPr>
          <w:bCs/>
          <w:sz w:val="20"/>
          <w:szCs w:val="20"/>
        </w:rPr>
        <w:t xml:space="preserve">Epidural drug injections in the lumbar spine can be delivered by many approaches including: </w:t>
      </w:r>
      <w:proofErr w:type="spellStart"/>
      <w:r w:rsidRPr="00C9559D">
        <w:rPr>
          <w:bCs/>
          <w:sz w:val="20"/>
          <w:szCs w:val="20"/>
        </w:rPr>
        <w:t>interlaminar</w:t>
      </w:r>
      <w:proofErr w:type="spellEnd"/>
      <w:r w:rsidRPr="00C9559D">
        <w:rPr>
          <w:bCs/>
          <w:sz w:val="20"/>
          <w:szCs w:val="20"/>
        </w:rPr>
        <w:t>, caudal</w:t>
      </w:r>
      <w:r w:rsidR="00D51578" w:rsidRPr="00C9559D">
        <w:rPr>
          <w:bCs/>
          <w:sz w:val="20"/>
          <w:szCs w:val="20"/>
        </w:rPr>
        <w:t xml:space="preserve"> &amp; </w:t>
      </w:r>
      <w:proofErr w:type="spellStart"/>
      <w:r w:rsidRPr="00C9559D">
        <w:rPr>
          <w:bCs/>
          <w:sz w:val="20"/>
          <w:szCs w:val="20"/>
        </w:rPr>
        <w:t>transforaminal</w:t>
      </w:r>
      <w:proofErr w:type="spellEnd"/>
      <w:r w:rsidRPr="00C9559D">
        <w:rPr>
          <w:bCs/>
          <w:sz w:val="20"/>
          <w:szCs w:val="20"/>
        </w:rPr>
        <w:t xml:space="preserve"> approaches. The </w:t>
      </w:r>
      <w:proofErr w:type="spellStart"/>
      <w:r w:rsidRPr="00C9559D">
        <w:rPr>
          <w:bCs/>
          <w:sz w:val="20"/>
          <w:szCs w:val="20"/>
        </w:rPr>
        <w:t>interlaminar</w:t>
      </w:r>
      <w:proofErr w:type="spellEnd"/>
      <w:r w:rsidRPr="00C9559D">
        <w:rPr>
          <w:bCs/>
          <w:sz w:val="20"/>
          <w:szCs w:val="20"/>
        </w:rPr>
        <w:t xml:space="preserve"> approach was considered at first to be the preferable route as it is directed more closely to the assumed site of pathology than the caudal approach thus facilitating the delivery of the </w:t>
      </w:r>
      <w:proofErr w:type="spellStart"/>
      <w:r w:rsidRPr="00C9559D">
        <w:rPr>
          <w:bCs/>
          <w:sz w:val="20"/>
          <w:szCs w:val="20"/>
        </w:rPr>
        <w:t>injectate</w:t>
      </w:r>
      <w:proofErr w:type="spellEnd"/>
      <w:r w:rsidRPr="00C9559D">
        <w:rPr>
          <w:bCs/>
          <w:sz w:val="20"/>
          <w:szCs w:val="20"/>
        </w:rPr>
        <w:t xml:space="preserve"> to its target site using smaller volumes of medications </w:t>
      </w:r>
      <w:r w:rsidRPr="00C9559D">
        <w:rPr>
          <w:b/>
          <w:bCs/>
          <w:i/>
          <w:iCs/>
          <w:sz w:val="20"/>
          <w:szCs w:val="20"/>
        </w:rPr>
        <w:t>(</w:t>
      </w:r>
      <w:proofErr w:type="spellStart"/>
      <w:r w:rsidRPr="00C9559D">
        <w:rPr>
          <w:b/>
          <w:bCs/>
          <w:i/>
          <w:iCs/>
          <w:sz w:val="20"/>
          <w:szCs w:val="20"/>
        </w:rPr>
        <w:t>Manchikanti</w:t>
      </w:r>
      <w:proofErr w:type="spellEnd"/>
      <w:r w:rsidRPr="00C9559D">
        <w:rPr>
          <w:b/>
          <w:bCs/>
          <w:i/>
          <w:iCs/>
          <w:sz w:val="20"/>
          <w:szCs w:val="20"/>
        </w:rPr>
        <w:t xml:space="preserve"> et al., 2010; Roberts et al., 2009)</w:t>
      </w:r>
      <w:r w:rsidRPr="00C9559D">
        <w:rPr>
          <w:bCs/>
          <w:sz w:val="20"/>
          <w:szCs w:val="20"/>
        </w:rPr>
        <w:t>. However, it has some disadvantages such as extra-</w:t>
      </w:r>
      <w:proofErr w:type="spellStart"/>
      <w:r w:rsidRPr="00C9559D">
        <w:rPr>
          <w:bCs/>
          <w:sz w:val="20"/>
          <w:szCs w:val="20"/>
        </w:rPr>
        <w:t>dural</w:t>
      </w:r>
      <w:proofErr w:type="spellEnd"/>
      <w:r w:rsidRPr="00C9559D">
        <w:rPr>
          <w:bCs/>
          <w:sz w:val="20"/>
          <w:szCs w:val="20"/>
        </w:rPr>
        <w:t xml:space="preserve"> placement of the needle (which may go unrecognized without CT-Scan guidance) and the discriminatory cranial flow of the solution in the epidural space.</w:t>
      </w:r>
      <w:r w:rsidRPr="00C9559D">
        <w:rPr>
          <w:sz w:val="20"/>
          <w:szCs w:val="20"/>
        </w:rPr>
        <w:t xml:space="preserve"> The use of this technique results in deposition of medication in the posterior epidural space. On the contrary, disc/nerve root pathology occurs in the anterior epidural space </w:t>
      </w:r>
      <w:r w:rsidRPr="00C9559D">
        <w:rPr>
          <w:b/>
          <w:bCs/>
          <w:i/>
          <w:iCs/>
          <w:sz w:val="20"/>
          <w:szCs w:val="20"/>
        </w:rPr>
        <w:t>(</w:t>
      </w:r>
      <w:proofErr w:type="spellStart"/>
      <w:r w:rsidRPr="00C9559D">
        <w:rPr>
          <w:b/>
          <w:bCs/>
          <w:i/>
          <w:iCs/>
          <w:sz w:val="20"/>
          <w:szCs w:val="20"/>
        </w:rPr>
        <w:t>Rados</w:t>
      </w:r>
      <w:proofErr w:type="spellEnd"/>
      <w:r w:rsidRPr="00C9559D">
        <w:rPr>
          <w:b/>
          <w:bCs/>
          <w:i/>
          <w:iCs/>
          <w:sz w:val="20"/>
          <w:szCs w:val="20"/>
        </w:rPr>
        <w:t xml:space="preserve"> et al., 2011)</w:t>
      </w:r>
      <w:r w:rsidRPr="00C9559D">
        <w:rPr>
          <w:sz w:val="20"/>
          <w:szCs w:val="20"/>
        </w:rPr>
        <w:t>.</w:t>
      </w:r>
      <w:r w:rsidRPr="00C9559D">
        <w:rPr>
          <w:bCs/>
          <w:sz w:val="20"/>
          <w:szCs w:val="20"/>
        </w:rPr>
        <w:t xml:space="preserve"> In addition, various studies reported the failure of the </w:t>
      </w:r>
      <w:proofErr w:type="spellStart"/>
      <w:r w:rsidRPr="00C9559D">
        <w:rPr>
          <w:bCs/>
          <w:sz w:val="20"/>
          <w:szCs w:val="20"/>
        </w:rPr>
        <w:t>interlaminar</w:t>
      </w:r>
      <w:proofErr w:type="spellEnd"/>
      <w:r w:rsidRPr="00C9559D">
        <w:rPr>
          <w:bCs/>
          <w:sz w:val="20"/>
          <w:szCs w:val="20"/>
        </w:rPr>
        <w:t xml:space="preserve"> approach to produce statistically significant clinical improvements </w:t>
      </w:r>
      <w:r w:rsidRPr="00C9559D">
        <w:rPr>
          <w:b/>
          <w:bCs/>
          <w:i/>
          <w:iCs/>
          <w:sz w:val="20"/>
          <w:szCs w:val="20"/>
        </w:rPr>
        <w:t>(</w:t>
      </w:r>
      <w:proofErr w:type="spellStart"/>
      <w:r w:rsidRPr="00C9559D">
        <w:rPr>
          <w:b/>
          <w:bCs/>
          <w:i/>
          <w:iCs/>
          <w:sz w:val="20"/>
          <w:szCs w:val="20"/>
        </w:rPr>
        <w:t>Fredman</w:t>
      </w:r>
      <w:proofErr w:type="spellEnd"/>
      <w:r w:rsidRPr="00C9559D">
        <w:rPr>
          <w:b/>
          <w:bCs/>
          <w:i/>
          <w:iCs/>
          <w:sz w:val="20"/>
          <w:szCs w:val="20"/>
        </w:rPr>
        <w:t xml:space="preserve"> et al., 1999; </w:t>
      </w:r>
      <w:proofErr w:type="spellStart"/>
      <w:r w:rsidRPr="00C9559D">
        <w:rPr>
          <w:b/>
          <w:bCs/>
          <w:i/>
          <w:iCs/>
          <w:sz w:val="20"/>
          <w:szCs w:val="20"/>
        </w:rPr>
        <w:t>Manchikanti</w:t>
      </w:r>
      <w:proofErr w:type="spellEnd"/>
      <w:r w:rsidRPr="00C9559D">
        <w:rPr>
          <w:b/>
          <w:bCs/>
          <w:i/>
          <w:iCs/>
          <w:sz w:val="20"/>
          <w:szCs w:val="20"/>
        </w:rPr>
        <w:t xml:space="preserve"> et al., 2010)</w:t>
      </w:r>
      <w:r w:rsidRPr="00C9559D">
        <w:rPr>
          <w:bCs/>
          <w:sz w:val="20"/>
          <w:szCs w:val="20"/>
        </w:rPr>
        <w:t>.</w:t>
      </w:r>
    </w:p>
    <w:p w:rsidR="007344C3" w:rsidRPr="00C9559D" w:rsidRDefault="007344C3" w:rsidP="00E616B2">
      <w:pPr>
        <w:snapToGrid w:val="0"/>
        <w:ind w:firstLine="425"/>
        <w:jc w:val="both"/>
        <w:rPr>
          <w:bCs/>
          <w:sz w:val="20"/>
          <w:szCs w:val="20"/>
        </w:rPr>
      </w:pPr>
      <w:proofErr w:type="spellStart"/>
      <w:r w:rsidRPr="00C9559D">
        <w:rPr>
          <w:bCs/>
          <w:sz w:val="20"/>
          <w:szCs w:val="20"/>
        </w:rPr>
        <w:t>Transforaminal</w:t>
      </w:r>
      <w:proofErr w:type="spellEnd"/>
      <w:r w:rsidRPr="00C9559D">
        <w:rPr>
          <w:bCs/>
          <w:sz w:val="20"/>
          <w:szCs w:val="20"/>
        </w:rPr>
        <w:t xml:space="preserve"> epidural steroid injections (TFESI) have emerged as an alternative to both </w:t>
      </w:r>
      <w:proofErr w:type="spellStart"/>
      <w:r w:rsidRPr="00C9559D">
        <w:rPr>
          <w:bCs/>
          <w:sz w:val="20"/>
          <w:szCs w:val="20"/>
        </w:rPr>
        <w:t>interlaminar</w:t>
      </w:r>
      <w:proofErr w:type="spellEnd"/>
      <w:r w:rsidRPr="00C9559D">
        <w:rPr>
          <w:bCs/>
          <w:sz w:val="20"/>
          <w:szCs w:val="20"/>
        </w:rPr>
        <w:t xml:space="preserve"> and caudal injections. Some reports mentioned the use of this approach for epidural drug injections, such as </w:t>
      </w:r>
      <w:proofErr w:type="spellStart"/>
      <w:r w:rsidRPr="00C9559D">
        <w:rPr>
          <w:b/>
          <w:bCs/>
          <w:i/>
          <w:iCs/>
          <w:sz w:val="20"/>
          <w:szCs w:val="20"/>
        </w:rPr>
        <w:t>Robecchi</w:t>
      </w:r>
      <w:proofErr w:type="spellEnd"/>
      <w:r w:rsidRPr="00C9559D">
        <w:rPr>
          <w:b/>
          <w:bCs/>
          <w:i/>
          <w:iCs/>
          <w:sz w:val="20"/>
          <w:szCs w:val="20"/>
        </w:rPr>
        <w:t xml:space="preserve"> and Capra (2001) </w:t>
      </w:r>
      <w:r w:rsidRPr="00C9559D">
        <w:rPr>
          <w:bCs/>
          <w:sz w:val="20"/>
          <w:szCs w:val="20"/>
        </w:rPr>
        <w:t xml:space="preserve">in 1952 in the Italian literature, when they performed a </w:t>
      </w:r>
      <w:proofErr w:type="spellStart"/>
      <w:r w:rsidRPr="00C9559D">
        <w:rPr>
          <w:bCs/>
          <w:sz w:val="20"/>
          <w:szCs w:val="20"/>
        </w:rPr>
        <w:t>peri-radicular</w:t>
      </w:r>
      <w:proofErr w:type="spellEnd"/>
      <w:r w:rsidRPr="00C9559D">
        <w:rPr>
          <w:bCs/>
          <w:sz w:val="20"/>
          <w:szCs w:val="20"/>
        </w:rPr>
        <w:t xml:space="preserve"> injection of hydrocortisone on the first sacral route and reported relief of lumbar and sciatic pain in a female patient</w:t>
      </w:r>
      <w:r w:rsidRPr="00C9559D">
        <w:rPr>
          <w:sz w:val="20"/>
          <w:szCs w:val="20"/>
        </w:rPr>
        <w:t>, t</w:t>
      </w:r>
      <w:r w:rsidRPr="00C9559D">
        <w:rPr>
          <w:bCs/>
          <w:sz w:val="20"/>
          <w:szCs w:val="20"/>
        </w:rPr>
        <w:t xml:space="preserve">hen </w:t>
      </w:r>
      <w:r w:rsidRPr="00C9559D">
        <w:rPr>
          <w:b/>
          <w:bCs/>
          <w:i/>
          <w:iCs/>
          <w:sz w:val="20"/>
          <w:szCs w:val="20"/>
        </w:rPr>
        <w:t>(Lievre et al., 1953)</w:t>
      </w:r>
      <w:r w:rsidRPr="00C9559D">
        <w:rPr>
          <w:bCs/>
          <w:sz w:val="20"/>
          <w:szCs w:val="20"/>
        </w:rPr>
        <w:t xml:space="preserve"> and colleagues in the French literature in 1953 reported </w:t>
      </w:r>
      <w:proofErr w:type="spellStart"/>
      <w:r w:rsidRPr="00C9559D">
        <w:rPr>
          <w:bCs/>
          <w:sz w:val="20"/>
          <w:szCs w:val="20"/>
        </w:rPr>
        <w:t>transforaminal</w:t>
      </w:r>
      <w:proofErr w:type="spellEnd"/>
      <w:r w:rsidRPr="00C9559D">
        <w:rPr>
          <w:bCs/>
          <w:sz w:val="20"/>
          <w:szCs w:val="20"/>
        </w:rPr>
        <w:t xml:space="preserve"> injection of steroids on the level of the first sacral route </w:t>
      </w:r>
      <w:r w:rsidRPr="00C9559D">
        <w:rPr>
          <w:b/>
          <w:bCs/>
          <w:i/>
          <w:iCs/>
          <w:sz w:val="20"/>
          <w:szCs w:val="20"/>
        </w:rPr>
        <w:t xml:space="preserve">(Nelson and Landau, 2001). </w:t>
      </w:r>
      <w:r w:rsidRPr="00C9559D">
        <w:rPr>
          <w:bCs/>
          <w:sz w:val="20"/>
          <w:szCs w:val="20"/>
        </w:rPr>
        <w:t xml:space="preserve">Since then, </w:t>
      </w:r>
      <w:proofErr w:type="spellStart"/>
      <w:r w:rsidRPr="00C9559D">
        <w:rPr>
          <w:bCs/>
          <w:sz w:val="20"/>
          <w:szCs w:val="20"/>
        </w:rPr>
        <w:t>transforaminal</w:t>
      </w:r>
      <w:proofErr w:type="spellEnd"/>
      <w:r w:rsidRPr="00C9559D">
        <w:rPr>
          <w:bCs/>
          <w:sz w:val="20"/>
          <w:szCs w:val="20"/>
        </w:rPr>
        <w:t xml:space="preserve"> epidural injection has been widely used as it is considered as an effective mean for the management of many cases of low back pain and lower extremity pain </w:t>
      </w:r>
      <w:r w:rsidRPr="00C9559D">
        <w:rPr>
          <w:b/>
          <w:bCs/>
          <w:i/>
          <w:iCs/>
          <w:sz w:val="20"/>
          <w:szCs w:val="20"/>
        </w:rPr>
        <w:t>(</w:t>
      </w:r>
      <w:proofErr w:type="spellStart"/>
      <w:r w:rsidRPr="00C9559D">
        <w:rPr>
          <w:b/>
          <w:bCs/>
          <w:i/>
          <w:iCs/>
          <w:sz w:val="20"/>
          <w:szCs w:val="20"/>
        </w:rPr>
        <w:t>Manchikanti</w:t>
      </w:r>
      <w:proofErr w:type="spellEnd"/>
      <w:r w:rsidRPr="00C9559D">
        <w:rPr>
          <w:b/>
          <w:bCs/>
          <w:i/>
          <w:iCs/>
          <w:sz w:val="20"/>
          <w:szCs w:val="20"/>
        </w:rPr>
        <w:t xml:space="preserve"> et al., 1999)</w:t>
      </w:r>
      <w:r w:rsidRPr="00C9559D">
        <w:rPr>
          <w:bCs/>
          <w:sz w:val="20"/>
          <w:szCs w:val="20"/>
        </w:rPr>
        <w:t>.</w:t>
      </w:r>
    </w:p>
    <w:p w:rsidR="007344C3" w:rsidRPr="00C9559D" w:rsidRDefault="007344C3" w:rsidP="00E616B2">
      <w:pPr>
        <w:snapToGrid w:val="0"/>
        <w:ind w:firstLine="425"/>
        <w:jc w:val="both"/>
        <w:rPr>
          <w:sz w:val="20"/>
          <w:szCs w:val="20"/>
        </w:rPr>
      </w:pPr>
      <w:r w:rsidRPr="00C9559D">
        <w:rPr>
          <w:bCs/>
          <w:sz w:val="20"/>
          <w:szCs w:val="20"/>
        </w:rPr>
        <w:t xml:space="preserve">The major advantage of </w:t>
      </w:r>
      <w:proofErr w:type="spellStart"/>
      <w:r w:rsidRPr="00C9559D">
        <w:rPr>
          <w:bCs/>
          <w:sz w:val="20"/>
          <w:szCs w:val="20"/>
        </w:rPr>
        <w:t>transforaminal</w:t>
      </w:r>
      <w:proofErr w:type="spellEnd"/>
      <w:r w:rsidRPr="00C9559D">
        <w:rPr>
          <w:bCs/>
          <w:sz w:val="20"/>
          <w:szCs w:val="20"/>
        </w:rPr>
        <w:t xml:space="preserve"> approach for therapeutic injections is that it ensures that the injected medications incorporates all the sites where the pathology can affect the nerve, which extends from the disc level in the </w:t>
      </w:r>
      <w:proofErr w:type="spellStart"/>
      <w:r w:rsidRPr="00C9559D">
        <w:rPr>
          <w:bCs/>
          <w:sz w:val="20"/>
          <w:szCs w:val="20"/>
        </w:rPr>
        <w:t>subarticular</w:t>
      </w:r>
      <w:proofErr w:type="spellEnd"/>
      <w:r w:rsidRPr="00C9559D">
        <w:rPr>
          <w:bCs/>
          <w:sz w:val="20"/>
          <w:szCs w:val="20"/>
        </w:rPr>
        <w:t xml:space="preserve"> zone to the </w:t>
      </w:r>
      <w:proofErr w:type="spellStart"/>
      <w:r w:rsidRPr="00C9559D">
        <w:rPr>
          <w:bCs/>
          <w:sz w:val="20"/>
          <w:szCs w:val="20"/>
        </w:rPr>
        <w:t>extraforaminal</w:t>
      </w:r>
      <w:proofErr w:type="spellEnd"/>
      <w:r w:rsidRPr="00C9559D">
        <w:rPr>
          <w:bCs/>
          <w:sz w:val="20"/>
          <w:szCs w:val="20"/>
        </w:rPr>
        <w:t xml:space="preserve"> zone, including the ventral epidural space </w:t>
      </w:r>
      <w:r w:rsidRPr="00C9559D">
        <w:rPr>
          <w:b/>
          <w:bCs/>
          <w:i/>
          <w:iCs/>
          <w:sz w:val="20"/>
          <w:szCs w:val="20"/>
        </w:rPr>
        <w:t>(</w:t>
      </w:r>
      <w:proofErr w:type="spellStart"/>
      <w:r w:rsidRPr="00C9559D">
        <w:rPr>
          <w:b/>
          <w:bCs/>
          <w:i/>
          <w:iCs/>
          <w:sz w:val="20"/>
          <w:szCs w:val="20"/>
        </w:rPr>
        <w:t>Manchikanti</w:t>
      </w:r>
      <w:proofErr w:type="spellEnd"/>
      <w:r w:rsidRPr="00C9559D">
        <w:rPr>
          <w:b/>
          <w:bCs/>
          <w:i/>
          <w:iCs/>
          <w:sz w:val="20"/>
          <w:szCs w:val="20"/>
        </w:rPr>
        <w:t xml:space="preserve"> et al., 2010)</w:t>
      </w:r>
      <w:r w:rsidRPr="00C9559D">
        <w:rPr>
          <w:bCs/>
          <w:sz w:val="20"/>
          <w:szCs w:val="20"/>
        </w:rPr>
        <w:t xml:space="preserve">. </w:t>
      </w:r>
      <w:r w:rsidRPr="00C9559D">
        <w:rPr>
          <w:sz w:val="20"/>
          <w:szCs w:val="20"/>
        </w:rPr>
        <w:t xml:space="preserve">Despite this major advantage, considerable controversy continues to surround the relative efficacy of the different types of epidural steroid injection, its indications, selection criteria, and its cost-effectiveness </w:t>
      </w:r>
      <w:r w:rsidRPr="00C9559D">
        <w:rPr>
          <w:b/>
          <w:bCs/>
          <w:i/>
          <w:iCs/>
          <w:sz w:val="20"/>
          <w:szCs w:val="20"/>
        </w:rPr>
        <w:t>(Wilkinson and Cohen, 2013)</w:t>
      </w:r>
      <w:r w:rsidRPr="00C9559D">
        <w:rPr>
          <w:sz w:val="20"/>
          <w:szCs w:val="20"/>
        </w:rPr>
        <w:t>.</w:t>
      </w:r>
    </w:p>
    <w:p w:rsidR="007344C3" w:rsidRPr="00C9559D" w:rsidRDefault="00EA0D94" w:rsidP="00E616B2">
      <w:pPr>
        <w:snapToGrid w:val="0"/>
        <w:jc w:val="both"/>
        <w:rPr>
          <w:b/>
          <w:bCs/>
          <w:sz w:val="20"/>
          <w:szCs w:val="20"/>
        </w:rPr>
      </w:pPr>
      <w:r w:rsidRPr="00C9559D">
        <w:rPr>
          <w:b/>
          <w:bCs/>
          <w:sz w:val="20"/>
          <w:szCs w:val="20"/>
        </w:rPr>
        <w:lastRenderedPageBreak/>
        <w:t>Aim of the Work</w:t>
      </w:r>
    </w:p>
    <w:p w:rsidR="007344C3" w:rsidRPr="00C9559D" w:rsidRDefault="007344C3" w:rsidP="00E616B2">
      <w:pPr>
        <w:snapToGrid w:val="0"/>
        <w:ind w:firstLine="425"/>
        <w:jc w:val="both"/>
        <w:rPr>
          <w:sz w:val="20"/>
          <w:szCs w:val="20"/>
        </w:rPr>
      </w:pPr>
      <w:r w:rsidRPr="00C9559D">
        <w:rPr>
          <w:sz w:val="20"/>
          <w:szCs w:val="20"/>
        </w:rPr>
        <w:t xml:space="preserve">The objective of this study was to assess the immediate and short-term effects of </w:t>
      </w:r>
      <w:proofErr w:type="spellStart"/>
      <w:r w:rsidRPr="00C9559D">
        <w:rPr>
          <w:sz w:val="20"/>
          <w:szCs w:val="20"/>
        </w:rPr>
        <w:t>transforaminal</w:t>
      </w:r>
      <w:proofErr w:type="spellEnd"/>
      <w:r w:rsidRPr="00C9559D">
        <w:rPr>
          <w:sz w:val="20"/>
          <w:szCs w:val="20"/>
        </w:rPr>
        <w:t xml:space="preserve"> epidural steroid injections in patients with </w:t>
      </w:r>
      <w:proofErr w:type="spellStart"/>
      <w:r w:rsidRPr="00C9559D">
        <w:rPr>
          <w:sz w:val="20"/>
          <w:szCs w:val="20"/>
        </w:rPr>
        <w:t>lumbosacral</w:t>
      </w:r>
      <w:proofErr w:type="spellEnd"/>
      <w:r w:rsidRPr="00C9559D">
        <w:rPr>
          <w:sz w:val="20"/>
          <w:szCs w:val="20"/>
        </w:rPr>
        <w:t xml:space="preserve"> </w:t>
      </w:r>
      <w:proofErr w:type="spellStart"/>
      <w:r w:rsidRPr="00C9559D">
        <w:rPr>
          <w:sz w:val="20"/>
          <w:szCs w:val="20"/>
        </w:rPr>
        <w:t>radiculopathy</w:t>
      </w:r>
      <w:proofErr w:type="spellEnd"/>
      <w:r w:rsidRPr="00C9559D">
        <w:rPr>
          <w:sz w:val="20"/>
          <w:szCs w:val="20"/>
        </w:rPr>
        <w:t>.</w:t>
      </w:r>
    </w:p>
    <w:p w:rsidR="00EA0D94" w:rsidRPr="00C9559D" w:rsidRDefault="00EA0D94" w:rsidP="00E616B2">
      <w:pPr>
        <w:snapToGrid w:val="0"/>
        <w:jc w:val="both"/>
        <w:rPr>
          <w:b/>
          <w:bCs/>
          <w:sz w:val="20"/>
          <w:szCs w:val="20"/>
        </w:rPr>
      </w:pPr>
    </w:p>
    <w:p w:rsidR="007344C3" w:rsidRPr="00C9559D" w:rsidRDefault="00EA0D94" w:rsidP="00E616B2">
      <w:pPr>
        <w:snapToGrid w:val="0"/>
        <w:jc w:val="both"/>
        <w:rPr>
          <w:b/>
          <w:bCs/>
          <w:sz w:val="20"/>
          <w:szCs w:val="20"/>
        </w:rPr>
      </w:pPr>
      <w:r w:rsidRPr="00C9559D">
        <w:rPr>
          <w:b/>
          <w:bCs/>
          <w:sz w:val="20"/>
          <w:szCs w:val="20"/>
        </w:rPr>
        <w:t>2. Patients and Methods</w:t>
      </w:r>
    </w:p>
    <w:p w:rsidR="007344C3" w:rsidRPr="00C9559D" w:rsidRDefault="007344C3" w:rsidP="00E616B2">
      <w:pPr>
        <w:snapToGrid w:val="0"/>
        <w:jc w:val="both"/>
        <w:rPr>
          <w:b/>
          <w:sz w:val="20"/>
          <w:szCs w:val="20"/>
        </w:rPr>
      </w:pPr>
      <w:r w:rsidRPr="00C9559D">
        <w:rPr>
          <w:b/>
          <w:sz w:val="20"/>
          <w:szCs w:val="20"/>
        </w:rPr>
        <w:t>Patients</w:t>
      </w:r>
    </w:p>
    <w:p w:rsidR="007344C3" w:rsidRPr="00C9559D" w:rsidRDefault="007344C3" w:rsidP="00E616B2">
      <w:pPr>
        <w:snapToGrid w:val="0"/>
        <w:ind w:firstLine="425"/>
        <w:jc w:val="both"/>
        <w:rPr>
          <w:b/>
          <w:i/>
          <w:iCs/>
          <w:sz w:val="20"/>
          <w:szCs w:val="20"/>
          <w:vertAlign w:val="superscript"/>
        </w:rPr>
      </w:pPr>
      <w:r w:rsidRPr="00C9559D">
        <w:rPr>
          <w:bCs/>
          <w:sz w:val="20"/>
          <w:szCs w:val="20"/>
        </w:rPr>
        <w:t xml:space="preserve">This study was conducted on thirty patients with symptoms and signs of </w:t>
      </w:r>
      <w:proofErr w:type="spellStart"/>
      <w:r w:rsidRPr="00C9559D">
        <w:rPr>
          <w:bCs/>
          <w:sz w:val="20"/>
          <w:szCs w:val="20"/>
        </w:rPr>
        <w:t>lumbosacral</w:t>
      </w:r>
      <w:proofErr w:type="spellEnd"/>
      <w:r w:rsidRPr="00C9559D">
        <w:rPr>
          <w:bCs/>
          <w:sz w:val="20"/>
          <w:szCs w:val="20"/>
        </w:rPr>
        <w:t xml:space="preserve"> </w:t>
      </w:r>
      <w:proofErr w:type="spellStart"/>
      <w:r w:rsidRPr="00C9559D">
        <w:rPr>
          <w:bCs/>
          <w:sz w:val="20"/>
          <w:szCs w:val="20"/>
        </w:rPr>
        <w:t>radiculopathy</w:t>
      </w:r>
      <w:proofErr w:type="spellEnd"/>
      <w:r w:rsidRPr="00C9559D">
        <w:rPr>
          <w:bCs/>
          <w:sz w:val="20"/>
          <w:szCs w:val="20"/>
        </w:rPr>
        <w:t xml:space="preserve"> according to North American Spine Society</w:t>
      </w:r>
      <w:r w:rsidR="00F32022" w:rsidRPr="00C9559D">
        <w:rPr>
          <w:bCs/>
          <w:sz w:val="20"/>
          <w:szCs w:val="20"/>
        </w:rPr>
        <w:t>.</w:t>
      </w:r>
      <w:r w:rsidRPr="00C9559D">
        <w:rPr>
          <w:b/>
          <w:i/>
          <w:iCs/>
          <w:sz w:val="20"/>
          <w:szCs w:val="20"/>
          <w:vertAlign w:val="superscript"/>
        </w:rPr>
        <w:t xml:space="preserve"> </w:t>
      </w:r>
    </w:p>
    <w:p w:rsidR="007344C3" w:rsidRPr="00C9559D" w:rsidRDefault="007344C3" w:rsidP="00E616B2">
      <w:pPr>
        <w:snapToGrid w:val="0"/>
        <w:ind w:firstLine="425"/>
        <w:jc w:val="both"/>
        <w:rPr>
          <w:sz w:val="20"/>
          <w:szCs w:val="20"/>
        </w:rPr>
      </w:pPr>
      <w:r w:rsidRPr="00C9559D">
        <w:rPr>
          <w:bCs/>
          <w:sz w:val="20"/>
          <w:szCs w:val="20"/>
        </w:rPr>
        <w:t xml:space="preserve">They were recruited from Physical medicine, Rheumatology and Rehabilitation clinics of El </w:t>
      </w:r>
      <w:proofErr w:type="spellStart"/>
      <w:r w:rsidRPr="00C9559D">
        <w:rPr>
          <w:bCs/>
          <w:sz w:val="20"/>
          <w:szCs w:val="20"/>
        </w:rPr>
        <w:t>Agouza</w:t>
      </w:r>
      <w:proofErr w:type="spellEnd"/>
      <w:r w:rsidRPr="00C9559D">
        <w:rPr>
          <w:bCs/>
          <w:sz w:val="20"/>
          <w:szCs w:val="20"/>
        </w:rPr>
        <w:t xml:space="preserve"> Military Rehabilitation Center. </w:t>
      </w:r>
    </w:p>
    <w:p w:rsidR="007344C3" w:rsidRPr="00C9559D" w:rsidRDefault="007344C3" w:rsidP="00E616B2">
      <w:pPr>
        <w:snapToGrid w:val="0"/>
        <w:ind w:firstLine="425"/>
        <w:jc w:val="both"/>
        <w:rPr>
          <w:bCs/>
          <w:sz w:val="20"/>
          <w:szCs w:val="20"/>
        </w:rPr>
      </w:pPr>
      <w:r w:rsidRPr="00C9559D">
        <w:rPr>
          <w:bCs/>
          <w:sz w:val="20"/>
          <w:szCs w:val="20"/>
        </w:rPr>
        <w:t xml:space="preserve">Thirty age and gender - matched healthy individuals were included as a control group. </w:t>
      </w:r>
    </w:p>
    <w:p w:rsidR="007344C3" w:rsidRPr="00C9559D" w:rsidRDefault="007344C3" w:rsidP="00E616B2">
      <w:pPr>
        <w:snapToGrid w:val="0"/>
        <w:jc w:val="both"/>
        <w:rPr>
          <w:b/>
          <w:sz w:val="20"/>
          <w:szCs w:val="20"/>
        </w:rPr>
      </w:pPr>
      <w:r w:rsidRPr="00C9559D">
        <w:rPr>
          <w:b/>
          <w:sz w:val="20"/>
          <w:szCs w:val="20"/>
        </w:rPr>
        <w:t>Inclusion criteria:</w:t>
      </w:r>
    </w:p>
    <w:p w:rsidR="007344C3" w:rsidRPr="00C9559D" w:rsidRDefault="007344C3" w:rsidP="00E616B2">
      <w:pPr>
        <w:snapToGrid w:val="0"/>
        <w:ind w:firstLine="425"/>
        <w:jc w:val="both"/>
        <w:rPr>
          <w:sz w:val="20"/>
          <w:szCs w:val="20"/>
        </w:rPr>
      </w:pPr>
      <w:r w:rsidRPr="00C9559D">
        <w:rPr>
          <w:sz w:val="20"/>
          <w:szCs w:val="20"/>
        </w:rPr>
        <w:t xml:space="preserve">Patient’s ≥17 years old with clinical symptoms and signs suggestive of </w:t>
      </w:r>
      <w:proofErr w:type="spellStart"/>
      <w:r w:rsidRPr="00C9559D">
        <w:rPr>
          <w:sz w:val="20"/>
          <w:szCs w:val="20"/>
        </w:rPr>
        <w:t>radiculopathy</w:t>
      </w:r>
      <w:proofErr w:type="spellEnd"/>
      <w:r w:rsidRPr="00C9559D">
        <w:rPr>
          <w:sz w:val="20"/>
          <w:szCs w:val="20"/>
        </w:rPr>
        <w:t xml:space="preserve"> were diagnosed as follows according to North American Spine Society</w:t>
      </w:r>
      <w:r w:rsidR="00F32022" w:rsidRPr="00C9559D">
        <w:rPr>
          <w:sz w:val="20"/>
          <w:szCs w:val="20"/>
        </w:rPr>
        <w:t>:</w:t>
      </w:r>
    </w:p>
    <w:p w:rsidR="007344C3" w:rsidRPr="00C9559D" w:rsidRDefault="007344C3" w:rsidP="00E616B2">
      <w:pPr>
        <w:numPr>
          <w:ilvl w:val="0"/>
          <w:numId w:val="4"/>
        </w:numPr>
        <w:snapToGrid w:val="0"/>
        <w:ind w:left="0" w:firstLine="0"/>
        <w:jc w:val="both"/>
        <w:rPr>
          <w:b/>
          <w:bCs/>
          <w:sz w:val="20"/>
          <w:szCs w:val="20"/>
        </w:rPr>
      </w:pPr>
      <w:r w:rsidRPr="00C9559D">
        <w:rPr>
          <w:b/>
          <w:bCs/>
          <w:sz w:val="20"/>
          <w:szCs w:val="20"/>
        </w:rPr>
        <w:t>Clinical criteria (symptoms</w:t>
      </w:r>
      <w:r w:rsidR="00D51578" w:rsidRPr="00C9559D">
        <w:rPr>
          <w:b/>
          <w:bCs/>
          <w:sz w:val="20"/>
          <w:szCs w:val="20"/>
        </w:rPr>
        <w:t xml:space="preserve"> &amp; </w:t>
      </w:r>
      <w:r w:rsidRPr="00C9559D">
        <w:rPr>
          <w:b/>
          <w:bCs/>
          <w:sz w:val="20"/>
          <w:szCs w:val="20"/>
        </w:rPr>
        <w:t xml:space="preserve">signs): </w:t>
      </w:r>
    </w:p>
    <w:p w:rsidR="007344C3" w:rsidRPr="00C9559D" w:rsidRDefault="007344C3" w:rsidP="00E616B2">
      <w:pPr>
        <w:snapToGrid w:val="0"/>
        <w:ind w:firstLine="425"/>
        <w:jc w:val="both"/>
        <w:rPr>
          <w:sz w:val="20"/>
          <w:szCs w:val="20"/>
        </w:rPr>
      </w:pPr>
      <w:r w:rsidRPr="00C9559D">
        <w:rPr>
          <w:sz w:val="20"/>
          <w:szCs w:val="20"/>
        </w:rPr>
        <w:t xml:space="preserve">The clinical diagnosis of </w:t>
      </w:r>
      <w:proofErr w:type="spellStart"/>
      <w:r w:rsidRPr="00C9559D">
        <w:rPr>
          <w:sz w:val="20"/>
          <w:szCs w:val="20"/>
        </w:rPr>
        <w:t>lumbosacral</w:t>
      </w:r>
      <w:proofErr w:type="spellEnd"/>
      <w:r w:rsidRPr="00C9559D">
        <w:rPr>
          <w:sz w:val="20"/>
          <w:szCs w:val="20"/>
        </w:rPr>
        <w:t xml:space="preserve"> </w:t>
      </w:r>
      <w:proofErr w:type="spellStart"/>
      <w:r w:rsidRPr="00C9559D">
        <w:rPr>
          <w:sz w:val="20"/>
          <w:szCs w:val="20"/>
        </w:rPr>
        <w:t>radiculopathy</w:t>
      </w:r>
      <w:proofErr w:type="spellEnd"/>
      <w:r w:rsidRPr="00C9559D">
        <w:rPr>
          <w:sz w:val="20"/>
          <w:szCs w:val="20"/>
        </w:rPr>
        <w:t xml:space="preserve"> was made if the patient complained of central (localized) low back pain and/or pain at the sacroiliac joints radiating to one or both lower limbs associated with tingling and numbness in one or both lower limbs in addition to one or more of the following signs: </w:t>
      </w:r>
    </w:p>
    <w:p w:rsidR="007344C3" w:rsidRPr="00C9559D" w:rsidRDefault="007344C3" w:rsidP="00E616B2">
      <w:pPr>
        <w:numPr>
          <w:ilvl w:val="1"/>
          <w:numId w:val="4"/>
        </w:numPr>
        <w:tabs>
          <w:tab w:val="clear" w:pos="1440"/>
        </w:tabs>
        <w:snapToGrid w:val="0"/>
        <w:ind w:left="0" w:firstLine="425"/>
        <w:jc w:val="both"/>
        <w:rPr>
          <w:sz w:val="20"/>
          <w:szCs w:val="20"/>
        </w:rPr>
      </w:pPr>
      <w:proofErr w:type="spellStart"/>
      <w:r w:rsidRPr="00C9559D">
        <w:rPr>
          <w:sz w:val="20"/>
          <w:szCs w:val="20"/>
        </w:rPr>
        <w:t>Uni</w:t>
      </w:r>
      <w:proofErr w:type="spellEnd"/>
      <w:r w:rsidRPr="00C9559D">
        <w:rPr>
          <w:sz w:val="20"/>
          <w:szCs w:val="20"/>
        </w:rPr>
        <w:t xml:space="preserve"> or bilateral sciatica. </w:t>
      </w:r>
    </w:p>
    <w:p w:rsidR="007344C3" w:rsidRPr="00C9559D" w:rsidRDefault="007344C3" w:rsidP="00E616B2">
      <w:pPr>
        <w:numPr>
          <w:ilvl w:val="1"/>
          <w:numId w:val="4"/>
        </w:numPr>
        <w:tabs>
          <w:tab w:val="clear" w:pos="1440"/>
        </w:tabs>
        <w:snapToGrid w:val="0"/>
        <w:ind w:left="0" w:firstLine="425"/>
        <w:jc w:val="both"/>
        <w:rPr>
          <w:sz w:val="20"/>
          <w:szCs w:val="20"/>
        </w:rPr>
      </w:pPr>
      <w:proofErr w:type="spellStart"/>
      <w:r w:rsidRPr="00C9559D">
        <w:rPr>
          <w:sz w:val="20"/>
          <w:szCs w:val="20"/>
        </w:rPr>
        <w:t>Uni</w:t>
      </w:r>
      <w:proofErr w:type="spellEnd"/>
      <w:r w:rsidRPr="00C9559D">
        <w:rPr>
          <w:sz w:val="20"/>
          <w:szCs w:val="20"/>
        </w:rPr>
        <w:t xml:space="preserve"> or bilateral </w:t>
      </w:r>
      <w:proofErr w:type="spellStart"/>
      <w:r w:rsidRPr="00C9559D">
        <w:rPr>
          <w:sz w:val="20"/>
          <w:szCs w:val="20"/>
        </w:rPr>
        <w:t>femoralgia</w:t>
      </w:r>
      <w:proofErr w:type="spellEnd"/>
      <w:r w:rsidRPr="00C9559D">
        <w:rPr>
          <w:sz w:val="20"/>
          <w:szCs w:val="20"/>
        </w:rPr>
        <w:t xml:space="preserve">. </w:t>
      </w:r>
    </w:p>
    <w:p w:rsidR="007344C3" w:rsidRPr="00C9559D" w:rsidRDefault="007344C3" w:rsidP="00E616B2">
      <w:pPr>
        <w:numPr>
          <w:ilvl w:val="1"/>
          <w:numId w:val="4"/>
        </w:numPr>
        <w:tabs>
          <w:tab w:val="clear" w:pos="1440"/>
        </w:tabs>
        <w:snapToGrid w:val="0"/>
        <w:ind w:left="0" w:firstLine="425"/>
        <w:jc w:val="both"/>
        <w:rPr>
          <w:sz w:val="20"/>
          <w:szCs w:val="20"/>
        </w:rPr>
      </w:pPr>
      <w:proofErr w:type="spellStart"/>
      <w:r w:rsidRPr="00C9559D">
        <w:rPr>
          <w:sz w:val="20"/>
          <w:szCs w:val="20"/>
        </w:rPr>
        <w:t>Uni</w:t>
      </w:r>
      <w:proofErr w:type="spellEnd"/>
      <w:r w:rsidRPr="00C9559D">
        <w:rPr>
          <w:sz w:val="20"/>
          <w:szCs w:val="20"/>
        </w:rPr>
        <w:t xml:space="preserve"> or bilateral mild lower limb muscle weakness. </w:t>
      </w:r>
    </w:p>
    <w:p w:rsidR="007344C3" w:rsidRPr="00C9559D" w:rsidRDefault="007344C3" w:rsidP="00E616B2">
      <w:pPr>
        <w:numPr>
          <w:ilvl w:val="1"/>
          <w:numId w:val="4"/>
        </w:numPr>
        <w:tabs>
          <w:tab w:val="clear" w:pos="1440"/>
        </w:tabs>
        <w:snapToGrid w:val="0"/>
        <w:ind w:left="0" w:firstLine="425"/>
        <w:jc w:val="both"/>
        <w:rPr>
          <w:sz w:val="20"/>
          <w:szCs w:val="20"/>
        </w:rPr>
      </w:pPr>
      <w:r w:rsidRPr="00C9559D">
        <w:rPr>
          <w:sz w:val="20"/>
          <w:szCs w:val="20"/>
        </w:rPr>
        <w:t>Drop foot (</w:t>
      </w:r>
      <w:proofErr w:type="spellStart"/>
      <w:r w:rsidRPr="00C9559D">
        <w:rPr>
          <w:sz w:val="20"/>
          <w:szCs w:val="20"/>
        </w:rPr>
        <w:t>uni</w:t>
      </w:r>
      <w:proofErr w:type="spellEnd"/>
      <w:r w:rsidRPr="00C9559D">
        <w:rPr>
          <w:sz w:val="20"/>
          <w:szCs w:val="20"/>
        </w:rPr>
        <w:t xml:space="preserve"> or bilateral).</w:t>
      </w:r>
    </w:p>
    <w:p w:rsidR="007344C3" w:rsidRPr="00C9559D" w:rsidRDefault="007344C3" w:rsidP="00E616B2">
      <w:pPr>
        <w:snapToGrid w:val="0"/>
        <w:ind w:firstLine="425"/>
        <w:jc w:val="both"/>
        <w:rPr>
          <w:sz w:val="20"/>
          <w:szCs w:val="20"/>
        </w:rPr>
      </w:pPr>
      <w:r w:rsidRPr="00C9559D">
        <w:rPr>
          <w:sz w:val="20"/>
          <w:szCs w:val="20"/>
        </w:rPr>
        <w:t xml:space="preserve">The patient was considered having acute </w:t>
      </w:r>
      <w:proofErr w:type="spellStart"/>
      <w:r w:rsidRPr="00C9559D">
        <w:rPr>
          <w:sz w:val="20"/>
          <w:szCs w:val="20"/>
        </w:rPr>
        <w:t>radiculopathy</w:t>
      </w:r>
      <w:proofErr w:type="spellEnd"/>
      <w:r w:rsidRPr="00C9559D">
        <w:rPr>
          <w:sz w:val="20"/>
          <w:szCs w:val="20"/>
        </w:rPr>
        <w:t xml:space="preserve"> if he/she was complaining of the above mentioned symptoms</w:t>
      </w:r>
      <w:r w:rsidR="00D51578" w:rsidRPr="00C9559D">
        <w:rPr>
          <w:sz w:val="20"/>
          <w:szCs w:val="20"/>
        </w:rPr>
        <w:t xml:space="preserve"> &amp; </w:t>
      </w:r>
      <w:r w:rsidRPr="00C9559D">
        <w:rPr>
          <w:sz w:val="20"/>
          <w:szCs w:val="20"/>
        </w:rPr>
        <w:t xml:space="preserve">signs for a period of 1 week to 2 months, and was considered having chronic </w:t>
      </w:r>
      <w:proofErr w:type="spellStart"/>
      <w:r w:rsidRPr="00C9559D">
        <w:rPr>
          <w:sz w:val="20"/>
          <w:szCs w:val="20"/>
        </w:rPr>
        <w:t>radiculopathy</w:t>
      </w:r>
      <w:proofErr w:type="spellEnd"/>
      <w:r w:rsidRPr="00C9559D">
        <w:rPr>
          <w:sz w:val="20"/>
          <w:szCs w:val="20"/>
        </w:rPr>
        <w:t xml:space="preserve"> if he/she was complaining of the above mentioned symptoms</w:t>
      </w:r>
      <w:r w:rsidR="00D51578" w:rsidRPr="00C9559D">
        <w:rPr>
          <w:sz w:val="20"/>
          <w:szCs w:val="20"/>
        </w:rPr>
        <w:t xml:space="preserve"> &amp; </w:t>
      </w:r>
      <w:r w:rsidRPr="00C9559D">
        <w:rPr>
          <w:sz w:val="20"/>
          <w:szCs w:val="20"/>
        </w:rPr>
        <w:t xml:space="preserve">signs for period of 2 months to 1 year or more. </w:t>
      </w:r>
    </w:p>
    <w:p w:rsidR="00C9559D" w:rsidRDefault="00C9559D" w:rsidP="00E616B2">
      <w:pPr>
        <w:snapToGrid w:val="0"/>
        <w:jc w:val="both"/>
        <w:rPr>
          <w:rFonts w:hint="eastAsia"/>
          <w:b/>
          <w:sz w:val="20"/>
          <w:szCs w:val="20"/>
          <w:lang w:eastAsia="zh-CN"/>
        </w:rPr>
      </w:pPr>
    </w:p>
    <w:p w:rsidR="007344C3" w:rsidRPr="00C9559D" w:rsidRDefault="007344C3" w:rsidP="00E616B2">
      <w:pPr>
        <w:snapToGrid w:val="0"/>
        <w:jc w:val="both"/>
        <w:rPr>
          <w:sz w:val="20"/>
          <w:szCs w:val="20"/>
        </w:rPr>
      </w:pPr>
      <w:r w:rsidRPr="00C9559D">
        <w:rPr>
          <w:b/>
          <w:sz w:val="20"/>
          <w:szCs w:val="20"/>
        </w:rPr>
        <w:t>Exclusion criteria:</w:t>
      </w:r>
    </w:p>
    <w:p w:rsidR="007344C3" w:rsidRPr="00C9559D" w:rsidRDefault="007344C3" w:rsidP="00E616B2">
      <w:pPr>
        <w:numPr>
          <w:ilvl w:val="0"/>
          <w:numId w:val="5"/>
        </w:numPr>
        <w:snapToGrid w:val="0"/>
        <w:ind w:left="0" w:firstLine="425"/>
        <w:jc w:val="both"/>
        <w:rPr>
          <w:sz w:val="20"/>
          <w:szCs w:val="20"/>
        </w:rPr>
      </w:pPr>
      <w:r w:rsidRPr="00C9559D">
        <w:rPr>
          <w:sz w:val="20"/>
          <w:szCs w:val="20"/>
        </w:rPr>
        <w:t>Patients younger than 17 years old and older than 65 years.</w:t>
      </w:r>
    </w:p>
    <w:p w:rsidR="007344C3" w:rsidRPr="00C9559D" w:rsidRDefault="007344C3" w:rsidP="00E616B2">
      <w:pPr>
        <w:numPr>
          <w:ilvl w:val="0"/>
          <w:numId w:val="5"/>
        </w:numPr>
        <w:snapToGrid w:val="0"/>
        <w:ind w:left="0" w:firstLine="425"/>
        <w:jc w:val="both"/>
        <w:rPr>
          <w:sz w:val="20"/>
          <w:szCs w:val="20"/>
        </w:rPr>
      </w:pPr>
      <w:r w:rsidRPr="00C9559D">
        <w:rPr>
          <w:sz w:val="20"/>
          <w:szCs w:val="20"/>
        </w:rPr>
        <w:t>Patients with back pain associated with infection, inflammation and tumors.</w:t>
      </w:r>
    </w:p>
    <w:p w:rsidR="007344C3" w:rsidRPr="00C9559D" w:rsidRDefault="007344C3" w:rsidP="00E616B2">
      <w:pPr>
        <w:numPr>
          <w:ilvl w:val="0"/>
          <w:numId w:val="5"/>
        </w:numPr>
        <w:snapToGrid w:val="0"/>
        <w:ind w:left="0" w:firstLine="425"/>
        <w:jc w:val="both"/>
        <w:rPr>
          <w:sz w:val="20"/>
          <w:szCs w:val="20"/>
        </w:rPr>
      </w:pPr>
      <w:r w:rsidRPr="00C9559D">
        <w:rPr>
          <w:sz w:val="20"/>
          <w:szCs w:val="20"/>
        </w:rPr>
        <w:t xml:space="preserve">Patients for whom transformational injection is contraindicated e.g. (infection at site of injection or bleeding diathesis especially with </w:t>
      </w:r>
      <w:proofErr w:type="spellStart"/>
      <w:r w:rsidRPr="00C9559D">
        <w:rPr>
          <w:sz w:val="20"/>
          <w:szCs w:val="20"/>
        </w:rPr>
        <w:t>warfarin</w:t>
      </w:r>
      <w:proofErr w:type="spellEnd"/>
      <w:r w:rsidRPr="00C9559D">
        <w:rPr>
          <w:sz w:val="20"/>
          <w:szCs w:val="20"/>
        </w:rPr>
        <w:t xml:space="preserve"> or oral anticoagulants, uncontrolled diabetes mellitus and pregnancy).</w:t>
      </w:r>
    </w:p>
    <w:p w:rsidR="00C9559D" w:rsidRDefault="00C9559D" w:rsidP="00E616B2">
      <w:pPr>
        <w:snapToGrid w:val="0"/>
        <w:jc w:val="both"/>
        <w:rPr>
          <w:rFonts w:hint="eastAsia"/>
          <w:b/>
          <w:bCs/>
          <w:sz w:val="20"/>
          <w:szCs w:val="20"/>
          <w:lang w:eastAsia="zh-CN"/>
        </w:rPr>
      </w:pPr>
    </w:p>
    <w:p w:rsidR="007344C3" w:rsidRPr="00C9559D" w:rsidRDefault="007344C3" w:rsidP="00E616B2">
      <w:pPr>
        <w:snapToGrid w:val="0"/>
        <w:jc w:val="both"/>
        <w:rPr>
          <w:b/>
          <w:bCs/>
          <w:sz w:val="20"/>
          <w:szCs w:val="20"/>
        </w:rPr>
      </w:pPr>
      <w:r w:rsidRPr="00C9559D">
        <w:rPr>
          <w:b/>
          <w:bCs/>
          <w:sz w:val="20"/>
          <w:szCs w:val="20"/>
        </w:rPr>
        <w:t xml:space="preserve">Methods </w:t>
      </w:r>
    </w:p>
    <w:p w:rsidR="007344C3" w:rsidRPr="00C9559D" w:rsidRDefault="007344C3" w:rsidP="00E616B2">
      <w:pPr>
        <w:snapToGrid w:val="0"/>
        <w:ind w:firstLine="425"/>
        <w:jc w:val="both"/>
        <w:rPr>
          <w:bCs/>
          <w:sz w:val="20"/>
          <w:szCs w:val="20"/>
        </w:rPr>
      </w:pPr>
      <w:r w:rsidRPr="00C9559D">
        <w:rPr>
          <w:bCs/>
          <w:sz w:val="20"/>
          <w:szCs w:val="20"/>
        </w:rPr>
        <w:t xml:space="preserve">This was a prospective randomized controlled study approved by </w:t>
      </w:r>
      <w:proofErr w:type="spellStart"/>
      <w:r w:rsidRPr="00C9559D">
        <w:rPr>
          <w:bCs/>
          <w:sz w:val="20"/>
          <w:szCs w:val="20"/>
        </w:rPr>
        <w:t>Ain</w:t>
      </w:r>
      <w:proofErr w:type="spellEnd"/>
      <w:r w:rsidRPr="00C9559D">
        <w:rPr>
          <w:bCs/>
          <w:sz w:val="20"/>
          <w:szCs w:val="20"/>
        </w:rPr>
        <w:t xml:space="preserve"> Shams medical ethical </w:t>
      </w:r>
      <w:r w:rsidRPr="00C9559D">
        <w:rPr>
          <w:bCs/>
          <w:sz w:val="20"/>
          <w:szCs w:val="20"/>
        </w:rPr>
        <w:lastRenderedPageBreak/>
        <w:t xml:space="preserve">committee. Patients who met the eligibility criteria and agreed to participate in the study received a general explanation of the study and signed a </w:t>
      </w:r>
      <w:proofErr w:type="spellStart"/>
      <w:r w:rsidRPr="00C9559D">
        <w:rPr>
          <w:bCs/>
          <w:sz w:val="20"/>
          <w:szCs w:val="20"/>
        </w:rPr>
        <w:t>concent</w:t>
      </w:r>
      <w:proofErr w:type="spellEnd"/>
      <w:r w:rsidRPr="00C9559D">
        <w:rPr>
          <w:bCs/>
          <w:sz w:val="20"/>
          <w:szCs w:val="20"/>
        </w:rPr>
        <w:t xml:space="preserve">. </w:t>
      </w:r>
    </w:p>
    <w:p w:rsidR="007344C3" w:rsidRPr="00C9559D" w:rsidRDefault="007344C3" w:rsidP="00E616B2">
      <w:pPr>
        <w:snapToGrid w:val="0"/>
        <w:ind w:firstLine="425"/>
        <w:jc w:val="both"/>
        <w:rPr>
          <w:bCs/>
          <w:sz w:val="20"/>
          <w:szCs w:val="20"/>
        </w:rPr>
      </w:pPr>
      <w:r w:rsidRPr="00C9559D">
        <w:rPr>
          <w:bCs/>
          <w:sz w:val="20"/>
          <w:szCs w:val="20"/>
        </w:rPr>
        <w:t xml:space="preserve">All patients were subjected to the following: </w:t>
      </w:r>
    </w:p>
    <w:p w:rsidR="007344C3" w:rsidRPr="00C9559D" w:rsidRDefault="007344C3" w:rsidP="00E616B2">
      <w:pPr>
        <w:numPr>
          <w:ilvl w:val="0"/>
          <w:numId w:val="1"/>
        </w:numPr>
        <w:snapToGrid w:val="0"/>
        <w:ind w:left="0" w:firstLine="0"/>
        <w:jc w:val="both"/>
        <w:rPr>
          <w:b/>
          <w:bCs/>
          <w:i/>
          <w:iCs/>
          <w:sz w:val="20"/>
          <w:szCs w:val="20"/>
        </w:rPr>
      </w:pPr>
      <w:r w:rsidRPr="00C9559D">
        <w:rPr>
          <w:b/>
          <w:bCs/>
          <w:i/>
          <w:iCs/>
          <w:sz w:val="20"/>
          <w:szCs w:val="20"/>
        </w:rPr>
        <w:t xml:space="preserve">Full medical history taking with emphasis on: </w:t>
      </w:r>
    </w:p>
    <w:p w:rsidR="007344C3" w:rsidRPr="00C9559D" w:rsidRDefault="007344C3" w:rsidP="00E616B2">
      <w:pPr>
        <w:numPr>
          <w:ilvl w:val="0"/>
          <w:numId w:val="2"/>
        </w:numPr>
        <w:snapToGrid w:val="0"/>
        <w:ind w:left="0" w:firstLine="425"/>
        <w:jc w:val="both"/>
        <w:rPr>
          <w:bCs/>
          <w:sz w:val="20"/>
          <w:szCs w:val="20"/>
        </w:rPr>
      </w:pPr>
      <w:r w:rsidRPr="00C9559D">
        <w:rPr>
          <w:bCs/>
          <w:sz w:val="20"/>
          <w:szCs w:val="20"/>
        </w:rPr>
        <w:t>Age, gender and occupation.</w:t>
      </w:r>
    </w:p>
    <w:p w:rsidR="007344C3" w:rsidRPr="00C9559D" w:rsidRDefault="007344C3" w:rsidP="00E616B2">
      <w:pPr>
        <w:numPr>
          <w:ilvl w:val="0"/>
          <w:numId w:val="2"/>
        </w:numPr>
        <w:snapToGrid w:val="0"/>
        <w:ind w:left="0" w:firstLine="425"/>
        <w:jc w:val="both"/>
        <w:rPr>
          <w:bCs/>
          <w:sz w:val="20"/>
          <w:szCs w:val="20"/>
        </w:rPr>
      </w:pPr>
      <w:r w:rsidRPr="00C9559D">
        <w:rPr>
          <w:bCs/>
          <w:sz w:val="20"/>
          <w:szCs w:val="20"/>
        </w:rPr>
        <w:t xml:space="preserve">Onset, course and duration of symptoms. </w:t>
      </w:r>
    </w:p>
    <w:p w:rsidR="007344C3" w:rsidRPr="00C9559D" w:rsidRDefault="007344C3" w:rsidP="00E616B2">
      <w:pPr>
        <w:numPr>
          <w:ilvl w:val="0"/>
          <w:numId w:val="2"/>
        </w:numPr>
        <w:snapToGrid w:val="0"/>
        <w:ind w:left="0" w:firstLine="425"/>
        <w:jc w:val="both"/>
        <w:rPr>
          <w:bCs/>
          <w:sz w:val="20"/>
          <w:szCs w:val="20"/>
        </w:rPr>
      </w:pPr>
      <w:r w:rsidRPr="00C9559D">
        <w:rPr>
          <w:bCs/>
          <w:sz w:val="20"/>
          <w:szCs w:val="20"/>
        </w:rPr>
        <w:t>Central (localized) low back pain.</w:t>
      </w:r>
    </w:p>
    <w:p w:rsidR="007344C3" w:rsidRPr="00C9559D" w:rsidRDefault="007344C3" w:rsidP="00E616B2">
      <w:pPr>
        <w:numPr>
          <w:ilvl w:val="0"/>
          <w:numId w:val="2"/>
        </w:numPr>
        <w:snapToGrid w:val="0"/>
        <w:ind w:left="0" w:firstLine="425"/>
        <w:jc w:val="both"/>
        <w:rPr>
          <w:bCs/>
          <w:sz w:val="20"/>
          <w:szCs w:val="20"/>
        </w:rPr>
      </w:pPr>
      <w:r w:rsidRPr="00C9559D">
        <w:rPr>
          <w:bCs/>
          <w:sz w:val="20"/>
          <w:szCs w:val="20"/>
        </w:rPr>
        <w:t>Pain at the sacroiliac joints radiating to one or both lower limbs.</w:t>
      </w:r>
    </w:p>
    <w:p w:rsidR="007344C3" w:rsidRPr="00C9559D" w:rsidRDefault="007344C3" w:rsidP="00E616B2">
      <w:pPr>
        <w:numPr>
          <w:ilvl w:val="0"/>
          <w:numId w:val="2"/>
        </w:numPr>
        <w:snapToGrid w:val="0"/>
        <w:ind w:left="0" w:firstLine="425"/>
        <w:jc w:val="both"/>
        <w:rPr>
          <w:bCs/>
          <w:sz w:val="20"/>
          <w:szCs w:val="20"/>
        </w:rPr>
      </w:pPr>
      <w:r w:rsidRPr="00C9559D">
        <w:rPr>
          <w:bCs/>
          <w:sz w:val="20"/>
          <w:szCs w:val="20"/>
        </w:rPr>
        <w:t>Tingling and numbness in one or both lower limbs.</w:t>
      </w:r>
    </w:p>
    <w:p w:rsidR="007344C3" w:rsidRPr="00C9559D" w:rsidRDefault="007344C3" w:rsidP="00E616B2">
      <w:pPr>
        <w:numPr>
          <w:ilvl w:val="0"/>
          <w:numId w:val="2"/>
        </w:numPr>
        <w:snapToGrid w:val="0"/>
        <w:ind w:left="0" w:firstLine="425"/>
        <w:jc w:val="both"/>
        <w:rPr>
          <w:bCs/>
          <w:sz w:val="20"/>
          <w:szCs w:val="20"/>
        </w:rPr>
      </w:pPr>
      <w:r w:rsidRPr="00C9559D">
        <w:rPr>
          <w:bCs/>
          <w:sz w:val="20"/>
          <w:szCs w:val="20"/>
        </w:rPr>
        <w:t xml:space="preserve">Weakness in one or both lower limbs </w:t>
      </w:r>
    </w:p>
    <w:p w:rsidR="007344C3" w:rsidRPr="00C9559D" w:rsidRDefault="007344C3" w:rsidP="00E616B2">
      <w:pPr>
        <w:numPr>
          <w:ilvl w:val="0"/>
          <w:numId w:val="1"/>
        </w:numPr>
        <w:snapToGrid w:val="0"/>
        <w:ind w:left="0" w:firstLine="0"/>
        <w:jc w:val="both"/>
        <w:rPr>
          <w:b/>
          <w:bCs/>
          <w:i/>
          <w:iCs/>
          <w:sz w:val="20"/>
          <w:szCs w:val="20"/>
        </w:rPr>
      </w:pPr>
      <w:r w:rsidRPr="00C9559D">
        <w:rPr>
          <w:b/>
          <w:bCs/>
          <w:i/>
          <w:iCs/>
          <w:sz w:val="20"/>
          <w:szCs w:val="20"/>
        </w:rPr>
        <w:t xml:space="preserve">Full physical and neurological examination with emphasis on: </w:t>
      </w:r>
    </w:p>
    <w:p w:rsidR="007344C3" w:rsidRPr="00C9559D" w:rsidRDefault="007344C3" w:rsidP="00E616B2">
      <w:pPr>
        <w:snapToGrid w:val="0"/>
        <w:ind w:firstLine="425"/>
        <w:jc w:val="both"/>
        <w:rPr>
          <w:bCs/>
          <w:sz w:val="20"/>
          <w:szCs w:val="20"/>
        </w:rPr>
      </w:pPr>
      <w:r w:rsidRPr="00C9559D">
        <w:rPr>
          <w:bCs/>
          <w:i/>
          <w:iCs/>
          <w:sz w:val="20"/>
          <w:szCs w:val="20"/>
        </w:rPr>
        <w:t xml:space="preserve">Examination of the </w:t>
      </w:r>
      <w:proofErr w:type="spellStart"/>
      <w:r w:rsidRPr="00C9559D">
        <w:rPr>
          <w:bCs/>
          <w:i/>
          <w:iCs/>
          <w:sz w:val="20"/>
          <w:szCs w:val="20"/>
        </w:rPr>
        <w:t>lumbosacral</w:t>
      </w:r>
      <w:proofErr w:type="spellEnd"/>
      <w:r w:rsidRPr="00C9559D">
        <w:rPr>
          <w:bCs/>
          <w:i/>
          <w:iCs/>
          <w:sz w:val="20"/>
          <w:szCs w:val="20"/>
        </w:rPr>
        <w:t xml:space="preserve"> spines and lower extremity.</w:t>
      </w:r>
    </w:p>
    <w:p w:rsidR="007344C3" w:rsidRPr="00C9559D" w:rsidRDefault="007344C3" w:rsidP="00E616B2">
      <w:pPr>
        <w:numPr>
          <w:ilvl w:val="0"/>
          <w:numId w:val="3"/>
        </w:numPr>
        <w:snapToGrid w:val="0"/>
        <w:ind w:left="0" w:firstLine="0"/>
        <w:jc w:val="both"/>
        <w:rPr>
          <w:b/>
          <w:sz w:val="20"/>
          <w:szCs w:val="20"/>
        </w:rPr>
      </w:pPr>
      <w:r w:rsidRPr="00C9559D">
        <w:rPr>
          <w:b/>
          <w:sz w:val="20"/>
          <w:szCs w:val="20"/>
        </w:rPr>
        <w:t>Inspection:</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(Front): symmetry of shoulders</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(Side): lumbar </w:t>
      </w:r>
      <w:proofErr w:type="spellStart"/>
      <w:r w:rsidRPr="00C9559D">
        <w:rPr>
          <w:bCs/>
          <w:sz w:val="20"/>
          <w:szCs w:val="20"/>
        </w:rPr>
        <w:t>lordosis</w:t>
      </w:r>
      <w:proofErr w:type="spellEnd"/>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(Behind): scars – muscle wasting - scoliosis </w:t>
      </w:r>
    </w:p>
    <w:p w:rsidR="007344C3" w:rsidRPr="00C9559D" w:rsidRDefault="007344C3" w:rsidP="00E616B2">
      <w:pPr>
        <w:numPr>
          <w:ilvl w:val="0"/>
          <w:numId w:val="3"/>
        </w:numPr>
        <w:snapToGrid w:val="0"/>
        <w:ind w:left="0" w:firstLine="0"/>
        <w:jc w:val="both"/>
        <w:rPr>
          <w:b/>
          <w:sz w:val="20"/>
          <w:szCs w:val="20"/>
        </w:rPr>
      </w:pPr>
      <w:r w:rsidRPr="00C9559D">
        <w:rPr>
          <w:b/>
          <w:sz w:val="20"/>
          <w:szCs w:val="20"/>
        </w:rPr>
        <w:t xml:space="preserve">Palpation of: </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Spinal processes for tenderness</w:t>
      </w:r>
      <w:r w:rsidR="00D51578" w:rsidRPr="00C9559D">
        <w:rPr>
          <w:bCs/>
          <w:sz w:val="20"/>
          <w:szCs w:val="20"/>
        </w:rPr>
        <w:t xml:space="preserve"> &amp; </w:t>
      </w:r>
      <w:r w:rsidRPr="00C9559D">
        <w:rPr>
          <w:bCs/>
          <w:sz w:val="20"/>
          <w:szCs w:val="20"/>
        </w:rPr>
        <w:t>alignment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proofErr w:type="spellStart"/>
      <w:r w:rsidRPr="00C9559D">
        <w:rPr>
          <w:bCs/>
          <w:sz w:val="20"/>
          <w:szCs w:val="20"/>
        </w:rPr>
        <w:t>Paraspinal</w:t>
      </w:r>
      <w:proofErr w:type="spellEnd"/>
      <w:r w:rsidRPr="00C9559D">
        <w:rPr>
          <w:bCs/>
          <w:sz w:val="20"/>
          <w:szCs w:val="20"/>
        </w:rPr>
        <w:t xml:space="preserve"> muscles for tenderness</w:t>
      </w:r>
      <w:r w:rsidR="00D51578" w:rsidRPr="00C9559D">
        <w:rPr>
          <w:bCs/>
          <w:sz w:val="20"/>
          <w:szCs w:val="20"/>
        </w:rPr>
        <w:t xml:space="preserve"> &amp; </w:t>
      </w:r>
      <w:r w:rsidRPr="00C9559D">
        <w:rPr>
          <w:bCs/>
          <w:sz w:val="20"/>
          <w:szCs w:val="20"/>
        </w:rPr>
        <w:t>spasm</w:t>
      </w:r>
    </w:p>
    <w:p w:rsidR="007344C3" w:rsidRPr="00C9559D" w:rsidRDefault="007344C3" w:rsidP="00E616B2">
      <w:pPr>
        <w:numPr>
          <w:ilvl w:val="0"/>
          <w:numId w:val="3"/>
        </w:numPr>
        <w:snapToGrid w:val="0"/>
        <w:ind w:left="0" w:firstLine="0"/>
        <w:jc w:val="both"/>
        <w:rPr>
          <w:b/>
          <w:sz w:val="20"/>
          <w:szCs w:val="20"/>
        </w:rPr>
      </w:pPr>
      <w:r w:rsidRPr="00C9559D">
        <w:rPr>
          <w:b/>
          <w:sz w:val="20"/>
          <w:szCs w:val="20"/>
        </w:rPr>
        <w:t xml:space="preserve">Sensory examination </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Superficial sensation: </w:t>
      </w:r>
    </w:p>
    <w:p w:rsidR="007344C3" w:rsidRPr="00C9559D" w:rsidRDefault="007344C3" w:rsidP="00E616B2">
      <w:pPr>
        <w:snapToGrid w:val="0"/>
        <w:ind w:firstLine="425"/>
        <w:jc w:val="both"/>
        <w:rPr>
          <w:bCs/>
          <w:sz w:val="20"/>
          <w:szCs w:val="20"/>
        </w:rPr>
      </w:pPr>
      <w:r w:rsidRPr="00C9559D">
        <w:rPr>
          <w:bCs/>
          <w:sz w:val="20"/>
          <w:szCs w:val="20"/>
        </w:rPr>
        <w:t>Pinprick test: Whether the patient has normal pinprick-induced sensation.</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Deep sensation: </w:t>
      </w:r>
      <w:proofErr w:type="spellStart"/>
      <w:r w:rsidRPr="00C9559D">
        <w:rPr>
          <w:bCs/>
          <w:sz w:val="20"/>
          <w:szCs w:val="20"/>
        </w:rPr>
        <w:t>Proprioceptive</w:t>
      </w:r>
      <w:proofErr w:type="spellEnd"/>
      <w:r w:rsidRPr="00C9559D">
        <w:rPr>
          <w:bCs/>
          <w:sz w:val="20"/>
          <w:szCs w:val="20"/>
        </w:rPr>
        <w:t xml:space="preserve"> sensation including sense of position, sense of movement and vibration. </w:t>
      </w:r>
    </w:p>
    <w:p w:rsidR="007344C3" w:rsidRPr="00C9559D" w:rsidRDefault="007344C3" w:rsidP="00E616B2">
      <w:pPr>
        <w:numPr>
          <w:ilvl w:val="0"/>
          <w:numId w:val="3"/>
        </w:numPr>
        <w:snapToGrid w:val="0"/>
        <w:ind w:left="0" w:firstLine="0"/>
        <w:jc w:val="both"/>
        <w:rPr>
          <w:b/>
          <w:sz w:val="20"/>
          <w:szCs w:val="20"/>
        </w:rPr>
      </w:pPr>
      <w:r w:rsidRPr="00C9559D">
        <w:rPr>
          <w:b/>
          <w:sz w:val="20"/>
          <w:szCs w:val="20"/>
        </w:rPr>
        <w:t>Motor examination</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Muscle state</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Muscle tone (</w:t>
      </w:r>
      <w:proofErr w:type="spellStart"/>
      <w:r w:rsidRPr="00C9559D">
        <w:rPr>
          <w:bCs/>
          <w:sz w:val="20"/>
          <w:szCs w:val="20"/>
        </w:rPr>
        <w:t>hypertonia</w:t>
      </w:r>
      <w:proofErr w:type="spellEnd"/>
      <w:r w:rsidRPr="00C9559D">
        <w:rPr>
          <w:bCs/>
          <w:sz w:val="20"/>
          <w:szCs w:val="20"/>
        </w:rPr>
        <w:t xml:space="preserve"> – </w:t>
      </w:r>
      <w:proofErr w:type="spellStart"/>
      <w:r w:rsidRPr="00C9559D">
        <w:rPr>
          <w:bCs/>
          <w:sz w:val="20"/>
          <w:szCs w:val="20"/>
        </w:rPr>
        <w:t>hypotonia</w:t>
      </w:r>
      <w:proofErr w:type="spellEnd"/>
      <w:r w:rsidRPr="00C9559D">
        <w:rPr>
          <w:bCs/>
          <w:sz w:val="20"/>
          <w:szCs w:val="20"/>
        </w:rPr>
        <w:t xml:space="preserve"> – </w:t>
      </w:r>
      <w:proofErr w:type="spellStart"/>
      <w:r w:rsidRPr="00C9559D">
        <w:rPr>
          <w:bCs/>
          <w:sz w:val="20"/>
          <w:szCs w:val="20"/>
        </w:rPr>
        <w:t>normotonia</w:t>
      </w:r>
      <w:proofErr w:type="spellEnd"/>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Grading of muscle power of lower limb muscles using: </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From 0 to 5 with 0 means no power</w:t>
      </w:r>
      <w:r w:rsidR="00D51578" w:rsidRPr="00C9559D">
        <w:rPr>
          <w:bCs/>
          <w:sz w:val="20"/>
          <w:szCs w:val="20"/>
        </w:rPr>
        <w:t xml:space="preserve"> &amp; </w:t>
      </w:r>
      <w:r w:rsidRPr="00C9559D">
        <w:rPr>
          <w:bCs/>
          <w:sz w:val="20"/>
          <w:szCs w:val="20"/>
        </w:rPr>
        <w:t>5 means full power.</w:t>
      </w:r>
    </w:p>
    <w:p w:rsidR="00C9559D" w:rsidRDefault="00C9559D" w:rsidP="00E616B2">
      <w:pPr>
        <w:snapToGrid w:val="0"/>
        <w:jc w:val="both"/>
        <w:rPr>
          <w:rFonts w:hint="eastAsia"/>
          <w:b/>
          <w:bCs/>
          <w:sz w:val="20"/>
          <w:szCs w:val="20"/>
          <w:lang w:eastAsia="zh-CN"/>
        </w:rPr>
      </w:pPr>
    </w:p>
    <w:p w:rsidR="007344C3" w:rsidRPr="00C9559D" w:rsidRDefault="007344C3" w:rsidP="00E616B2">
      <w:pPr>
        <w:snapToGrid w:val="0"/>
        <w:jc w:val="both"/>
        <w:rPr>
          <w:b/>
          <w:bCs/>
          <w:sz w:val="20"/>
          <w:szCs w:val="20"/>
        </w:rPr>
      </w:pPr>
      <w:r w:rsidRPr="00C9559D">
        <w:rPr>
          <w:b/>
          <w:bCs/>
          <w:sz w:val="20"/>
          <w:szCs w:val="20"/>
        </w:rPr>
        <w:t>The five provocative tests that were performed included:</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Distraction</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Thigh Thrust.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FABER (flexion, abduction, and external rotation).</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lastRenderedPageBreak/>
        <w:t>Compression</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proofErr w:type="spellStart"/>
      <w:r w:rsidRPr="00C9559D">
        <w:rPr>
          <w:bCs/>
          <w:sz w:val="20"/>
          <w:szCs w:val="20"/>
        </w:rPr>
        <w:t>Gaenslen’s</w:t>
      </w:r>
      <w:proofErr w:type="spellEnd"/>
    </w:p>
    <w:p w:rsidR="007344C3" w:rsidRPr="00C9559D" w:rsidRDefault="007344C3" w:rsidP="00E616B2">
      <w:pPr>
        <w:numPr>
          <w:ilvl w:val="0"/>
          <w:numId w:val="1"/>
        </w:numPr>
        <w:snapToGrid w:val="0"/>
        <w:ind w:left="0" w:firstLine="0"/>
        <w:jc w:val="both"/>
        <w:rPr>
          <w:b/>
          <w:bCs/>
          <w:i/>
          <w:iCs/>
          <w:sz w:val="20"/>
          <w:szCs w:val="20"/>
        </w:rPr>
      </w:pPr>
      <w:r w:rsidRPr="00C9559D">
        <w:rPr>
          <w:b/>
          <w:bCs/>
          <w:i/>
          <w:iCs/>
          <w:sz w:val="20"/>
          <w:szCs w:val="20"/>
        </w:rPr>
        <w:t xml:space="preserve">Laboratory investigations including: </w:t>
      </w:r>
      <w:r w:rsidRPr="00C9559D">
        <w:rPr>
          <w:b/>
          <w:bCs/>
          <w:i/>
          <w:iCs/>
          <w:sz w:val="20"/>
          <w:szCs w:val="20"/>
          <w:cs/>
          <w:lang w:bidi="ar-EG"/>
        </w:rPr>
        <w: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cs/>
        </w:rPr>
      </w:pPr>
      <w:r w:rsidRPr="00C9559D">
        <w:rPr>
          <w:bCs/>
          <w:sz w:val="20"/>
          <w:szCs w:val="20"/>
        </w:rPr>
        <w:t>Erythrocyte sedimentation rate (ESR) and Quantitative C reactive protein (CRP).</w:t>
      </w:r>
      <w:r w:rsidRPr="00C9559D">
        <w:rPr>
          <w:bCs/>
          <w:sz w:val="20"/>
          <w:szCs w:val="20"/>
          <w:cs/>
        </w:rPr>
        <w: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Complete blood count (CBC) </w:t>
      </w:r>
      <w:r w:rsidRPr="00C9559D">
        <w:rPr>
          <w:bCs/>
          <w:sz w:val="20"/>
          <w:szCs w:val="20"/>
          <w:cs/>
        </w:rPr>
        <w: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cs/>
        </w:rPr>
        <w:t>‎</w:t>
      </w:r>
      <w:r w:rsidRPr="00C9559D">
        <w:rPr>
          <w:bCs/>
          <w:sz w:val="20"/>
          <w:szCs w:val="20"/>
        </w:rPr>
        <w:t>Fasting blood sugar</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cs/>
        </w:rPr>
      </w:pPr>
      <w:r w:rsidRPr="00C9559D">
        <w:rPr>
          <w:bCs/>
          <w:sz w:val="20"/>
          <w:szCs w:val="20"/>
          <w:cs/>
        </w:rPr>
        <w:t>‎</w:t>
      </w:r>
      <w:r w:rsidRPr="00C9559D">
        <w:rPr>
          <w:bCs/>
          <w:sz w:val="20"/>
          <w:szCs w:val="20"/>
        </w:rPr>
        <w:t xml:space="preserve">Kidney function tests: Blood urea nitrogen (BUN), Serum uric acid and </w:t>
      </w:r>
      <w:r w:rsidRPr="00C9559D">
        <w:rPr>
          <w:bCs/>
          <w:sz w:val="20"/>
          <w:szCs w:val="20"/>
          <w:cs/>
        </w:rPr>
        <w:t>‎</w:t>
      </w:r>
      <w:proofErr w:type="spellStart"/>
      <w:r w:rsidRPr="00C9559D">
        <w:rPr>
          <w:bCs/>
          <w:sz w:val="20"/>
          <w:szCs w:val="20"/>
        </w:rPr>
        <w:t>creatinine</w:t>
      </w:r>
      <w:proofErr w:type="spellEnd"/>
      <w:r w:rsidRPr="00C9559D">
        <w:rPr>
          <w:bCs/>
          <w:sz w:val="20"/>
          <w:szCs w:val="20"/>
        </w:rPr>
        <w:t>.</w:t>
      </w:r>
      <w:r w:rsidRPr="00C9559D">
        <w:rPr>
          <w:bCs/>
          <w:sz w:val="20"/>
          <w:szCs w:val="20"/>
          <w:cs/>
        </w:rPr>
        <w: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rPr>
      </w:pPr>
      <w:r w:rsidRPr="00C9559D">
        <w:rPr>
          <w:bCs/>
          <w:sz w:val="20"/>
          <w:szCs w:val="20"/>
        </w:rPr>
        <w:t xml:space="preserve">Liver function tests: serum </w:t>
      </w:r>
      <w:proofErr w:type="spellStart"/>
      <w:r w:rsidRPr="00C9559D">
        <w:rPr>
          <w:bCs/>
          <w:sz w:val="20"/>
          <w:szCs w:val="20"/>
        </w:rPr>
        <w:t>aspartate</w:t>
      </w:r>
      <w:proofErr w:type="spellEnd"/>
      <w:r w:rsidRPr="00C9559D">
        <w:rPr>
          <w:bCs/>
          <w:sz w:val="20"/>
          <w:szCs w:val="20"/>
        </w:rPr>
        <w:t xml:space="preserve"> amino </w:t>
      </w:r>
      <w:proofErr w:type="spellStart"/>
      <w:r w:rsidRPr="00C9559D">
        <w:rPr>
          <w:bCs/>
          <w:sz w:val="20"/>
          <w:szCs w:val="20"/>
        </w:rPr>
        <w:t>transferase</w:t>
      </w:r>
      <w:proofErr w:type="spellEnd"/>
      <w:r w:rsidRPr="00C9559D">
        <w:rPr>
          <w:bCs/>
          <w:sz w:val="20"/>
          <w:szCs w:val="20"/>
        </w:rPr>
        <w:t xml:space="preserve"> (AST), serum </w:t>
      </w:r>
      <w:proofErr w:type="spellStart"/>
      <w:r w:rsidRPr="00C9559D">
        <w:rPr>
          <w:bCs/>
          <w:sz w:val="20"/>
          <w:szCs w:val="20"/>
        </w:rPr>
        <w:t>alanine</w:t>
      </w:r>
      <w:proofErr w:type="spellEnd"/>
      <w:r w:rsidRPr="00C9559D">
        <w:rPr>
          <w:bCs/>
          <w:sz w:val="20"/>
          <w:szCs w:val="20"/>
        </w:rPr>
        <w:t xml:space="preserve"> </w:t>
      </w:r>
      <w:r w:rsidRPr="00C9559D">
        <w:rPr>
          <w:bCs/>
          <w:sz w:val="20"/>
          <w:szCs w:val="20"/>
          <w:cs/>
        </w:rPr>
        <w:t>‎</w:t>
      </w:r>
      <w:r w:rsidRPr="00C9559D">
        <w:rPr>
          <w:bCs/>
          <w:sz w:val="20"/>
          <w:szCs w:val="20"/>
        </w:rPr>
        <w:t xml:space="preserve">amino </w:t>
      </w:r>
      <w:proofErr w:type="spellStart"/>
      <w:r w:rsidRPr="00C9559D">
        <w:rPr>
          <w:bCs/>
          <w:sz w:val="20"/>
          <w:szCs w:val="20"/>
        </w:rPr>
        <w:t>transferase</w:t>
      </w:r>
      <w:proofErr w:type="spellEnd"/>
      <w:r w:rsidRPr="00C9559D">
        <w:rPr>
          <w:bCs/>
          <w:sz w:val="20"/>
          <w:szCs w:val="20"/>
        </w:rPr>
        <w:t xml:space="preserve"> (ALT) and </w:t>
      </w:r>
      <w:proofErr w:type="spellStart"/>
      <w:r w:rsidRPr="00C9559D">
        <w:rPr>
          <w:bCs/>
          <w:sz w:val="20"/>
          <w:szCs w:val="20"/>
        </w:rPr>
        <w:t>bilirubin</w:t>
      </w:r>
      <w:proofErr w:type="spellEnd"/>
      <w:r w:rsidRPr="00C9559D">
        <w:rPr>
          <w:bCs/>
          <w:sz w:val="20"/>
          <w:szCs w:val="20"/>
        </w:rPr>
        <w:t>.</w:t>
      </w:r>
      <w:r w:rsidRPr="00C9559D">
        <w:rPr>
          <w:bCs/>
          <w:sz w:val="20"/>
          <w:szCs w:val="20"/>
          <w:cs/>
        </w:rPr>
        <w:t>‎</w:t>
      </w:r>
    </w:p>
    <w:p w:rsidR="007344C3" w:rsidRPr="00C9559D" w:rsidRDefault="007344C3" w:rsidP="00E616B2">
      <w:pPr>
        <w:numPr>
          <w:ilvl w:val="0"/>
          <w:numId w:val="6"/>
        </w:numPr>
        <w:tabs>
          <w:tab w:val="clear" w:pos="1440"/>
          <w:tab w:val="num" w:pos="74"/>
          <w:tab w:val="num" w:pos="720"/>
        </w:tabs>
        <w:snapToGrid w:val="0"/>
        <w:ind w:left="0" w:firstLine="425"/>
        <w:jc w:val="both"/>
        <w:rPr>
          <w:bCs/>
          <w:sz w:val="20"/>
          <w:szCs w:val="20"/>
          <w:cs/>
        </w:rPr>
      </w:pPr>
      <w:r w:rsidRPr="00C9559D">
        <w:rPr>
          <w:bCs/>
          <w:sz w:val="20"/>
          <w:szCs w:val="20"/>
        </w:rPr>
        <w:t>Coagulation profile (to check for any bleeding tendency</w:t>
      </w:r>
    </w:p>
    <w:p w:rsidR="007344C3" w:rsidRPr="00C9559D" w:rsidRDefault="007344C3" w:rsidP="00E616B2">
      <w:pPr>
        <w:numPr>
          <w:ilvl w:val="0"/>
          <w:numId w:val="1"/>
        </w:numPr>
        <w:snapToGrid w:val="0"/>
        <w:ind w:left="0" w:firstLine="425"/>
        <w:jc w:val="both"/>
        <w:rPr>
          <w:i/>
          <w:iCs/>
          <w:sz w:val="20"/>
          <w:szCs w:val="20"/>
        </w:rPr>
      </w:pPr>
      <w:r w:rsidRPr="00C9559D">
        <w:rPr>
          <w:b/>
          <w:bCs/>
          <w:i/>
          <w:iCs/>
          <w:sz w:val="20"/>
          <w:szCs w:val="20"/>
        </w:rPr>
        <w:t>Electrophysiological studies</w:t>
      </w:r>
      <w:r w:rsidRPr="00C9559D">
        <w:rPr>
          <w:i/>
          <w:iCs/>
          <w:sz w:val="20"/>
          <w:szCs w:val="20"/>
        </w:rPr>
        <w:t>:</w:t>
      </w:r>
    </w:p>
    <w:p w:rsidR="007344C3" w:rsidRPr="00C9559D" w:rsidRDefault="007344C3" w:rsidP="00E616B2">
      <w:pPr>
        <w:numPr>
          <w:ilvl w:val="0"/>
          <w:numId w:val="7"/>
        </w:numPr>
        <w:snapToGrid w:val="0"/>
        <w:ind w:left="0" w:firstLine="425"/>
        <w:jc w:val="both"/>
        <w:rPr>
          <w:sz w:val="20"/>
          <w:szCs w:val="20"/>
        </w:rPr>
      </w:pPr>
      <w:r w:rsidRPr="00C9559D">
        <w:rPr>
          <w:sz w:val="20"/>
          <w:szCs w:val="20"/>
        </w:rPr>
        <w:t xml:space="preserve">The following electro diagnostic studies were performed using </w:t>
      </w:r>
      <w:proofErr w:type="spellStart"/>
      <w:r w:rsidRPr="00C9559D">
        <w:rPr>
          <w:sz w:val="20"/>
          <w:szCs w:val="20"/>
        </w:rPr>
        <w:t>Cadwell</w:t>
      </w:r>
      <w:proofErr w:type="spellEnd"/>
      <w:r w:rsidRPr="00C9559D">
        <w:rPr>
          <w:sz w:val="20"/>
          <w:szCs w:val="20"/>
        </w:rPr>
        <w:t xml:space="preserve"> (Sierra Wave):</w:t>
      </w:r>
    </w:p>
    <w:p w:rsidR="007344C3" w:rsidRPr="00C9559D" w:rsidRDefault="007344C3" w:rsidP="00E616B2">
      <w:pPr>
        <w:snapToGrid w:val="0"/>
        <w:ind w:firstLine="425"/>
        <w:jc w:val="both"/>
        <w:rPr>
          <w:sz w:val="20"/>
          <w:szCs w:val="20"/>
        </w:rPr>
      </w:pPr>
      <w:r w:rsidRPr="00C9559D">
        <w:rPr>
          <w:sz w:val="20"/>
          <w:szCs w:val="20"/>
        </w:rPr>
        <w:t xml:space="preserve">1. Motor nerve conduction studies of </w:t>
      </w:r>
      <w:proofErr w:type="spellStart"/>
      <w:r w:rsidRPr="00C9559D">
        <w:rPr>
          <w:sz w:val="20"/>
          <w:szCs w:val="20"/>
        </w:rPr>
        <w:t>tibial</w:t>
      </w:r>
      <w:proofErr w:type="spellEnd"/>
      <w:r w:rsidRPr="00C9559D">
        <w:rPr>
          <w:sz w:val="20"/>
          <w:szCs w:val="20"/>
        </w:rPr>
        <w:t xml:space="preserve"> and </w:t>
      </w:r>
      <w:proofErr w:type="spellStart"/>
      <w:r w:rsidRPr="00C9559D">
        <w:rPr>
          <w:sz w:val="20"/>
          <w:szCs w:val="20"/>
        </w:rPr>
        <w:t>peroneal</w:t>
      </w:r>
      <w:proofErr w:type="spellEnd"/>
      <w:r w:rsidRPr="00C9559D">
        <w:rPr>
          <w:sz w:val="20"/>
          <w:szCs w:val="20"/>
        </w:rPr>
        <w:t xml:space="preserve"> nerves</w:t>
      </w:r>
    </w:p>
    <w:p w:rsidR="007344C3" w:rsidRPr="00C9559D" w:rsidRDefault="007344C3" w:rsidP="00E616B2">
      <w:pPr>
        <w:snapToGrid w:val="0"/>
        <w:ind w:firstLine="425"/>
        <w:jc w:val="both"/>
        <w:rPr>
          <w:sz w:val="20"/>
          <w:szCs w:val="20"/>
        </w:rPr>
      </w:pPr>
      <w:r w:rsidRPr="00C9559D">
        <w:rPr>
          <w:sz w:val="20"/>
          <w:szCs w:val="20"/>
        </w:rPr>
        <w:t xml:space="preserve">2. Sensory nerve conduction study of the </w:t>
      </w:r>
      <w:proofErr w:type="spellStart"/>
      <w:r w:rsidRPr="00C9559D">
        <w:rPr>
          <w:sz w:val="20"/>
          <w:szCs w:val="20"/>
        </w:rPr>
        <w:t>sural</w:t>
      </w:r>
      <w:proofErr w:type="spellEnd"/>
      <w:r w:rsidRPr="00C9559D">
        <w:rPr>
          <w:sz w:val="20"/>
          <w:szCs w:val="20"/>
        </w:rPr>
        <w:t xml:space="preserve"> nerve</w:t>
      </w:r>
    </w:p>
    <w:p w:rsidR="007344C3" w:rsidRPr="00C9559D" w:rsidRDefault="007344C3" w:rsidP="00E616B2">
      <w:pPr>
        <w:snapToGrid w:val="0"/>
        <w:ind w:firstLine="425"/>
        <w:jc w:val="both"/>
        <w:rPr>
          <w:sz w:val="20"/>
          <w:szCs w:val="20"/>
        </w:rPr>
      </w:pPr>
      <w:r w:rsidRPr="00C9559D">
        <w:rPr>
          <w:sz w:val="20"/>
          <w:szCs w:val="20"/>
        </w:rPr>
        <w:t xml:space="preserve">3. F-wave study and H-reflex of the </w:t>
      </w:r>
      <w:proofErr w:type="spellStart"/>
      <w:r w:rsidRPr="00C9559D">
        <w:rPr>
          <w:sz w:val="20"/>
          <w:szCs w:val="20"/>
        </w:rPr>
        <w:t>tibial</w:t>
      </w:r>
      <w:proofErr w:type="spellEnd"/>
      <w:r w:rsidRPr="00C9559D">
        <w:rPr>
          <w:sz w:val="20"/>
          <w:szCs w:val="20"/>
        </w:rPr>
        <w:t xml:space="preserve"> nerve </w:t>
      </w:r>
    </w:p>
    <w:p w:rsidR="00C9559D" w:rsidRDefault="00C9559D" w:rsidP="00E616B2">
      <w:pPr>
        <w:snapToGrid w:val="0"/>
        <w:jc w:val="both"/>
        <w:rPr>
          <w:rFonts w:hint="eastAsia"/>
          <w:b/>
          <w:bCs/>
          <w:sz w:val="20"/>
          <w:szCs w:val="20"/>
          <w:lang w:eastAsia="zh-CN"/>
        </w:rPr>
      </w:pPr>
    </w:p>
    <w:p w:rsidR="00023EB8" w:rsidRPr="00C9559D" w:rsidRDefault="00023EB8" w:rsidP="00E616B2">
      <w:pPr>
        <w:snapToGrid w:val="0"/>
        <w:jc w:val="both"/>
        <w:rPr>
          <w:sz w:val="20"/>
          <w:szCs w:val="20"/>
        </w:rPr>
      </w:pPr>
      <w:r w:rsidRPr="00C9559D">
        <w:rPr>
          <w:b/>
          <w:bCs/>
          <w:sz w:val="20"/>
          <w:szCs w:val="20"/>
        </w:rPr>
        <w:t>Reassessment of the patients:</w:t>
      </w:r>
    </w:p>
    <w:p w:rsidR="00023EB8" w:rsidRPr="00C9559D" w:rsidRDefault="00023EB8" w:rsidP="00E616B2">
      <w:pPr>
        <w:snapToGrid w:val="0"/>
        <w:ind w:firstLine="425"/>
        <w:jc w:val="both"/>
        <w:rPr>
          <w:sz w:val="20"/>
          <w:szCs w:val="20"/>
        </w:rPr>
      </w:pPr>
      <w:r w:rsidRPr="00C9559D">
        <w:rPr>
          <w:sz w:val="20"/>
          <w:szCs w:val="20"/>
        </w:rPr>
        <w:t xml:space="preserve">Patients were assessed clinically and via the VAS for back pain and leg pain and the </w:t>
      </w:r>
      <w:proofErr w:type="spellStart"/>
      <w:r w:rsidRPr="00C9559D">
        <w:rPr>
          <w:sz w:val="20"/>
          <w:szCs w:val="20"/>
        </w:rPr>
        <w:t>Oswestry</w:t>
      </w:r>
      <w:proofErr w:type="spellEnd"/>
      <w:r w:rsidRPr="00C9559D">
        <w:rPr>
          <w:sz w:val="20"/>
          <w:szCs w:val="20"/>
        </w:rPr>
        <w:t xml:space="preserve"> disability index for functional outcome in 2 visits post injection.</w:t>
      </w:r>
    </w:p>
    <w:p w:rsidR="00023EB8" w:rsidRPr="00C9559D" w:rsidRDefault="00023EB8" w:rsidP="00E616B2">
      <w:pPr>
        <w:snapToGrid w:val="0"/>
        <w:ind w:firstLine="425"/>
        <w:jc w:val="both"/>
        <w:rPr>
          <w:sz w:val="20"/>
          <w:szCs w:val="20"/>
        </w:rPr>
      </w:pPr>
      <w:r w:rsidRPr="00C9559D">
        <w:rPr>
          <w:sz w:val="20"/>
          <w:szCs w:val="20"/>
        </w:rPr>
        <w:t>The first visit was scheduled at the 6th week post-injection to assess the immediate effect of the injected epidural steroid, and the second visit was scheduled at 12</w:t>
      </w:r>
      <w:r w:rsidRPr="00C9559D">
        <w:rPr>
          <w:sz w:val="20"/>
          <w:szCs w:val="20"/>
          <w:vertAlign w:val="superscript"/>
        </w:rPr>
        <w:t>th</w:t>
      </w:r>
      <w:r w:rsidRPr="00C9559D">
        <w:rPr>
          <w:sz w:val="20"/>
          <w:szCs w:val="20"/>
        </w:rPr>
        <w:t xml:space="preserve"> week post-injection to assess the short-term effect. Then statistics was done.</w:t>
      </w:r>
    </w:p>
    <w:p w:rsidR="00C9559D" w:rsidRDefault="00C9559D" w:rsidP="00E616B2">
      <w:pPr>
        <w:snapToGrid w:val="0"/>
        <w:jc w:val="both"/>
        <w:rPr>
          <w:rFonts w:hint="eastAsia"/>
          <w:b/>
          <w:bCs/>
          <w:sz w:val="20"/>
          <w:szCs w:val="20"/>
          <w:lang w:eastAsia="zh-CN"/>
        </w:rPr>
      </w:pPr>
    </w:p>
    <w:p w:rsidR="00023EB8" w:rsidRPr="00C9559D" w:rsidRDefault="00023EB8" w:rsidP="00E616B2">
      <w:pPr>
        <w:snapToGrid w:val="0"/>
        <w:jc w:val="both"/>
        <w:rPr>
          <w:b/>
          <w:bCs/>
          <w:sz w:val="20"/>
          <w:szCs w:val="20"/>
        </w:rPr>
      </w:pPr>
      <w:r w:rsidRPr="00C9559D">
        <w:rPr>
          <w:b/>
          <w:bCs/>
          <w:sz w:val="20"/>
          <w:szCs w:val="20"/>
        </w:rPr>
        <w:t>Statistical Analysis</w:t>
      </w:r>
    </w:p>
    <w:p w:rsidR="007344C3" w:rsidRPr="00C9559D" w:rsidRDefault="00023EB8" w:rsidP="00E616B2">
      <w:pPr>
        <w:snapToGrid w:val="0"/>
        <w:ind w:firstLine="425"/>
        <w:jc w:val="both"/>
        <w:rPr>
          <w:sz w:val="20"/>
          <w:szCs w:val="20"/>
        </w:rPr>
      </w:pPr>
      <w:r w:rsidRPr="00C9559D">
        <w:rPr>
          <w:sz w:val="20"/>
          <w:szCs w:val="20"/>
        </w:rPr>
        <w:t>Data were collected, revised, coded and entered to the Statistical Package for Social Science (IBM SPSS) version 23. So, the p-value was considered significant as the following: P-value &gt; 0.05: Non significant (NS), P-value &lt; 0.05: Significant (S),</w:t>
      </w:r>
      <w:r w:rsidR="00AF5077" w:rsidRPr="00C9559D">
        <w:rPr>
          <w:sz w:val="20"/>
          <w:szCs w:val="20"/>
        </w:rPr>
        <w:t xml:space="preserve"> P-value &lt; 0.</w:t>
      </w:r>
      <w:r w:rsidRPr="00C9559D">
        <w:rPr>
          <w:sz w:val="20"/>
          <w:szCs w:val="20"/>
        </w:rPr>
        <w:t>01: Highly significant (HS).</w:t>
      </w:r>
    </w:p>
    <w:p w:rsidR="00EA0D94" w:rsidRPr="00C9559D" w:rsidRDefault="00EA0D94" w:rsidP="00E616B2">
      <w:pPr>
        <w:snapToGrid w:val="0"/>
        <w:ind w:firstLine="425"/>
        <w:jc w:val="both"/>
        <w:rPr>
          <w:sz w:val="20"/>
          <w:szCs w:val="20"/>
          <w:lang w:val="en-GB"/>
        </w:rPr>
      </w:pPr>
    </w:p>
    <w:p w:rsidR="00EA0D94" w:rsidRPr="00C9559D" w:rsidRDefault="00EA0D94" w:rsidP="00E616B2">
      <w:pPr>
        <w:snapToGrid w:val="0"/>
        <w:jc w:val="both"/>
        <w:rPr>
          <w:b/>
          <w:bCs/>
          <w:sz w:val="20"/>
          <w:szCs w:val="20"/>
        </w:rPr>
      </w:pPr>
      <w:r w:rsidRPr="00C9559D">
        <w:rPr>
          <w:b/>
          <w:bCs/>
          <w:sz w:val="20"/>
          <w:szCs w:val="20"/>
        </w:rPr>
        <w:t>3.</w:t>
      </w:r>
      <w:r w:rsidR="00D51578" w:rsidRPr="00C9559D">
        <w:rPr>
          <w:b/>
          <w:bCs/>
          <w:sz w:val="20"/>
          <w:szCs w:val="20"/>
        </w:rPr>
        <w:t xml:space="preserve"> </w:t>
      </w:r>
      <w:r w:rsidRPr="00C9559D">
        <w:rPr>
          <w:b/>
          <w:bCs/>
          <w:sz w:val="20"/>
          <w:szCs w:val="20"/>
        </w:rPr>
        <w:t xml:space="preserve">Results </w:t>
      </w:r>
    </w:p>
    <w:p w:rsidR="00EA0D94" w:rsidRPr="00C9559D" w:rsidRDefault="00EA0D94" w:rsidP="00E616B2">
      <w:pPr>
        <w:snapToGrid w:val="0"/>
        <w:ind w:firstLine="425"/>
        <w:jc w:val="both"/>
        <w:rPr>
          <w:sz w:val="20"/>
          <w:szCs w:val="20"/>
        </w:rPr>
      </w:pPr>
      <w:r w:rsidRPr="00C9559D">
        <w:rPr>
          <w:sz w:val="20"/>
          <w:szCs w:val="20"/>
          <w:lang w:val="en-GB"/>
        </w:rPr>
        <w:t>The laboratory investigations were normal in all patients except the ESR which was mildly high in 3 patients.</w:t>
      </w:r>
    </w:p>
    <w:p w:rsidR="00E616B2" w:rsidRPr="00C9559D" w:rsidRDefault="00E616B2" w:rsidP="00E616B2">
      <w:pPr>
        <w:snapToGrid w:val="0"/>
        <w:ind w:firstLine="425"/>
        <w:jc w:val="both"/>
        <w:rPr>
          <w:sz w:val="20"/>
          <w:szCs w:val="20"/>
        </w:rPr>
        <w:sectPr w:rsidR="00E616B2" w:rsidRPr="00C9559D" w:rsidSect="00E616B2">
          <w:type w:val="continuous"/>
          <w:pgSz w:w="12240" w:h="15840" w:code="9"/>
          <w:pgMar w:top="1440" w:right="1440" w:bottom="1440" w:left="1440" w:header="720" w:footer="720" w:gutter="0"/>
          <w:cols w:num="2" w:space="600"/>
          <w:docGrid w:linePitch="360"/>
        </w:sectPr>
      </w:pPr>
    </w:p>
    <w:p w:rsidR="00EA0D94" w:rsidRPr="00C9559D" w:rsidRDefault="00EA0D94" w:rsidP="00E616B2">
      <w:pPr>
        <w:snapToGrid w:val="0"/>
        <w:ind w:firstLine="425"/>
        <w:jc w:val="both"/>
        <w:rPr>
          <w:sz w:val="20"/>
          <w:szCs w:val="20"/>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C9559D" w:rsidRDefault="00C9559D" w:rsidP="00E616B2">
      <w:pPr>
        <w:snapToGrid w:val="0"/>
        <w:jc w:val="center"/>
        <w:rPr>
          <w:rFonts w:hint="eastAsia"/>
          <w:b/>
          <w:bCs/>
          <w:sz w:val="20"/>
          <w:szCs w:val="20"/>
          <w:lang w:eastAsia="zh-CN"/>
        </w:rPr>
      </w:pPr>
    </w:p>
    <w:p w:rsidR="00414D55" w:rsidRPr="00C9559D" w:rsidRDefault="00414D55" w:rsidP="00E616B2">
      <w:pPr>
        <w:snapToGrid w:val="0"/>
        <w:jc w:val="center"/>
        <w:rPr>
          <w:sz w:val="20"/>
          <w:szCs w:val="20"/>
          <w:lang w:val="en-GB"/>
        </w:rPr>
      </w:pPr>
      <w:r w:rsidRPr="00C9559D">
        <w:rPr>
          <w:b/>
          <w:bCs/>
          <w:sz w:val="20"/>
          <w:szCs w:val="20"/>
        </w:rPr>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1</w:t>
      </w:r>
      <w:r w:rsidR="00FA4FCE" w:rsidRPr="00C9559D">
        <w:rPr>
          <w:sz w:val="20"/>
          <w:szCs w:val="20"/>
        </w:rPr>
        <w:fldChar w:fldCharType="end"/>
      </w:r>
      <w:r w:rsidRPr="00C9559D">
        <w:rPr>
          <w:b/>
          <w:bCs/>
          <w:sz w:val="20"/>
          <w:szCs w:val="20"/>
        </w:rPr>
        <w:t>):</w:t>
      </w:r>
      <w:r w:rsidRPr="00C9559D">
        <w:rPr>
          <w:sz w:val="20"/>
          <w:szCs w:val="20"/>
          <w:lang w:val="en-GB"/>
        </w:rPr>
        <w:t xml:space="preserve"> Shows clinical and functional data at pre injection, 1</w:t>
      </w:r>
      <w:r w:rsidRPr="00C9559D">
        <w:rPr>
          <w:sz w:val="20"/>
          <w:szCs w:val="20"/>
          <w:vertAlign w:val="superscript"/>
          <w:lang w:val="en-GB"/>
        </w:rPr>
        <w:t>st</w:t>
      </w:r>
      <w:r w:rsidRPr="00C9559D">
        <w:rPr>
          <w:sz w:val="20"/>
          <w:szCs w:val="20"/>
          <w:lang w:val="en-GB"/>
        </w:rPr>
        <w:t xml:space="preserve"> visit (45 days) and 2</w:t>
      </w:r>
      <w:r w:rsidRPr="00C9559D">
        <w:rPr>
          <w:sz w:val="20"/>
          <w:szCs w:val="20"/>
          <w:vertAlign w:val="superscript"/>
          <w:lang w:val="en-GB"/>
        </w:rPr>
        <w:t>nd</w:t>
      </w:r>
      <w:r w:rsidRPr="00C9559D">
        <w:rPr>
          <w:sz w:val="20"/>
          <w:szCs w:val="20"/>
          <w:lang w:val="en-GB"/>
        </w:rPr>
        <w:t xml:space="preserve"> (90 days)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581"/>
        <w:gridCol w:w="1772"/>
        <w:gridCol w:w="1709"/>
        <w:gridCol w:w="2170"/>
        <w:gridCol w:w="2242"/>
      </w:tblGrid>
      <w:tr w:rsidR="00414D55" w:rsidRPr="00C9559D" w:rsidTr="00E616B2">
        <w:trPr>
          <w:tblHeader/>
          <w:jc w:val="center"/>
        </w:trPr>
        <w:tc>
          <w:tcPr>
            <w:tcW w:w="1770" w:type="pct"/>
            <w:gridSpan w:val="2"/>
            <w:vAlign w:val="center"/>
          </w:tcPr>
          <w:p w:rsidR="00414D55" w:rsidRPr="00C9559D" w:rsidRDefault="00414D55" w:rsidP="00E616B2">
            <w:pPr>
              <w:snapToGrid w:val="0"/>
              <w:jc w:val="both"/>
              <w:rPr>
                <w:b/>
                <w:sz w:val="20"/>
                <w:szCs w:val="20"/>
              </w:rPr>
            </w:pPr>
            <w:r w:rsidRPr="00C9559D">
              <w:rPr>
                <w:b/>
                <w:sz w:val="20"/>
                <w:szCs w:val="20"/>
              </w:rPr>
              <w:t>Data</w:t>
            </w:r>
          </w:p>
        </w:tc>
        <w:tc>
          <w:tcPr>
            <w:tcW w:w="902" w:type="pct"/>
            <w:vAlign w:val="center"/>
          </w:tcPr>
          <w:p w:rsidR="00D51578" w:rsidRPr="00C9559D" w:rsidRDefault="00414D55" w:rsidP="00E616B2">
            <w:pPr>
              <w:snapToGrid w:val="0"/>
              <w:jc w:val="both"/>
              <w:rPr>
                <w:b/>
                <w:sz w:val="20"/>
                <w:szCs w:val="20"/>
              </w:rPr>
            </w:pPr>
            <w:r w:rsidRPr="00C9559D">
              <w:rPr>
                <w:b/>
                <w:sz w:val="20"/>
                <w:szCs w:val="20"/>
              </w:rPr>
              <w:t>Pre injection</w:t>
            </w:r>
          </w:p>
          <w:p w:rsidR="00414D55" w:rsidRPr="00C9559D" w:rsidRDefault="00414D55" w:rsidP="00E616B2">
            <w:pPr>
              <w:snapToGrid w:val="0"/>
              <w:jc w:val="both"/>
              <w:rPr>
                <w:b/>
                <w:sz w:val="20"/>
                <w:szCs w:val="20"/>
              </w:rPr>
            </w:pPr>
            <w:r w:rsidRPr="00C9559D">
              <w:rPr>
                <w:b/>
                <w:sz w:val="20"/>
                <w:szCs w:val="20"/>
              </w:rPr>
              <w:t>no=30</w:t>
            </w:r>
          </w:p>
        </w:tc>
        <w:tc>
          <w:tcPr>
            <w:tcW w:w="1145" w:type="pct"/>
            <w:vAlign w:val="center"/>
          </w:tcPr>
          <w:p w:rsidR="00D51578" w:rsidRPr="00C9559D" w:rsidRDefault="00414D55" w:rsidP="00E616B2">
            <w:pPr>
              <w:snapToGrid w:val="0"/>
              <w:jc w:val="both"/>
              <w:rPr>
                <w:b/>
                <w:sz w:val="20"/>
                <w:szCs w:val="20"/>
              </w:rPr>
            </w:pPr>
            <w:r w:rsidRPr="00C9559D">
              <w:rPr>
                <w:b/>
                <w:sz w:val="20"/>
                <w:szCs w:val="20"/>
              </w:rPr>
              <w:t>1</w:t>
            </w:r>
            <w:r w:rsidRPr="00C9559D">
              <w:rPr>
                <w:b/>
                <w:sz w:val="20"/>
                <w:szCs w:val="20"/>
                <w:vertAlign w:val="superscript"/>
              </w:rPr>
              <w:t>st</w:t>
            </w:r>
            <w:r w:rsidRPr="00C9559D">
              <w:rPr>
                <w:b/>
                <w:sz w:val="20"/>
                <w:szCs w:val="20"/>
              </w:rPr>
              <w:t xml:space="preserve"> visit (45 days)</w:t>
            </w:r>
          </w:p>
          <w:p w:rsidR="00414D55" w:rsidRPr="00C9559D" w:rsidRDefault="00414D55" w:rsidP="00E616B2">
            <w:pPr>
              <w:snapToGrid w:val="0"/>
              <w:jc w:val="both"/>
              <w:rPr>
                <w:b/>
                <w:sz w:val="20"/>
                <w:szCs w:val="20"/>
              </w:rPr>
            </w:pPr>
            <w:r w:rsidRPr="00C9559D">
              <w:rPr>
                <w:b/>
                <w:sz w:val="20"/>
                <w:szCs w:val="20"/>
              </w:rPr>
              <w:t>no=30</w:t>
            </w:r>
          </w:p>
        </w:tc>
        <w:tc>
          <w:tcPr>
            <w:tcW w:w="1183" w:type="pct"/>
            <w:vAlign w:val="center"/>
          </w:tcPr>
          <w:p w:rsidR="00D51578" w:rsidRPr="00C9559D" w:rsidRDefault="00414D55" w:rsidP="00E616B2">
            <w:pPr>
              <w:snapToGrid w:val="0"/>
              <w:jc w:val="both"/>
              <w:rPr>
                <w:b/>
                <w:sz w:val="20"/>
                <w:szCs w:val="20"/>
              </w:rPr>
            </w:pPr>
            <w:r w:rsidRPr="00C9559D">
              <w:rPr>
                <w:b/>
                <w:sz w:val="20"/>
                <w:szCs w:val="20"/>
              </w:rPr>
              <w:t>2</w:t>
            </w:r>
            <w:r w:rsidRPr="00C9559D">
              <w:rPr>
                <w:b/>
                <w:sz w:val="20"/>
                <w:szCs w:val="20"/>
                <w:vertAlign w:val="superscript"/>
              </w:rPr>
              <w:t>nd</w:t>
            </w:r>
            <w:r w:rsidRPr="00C9559D">
              <w:rPr>
                <w:b/>
                <w:sz w:val="20"/>
                <w:szCs w:val="20"/>
              </w:rPr>
              <w:t xml:space="preserve"> visit (90 days)</w:t>
            </w:r>
          </w:p>
          <w:p w:rsidR="00414D55" w:rsidRPr="00C9559D" w:rsidRDefault="00414D55" w:rsidP="00E616B2">
            <w:pPr>
              <w:snapToGrid w:val="0"/>
              <w:jc w:val="both"/>
              <w:rPr>
                <w:b/>
                <w:sz w:val="20"/>
                <w:szCs w:val="20"/>
              </w:rPr>
            </w:pPr>
            <w:r w:rsidRPr="00C9559D">
              <w:rPr>
                <w:b/>
                <w:sz w:val="20"/>
                <w:szCs w:val="20"/>
              </w:rPr>
              <w:t>no=30</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Central LBP</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Positive</w:t>
            </w:r>
          </w:p>
        </w:tc>
        <w:tc>
          <w:tcPr>
            <w:tcW w:w="902" w:type="pct"/>
            <w:vAlign w:val="center"/>
          </w:tcPr>
          <w:p w:rsidR="00414D55" w:rsidRPr="00C9559D" w:rsidRDefault="00414D55" w:rsidP="00E616B2">
            <w:pPr>
              <w:snapToGrid w:val="0"/>
              <w:jc w:val="both"/>
              <w:rPr>
                <w:bCs/>
                <w:sz w:val="20"/>
                <w:szCs w:val="20"/>
              </w:rPr>
            </w:pPr>
            <w:r w:rsidRPr="00C9559D">
              <w:rPr>
                <w:bCs/>
                <w:sz w:val="20"/>
                <w:szCs w:val="20"/>
              </w:rPr>
              <w:t>29 (96.7%)</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10 (33.3%)</w:t>
            </w:r>
          </w:p>
        </w:tc>
        <w:tc>
          <w:tcPr>
            <w:tcW w:w="1183" w:type="pct"/>
            <w:vAlign w:val="center"/>
          </w:tcPr>
          <w:p w:rsidR="00414D55" w:rsidRPr="00C9559D" w:rsidRDefault="00414D55" w:rsidP="00E616B2">
            <w:pPr>
              <w:snapToGrid w:val="0"/>
              <w:jc w:val="both"/>
              <w:rPr>
                <w:bCs/>
                <w:sz w:val="20"/>
                <w:szCs w:val="20"/>
              </w:rPr>
            </w:pPr>
            <w:r w:rsidRPr="00C9559D">
              <w:rPr>
                <w:bCs/>
                <w:sz w:val="20"/>
                <w:szCs w:val="20"/>
              </w:rPr>
              <w:t>13 (43.3%)</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Negative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1 (3.3%)</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20 (66.7%)</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17 (56.7%)</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Pain of SIJ</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Positive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17 (56.7%)</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6 (20.0%)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8 (26.7%)</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Negative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13 (43.3%)</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24 (80.0%)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22 (73.3%)</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SLR</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Positive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29 (96.7%)</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15 (50.0%)</w:t>
            </w:r>
          </w:p>
        </w:tc>
        <w:tc>
          <w:tcPr>
            <w:tcW w:w="1183" w:type="pct"/>
            <w:vAlign w:val="center"/>
          </w:tcPr>
          <w:p w:rsidR="00414D55" w:rsidRPr="00C9559D" w:rsidRDefault="00414D55" w:rsidP="00E616B2">
            <w:pPr>
              <w:snapToGrid w:val="0"/>
              <w:jc w:val="both"/>
              <w:rPr>
                <w:bCs/>
                <w:sz w:val="20"/>
                <w:szCs w:val="20"/>
              </w:rPr>
            </w:pPr>
            <w:r w:rsidRPr="00C9559D">
              <w:rPr>
                <w:bCs/>
                <w:sz w:val="20"/>
                <w:szCs w:val="20"/>
              </w:rPr>
              <w:t>17 (56.7%)</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Negative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1 (3.3%)</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15 (50.0%)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13 (43.3%)</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CSLR</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Positive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23 (76.7%)</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12 (40.0%)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12 (40.0%)</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Negative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7 (23.3%)</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18 (60.0%)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18 (60.0%)</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FNS</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Positive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4 (13.3%)</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2 (6.7%)</w:t>
            </w:r>
          </w:p>
        </w:tc>
        <w:tc>
          <w:tcPr>
            <w:tcW w:w="1183" w:type="pct"/>
            <w:vAlign w:val="center"/>
          </w:tcPr>
          <w:p w:rsidR="00414D55" w:rsidRPr="00C9559D" w:rsidRDefault="00414D55" w:rsidP="00E616B2">
            <w:pPr>
              <w:snapToGrid w:val="0"/>
              <w:jc w:val="both"/>
              <w:rPr>
                <w:bCs/>
                <w:sz w:val="20"/>
                <w:szCs w:val="20"/>
              </w:rPr>
            </w:pPr>
            <w:r w:rsidRPr="00C9559D">
              <w:rPr>
                <w:bCs/>
                <w:sz w:val="20"/>
                <w:szCs w:val="20"/>
              </w:rPr>
              <w:t>2 (6.7%)</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Negative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26 (86.7%)</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28 (93.3%)</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28 (93.3%)</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SIJ</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Positive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13 (43.3%)</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6 (20.0%)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8 (26.7%)</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Negative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17 (56.7%)</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24 (80.0%)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22 (73.3%)</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VAS</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Range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6 – 9</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0 – 4</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0 – 6</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Median (IQR)</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8 (7 - 8)</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1 (0 - 2)</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1 (0 - 2)</w:t>
            </w:r>
          </w:p>
        </w:tc>
      </w:tr>
      <w:tr w:rsidR="00414D55" w:rsidRPr="00C9559D" w:rsidTr="00D51578">
        <w:trPr>
          <w:jc w:val="center"/>
        </w:trPr>
        <w:tc>
          <w:tcPr>
            <w:tcW w:w="835" w:type="pct"/>
            <w:vMerge w:val="restart"/>
            <w:vAlign w:val="center"/>
          </w:tcPr>
          <w:p w:rsidR="00414D55" w:rsidRPr="00C9559D" w:rsidRDefault="00414D55" w:rsidP="00E616B2">
            <w:pPr>
              <w:snapToGrid w:val="0"/>
              <w:jc w:val="both"/>
              <w:rPr>
                <w:bCs/>
                <w:sz w:val="20"/>
                <w:szCs w:val="20"/>
              </w:rPr>
            </w:pPr>
            <w:r w:rsidRPr="00C9559D">
              <w:rPr>
                <w:bCs/>
                <w:sz w:val="20"/>
                <w:szCs w:val="20"/>
              </w:rPr>
              <w:t>ODI</w:t>
            </w:r>
          </w:p>
        </w:tc>
        <w:tc>
          <w:tcPr>
            <w:tcW w:w="934" w:type="pct"/>
            <w:vAlign w:val="center"/>
          </w:tcPr>
          <w:p w:rsidR="00414D55" w:rsidRPr="00C9559D" w:rsidRDefault="00414D55" w:rsidP="00E616B2">
            <w:pPr>
              <w:snapToGrid w:val="0"/>
              <w:jc w:val="both"/>
              <w:rPr>
                <w:bCs/>
                <w:sz w:val="20"/>
                <w:szCs w:val="20"/>
              </w:rPr>
            </w:pPr>
            <w:r w:rsidRPr="00C9559D">
              <w:rPr>
                <w:bCs/>
                <w:sz w:val="20"/>
                <w:szCs w:val="20"/>
              </w:rPr>
              <w:t>Range</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28 – 94</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0 – 40</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0 – 46</w:t>
            </w:r>
          </w:p>
        </w:tc>
      </w:tr>
      <w:tr w:rsidR="00414D55" w:rsidRPr="00C9559D" w:rsidTr="00D51578">
        <w:trPr>
          <w:jc w:val="center"/>
        </w:trPr>
        <w:tc>
          <w:tcPr>
            <w:tcW w:w="835" w:type="pct"/>
            <w:vMerge/>
            <w:vAlign w:val="center"/>
          </w:tcPr>
          <w:p w:rsidR="00414D55" w:rsidRPr="00C9559D" w:rsidRDefault="00414D55" w:rsidP="00E616B2">
            <w:pPr>
              <w:snapToGrid w:val="0"/>
              <w:jc w:val="both"/>
              <w:rPr>
                <w:bCs/>
                <w:sz w:val="20"/>
                <w:szCs w:val="20"/>
              </w:rPr>
            </w:pPr>
          </w:p>
        </w:tc>
        <w:tc>
          <w:tcPr>
            <w:tcW w:w="934" w:type="pct"/>
            <w:vAlign w:val="center"/>
          </w:tcPr>
          <w:p w:rsidR="00414D55" w:rsidRPr="00C9559D" w:rsidRDefault="00414D55" w:rsidP="00E616B2">
            <w:pPr>
              <w:snapToGrid w:val="0"/>
              <w:jc w:val="both"/>
              <w:rPr>
                <w:bCs/>
                <w:sz w:val="20"/>
                <w:szCs w:val="20"/>
              </w:rPr>
            </w:pPr>
            <w:r w:rsidRPr="00C9559D">
              <w:rPr>
                <w:bCs/>
                <w:sz w:val="20"/>
                <w:szCs w:val="20"/>
              </w:rPr>
              <w:t>Median (IQR)</w:t>
            </w:r>
          </w:p>
        </w:tc>
        <w:tc>
          <w:tcPr>
            <w:tcW w:w="902" w:type="pct"/>
            <w:vAlign w:val="center"/>
          </w:tcPr>
          <w:p w:rsidR="00414D55" w:rsidRPr="00C9559D" w:rsidRDefault="00414D55" w:rsidP="00E616B2">
            <w:pPr>
              <w:snapToGrid w:val="0"/>
              <w:jc w:val="both"/>
              <w:rPr>
                <w:bCs/>
                <w:sz w:val="20"/>
                <w:szCs w:val="20"/>
              </w:rPr>
            </w:pPr>
            <w:r w:rsidRPr="00C9559D">
              <w:rPr>
                <w:sz w:val="20"/>
                <w:szCs w:val="20"/>
                <w:lang w:val="en-GB"/>
              </w:rPr>
              <w:t>66 (58 - 70)</w:t>
            </w:r>
          </w:p>
        </w:tc>
        <w:tc>
          <w:tcPr>
            <w:tcW w:w="1145" w:type="pct"/>
            <w:vAlign w:val="center"/>
          </w:tcPr>
          <w:p w:rsidR="00414D55" w:rsidRPr="00C9559D" w:rsidRDefault="00414D55" w:rsidP="00E616B2">
            <w:pPr>
              <w:snapToGrid w:val="0"/>
              <w:jc w:val="both"/>
              <w:rPr>
                <w:bCs/>
                <w:sz w:val="20"/>
                <w:szCs w:val="20"/>
              </w:rPr>
            </w:pPr>
            <w:r w:rsidRPr="00C9559D">
              <w:rPr>
                <w:sz w:val="20"/>
                <w:szCs w:val="20"/>
                <w:lang w:val="en-GB"/>
              </w:rPr>
              <w:t>8.5 (2 - 18)</w:t>
            </w:r>
          </w:p>
        </w:tc>
        <w:tc>
          <w:tcPr>
            <w:tcW w:w="1183" w:type="pct"/>
            <w:vAlign w:val="center"/>
          </w:tcPr>
          <w:p w:rsidR="00414D55" w:rsidRPr="00C9559D" w:rsidRDefault="00414D55" w:rsidP="00E616B2">
            <w:pPr>
              <w:snapToGrid w:val="0"/>
              <w:jc w:val="both"/>
              <w:rPr>
                <w:bCs/>
                <w:sz w:val="20"/>
                <w:szCs w:val="20"/>
              </w:rPr>
            </w:pPr>
            <w:r w:rsidRPr="00C9559D">
              <w:rPr>
                <w:sz w:val="20"/>
                <w:szCs w:val="20"/>
                <w:lang w:val="en-GB"/>
              </w:rPr>
              <w:t>12 (4 - 26)</w:t>
            </w:r>
          </w:p>
        </w:tc>
      </w:tr>
    </w:tbl>
    <w:p w:rsidR="00D51578" w:rsidRPr="00C9559D" w:rsidRDefault="00D51578" w:rsidP="00E616B2">
      <w:pPr>
        <w:snapToGrid w:val="0"/>
        <w:jc w:val="center"/>
        <w:rPr>
          <w:b/>
          <w:bCs/>
          <w:sz w:val="20"/>
          <w:szCs w:val="20"/>
          <w:lang w:eastAsia="zh-CN"/>
        </w:rPr>
      </w:pPr>
    </w:p>
    <w:p w:rsidR="00414D55" w:rsidRPr="00C9559D" w:rsidRDefault="00414D55" w:rsidP="00E616B2">
      <w:pPr>
        <w:snapToGrid w:val="0"/>
        <w:jc w:val="both"/>
        <w:rPr>
          <w:sz w:val="20"/>
          <w:szCs w:val="20"/>
        </w:rPr>
      </w:pPr>
      <w:r w:rsidRPr="00C9559D">
        <w:rPr>
          <w:b/>
          <w:bCs/>
          <w:sz w:val="20"/>
          <w:szCs w:val="20"/>
        </w:rPr>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2</w:t>
      </w:r>
      <w:r w:rsidR="00FA4FCE" w:rsidRPr="00C9559D">
        <w:rPr>
          <w:sz w:val="20"/>
          <w:szCs w:val="20"/>
        </w:rPr>
        <w:fldChar w:fldCharType="end"/>
      </w:r>
      <w:r w:rsidRPr="00C9559D">
        <w:rPr>
          <w:b/>
          <w:bCs/>
          <w:sz w:val="20"/>
          <w:szCs w:val="20"/>
        </w:rPr>
        <w:t xml:space="preserve">): </w:t>
      </w:r>
      <w:r w:rsidRPr="00C9559D">
        <w:rPr>
          <w:sz w:val="20"/>
          <w:szCs w:val="20"/>
          <w:lang w:val="en-GB"/>
        </w:rPr>
        <w:t>Comparison between pre-injection visit and 1</w:t>
      </w:r>
      <w:r w:rsidRPr="00C9559D">
        <w:rPr>
          <w:sz w:val="20"/>
          <w:szCs w:val="20"/>
          <w:vertAlign w:val="superscript"/>
          <w:lang w:val="en-GB"/>
        </w:rPr>
        <w:t>st</w:t>
      </w:r>
      <w:r w:rsidRPr="00C9559D">
        <w:rPr>
          <w:sz w:val="20"/>
          <w:szCs w:val="20"/>
          <w:lang w:val="en-GB"/>
        </w:rPr>
        <w:t xml:space="preserve"> visit post-injection as regards the clinical and functional data</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707"/>
        <w:gridCol w:w="1614"/>
        <w:gridCol w:w="1929"/>
        <w:gridCol w:w="1306"/>
        <w:gridCol w:w="1328"/>
        <w:gridCol w:w="1035"/>
        <w:gridCol w:w="555"/>
      </w:tblGrid>
      <w:tr w:rsidR="00414D55" w:rsidRPr="00C9559D" w:rsidTr="00D51578">
        <w:trPr>
          <w:jc w:val="center"/>
        </w:trPr>
        <w:tc>
          <w:tcPr>
            <w:tcW w:w="1753" w:type="pct"/>
            <w:gridSpan w:val="2"/>
            <w:vMerge w:val="restart"/>
            <w:vAlign w:val="center"/>
          </w:tcPr>
          <w:p w:rsidR="00414D55" w:rsidRPr="00C9559D" w:rsidRDefault="00414D55" w:rsidP="00E616B2">
            <w:pPr>
              <w:snapToGrid w:val="0"/>
              <w:jc w:val="both"/>
              <w:rPr>
                <w:b/>
                <w:bCs/>
                <w:sz w:val="20"/>
                <w:szCs w:val="20"/>
              </w:rPr>
            </w:pPr>
          </w:p>
        </w:tc>
        <w:tc>
          <w:tcPr>
            <w:tcW w:w="1018" w:type="pct"/>
            <w:vAlign w:val="center"/>
          </w:tcPr>
          <w:p w:rsidR="00414D55" w:rsidRPr="00C9559D" w:rsidRDefault="00414D55" w:rsidP="00E616B2">
            <w:pPr>
              <w:snapToGrid w:val="0"/>
              <w:jc w:val="both"/>
              <w:rPr>
                <w:b/>
                <w:bCs/>
                <w:sz w:val="20"/>
                <w:szCs w:val="20"/>
              </w:rPr>
            </w:pPr>
            <w:r w:rsidRPr="00C9559D">
              <w:rPr>
                <w:b/>
                <w:bCs/>
                <w:sz w:val="20"/>
                <w:szCs w:val="20"/>
              </w:rPr>
              <w:t>Before Injection</w:t>
            </w:r>
          </w:p>
        </w:tc>
        <w:tc>
          <w:tcPr>
            <w:tcW w:w="689" w:type="pct"/>
            <w:vAlign w:val="center"/>
          </w:tcPr>
          <w:p w:rsidR="00414D55" w:rsidRPr="00C9559D" w:rsidRDefault="00414D55" w:rsidP="00E616B2">
            <w:pPr>
              <w:snapToGrid w:val="0"/>
              <w:jc w:val="both"/>
              <w:rPr>
                <w:b/>
                <w:bCs/>
                <w:sz w:val="20"/>
                <w:szCs w:val="20"/>
              </w:rPr>
            </w:pPr>
            <w:r w:rsidRPr="00C9559D">
              <w:rPr>
                <w:b/>
                <w:bCs/>
                <w:sz w:val="20"/>
                <w:szCs w:val="20"/>
              </w:rPr>
              <w:t>1</w:t>
            </w:r>
            <w:r w:rsidRPr="00C9559D">
              <w:rPr>
                <w:b/>
                <w:bCs/>
                <w:sz w:val="20"/>
                <w:szCs w:val="20"/>
                <w:vertAlign w:val="superscript"/>
              </w:rPr>
              <w:t>st</w:t>
            </w:r>
            <w:r w:rsidRPr="00C9559D">
              <w:rPr>
                <w:b/>
                <w:bCs/>
                <w:sz w:val="20"/>
                <w:szCs w:val="20"/>
              </w:rPr>
              <w:t xml:space="preserve"> Visit</w:t>
            </w:r>
          </w:p>
        </w:tc>
        <w:tc>
          <w:tcPr>
            <w:tcW w:w="701" w:type="pct"/>
            <w:vMerge w:val="restart"/>
            <w:vAlign w:val="center"/>
          </w:tcPr>
          <w:p w:rsidR="00414D55" w:rsidRPr="00C9559D" w:rsidRDefault="00414D55" w:rsidP="00E616B2">
            <w:pPr>
              <w:snapToGrid w:val="0"/>
              <w:jc w:val="both"/>
              <w:rPr>
                <w:b/>
                <w:bCs/>
                <w:sz w:val="20"/>
                <w:szCs w:val="20"/>
              </w:rPr>
            </w:pPr>
            <w:r w:rsidRPr="00C9559D">
              <w:rPr>
                <w:b/>
                <w:bCs/>
                <w:sz w:val="20"/>
                <w:szCs w:val="20"/>
              </w:rPr>
              <w:t>Test Value</w:t>
            </w:r>
          </w:p>
        </w:tc>
        <w:tc>
          <w:tcPr>
            <w:tcW w:w="546" w:type="pct"/>
            <w:vMerge w:val="restar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293" w:type="pct"/>
            <w:vMerge w:val="restart"/>
            <w:vAlign w:val="center"/>
          </w:tcPr>
          <w:p w:rsidR="00414D55" w:rsidRPr="00C9559D" w:rsidRDefault="00414D55" w:rsidP="00E616B2">
            <w:pPr>
              <w:snapToGrid w:val="0"/>
              <w:jc w:val="both"/>
              <w:rPr>
                <w:b/>
                <w:bCs/>
                <w:sz w:val="20"/>
                <w:szCs w:val="20"/>
              </w:rPr>
            </w:pPr>
            <w:r w:rsidRPr="00C9559D">
              <w:rPr>
                <w:b/>
                <w:bCs/>
                <w:sz w:val="20"/>
                <w:szCs w:val="20"/>
              </w:rPr>
              <w:t>Sig.</w:t>
            </w:r>
          </w:p>
        </w:tc>
      </w:tr>
      <w:tr w:rsidR="00414D55" w:rsidRPr="00C9559D" w:rsidTr="00D51578">
        <w:trPr>
          <w:jc w:val="center"/>
        </w:trPr>
        <w:tc>
          <w:tcPr>
            <w:tcW w:w="1753" w:type="pct"/>
            <w:gridSpan w:val="2"/>
            <w:vMerge/>
            <w:vAlign w:val="center"/>
          </w:tcPr>
          <w:p w:rsidR="00414D55" w:rsidRPr="00C9559D" w:rsidRDefault="00414D55" w:rsidP="00E616B2">
            <w:pPr>
              <w:snapToGrid w:val="0"/>
              <w:jc w:val="both"/>
              <w:rPr>
                <w:b/>
                <w:bCs/>
                <w:sz w:val="20"/>
                <w:szCs w:val="20"/>
              </w:rPr>
            </w:pPr>
          </w:p>
        </w:tc>
        <w:tc>
          <w:tcPr>
            <w:tcW w:w="1018" w:type="pct"/>
            <w:vAlign w:val="center"/>
          </w:tcPr>
          <w:p w:rsidR="00414D55" w:rsidRPr="00C9559D" w:rsidRDefault="00414D55" w:rsidP="00E616B2">
            <w:pPr>
              <w:snapToGrid w:val="0"/>
              <w:jc w:val="both"/>
              <w:rPr>
                <w:b/>
                <w:bCs/>
                <w:sz w:val="20"/>
                <w:szCs w:val="20"/>
              </w:rPr>
            </w:pPr>
            <w:r w:rsidRPr="00C9559D">
              <w:rPr>
                <w:b/>
                <w:bCs/>
                <w:sz w:val="20"/>
                <w:szCs w:val="20"/>
              </w:rPr>
              <w:t>No. (%)</w:t>
            </w:r>
          </w:p>
        </w:tc>
        <w:tc>
          <w:tcPr>
            <w:tcW w:w="689" w:type="pct"/>
            <w:vAlign w:val="center"/>
          </w:tcPr>
          <w:p w:rsidR="00414D55" w:rsidRPr="00C9559D" w:rsidRDefault="00414D55" w:rsidP="00E616B2">
            <w:pPr>
              <w:snapToGrid w:val="0"/>
              <w:jc w:val="both"/>
              <w:rPr>
                <w:b/>
                <w:bCs/>
                <w:sz w:val="20"/>
                <w:szCs w:val="20"/>
              </w:rPr>
            </w:pPr>
            <w:r w:rsidRPr="00C9559D">
              <w:rPr>
                <w:b/>
                <w:bCs/>
                <w:sz w:val="20"/>
                <w:szCs w:val="20"/>
              </w:rPr>
              <w:t>No. (%)</w:t>
            </w:r>
          </w:p>
        </w:tc>
        <w:tc>
          <w:tcPr>
            <w:tcW w:w="701" w:type="pct"/>
            <w:vMerge/>
            <w:vAlign w:val="center"/>
          </w:tcPr>
          <w:p w:rsidR="00414D55" w:rsidRPr="00C9559D" w:rsidRDefault="00414D55" w:rsidP="00E616B2">
            <w:pPr>
              <w:snapToGrid w:val="0"/>
              <w:jc w:val="both"/>
              <w:rPr>
                <w:b/>
                <w:bCs/>
                <w:sz w:val="20"/>
                <w:szCs w:val="20"/>
              </w:rPr>
            </w:pPr>
          </w:p>
        </w:tc>
        <w:tc>
          <w:tcPr>
            <w:tcW w:w="546" w:type="pct"/>
            <w:vMerge/>
            <w:vAlign w:val="center"/>
          </w:tcPr>
          <w:p w:rsidR="00414D55" w:rsidRPr="00C9559D" w:rsidRDefault="00414D55" w:rsidP="00E616B2">
            <w:pPr>
              <w:snapToGrid w:val="0"/>
              <w:jc w:val="both"/>
              <w:rPr>
                <w:b/>
                <w:bCs/>
                <w:sz w:val="20"/>
                <w:szCs w:val="20"/>
              </w:rPr>
            </w:pPr>
          </w:p>
        </w:tc>
        <w:tc>
          <w:tcPr>
            <w:tcW w:w="293" w:type="pct"/>
            <w:vMerge/>
            <w:vAlign w:val="center"/>
          </w:tcPr>
          <w:p w:rsidR="00414D55" w:rsidRPr="00C9559D" w:rsidRDefault="00414D55" w:rsidP="00E616B2">
            <w:pPr>
              <w:snapToGrid w:val="0"/>
              <w:jc w:val="both"/>
              <w:rPr>
                <w:b/>
                <w:bCs/>
                <w:sz w:val="20"/>
                <w:szCs w:val="20"/>
              </w:rPr>
            </w:pP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Central LBP</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8" w:type="pct"/>
            <w:vAlign w:val="center"/>
          </w:tcPr>
          <w:p w:rsidR="00414D55" w:rsidRPr="00C9559D" w:rsidRDefault="00414D55" w:rsidP="00E616B2">
            <w:pPr>
              <w:snapToGrid w:val="0"/>
              <w:jc w:val="both"/>
              <w:rPr>
                <w:bCs/>
                <w:sz w:val="20"/>
                <w:szCs w:val="20"/>
              </w:rPr>
            </w:pPr>
            <w:r w:rsidRPr="00C9559D">
              <w:rPr>
                <w:bCs/>
                <w:sz w:val="20"/>
                <w:szCs w:val="20"/>
              </w:rPr>
              <w:t>29 (96.7%)</w:t>
            </w:r>
          </w:p>
          <w:p w:rsidR="00414D55" w:rsidRPr="00C9559D" w:rsidRDefault="00414D55" w:rsidP="00E616B2">
            <w:pPr>
              <w:snapToGrid w:val="0"/>
              <w:jc w:val="both"/>
              <w:rPr>
                <w:bCs/>
                <w:sz w:val="20"/>
                <w:szCs w:val="20"/>
              </w:rPr>
            </w:pPr>
            <w:r w:rsidRPr="00C9559D">
              <w:rPr>
                <w:sz w:val="20"/>
                <w:szCs w:val="20"/>
                <w:lang w:val="en-GB"/>
              </w:rPr>
              <w:t>1 (3.3%)</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10 (33.3%)</w:t>
            </w:r>
          </w:p>
          <w:p w:rsidR="00414D55" w:rsidRPr="00C9559D" w:rsidRDefault="00414D55" w:rsidP="00E616B2">
            <w:pPr>
              <w:snapToGrid w:val="0"/>
              <w:jc w:val="both"/>
              <w:rPr>
                <w:bCs/>
                <w:sz w:val="20"/>
                <w:szCs w:val="20"/>
              </w:rPr>
            </w:pPr>
            <w:r w:rsidRPr="00C9559D">
              <w:rPr>
                <w:sz w:val="20"/>
                <w:szCs w:val="20"/>
                <w:lang w:val="en-GB"/>
              </w:rPr>
              <w:t>20 (66.7%)</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26.447</w:t>
            </w:r>
          </w:p>
        </w:tc>
        <w:tc>
          <w:tcPr>
            <w:tcW w:w="546" w:type="pct"/>
            <w:vAlign w:val="center"/>
          </w:tcPr>
          <w:p w:rsidR="00414D55" w:rsidRPr="00C9559D" w:rsidRDefault="005C6E5C" w:rsidP="00E616B2">
            <w:pPr>
              <w:snapToGrid w:val="0"/>
              <w:jc w:val="both"/>
              <w:rPr>
                <w:bCs/>
                <w:sz w:val="20"/>
                <w:szCs w:val="20"/>
              </w:rPr>
            </w:pPr>
            <w:r w:rsidRPr="00C9559D">
              <w:rPr>
                <w:bCs/>
                <w:sz w:val="20"/>
                <w:szCs w:val="20"/>
              </w:rPr>
              <w:t>&lt;0.0</w:t>
            </w:r>
            <w:r w:rsidR="00414D55" w:rsidRPr="00C9559D">
              <w:rPr>
                <w:bCs/>
                <w:sz w:val="20"/>
                <w:szCs w:val="20"/>
              </w:rPr>
              <w:t>1</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HS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Pain of SIJ</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17 (56.7%)</w:t>
            </w:r>
          </w:p>
          <w:p w:rsidR="00414D55" w:rsidRPr="00C9559D" w:rsidRDefault="00414D55" w:rsidP="00E616B2">
            <w:pPr>
              <w:snapToGrid w:val="0"/>
              <w:jc w:val="both"/>
              <w:rPr>
                <w:bCs/>
                <w:sz w:val="20"/>
                <w:szCs w:val="20"/>
              </w:rPr>
            </w:pPr>
            <w:r w:rsidRPr="00C9559D">
              <w:rPr>
                <w:sz w:val="20"/>
                <w:szCs w:val="20"/>
                <w:lang w:val="en-GB"/>
              </w:rPr>
              <w:t>13 (43.3%)</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6 (20.0%)</w:t>
            </w:r>
          </w:p>
          <w:p w:rsidR="00414D55" w:rsidRPr="00C9559D" w:rsidRDefault="00414D55" w:rsidP="00E616B2">
            <w:pPr>
              <w:snapToGrid w:val="0"/>
              <w:jc w:val="both"/>
              <w:rPr>
                <w:bCs/>
                <w:sz w:val="20"/>
                <w:szCs w:val="20"/>
              </w:rPr>
            </w:pPr>
            <w:r w:rsidRPr="00C9559D">
              <w:rPr>
                <w:sz w:val="20"/>
                <w:szCs w:val="20"/>
                <w:lang w:val="en-GB"/>
              </w:rPr>
              <w:t>24 (80.0%)</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8.531*</w:t>
            </w:r>
          </w:p>
        </w:tc>
        <w:tc>
          <w:tcPr>
            <w:tcW w:w="546" w:type="pct"/>
            <w:vAlign w:val="center"/>
          </w:tcPr>
          <w:p w:rsidR="00414D55" w:rsidRPr="00C9559D" w:rsidRDefault="005C6E5C" w:rsidP="00E616B2">
            <w:pPr>
              <w:snapToGrid w:val="0"/>
              <w:jc w:val="both"/>
              <w:rPr>
                <w:b/>
                <w:bCs/>
                <w:sz w:val="20"/>
                <w:szCs w:val="20"/>
              </w:rPr>
            </w:pPr>
            <w:r w:rsidRPr="00C9559D">
              <w:rPr>
                <w:bCs/>
                <w:sz w:val="20"/>
                <w:szCs w:val="20"/>
              </w:rPr>
              <w:t>&lt;0.</w:t>
            </w:r>
            <w:r w:rsidR="00414D55" w:rsidRPr="00C9559D">
              <w:rPr>
                <w:bCs/>
                <w:sz w:val="20"/>
                <w:szCs w:val="20"/>
              </w:rPr>
              <w:t>01</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HS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SLR</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29 (96.7%)</w:t>
            </w:r>
          </w:p>
          <w:p w:rsidR="00414D55" w:rsidRPr="00C9559D" w:rsidRDefault="00414D55" w:rsidP="00E616B2">
            <w:pPr>
              <w:snapToGrid w:val="0"/>
              <w:jc w:val="both"/>
              <w:rPr>
                <w:bCs/>
                <w:sz w:val="20"/>
                <w:szCs w:val="20"/>
              </w:rPr>
            </w:pPr>
            <w:r w:rsidRPr="00C9559D">
              <w:rPr>
                <w:sz w:val="20"/>
                <w:szCs w:val="20"/>
                <w:lang w:val="en-GB"/>
              </w:rPr>
              <w:t>1 (3.3%)</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15 (50.0%)</w:t>
            </w:r>
          </w:p>
          <w:p w:rsidR="00414D55" w:rsidRPr="00C9559D" w:rsidRDefault="00414D55" w:rsidP="00E616B2">
            <w:pPr>
              <w:snapToGrid w:val="0"/>
              <w:jc w:val="both"/>
              <w:rPr>
                <w:bCs/>
                <w:sz w:val="20"/>
                <w:szCs w:val="20"/>
              </w:rPr>
            </w:pPr>
            <w:r w:rsidRPr="00C9559D">
              <w:rPr>
                <w:sz w:val="20"/>
                <w:szCs w:val="20"/>
                <w:lang w:val="en-GB"/>
              </w:rPr>
              <w:t>15 (50.0%)</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16.705</w:t>
            </w:r>
          </w:p>
        </w:tc>
        <w:tc>
          <w:tcPr>
            <w:tcW w:w="546" w:type="pct"/>
            <w:vAlign w:val="center"/>
          </w:tcPr>
          <w:p w:rsidR="00414D55" w:rsidRPr="00C9559D" w:rsidRDefault="005C6E5C" w:rsidP="00E616B2">
            <w:pPr>
              <w:snapToGrid w:val="0"/>
              <w:jc w:val="both"/>
              <w:rPr>
                <w:bCs/>
                <w:sz w:val="20"/>
                <w:szCs w:val="20"/>
              </w:rPr>
            </w:pPr>
            <w:r w:rsidRPr="00C9559D">
              <w:rPr>
                <w:bCs/>
                <w:sz w:val="20"/>
                <w:szCs w:val="20"/>
              </w:rPr>
              <w:t>&lt;0.</w:t>
            </w:r>
            <w:r w:rsidR="00414D55" w:rsidRPr="00C9559D">
              <w:rPr>
                <w:bCs/>
                <w:sz w:val="20"/>
                <w:szCs w:val="20"/>
              </w:rPr>
              <w:t>01</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HS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CSLR</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23 (76.7%)</w:t>
            </w:r>
          </w:p>
          <w:p w:rsidR="00414D55" w:rsidRPr="00C9559D" w:rsidRDefault="00414D55" w:rsidP="00E616B2">
            <w:pPr>
              <w:snapToGrid w:val="0"/>
              <w:jc w:val="both"/>
              <w:rPr>
                <w:bCs/>
                <w:sz w:val="20"/>
                <w:szCs w:val="20"/>
              </w:rPr>
            </w:pPr>
            <w:r w:rsidRPr="00C9559D">
              <w:rPr>
                <w:sz w:val="20"/>
                <w:szCs w:val="20"/>
                <w:lang w:val="en-GB"/>
              </w:rPr>
              <w:t>7 (23.3%)</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12 (40.0%)</w:t>
            </w:r>
          </w:p>
          <w:p w:rsidR="00414D55" w:rsidRPr="00C9559D" w:rsidRDefault="00414D55" w:rsidP="00E616B2">
            <w:pPr>
              <w:snapToGrid w:val="0"/>
              <w:jc w:val="both"/>
              <w:rPr>
                <w:bCs/>
                <w:sz w:val="20"/>
                <w:szCs w:val="20"/>
              </w:rPr>
            </w:pPr>
            <w:r w:rsidRPr="00C9559D">
              <w:rPr>
                <w:sz w:val="20"/>
                <w:szCs w:val="20"/>
                <w:lang w:val="en-GB"/>
              </w:rPr>
              <w:t>18 (60.0%)</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8.297*</w:t>
            </w:r>
          </w:p>
        </w:tc>
        <w:tc>
          <w:tcPr>
            <w:tcW w:w="546" w:type="pct"/>
            <w:vAlign w:val="center"/>
          </w:tcPr>
          <w:p w:rsidR="00414D55" w:rsidRPr="00C9559D" w:rsidRDefault="005C6E5C" w:rsidP="00E616B2">
            <w:pPr>
              <w:snapToGrid w:val="0"/>
              <w:jc w:val="both"/>
              <w:rPr>
                <w:bCs/>
                <w:sz w:val="20"/>
                <w:szCs w:val="20"/>
              </w:rPr>
            </w:pPr>
            <w:r w:rsidRPr="00C9559D">
              <w:rPr>
                <w:bCs/>
                <w:sz w:val="20"/>
                <w:szCs w:val="20"/>
              </w:rPr>
              <w:t>&lt;0.</w:t>
            </w:r>
            <w:r w:rsidR="00414D55" w:rsidRPr="00C9559D">
              <w:rPr>
                <w:bCs/>
                <w:sz w:val="20"/>
                <w:szCs w:val="20"/>
              </w:rPr>
              <w:t>01</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HS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FNS</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4 (13.3%)</w:t>
            </w:r>
          </w:p>
          <w:p w:rsidR="00414D55" w:rsidRPr="00C9559D" w:rsidRDefault="00414D55" w:rsidP="00E616B2">
            <w:pPr>
              <w:snapToGrid w:val="0"/>
              <w:jc w:val="both"/>
              <w:rPr>
                <w:bCs/>
                <w:sz w:val="20"/>
                <w:szCs w:val="20"/>
              </w:rPr>
            </w:pPr>
            <w:r w:rsidRPr="00C9559D">
              <w:rPr>
                <w:sz w:val="20"/>
                <w:szCs w:val="20"/>
                <w:lang w:val="en-GB"/>
              </w:rPr>
              <w:t>26 (86.7%)</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2 (6.7%)</w:t>
            </w:r>
          </w:p>
          <w:p w:rsidR="00414D55" w:rsidRPr="00C9559D" w:rsidRDefault="00414D55" w:rsidP="00E616B2">
            <w:pPr>
              <w:snapToGrid w:val="0"/>
              <w:jc w:val="both"/>
              <w:rPr>
                <w:bCs/>
                <w:sz w:val="20"/>
                <w:szCs w:val="20"/>
              </w:rPr>
            </w:pPr>
            <w:r w:rsidRPr="00C9559D">
              <w:rPr>
                <w:sz w:val="20"/>
                <w:szCs w:val="20"/>
                <w:lang w:val="en-GB"/>
              </w:rPr>
              <w:t>28 (93.3%)</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0.741</w:t>
            </w:r>
          </w:p>
        </w:tc>
        <w:tc>
          <w:tcPr>
            <w:tcW w:w="546" w:type="pct"/>
            <w:vAlign w:val="center"/>
          </w:tcPr>
          <w:p w:rsidR="00414D55" w:rsidRPr="00C9559D" w:rsidRDefault="00414D55" w:rsidP="00E616B2">
            <w:pPr>
              <w:snapToGrid w:val="0"/>
              <w:jc w:val="both"/>
              <w:rPr>
                <w:bCs/>
                <w:sz w:val="20"/>
                <w:szCs w:val="20"/>
              </w:rPr>
            </w:pPr>
            <w:r w:rsidRPr="00C9559D">
              <w:rPr>
                <w:bCs/>
                <w:sz w:val="20"/>
                <w:szCs w:val="20"/>
              </w:rPr>
              <w:t>0.389</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NS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SIJ</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13 (43.3%)</w:t>
            </w:r>
          </w:p>
          <w:p w:rsidR="00414D55" w:rsidRPr="00C9559D" w:rsidRDefault="00414D55" w:rsidP="00E616B2">
            <w:pPr>
              <w:snapToGrid w:val="0"/>
              <w:jc w:val="both"/>
              <w:rPr>
                <w:bCs/>
                <w:sz w:val="20"/>
                <w:szCs w:val="20"/>
              </w:rPr>
            </w:pPr>
            <w:r w:rsidRPr="00C9559D">
              <w:rPr>
                <w:sz w:val="20"/>
                <w:szCs w:val="20"/>
                <w:lang w:val="en-GB"/>
              </w:rPr>
              <w:t>17 (56.7%)</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6 (20.0%)</w:t>
            </w:r>
          </w:p>
          <w:p w:rsidR="00414D55" w:rsidRPr="00C9559D" w:rsidRDefault="00414D55" w:rsidP="00E616B2">
            <w:pPr>
              <w:snapToGrid w:val="0"/>
              <w:jc w:val="both"/>
              <w:rPr>
                <w:bCs/>
                <w:sz w:val="20"/>
                <w:szCs w:val="20"/>
              </w:rPr>
            </w:pPr>
            <w:r w:rsidRPr="00C9559D">
              <w:rPr>
                <w:sz w:val="20"/>
                <w:szCs w:val="20"/>
                <w:lang w:val="en-GB"/>
              </w:rPr>
              <w:t>24 (80.0%)</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3.774*</w:t>
            </w:r>
          </w:p>
        </w:tc>
        <w:tc>
          <w:tcPr>
            <w:tcW w:w="546" w:type="pct"/>
            <w:vAlign w:val="center"/>
          </w:tcPr>
          <w:p w:rsidR="00414D55" w:rsidRPr="00C9559D" w:rsidRDefault="00414D55" w:rsidP="00E616B2">
            <w:pPr>
              <w:snapToGrid w:val="0"/>
              <w:jc w:val="both"/>
              <w:rPr>
                <w:bCs/>
                <w:sz w:val="20"/>
                <w:szCs w:val="20"/>
              </w:rPr>
            </w:pPr>
            <w:r w:rsidRPr="00C9559D">
              <w:rPr>
                <w:bCs/>
                <w:sz w:val="20"/>
                <w:szCs w:val="20"/>
              </w:rPr>
              <w:t>&gt;0.05</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NS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VAS score</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Range</w:t>
            </w:r>
          </w:p>
          <w:p w:rsidR="00414D55" w:rsidRPr="00C9559D" w:rsidRDefault="00414D55" w:rsidP="00E616B2">
            <w:pPr>
              <w:snapToGrid w:val="0"/>
              <w:jc w:val="both"/>
              <w:rPr>
                <w:bCs/>
                <w:sz w:val="20"/>
                <w:szCs w:val="20"/>
              </w:rPr>
            </w:pPr>
            <w:r w:rsidRPr="00C9559D">
              <w:rPr>
                <w:bCs/>
                <w:sz w:val="20"/>
                <w:szCs w:val="20"/>
              </w:rPr>
              <w:t>Median (IQR)</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6 – 9</w:t>
            </w:r>
          </w:p>
          <w:p w:rsidR="00414D55" w:rsidRPr="00C9559D" w:rsidRDefault="00414D55" w:rsidP="00E616B2">
            <w:pPr>
              <w:snapToGrid w:val="0"/>
              <w:jc w:val="both"/>
              <w:rPr>
                <w:bCs/>
                <w:sz w:val="20"/>
                <w:szCs w:val="20"/>
              </w:rPr>
            </w:pPr>
            <w:r w:rsidRPr="00C9559D">
              <w:rPr>
                <w:sz w:val="20"/>
                <w:szCs w:val="20"/>
                <w:lang w:val="en-GB"/>
              </w:rPr>
              <w:t>8 (7 - 8)</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0 – 4</w:t>
            </w:r>
          </w:p>
          <w:p w:rsidR="00414D55" w:rsidRPr="00C9559D" w:rsidRDefault="00414D55" w:rsidP="00E616B2">
            <w:pPr>
              <w:snapToGrid w:val="0"/>
              <w:jc w:val="both"/>
              <w:rPr>
                <w:bCs/>
                <w:sz w:val="20"/>
                <w:szCs w:val="20"/>
              </w:rPr>
            </w:pPr>
            <w:r w:rsidRPr="00C9559D">
              <w:rPr>
                <w:sz w:val="20"/>
                <w:szCs w:val="20"/>
                <w:lang w:val="en-GB"/>
              </w:rPr>
              <w:t>1 (0 - 2)</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-4.936</w:t>
            </w:r>
            <w:r w:rsidRPr="00C9559D">
              <w:rPr>
                <w:rFonts w:eastAsia="MS Mincho"/>
                <w:bCs/>
                <w:sz w:val="20"/>
                <w:szCs w:val="20"/>
              </w:rPr>
              <w:t>ǂ</w:t>
            </w:r>
          </w:p>
        </w:tc>
        <w:tc>
          <w:tcPr>
            <w:tcW w:w="546" w:type="pct"/>
            <w:vAlign w:val="center"/>
          </w:tcPr>
          <w:p w:rsidR="00414D55" w:rsidRPr="00C9559D" w:rsidRDefault="005C6E5C" w:rsidP="00E616B2">
            <w:pPr>
              <w:snapToGrid w:val="0"/>
              <w:jc w:val="both"/>
              <w:rPr>
                <w:bCs/>
                <w:sz w:val="20"/>
                <w:szCs w:val="20"/>
              </w:rPr>
            </w:pPr>
            <w:r w:rsidRPr="00C9559D">
              <w:rPr>
                <w:bCs/>
                <w:sz w:val="20"/>
                <w:szCs w:val="20"/>
              </w:rPr>
              <w:t>&lt;0.</w:t>
            </w:r>
            <w:r w:rsidR="00414D55" w:rsidRPr="00C9559D">
              <w:rPr>
                <w:bCs/>
                <w:sz w:val="20"/>
                <w:szCs w:val="20"/>
              </w:rPr>
              <w:t>01</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HS</w:t>
            </w:r>
          </w:p>
        </w:tc>
      </w:tr>
      <w:tr w:rsidR="00414D55" w:rsidRPr="00C9559D" w:rsidTr="00D51578">
        <w:trPr>
          <w:jc w:val="center"/>
        </w:trPr>
        <w:tc>
          <w:tcPr>
            <w:tcW w:w="901" w:type="pct"/>
            <w:vAlign w:val="center"/>
          </w:tcPr>
          <w:p w:rsidR="00414D55" w:rsidRPr="00C9559D" w:rsidRDefault="00414D55" w:rsidP="00E616B2">
            <w:pPr>
              <w:snapToGrid w:val="0"/>
              <w:jc w:val="both"/>
              <w:rPr>
                <w:bCs/>
                <w:sz w:val="20"/>
                <w:szCs w:val="20"/>
              </w:rPr>
            </w:pPr>
            <w:r w:rsidRPr="00C9559D">
              <w:rPr>
                <w:bCs/>
                <w:sz w:val="20"/>
                <w:szCs w:val="20"/>
              </w:rPr>
              <w:t>ODI Score (%)</w:t>
            </w:r>
          </w:p>
        </w:tc>
        <w:tc>
          <w:tcPr>
            <w:tcW w:w="852" w:type="pct"/>
            <w:vAlign w:val="center"/>
          </w:tcPr>
          <w:p w:rsidR="00414D55" w:rsidRPr="00C9559D" w:rsidRDefault="00414D55" w:rsidP="00E616B2">
            <w:pPr>
              <w:snapToGrid w:val="0"/>
              <w:jc w:val="both"/>
              <w:rPr>
                <w:bCs/>
                <w:sz w:val="20"/>
                <w:szCs w:val="20"/>
              </w:rPr>
            </w:pPr>
            <w:r w:rsidRPr="00C9559D">
              <w:rPr>
                <w:bCs/>
                <w:sz w:val="20"/>
                <w:szCs w:val="20"/>
              </w:rPr>
              <w:t>Range</w:t>
            </w:r>
          </w:p>
          <w:p w:rsidR="00414D55" w:rsidRPr="00C9559D" w:rsidRDefault="00414D55" w:rsidP="00E616B2">
            <w:pPr>
              <w:snapToGrid w:val="0"/>
              <w:jc w:val="both"/>
              <w:rPr>
                <w:bCs/>
                <w:sz w:val="20"/>
                <w:szCs w:val="20"/>
              </w:rPr>
            </w:pPr>
            <w:r w:rsidRPr="00C9559D">
              <w:rPr>
                <w:bCs/>
                <w:sz w:val="20"/>
                <w:szCs w:val="20"/>
              </w:rPr>
              <w:t>Median (IQR)</w:t>
            </w:r>
          </w:p>
        </w:tc>
        <w:tc>
          <w:tcPr>
            <w:tcW w:w="1018" w:type="pct"/>
            <w:vAlign w:val="center"/>
          </w:tcPr>
          <w:p w:rsidR="00414D55" w:rsidRPr="00C9559D" w:rsidRDefault="00414D55" w:rsidP="00E616B2">
            <w:pPr>
              <w:snapToGrid w:val="0"/>
              <w:jc w:val="both"/>
              <w:rPr>
                <w:bCs/>
                <w:sz w:val="20"/>
                <w:szCs w:val="20"/>
              </w:rPr>
            </w:pPr>
            <w:r w:rsidRPr="00C9559D">
              <w:rPr>
                <w:sz w:val="20"/>
                <w:szCs w:val="20"/>
                <w:lang w:val="en-GB"/>
              </w:rPr>
              <w:t>28 – 94</w:t>
            </w:r>
          </w:p>
          <w:p w:rsidR="00414D55" w:rsidRPr="00C9559D" w:rsidRDefault="00414D55" w:rsidP="00E616B2">
            <w:pPr>
              <w:snapToGrid w:val="0"/>
              <w:jc w:val="both"/>
              <w:rPr>
                <w:bCs/>
                <w:sz w:val="20"/>
                <w:szCs w:val="20"/>
              </w:rPr>
            </w:pPr>
            <w:r w:rsidRPr="00C9559D">
              <w:rPr>
                <w:sz w:val="20"/>
                <w:szCs w:val="20"/>
                <w:lang w:val="en-GB"/>
              </w:rPr>
              <w:t>66 (58 - 70)</w:t>
            </w:r>
          </w:p>
        </w:tc>
        <w:tc>
          <w:tcPr>
            <w:tcW w:w="689" w:type="pct"/>
            <w:vAlign w:val="center"/>
          </w:tcPr>
          <w:p w:rsidR="00414D55" w:rsidRPr="00C9559D" w:rsidRDefault="00414D55" w:rsidP="00E616B2">
            <w:pPr>
              <w:snapToGrid w:val="0"/>
              <w:jc w:val="both"/>
              <w:rPr>
                <w:bCs/>
                <w:sz w:val="20"/>
                <w:szCs w:val="20"/>
              </w:rPr>
            </w:pPr>
            <w:r w:rsidRPr="00C9559D">
              <w:rPr>
                <w:sz w:val="20"/>
                <w:szCs w:val="20"/>
                <w:lang w:val="en-GB"/>
              </w:rPr>
              <w:t>0 – 40</w:t>
            </w:r>
          </w:p>
          <w:p w:rsidR="00414D55" w:rsidRPr="00C9559D" w:rsidRDefault="00414D55" w:rsidP="00E616B2">
            <w:pPr>
              <w:snapToGrid w:val="0"/>
              <w:jc w:val="both"/>
              <w:rPr>
                <w:bCs/>
                <w:sz w:val="20"/>
                <w:szCs w:val="20"/>
              </w:rPr>
            </w:pPr>
            <w:r w:rsidRPr="00C9559D">
              <w:rPr>
                <w:sz w:val="20"/>
                <w:szCs w:val="20"/>
                <w:lang w:val="en-GB"/>
              </w:rPr>
              <w:t>8.5 (2 - 18)</w:t>
            </w:r>
          </w:p>
        </w:tc>
        <w:tc>
          <w:tcPr>
            <w:tcW w:w="701" w:type="pct"/>
            <w:vAlign w:val="center"/>
          </w:tcPr>
          <w:p w:rsidR="00414D55" w:rsidRPr="00C9559D" w:rsidRDefault="00414D55" w:rsidP="00E616B2">
            <w:pPr>
              <w:snapToGrid w:val="0"/>
              <w:jc w:val="both"/>
              <w:rPr>
                <w:bCs/>
                <w:sz w:val="20"/>
                <w:szCs w:val="20"/>
              </w:rPr>
            </w:pPr>
            <w:r w:rsidRPr="00C9559D">
              <w:rPr>
                <w:bCs/>
                <w:sz w:val="20"/>
                <w:szCs w:val="20"/>
              </w:rPr>
              <w:t>-4.785</w:t>
            </w:r>
            <w:r w:rsidRPr="00C9559D">
              <w:rPr>
                <w:rFonts w:eastAsia="MS Mincho"/>
                <w:bCs/>
                <w:sz w:val="20"/>
                <w:szCs w:val="20"/>
              </w:rPr>
              <w:t>ǂ</w:t>
            </w:r>
          </w:p>
        </w:tc>
        <w:tc>
          <w:tcPr>
            <w:tcW w:w="546" w:type="pct"/>
            <w:vAlign w:val="center"/>
          </w:tcPr>
          <w:p w:rsidR="00414D55" w:rsidRPr="00C9559D" w:rsidRDefault="005C6E5C" w:rsidP="00E616B2">
            <w:pPr>
              <w:snapToGrid w:val="0"/>
              <w:jc w:val="both"/>
              <w:rPr>
                <w:bCs/>
                <w:sz w:val="20"/>
                <w:szCs w:val="20"/>
              </w:rPr>
            </w:pPr>
            <w:r w:rsidRPr="00C9559D">
              <w:rPr>
                <w:bCs/>
                <w:sz w:val="20"/>
                <w:szCs w:val="20"/>
              </w:rPr>
              <w:t>&lt;0.0</w:t>
            </w:r>
            <w:r w:rsidR="00414D55" w:rsidRPr="00C9559D">
              <w:rPr>
                <w:bCs/>
                <w:sz w:val="20"/>
                <w:szCs w:val="20"/>
              </w:rPr>
              <w:t>1</w:t>
            </w:r>
          </w:p>
        </w:tc>
        <w:tc>
          <w:tcPr>
            <w:tcW w:w="293" w:type="pct"/>
            <w:vAlign w:val="center"/>
          </w:tcPr>
          <w:p w:rsidR="00414D55" w:rsidRPr="00C9559D" w:rsidRDefault="00414D55" w:rsidP="00E616B2">
            <w:pPr>
              <w:snapToGrid w:val="0"/>
              <w:jc w:val="both"/>
              <w:rPr>
                <w:bCs/>
                <w:sz w:val="20"/>
                <w:szCs w:val="20"/>
              </w:rPr>
            </w:pPr>
            <w:r w:rsidRPr="00C9559D">
              <w:rPr>
                <w:bCs/>
                <w:sz w:val="20"/>
                <w:szCs w:val="20"/>
              </w:rPr>
              <w:t>HS</w:t>
            </w:r>
          </w:p>
        </w:tc>
      </w:tr>
    </w:tbl>
    <w:p w:rsidR="00A07C1E" w:rsidRPr="00C9559D" w:rsidRDefault="00414D55" w:rsidP="00E616B2">
      <w:pPr>
        <w:snapToGrid w:val="0"/>
        <w:jc w:val="both"/>
        <w:rPr>
          <w:sz w:val="20"/>
          <w:szCs w:val="20"/>
        </w:rPr>
      </w:pPr>
      <w:r w:rsidRPr="00C9559D">
        <w:rPr>
          <w:sz w:val="20"/>
          <w:szCs w:val="20"/>
        </w:rPr>
        <w:t xml:space="preserve">P-value &gt;0.05: Non significant (NS); </w:t>
      </w:r>
    </w:p>
    <w:p w:rsidR="00414D55" w:rsidRPr="00C9559D" w:rsidRDefault="00414D55" w:rsidP="00E616B2">
      <w:pPr>
        <w:snapToGrid w:val="0"/>
        <w:jc w:val="both"/>
        <w:rPr>
          <w:sz w:val="20"/>
          <w:szCs w:val="20"/>
        </w:rPr>
      </w:pPr>
      <w:r w:rsidRPr="00C9559D">
        <w:rPr>
          <w:sz w:val="20"/>
          <w:szCs w:val="20"/>
        </w:rPr>
        <w:t>P-value &lt;0.0</w:t>
      </w:r>
      <w:r w:rsidR="00F017AB" w:rsidRPr="00C9559D">
        <w:rPr>
          <w:sz w:val="20"/>
          <w:szCs w:val="20"/>
        </w:rPr>
        <w:t>5: Significant (S); P-value&lt; 0.</w:t>
      </w:r>
      <w:r w:rsidRPr="00C9559D">
        <w:rPr>
          <w:sz w:val="20"/>
          <w:szCs w:val="20"/>
        </w:rPr>
        <w:t>01: highly significant (HS)</w:t>
      </w:r>
    </w:p>
    <w:p w:rsidR="00414D55" w:rsidRPr="00C9559D" w:rsidRDefault="00414D55" w:rsidP="00E616B2">
      <w:pPr>
        <w:snapToGrid w:val="0"/>
        <w:jc w:val="both"/>
        <w:rPr>
          <w:sz w:val="20"/>
          <w:szCs w:val="20"/>
        </w:rPr>
      </w:pPr>
      <w:r w:rsidRPr="00C9559D">
        <w:rPr>
          <w:sz w:val="20"/>
          <w:szCs w:val="20"/>
        </w:rPr>
        <w:t>*</w:t>
      </w:r>
      <w:r w:rsidR="00E616B2" w:rsidRPr="00C9559D">
        <w:rPr>
          <w:sz w:val="20"/>
          <w:szCs w:val="20"/>
        </w:rPr>
        <w:t>: C</w:t>
      </w:r>
      <w:r w:rsidRPr="00C9559D">
        <w:rPr>
          <w:sz w:val="20"/>
          <w:szCs w:val="20"/>
        </w:rPr>
        <w:t xml:space="preserve">hi-square test; ‡: </w:t>
      </w:r>
      <w:proofErr w:type="spellStart"/>
      <w:r w:rsidRPr="00C9559D">
        <w:rPr>
          <w:sz w:val="20"/>
          <w:szCs w:val="20"/>
        </w:rPr>
        <w:t>Wilcoxon</w:t>
      </w:r>
      <w:proofErr w:type="spellEnd"/>
      <w:r w:rsidRPr="00C9559D">
        <w:rPr>
          <w:sz w:val="20"/>
          <w:szCs w:val="20"/>
        </w:rPr>
        <w:t xml:space="preserve"> Rank test</w:t>
      </w:r>
    </w:p>
    <w:p w:rsidR="00EA0D94" w:rsidRPr="00C9559D" w:rsidRDefault="00EA0D94" w:rsidP="00E616B2">
      <w:pPr>
        <w:snapToGrid w:val="0"/>
        <w:ind w:firstLine="425"/>
        <w:jc w:val="both"/>
        <w:rPr>
          <w:sz w:val="20"/>
          <w:szCs w:val="20"/>
        </w:rPr>
      </w:pPr>
    </w:p>
    <w:p w:rsidR="00E616B2" w:rsidRPr="00C9559D" w:rsidRDefault="00E616B2" w:rsidP="00E616B2">
      <w:pPr>
        <w:snapToGrid w:val="0"/>
        <w:ind w:firstLine="425"/>
        <w:jc w:val="both"/>
        <w:rPr>
          <w:sz w:val="20"/>
          <w:szCs w:val="20"/>
        </w:rPr>
        <w:sectPr w:rsidR="00E616B2" w:rsidRPr="00C9559D" w:rsidSect="00D51578">
          <w:type w:val="continuous"/>
          <w:pgSz w:w="12240" w:h="15840" w:code="9"/>
          <w:pgMar w:top="1440" w:right="1440" w:bottom="1440" w:left="1440" w:header="720" w:footer="720" w:gutter="0"/>
          <w:cols w:space="720"/>
          <w:docGrid w:linePitch="360"/>
        </w:sectPr>
      </w:pPr>
    </w:p>
    <w:p w:rsidR="00414D55" w:rsidRPr="00C9559D" w:rsidRDefault="00414D55" w:rsidP="00E616B2">
      <w:pPr>
        <w:snapToGrid w:val="0"/>
        <w:ind w:firstLine="425"/>
        <w:jc w:val="both"/>
        <w:rPr>
          <w:sz w:val="20"/>
          <w:szCs w:val="20"/>
        </w:rPr>
      </w:pPr>
      <w:r w:rsidRPr="00C9559D">
        <w:rPr>
          <w:sz w:val="20"/>
          <w:szCs w:val="20"/>
        </w:rPr>
        <w:lastRenderedPageBreak/>
        <w:t xml:space="preserve">The Previous table shows </w:t>
      </w:r>
      <w:r w:rsidRPr="00C9559D">
        <w:rPr>
          <w:b/>
          <w:bCs/>
          <w:sz w:val="20"/>
          <w:szCs w:val="20"/>
        </w:rPr>
        <w:t xml:space="preserve">that there was </w:t>
      </w:r>
      <w:r w:rsidRPr="00C9559D">
        <w:rPr>
          <w:sz w:val="20"/>
          <w:szCs w:val="20"/>
        </w:rPr>
        <w:t xml:space="preserve">highly statistical significant difference between </w:t>
      </w:r>
      <w:r w:rsidRPr="00C9559D">
        <w:rPr>
          <w:b/>
          <w:bCs/>
          <w:sz w:val="20"/>
          <w:szCs w:val="20"/>
        </w:rPr>
        <w:t>(Before Injection</w:t>
      </w:r>
      <w:r w:rsidR="00D51578" w:rsidRPr="00C9559D">
        <w:rPr>
          <w:sz w:val="20"/>
          <w:szCs w:val="20"/>
        </w:rPr>
        <w:t xml:space="preserve"> &amp; </w:t>
      </w:r>
      <w:r w:rsidRPr="00C9559D">
        <w:rPr>
          <w:b/>
          <w:bCs/>
          <w:sz w:val="20"/>
          <w:szCs w:val="20"/>
        </w:rPr>
        <w:t xml:space="preserve">1st visit) </w:t>
      </w:r>
      <w:r w:rsidRPr="00C9559D">
        <w:rPr>
          <w:sz w:val="20"/>
          <w:szCs w:val="20"/>
        </w:rPr>
        <w:t>regarding (Central LBP, Pain of SIJ, Tingling</w:t>
      </w:r>
      <w:r w:rsidR="00D51578" w:rsidRPr="00C9559D">
        <w:rPr>
          <w:sz w:val="20"/>
          <w:szCs w:val="20"/>
        </w:rPr>
        <w:t xml:space="preserve"> &amp; </w:t>
      </w:r>
      <w:r w:rsidRPr="00C9559D">
        <w:rPr>
          <w:sz w:val="20"/>
          <w:szCs w:val="20"/>
        </w:rPr>
        <w:t xml:space="preserve">Numbness; SLR; CSLR; VAS Score; and ODI Score (%)) with </w:t>
      </w:r>
      <w:r w:rsidR="00FC4EE8" w:rsidRPr="00C9559D">
        <w:rPr>
          <w:b/>
          <w:bCs/>
          <w:sz w:val="20"/>
          <w:szCs w:val="20"/>
        </w:rPr>
        <w:t>(p-value &lt;0.0</w:t>
      </w:r>
      <w:r w:rsidRPr="00C9559D">
        <w:rPr>
          <w:b/>
          <w:bCs/>
          <w:sz w:val="20"/>
          <w:szCs w:val="20"/>
        </w:rPr>
        <w:t xml:space="preserve">1) and </w:t>
      </w:r>
      <w:r w:rsidRPr="00C9559D">
        <w:rPr>
          <w:sz w:val="20"/>
          <w:szCs w:val="20"/>
        </w:rPr>
        <w:t xml:space="preserve">there </w:t>
      </w:r>
      <w:r w:rsidRPr="00C9559D">
        <w:rPr>
          <w:sz w:val="20"/>
          <w:szCs w:val="20"/>
        </w:rPr>
        <w:lastRenderedPageBreak/>
        <w:t xml:space="preserve">was statistically significant difference found regarding FNS with </w:t>
      </w:r>
      <w:r w:rsidRPr="00C9559D">
        <w:rPr>
          <w:b/>
          <w:bCs/>
          <w:sz w:val="20"/>
          <w:szCs w:val="20"/>
        </w:rPr>
        <w:t xml:space="preserve">(p-value &lt;0.05), </w:t>
      </w:r>
      <w:r w:rsidRPr="00C9559D">
        <w:rPr>
          <w:sz w:val="20"/>
          <w:szCs w:val="20"/>
        </w:rPr>
        <w:t>while there was no statistically significant difference found regarding SIJ</w:t>
      </w:r>
      <w:r w:rsidR="00E616B2" w:rsidRPr="00C9559D">
        <w:rPr>
          <w:sz w:val="20"/>
          <w:szCs w:val="20"/>
        </w:rPr>
        <w:t>. w</w:t>
      </w:r>
      <w:r w:rsidRPr="00C9559D">
        <w:rPr>
          <w:sz w:val="20"/>
          <w:szCs w:val="20"/>
        </w:rPr>
        <w:t>ith (</w:t>
      </w:r>
      <w:r w:rsidRPr="00C9559D">
        <w:rPr>
          <w:b/>
          <w:bCs/>
          <w:sz w:val="20"/>
          <w:szCs w:val="20"/>
          <w:lang w:val="en-GB"/>
        </w:rPr>
        <w:t>P-value &gt;0.05).</w:t>
      </w:r>
    </w:p>
    <w:p w:rsidR="00E616B2" w:rsidRPr="00C9559D" w:rsidRDefault="00E616B2" w:rsidP="00E616B2">
      <w:pPr>
        <w:snapToGrid w:val="0"/>
        <w:jc w:val="center"/>
        <w:rPr>
          <w:b/>
          <w:bCs/>
          <w:sz w:val="20"/>
          <w:szCs w:val="20"/>
        </w:rPr>
        <w:sectPr w:rsidR="00E616B2" w:rsidRPr="00C9559D" w:rsidSect="00E616B2">
          <w:type w:val="continuous"/>
          <w:pgSz w:w="12240" w:h="15840" w:code="9"/>
          <w:pgMar w:top="1440" w:right="1440" w:bottom="1440" w:left="1440" w:header="720" w:footer="720" w:gutter="0"/>
          <w:cols w:num="2" w:space="600"/>
          <w:docGrid w:linePitch="360"/>
        </w:sectPr>
      </w:pPr>
    </w:p>
    <w:p w:rsidR="00EA0D94" w:rsidRPr="00C9559D" w:rsidRDefault="00EA0D94" w:rsidP="00E616B2">
      <w:pPr>
        <w:snapToGrid w:val="0"/>
        <w:jc w:val="center"/>
        <w:rPr>
          <w:b/>
          <w:bCs/>
          <w:sz w:val="20"/>
          <w:szCs w:val="20"/>
        </w:rPr>
      </w:pPr>
    </w:p>
    <w:p w:rsidR="00C9559D" w:rsidRDefault="00C9559D" w:rsidP="00E616B2">
      <w:pPr>
        <w:snapToGrid w:val="0"/>
        <w:jc w:val="both"/>
        <w:rPr>
          <w:rFonts w:hint="eastAsia"/>
          <w:b/>
          <w:bCs/>
          <w:sz w:val="20"/>
          <w:szCs w:val="20"/>
          <w:lang w:eastAsia="zh-CN"/>
        </w:rPr>
      </w:pPr>
    </w:p>
    <w:p w:rsidR="00C9559D" w:rsidRDefault="00C9559D" w:rsidP="00E616B2">
      <w:pPr>
        <w:snapToGrid w:val="0"/>
        <w:jc w:val="both"/>
        <w:rPr>
          <w:rFonts w:hint="eastAsia"/>
          <w:b/>
          <w:bCs/>
          <w:sz w:val="20"/>
          <w:szCs w:val="20"/>
          <w:lang w:eastAsia="zh-CN"/>
        </w:rPr>
      </w:pPr>
    </w:p>
    <w:p w:rsidR="00C9559D" w:rsidRDefault="00C9559D" w:rsidP="00E616B2">
      <w:pPr>
        <w:snapToGrid w:val="0"/>
        <w:jc w:val="both"/>
        <w:rPr>
          <w:rFonts w:hint="eastAsia"/>
          <w:b/>
          <w:bCs/>
          <w:sz w:val="20"/>
          <w:szCs w:val="20"/>
          <w:lang w:eastAsia="zh-CN"/>
        </w:rPr>
      </w:pPr>
    </w:p>
    <w:p w:rsidR="00414D55" w:rsidRPr="00C9559D" w:rsidRDefault="00414D55" w:rsidP="00E616B2">
      <w:pPr>
        <w:snapToGrid w:val="0"/>
        <w:jc w:val="both"/>
        <w:rPr>
          <w:sz w:val="20"/>
          <w:szCs w:val="20"/>
          <w:lang w:val="en-GB"/>
        </w:rPr>
      </w:pPr>
      <w:r w:rsidRPr="00C9559D">
        <w:rPr>
          <w:b/>
          <w:bCs/>
          <w:sz w:val="20"/>
          <w:szCs w:val="20"/>
        </w:rPr>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3</w:t>
      </w:r>
      <w:r w:rsidR="00FA4FCE" w:rsidRPr="00C9559D">
        <w:rPr>
          <w:sz w:val="20"/>
          <w:szCs w:val="20"/>
        </w:rPr>
        <w:fldChar w:fldCharType="end"/>
      </w:r>
      <w:r w:rsidRPr="00C9559D">
        <w:rPr>
          <w:b/>
          <w:bCs/>
          <w:sz w:val="20"/>
          <w:szCs w:val="20"/>
        </w:rPr>
        <w:t xml:space="preserve">): </w:t>
      </w:r>
      <w:r w:rsidRPr="00C9559D">
        <w:rPr>
          <w:sz w:val="20"/>
          <w:szCs w:val="20"/>
          <w:lang w:val="en-GB"/>
        </w:rPr>
        <w:t xml:space="preserve">Comparison between </w:t>
      </w:r>
      <w:r w:rsidR="00905775" w:rsidRPr="00C9559D">
        <w:rPr>
          <w:sz w:val="20"/>
          <w:szCs w:val="20"/>
          <w:lang w:val="en-GB"/>
        </w:rPr>
        <w:t>(</w:t>
      </w:r>
      <w:r w:rsidRPr="00C9559D">
        <w:rPr>
          <w:sz w:val="20"/>
          <w:szCs w:val="20"/>
          <w:lang w:val="en-GB"/>
        </w:rPr>
        <w:t>1</w:t>
      </w:r>
      <w:r w:rsidRPr="00C9559D">
        <w:rPr>
          <w:sz w:val="20"/>
          <w:szCs w:val="20"/>
          <w:vertAlign w:val="superscript"/>
          <w:lang w:val="en-GB"/>
        </w:rPr>
        <w:t>st</w:t>
      </w:r>
      <w:r w:rsidRPr="00C9559D">
        <w:rPr>
          <w:sz w:val="20"/>
          <w:szCs w:val="20"/>
          <w:lang w:val="en-GB"/>
        </w:rPr>
        <w:t xml:space="preserve"> visit and 2</w:t>
      </w:r>
      <w:r w:rsidRPr="00C9559D">
        <w:rPr>
          <w:sz w:val="20"/>
          <w:szCs w:val="20"/>
          <w:vertAlign w:val="superscript"/>
          <w:lang w:val="en-GB"/>
        </w:rPr>
        <w:t>nd</w:t>
      </w:r>
      <w:r w:rsidRPr="00C9559D">
        <w:rPr>
          <w:sz w:val="20"/>
          <w:szCs w:val="20"/>
          <w:lang w:val="en-GB"/>
        </w:rPr>
        <w:t xml:space="preserve"> visit) regarding symptoms, clinical examination, VAS scoring and ODI questionnaire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357"/>
        <w:gridCol w:w="1518"/>
        <w:gridCol w:w="1921"/>
        <w:gridCol w:w="2016"/>
        <w:gridCol w:w="1249"/>
        <w:gridCol w:w="953"/>
        <w:gridCol w:w="460"/>
      </w:tblGrid>
      <w:tr w:rsidR="00414D55" w:rsidRPr="00C9559D" w:rsidTr="00D51578">
        <w:trPr>
          <w:jc w:val="center"/>
        </w:trPr>
        <w:tc>
          <w:tcPr>
            <w:tcW w:w="1516" w:type="pct"/>
            <w:gridSpan w:val="2"/>
            <w:vMerge w:val="restart"/>
            <w:vAlign w:val="center"/>
          </w:tcPr>
          <w:p w:rsidR="00414D55" w:rsidRPr="00C9559D" w:rsidRDefault="00414D55" w:rsidP="00E616B2">
            <w:pPr>
              <w:snapToGrid w:val="0"/>
              <w:jc w:val="both"/>
              <w:rPr>
                <w:b/>
                <w:bCs/>
                <w:sz w:val="20"/>
                <w:szCs w:val="20"/>
                <w:lang w:val="en-GB"/>
              </w:rPr>
            </w:pPr>
          </w:p>
        </w:tc>
        <w:tc>
          <w:tcPr>
            <w:tcW w:w="1014"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1st visit (45 days)</w:t>
            </w:r>
          </w:p>
        </w:tc>
        <w:tc>
          <w:tcPr>
            <w:tcW w:w="1064"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2nd visit (90 days)</w:t>
            </w:r>
          </w:p>
        </w:tc>
        <w:tc>
          <w:tcPr>
            <w:tcW w:w="659" w:type="pct"/>
            <w:vMerge w:val="restart"/>
            <w:vAlign w:val="center"/>
          </w:tcPr>
          <w:p w:rsidR="00414D55" w:rsidRPr="00C9559D" w:rsidRDefault="00414D55" w:rsidP="00E616B2">
            <w:pPr>
              <w:snapToGrid w:val="0"/>
              <w:jc w:val="both"/>
              <w:rPr>
                <w:b/>
                <w:bCs/>
                <w:sz w:val="20"/>
                <w:szCs w:val="20"/>
                <w:lang w:val="en-GB"/>
              </w:rPr>
            </w:pPr>
            <w:r w:rsidRPr="00C9559D">
              <w:rPr>
                <w:b/>
                <w:bCs/>
                <w:sz w:val="20"/>
                <w:szCs w:val="20"/>
                <w:lang w:val="en-GB"/>
              </w:rPr>
              <w:t>Test Value</w:t>
            </w:r>
          </w:p>
        </w:tc>
        <w:tc>
          <w:tcPr>
            <w:tcW w:w="503" w:type="pct"/>
            <w:vMerge w:val="restart"/>
            <w:vAlign w:val="center"/>
          </w:tcPr>
          <w:p w:rsidR="00414D55" w:rsidRPr="00C9559D" w:rsidRDefault="00414D55" w:rsidP="00E616B2">
            <w:pPr>
              <w:snapToGrid w:val="0"/>
              <w:jc w:val="both"/>
              <w:rPr>
                <w:b/>
                <w:bCs/>
                <w:sz w:val="20"/>
                <w:szCs w:val="20"/>
                <w:lang w:val="en-GB"/>
              </w:rPr>
            </w:pPr>
            <w:r w:rsidRPr="00C9559D">
              <w:rPr>
                <w:b/>
                <w:bCs/>
                <w:sz w:val="20"/>
                <w:szCs w:val="20"/>
                <w:lang w:val="en-GB"/>
              </w:rPr>
              <w:t>P Value</w:t>
            </w:r>
          </w:p>
        </w:tc>
        <w:tc>
          <w:tcPr>
            <w:tcW w:w="243" w:type="pct"/>
            <w:vMerge w:val="restart"/>
            <w:vAlign w:val="center"/>
          </w:tcPr>
          <w:p w:rsidR="00414D55" w:rsidRPr="00C9559D" w:rsidRDefault="00414D55" w:rsidP="00E616B2">
            <w:pPr>
              <w:snapToGrid w:val="0"/>
              <w:jc w:val="both"/>
              <w:rPr>
                <w:b/>
                <w:bCs/>
                <w:sz w:val="20"/>
                <w:szCs w:val="20"/>
                <w:lang w:val="en-GB"/>
              </w:rPr>
            </w:pPr>
            <w:r w:rsidRPr="00C9559D">
              <w:rPr>
                <w:b/>
                <w:bCs/>
                <w:sz w:val="20"/>
                <w:szCs w:val="20"/>
                <w:lang w:val="en-GB"/>
              </w:rPr>
              <w:t>Sig</w:t>
            </w:r>
          </w:p>
        </w:tc>
      </w:tr>
      <w:tr w:rsidR="00414D55" w:rsidRPr="00C9559D" w:rsidTr="00D51578">
        <w:trPr>
          <w:jc w:val="center"/>
        </w:trPr>
        <w:tc>
          <w:tcPr>
            <w:tcW w:w="1516" w:type="pct"/>
            <w:gridSpan w:val="2"/>
            <w:vMerge/>
            <w:vAlign w:val="center"/>
          </w:tcPr>
          <w:p w:rsidR="00414D55" w:rsidRPr="00C9559D" w:rsidRDefault="00414D55" w:rsidP="00E616B2">
            <w:pPr>
              <w:snapToGrid w:val="0"/>
              <w:jc w:val="both"/>
              <w:rPr>
                <w:b/>
                <w:bCs/>
                <w:sz w:val="20"/>
                <w:szCs w:val="20"/>
                <w:lang w:val="en-GB"/>
              </w:rPr>
            </w:pPr>
          </w:p>
        </w:tc>
        <w:tc>
          <w:tcPr>
            <w:tcW w:w="1014"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No. = 30</w:t>
            </w:r>
          </w:p>
        </w:tc>
        <w:tc>
          <w:tcPr>
            <w:tcW w:w="1064"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No. = 30</w:t>
            </w:r>
          </w:p>
        </w:tc>
        <w:tc>
          <w:tcPr>
            <w:tcW w:w="659" w:type="pct"/>
            <w:vMerge/>
            <w:vAlign w:val="center"/>
          </w:tcPr>
          <w:p w:rsidR="00414D55" w:rsidRPr="00C9559D" w:rsidRDefault="00414D55" w:rsidP="00E616B2">
            <w:pPr>
              <w:snapToGrid w:val="0"/>
              <w:jc w:val="both"/>
              <w:rPr>
                <w:b/>
                <w:bCs/>
                <w:sz w:val="20"/>
                <w:szCs w:val="20"/>
                <w:lang w:val="en-GB"/>
              </w:rPr>
            </w:pPr>
          </w:p>
        </w:tc>
        <w:tc>
          <w:tcPr>
            <w:tcW w:w="503" w:type="pct"/>
            <w:vMerge/>
            <w:vAlign w:val="center"/>
          </w:tcPr>
          <w:p w:rsidR="00414D55" w:rsidRPr="00C9559D" w:rsidRDefault="00414D55" w:rsidP="00E616B2">
            <w:pPr>
              <w:snapToGrid w:val="0"/>
              <w:jc w:val="both"/>
              <w:rPr>
                <w:b/>
                <w:bCs/>
                <w:sz w:val="20"/>
                <w:szCs w:val="20"/>
                <w:lang w:val="en-GB"/>
              </w:rPr>
            </w:pPr>
          </w:p>
        </w:tc>
        <w:tc>
          <w:tcPr>
            <w:tcW w:w="243" w:type="pct"/>
            <w:vMerge/>
            <w:vAlign w:val="center"/>
          </w:tcPr>
          <w:p w:rsidR="00414D55" w:rsidRPr="00C9559D" w:rsidRDefault="00414D55" w:rsidP="00E616B2">
            <w:pPr>
              <w:snapToGrid w:val="0"/>
              <w:jc w:val="both"/>
              <w:rPr>
                <w:b/>
                <w:bCs/>
                <w:sz w:val="20"/>
                <w:szCs w:val="20"/>
                <w:lang w:val="en-GB"/>
              </w:rPr>
            </w:pP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bCs/>
                <w:sz w:val="20"/>
                <w:szCs w:val="20"/>
              </w:rPr>
              <w:t>Central LBP</w:t>
            </w:r>
          </w:p>
        </w:tc>
        <w:tc>
          <w:tcPr>
            <w:tcW w:w="80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10 (33.3%)</w:t>
            </w:r>
          </w:p>
          <w:p w:rsidR="00414D55" w:rsidRPr="00C9559D" w:rsidRDefault="00414D55" w:rsidP="00E616B2">
            <w:pPr>
              <w:snapToGrid w:val="0"/>
              <w:jc w:val="both"/>
              <w:rPr>
                <w:sz w:val="20"/>
                <w:szCs w:val="20"/>
              </w:rPr>
            </w:pPr>
            <w:r w:rsidRPr="00C9559D">
              <w:rPr>
                <w:sz w:val="20"/>
                <w:szCs w:val="20"/>
                <w:lang w:val="en-GB"/>
              </w:rPr>
              <w:t>20 (66.7%)</w:t>
            </w:r>
          </w:p>
        </w:tc>
        <w:tc>
          <w:tcPr>
            <w:tcW w:w="1064" w:type="pct"/>
            <w:vAlign w:val="center"/>
          </w:tcPr>
          <w:p w:rsidR="00414D55" w:rsidRPr="00C9559D" w:rsidRDefault="00414D55" w:rsidP="00E616B2">
            <w:pPr>
              <w:snapToGrid w:val="0"/>
              <w:jc w:val="both"/>
              <w:rPr>
                <w:bCs/>
                <w:sz w:val="20"/>
                <w:szCs w:val="20"/>
              </w:rPr>
            </w:pPr>
            <w:r w:rsidRPr="00C9559D">
              <w:rPr>
                <w:bCs/>
                <w:sz w:val="20"/>
                <w:szCs w:val="20"/>
              </w:rPr>
              <w:t>13 (43.3%)</w:t>
            </w:r>
          </w:p>
          <w:p w:rsidR="00414D55" w:rsidRPr="00C9559D" w:rsidRDefault="00414D55" w:rsidP="00E616B2">
            <w:pPr>
              <w:snapToGrid w:val="0"/>
              <w:jc w:val="both"/>
              <w:rPr>
                <w:sz w:val="20"/>
                <w:szCs w:val="20"/>
              </w:rPr>
            </w:pPr>
            <w:r w:rsidRPr="00C9559D">
              <w:rPr>
                <w:sz w:val="20"/>
                <w:szCs w:val="20"/>
                <w:lang w:val="en-GB"/>
              </w:rPr>
              <w:t>17 (56.7%)</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0.635</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sz w:val="20"/>
                <w:szCs w:val="20"/>
              </w:rPr>
              <w:t>Pain of SIJ</w:t>
            </w:r>
          </w:p>
        </w:tc>
        <w:tc>
          <w:tcPr>
            <w:tcW w:w="80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6 (20.0%)</w:t>
            </w:r>
          </w:p>
          <w:p w:rsidR="00414D55" w:rsidRPr="00C9559D" w:rsidRDefault="00414D55" w:rsidP="00E616B2">
            <w:pPr>
              <w:snapToGrid w:val="0"/>
              <w:jc w:val="both"/>
              <w:rPr>
                <w:sz w:val="20"/>
                <w:szCs w:val="20"/>
              </w:rPr>
            </w:pPr>
            <w:r w:rsidRPr="00C9559D">
              <w:rPr>
                <w:sz w:val="20"/>
                <w:szCs w:val="20"/>
                <w:lang w:val="en-GB"/>
              </w:rPr>
              <w:t>24 (80.0%)</w:t>
            </w:r>
          </w:p>
        </w:tc>
        <w:tc>
          <w:tcPr>
            <w:tcW w:w="1064" w:type="pct"/>
            <w:vAlign w:val="center"/>
          </w:tcPr>
          <w:p w:rsidR="00414D55" w:rsidRPr="00C9559D" w:rsidRDefault="00414D55" w:rsidP="00E616B2">
            <w:pPr>
              <w:snapToGrid w:val="0"/>
              <w:jc w:val="both"/>
              <w:rPr>
                <w:bCs/>
                <w:sz w:val="20"/>
                <w:szCs w:val="20"/>
              </w:rPr>
            </w:pPr>
            <w:r w:rsidRPr="00C9559D">
              <w:rPr>
                <w:sz w:val="20"/>
                <w:szCs w:val="20"/>
                <w:lang w:val="en-GB"/>
              </w:rPr>
              <w:t>8 (26.7%)</w:t>
            </w:r>
          </w:p>
          <w:p w:rsidR="00414D55" w:rsidRPr="00C9559D" w:rsidRDefault="00414D55" w:rsidP="00E616B2">
            <w:pPr>
              <w:snapToGrid w:val="0"/>
              <w:jc w:val="both"/>
              <w:rPr>
                <w:sz w:val="20"/>
                <w:szCs w:val="20"/>
              </w:rPr>
            </w:pPr>
            <w:r w:rsidRPr="00C9559D">
              <w:rPr>
                <w:sz w:val="20"/>
                <w:szCs w:val="20"/>
                <w:lang w:val="en-GB"/>
              </w:rPr>
              <w:t>22 (73.3%)</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0.373*</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bCs/>
                <w:sz w:val="20"/>
                <w:szCs w:val="20"/>
              </w:rPr>
              <w:t>SLR</w:t>
            </w:r>
          </w:p>
        </w:tc>
        <w:tc>
          <w:tcPr>
            <w:tcW w:w="80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15 (50.0%)</w:t>
            </w:r>
          </w:p>
          <w:p w:rsidR="00414D55" w:rsidRPr="00C9559D" w:rsidRDefault="00414D55" w:rsidP="00E616B2">
            <w:pPr>
              <w:snapToGrid w:val="0"/>
              <w:jc w:val="both"/>
              <w:rPr>
                <w:sz w:val="20"/>
                <w:szCs w:val="20"/>
              </w:rPr>
            </w:pPr>
            <w:r w:rsidRPr="00C9559D">
              <w:rPr>
                <w:sz w:val="20"/>
                <w:szCs w:val="20"/>
                <w:lang w:val="en-GB"/>
              </w:rPr>
              <w:t>15 (50.0%)</w:t>
            </w:r>
          </w:p>
        </w:tc>
        <w:tc>
          <w:tcPr>
            <w:tcW w:w="1064" w:type="pct"/>
            <w:vAlign w:val="center"/>
          </w:tcPr>
          <w:p w:rsidR="00414D55" w:rsidRPr="00C9559D" w:rsidRDefault="00414D55" w:rsidP="00E616B2">
            <w:pPr>
              <w:snapToGrid w:val="0"/>
              <w:jc w:val="both"/>
              <w:rPr>
                <w:bCs/>
                <w:sz w:val="20"/>
                <w:szCs w:val="20"/>
              </w:rPr>
            </w:pPr>
            <w:r w:rsidRPr="00C9559D">
              <w:rPr>
                <w:bCs/>
                <w:sz w:val="20"/>
                <w:szCs w:val="20"/>
              </w:rPr>
              <w:t>17 (56.7%)</w:t>
            </w:r>
          </w:p>
          <w:p w:rsidR="00414D55" w:rsidRPr="00C9559D" w:rsidRDefault="00414D55" w:rsidP="00E616B2">
            <w:pPr>
              <w:snapToGrid w:val="0"/>
              <w:jc w:val="both"/>
              <w:rPr>
                <w:sz w:val="20"/>
                <w:szCs w:val="20"/>
              </w:rPr>
            </w:pPr>
            <w:r w:rsidRPr="00C9559D">
              <w:rPr>
                <w:sz w:val="20"/>
                <w:szCs w:val="20"/>
                <w:lang w:val="en-GB"/>
              </w:rPr>
              <w:t>13 (43.3%)</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0.268</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sz w:val="20"/>
                <w:szCs w:val="20"/>
              </w:rPr>
              <w:t>CSLR</w:t>
            </w:r>
          </w:p>
        </w:tc>
        <w:tc>
          <w:tcPr>
            <w:tcW w:w="80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12 (40.0%)</w:t>
            </w:r>
          </w:p>
          <w:p w:rsidR="00414D55" w:rsidRPr="00C9559D" w:rsidRDefault="00414D55" w:rsidP="00E616B2">
            <w:pPr>
              <w:snapToGrid w:val="0"/>
              <w:jc w:val="both"/>
              <w:rPr>
                <w:sz w:val="20"/>
                <w:szCs w:val="20"/>
              </w:rPr>
            </w:pPr>
            <w:r w:rsidRPr="00C9559D">
              <w:rPr>
                <w:sz w:val="20"/>
                <w:szCs w:val="20"/>
                <w:lang w:val="en-GB"/>
              </w:rPr>
              <w:t>18 (60.0%)</w:t>
            </w:r>
          </w:p>
        </w:tc>
        <w:tc>
          <w:tcPr>
            <w:tcW w:w="1064" w:type="pct"/>
            <w:vAlign w:val="center"/>
          </w:tcPr>
          <w:p w:rsidR="00414D55" w:rsidRPr="00C9559D" w:rsidRDefault="00414D55" w:rsidP="00E616B2">
            <w:pPr>
              <w:snapToGrid w:val="0"/>
              <w:jc w:val="both"/>
              <w:rPr>
                <w:bCs/>
                <w:sz w:val="20"/>
                <w:szCs w:val="20"/>
              </w:rPr>
            </w:pPr>
            <w:r w:rsidRPr="00C9559D">
              <w:rPr>
                <w:sz w:val="20"/>
                <w:szCs w:val="20"/>
                <w:lang w:val="en-GB"/>
              </w:rPr>
              <w:t>12 (40.0%)</w:t>
            </w:r>
          </w:p>
          <w:p w:rsidR="00414D55" w:rsidRPr="00C9559D" w:rsidRDefault="00414D55" w:rsidP="00E616B2">
            <w:pPr>
              <w:snapToGrid w:val="0"/>
              <w:jc w:val="both"/>
              <w:rPr>
                <w:sz w:val="20"/>
                <w:szCs w:val="20"/>
              </w:rPr>
            </w:pPr>
            <w:r w:rsidRPr="00C9559D">
              <w:rPr>
                <w:sz w:val="20"/>
                <w:szCs w:val="20"/>
                <w:lang w:val="en-GB"/>
              </w:rPr>
              <w:t>18 (60.0%)</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0.000*</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bCs/>
                <w:sz w:val="20"/>
                <w:szCs w:val="20"/>
              </w:rPr>
              <w:t>FNS</w:t>
            </w:r>
          </w:p>
        </w:tc>
        <w:tc>
          <w:tcPr>
            <w:tcW w:w="80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bCs/>
                <w:sz w:val="20"/>
                <w:szCs w:val="20"/>
              </w:rPr>
            </w:pPr>
            <w:r w:rsidRPr="00C9559D">
              <w:rPr>
                <w:bCs/>
                <w:sz w:val="20"/>
                <w:szCs w:val="20"/>
              </w:rPr>
              <w:t>Negative</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2 (6.7%)</w:t>
            </w:r>
          </w:p>
          <w:p w:rsidR="00414D55" w:rsidRPr="00C9559D" w:rsidRDefault="00414D55" w:rsidP="00E616B2">
            <w:pPr>
              <w:snapToGrid w:val="0"/>
              <w:jc w:val="both"/>
              <w:rPr>
                <w:sz w:val="20"/>
                <w:szCs w:val="20"/>
              </w:rPr>
            </w:pPr>
            <w:r w:rsidRPr="00C9559D">
              <w:rPr>
                <w:sz w:val="20"/>
                <w:szCs w:val="20"/>
                <w:lang w:val="en-GB"/>
              </w:rPr>
              <w:t>28 (93.3%)</w:t>
            </w:r>
          </w:p>
        </w:tc>
        <w:tc>
          <w:tcPr>
            <w:tcW w:w="1064" w:type="pct"/>
            <w:vAlign w:val="center"/>
          </w:tcPr>
          <w:p w:rsidR="00414D55" w:rsidRPr="00C9559D" w:rsidRDefault="00414D55" w:rsidP="00E616B2">
            <w:pPr>
              <w:snapToGrid w:val="0"/>
              <w:jc w:val="both"/>
              <w:rPr>
                <w:bCs/>
                <w:sz w:val="20"/>
                <w:szCs w:val="20"/>
              </w:rPr>
            </w:pPr>
            <w:r w:rsidRPr="00C9559D">
              <w:rPr>
                <w:bCs/>
                <w:sz w:val="20"/>
                <w:szCs w:val="20"/>
              </w:rPr>
              <w:t>2 (6.7%)</w:t>
            </w:r>
          </w:p>
          <w:p w:rsidR="00414D55" w:rsidRPr="00C9559D" w:rsidRDefault="00414D55" w:rsidP="00E616B2">
            <w:pPr>
              <w:snapToGrid w:val="0"/>
              <w:jc w:val="both"/>
              <w:rPr>
                <w:sz w:val="20"/>
                <w:szCs w:val="20"/>
              </w:rPr>
            </w:pPr>
            <w:r w:rsidRPr="00C9559D">
              <w:rPr>
                <w:sz w:val="20"/>
                <w:szCs w:val="20"/>
                <w:lang w:val="en-GB"/>
              </w:rPr>
              <w:t>28 (93.3%)</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0.000</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sz w:val="20"/>
                <w:szCs w:val="20"/>
              </w:rPr>
              <w:t>SIJ</w:t>
            </w:r>
          </w:p>
        </w:tc>
        <w:tc>
          <w:tcPr>
            <w:tcW w:w="80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6 (20.0%)</w:t>
            </w:r>
          </w:p>
          <w:p w:rsidR="00414D55" w:rsidRPr="00C9559D" w:rsidRDefault="00414D55" w:rsidP="00E616B2">
            <w:pPr>
              <w:snapToGrid w:val="0"/>
              <w:jc w:val="both"/>
              <w:rPr>
                <w:sz w:val="20"/>
                <w:szCs w:val="20"/>
              </w:rPr>
            </w:pPr>
            <w:r w:rsidRPr="00C9559D">
              <w:rPr>
                <w:sz w:val="20"/>
                <w:szCs w:val="20"/>
                <w:lang w:val="en-GB"/>
              </w:rPr>
              <w:t>24 (80.0%)</w:t>
            </w:r>
          </w:p>
        </w:tc>
        <w:tc>
          <w:tcPr>
            <w:tcW w:w="1064" w:type="pct"/>
            <w:vAlign w:val="center"/>
          </w:tcPr>
          <w:p w:rsidR="00414D55" w:rsidRPr="00C9559D" w:rsidRDefault="00414D55" w:rsidP="00E616B2">
            <w:pPr>
              <w:snapToGrid w:val="0"/>
              <w:jc w:val="both"/>
              <w:rPr>
                <w:bCs/>
                <w:sz w:val="20"/>
                <w:szCs w:val="20"/>
              </w:rPr>
            </w:pPr>
            <w:r w:rsidRPr="00C9559D">
              <w:rPr>
                <w:sz w:val="20"/>
                <w:szCs w:val="20"/>
                <w:lang w:val="en-GB"/>
              </w:rPr>
              <w:t>8 (26.7%)</w:t>
            </w:r>
          </w:p>
          <w:p w:rsidR="00414D55" w:rsidRPr="00C9559D" w:rsidRDefault="00414D55" w:rsidP="00E616B2">
            <w:pPr>
              <w:snapToGrid w:val="0"/>
              <w:jc w:val="both"/>
              <w:rPr>
                <w:sz w:val="20"/>
                <w:szCs w:val="20"/>
              </w:rPr>
            </w:pPr>
            <w:r w:rsidRPr="00C9559D">
              <w:rPr>
                <w:sz w:val="20"/>
                <w:szCs w:val="20"/>
                <w:lang w:val="en-GB"/>
              </w:rPr>
              <w:t>22 (73.3%)</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0.373*</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sz w:val="20"/>
                <w:szCs w:val="20"/>
              </w:rPr>
              <w:t>VAS Score</w:t>
            </w:r>
          </w:p>
        </w:tc>
        <w:tc>
          <w:tcPr>
            <w:tcW w:w="801" w:type="pct"/>
            <w:vAlign w:val="center"/>
          </w:tcPr>
          <w:p w:rsidR="00414D55" w:rsidRPr="00C9559D" w:rsidRDefault="00414D55" w:rsidP="00E616B2">
            <w:pPr>
              <w:snapToGrid w:val="0"/>
              <w:jc w:val="both"/>
              <w:rPr>
                <w:sz w:val="20"/>
                <w:szCs w:val="20"/>
              </w:rPr>
            </w:pPr>
            <w:r w:rsidRPr="00C9559D">
              <w:rPr>
                <w:sz w:val="20"/>
                <w:szCs w:val="20"/>
              </w:rPr>
              <w:t>Range</w:t>
            </w:r>
          </w:p>
          <w:p w:rsidR="00414D55" w:rsidRPr="00C9559D" w:rsidRDefault="00414D55" w:rsidP="00E616B2">
            <w:pPr>
              <w:snapToGrid w:val="0"/>
              <w:jc w:val="both"/>
              <w:rPr>
                <w:sz w:val="20"/>
                <w:szCs w:val="20"/>
              </w:rPr>
            </w:pPr>
            <w:r w:rsidRPr="00C9559D">
              <w:rPr>
                <w:bCs/>
                <w:sz w:val="20"/>
                <w:szCs w:val="20"/>
              </w:rPr>
              <w:t>Median (IQR)</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0 – 4</w:t>
            </w:r>
          </w:p>
          <w:p w:rsidR="00414D55" w:rsidRPr="00C9559D" w:rsidRDefault="00414D55" w:rsidP="00E616B2">
            <w:pPr>
              <w:snapToGrid w:val="0"/>
              <w:jc w:val="both"/>
              <w:rPr>
                <w:sz w:val="20"/>
                <w:szCs w:val="20"/>
              </w:rPr>
            </w:pPr>
            <w:r w:rsidRPr="00C9559D">
              <w:rPr>
                <w:sz w:val="20"/>
                <w:szCs w:val="20"/>
                <w:lang w:val="en-GB"/>
              </w:rPr>
              <w:t>1 (0 - 2)</w:t>
            </w:r>
          </w:p>
        </w:tc>
        <w:tc>
          <w:tcPr>
            <w:tcW w:w="1064" w:type="pct"/>
            <w:vAlign w:val="center"/>
          </w:tcPr>
          <w:p w:rsidR="00414D55" w:rsidRPr="00C9559D" w:rsidRDefault="00414D55" w:rsidP="00E616B2">
            <w:pPr>
              <w:snapToGrid w:val="0"/>
              <w:jc w:val="both"/>
              <w:rPr>
                <w:bCs/>
                <w:sz w:val="20"/>
                <w:szCs w:val="20"/>
              </w:rPr>
            </w:pPr>
            <w:r w:rsidRPr="00C9559D">
              <w:rPr>
                <w:sz w:val="20"/>
                <w:szCs w:val="20"/>
                <w:lang w:val="en-GB"/>
              </w:rPr>
              <w:t>0 – 6</w:t>
            </w:r>
          </w:p>
          <w:p w:rsidR="00414D55" w:rsidRPr="00C9559D" w:rsidRDefault="00414D55" w:rsidP="00E616B2">
            <w:pPr>
              <w:snapToGrid w:val="0"/>
              <w:jc w:val="both"/>
              <w:rPr>
                <w:sz w:val="20"/>
                <w:szCs w:val="20"/>
              </w:rPr>
            </w:pPr>
            <w:r w:rsidRPr="00C9559D">
              <w:rPr>
                <w:sz w:val="20"/>
                <w:szCs w:val="20"/>
                <w:lang w:val="en-GB"/>
              </w:rPr>
              <w:t>1 (0 - 2)</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-2.401</w:t>
            </w:r>
            <w:r w:rsidRPr="00C9559D">
              <w:rPr>
                <w:rFonts w:eastAsia="MS Mincho"/>
                <w:sz w:val="20"/>
                <w:szCs w:val="20"/>
                <w:lang w:val="en-GB"/>
              </w:rPr>
              <w:t>ǂ</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&lt;0.05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S</w:t>
            </w:r>
          </w:p>
        </w:tc>
      </w:tr>
      <w:tr w:rsidR="00414D55" w:rsidRPr="00C9559D" w:rsidTr="00D51578">
        <w:trPr>
          <w:jc w:val="center"/>
        </w:trPr>
        <w:tc>
          <w:tcPr>
            <w:tcW w:w="716" w:type="pct"/>
            <w:vAlign w:val="center"/>
          </w:tcPr>
          <w:p w:rsidR="00414D55" w:rsidRPr="00C9559D" w:rsidRDefault="00414D55" w:rsidP="00E616B2">
            <w:pPr>
              <w:snapToGrid w:val="0"/>
              <w:jc w:val="both"/>
              <w:rPr>
                <w:sz w:val="20"/>
                <w:szCs w:val="20"/>
              </w:rPr>
            </w:pPr>
            <w:r w:rsidRPr="00C9559D">
              <w:rPr>
                <w:sz w:val="20"/>
                <w:szCs w:val="20"/>
              </w:rPr>
              <w:t>ODI Score</w:t>
            </w:r>
          </w:p>
        </w:tc>
        <w:tc>
          <w:tcPr>
            <w:tcW w:w="801" w:type="pct"/>
            <w:vAlign w:val="center"/>
          </w:tcPr>
          <w:p w:rsidR="00414D55" w:rsidRPr="00C9559D" w:rsidRDefault="00414D55" w:rsidP="00E616B2">
            <w:pPr>
              <w:snapToGrid w:val="0"/>
              <w:jc w:val="both"/>
              <w:rPr>
                <w:sz w:val="20"/>
                <w:szCs w:val="20"/>
              </w:rPr>
            </w:pPr>
            <w:r w:rsidRPr="00C9559D">
              <w:rPr>
                <w:sz w:val="20"/>
                <w:szCs w:val="20"/>
              </w:rPr>
              <w:t>Range</w:t>
            </w:r>
          </w:p>
          <w:p w:rsidR="00414D55" w:rsidRPr="00C9559D" w:rsidRDefault="00414D55" w:rsidP="00E616B2">
            <w:pPr>
              <w:snapToGrid w:val="0"/>
              <w:jc w:val="both"/>
              <w:rPr>
                <w:sz w:val="20"/>
                <w:szCs w:val="20"/>
              </w:rPr>
            </w:pPr>
            <w:r w:rsidRPr="00C9559D">
              <w:rPr>
                <w:bCs/>
                <w:sz w:val="20"/>
                <w:szCs w:val="20"/>
              </w:rPr>
              <w:t>Median (IQR)</w:t>
            </w:r>
          </w:p>
        </w:tc>
        <w:tc>
          <w:tcPr>
            <w:tcW w:w="1014" w:type="pct"/>
            <w:vAlign w:val="center"/>
          </w:tcPr>
          <w:p w:rsidR="00414D55" w:rsidRPr="00C9559D" w:rsidRDefault="00414D55" w:rsidP="00E616B2">
            <w:pPr>
              <w:snapToGrid w:val="0"/>
              <w:jc w:val="both"/>
              <w:rPr>
                <w:bCs/>
                <w:sz w:val="20"/>
                <w:szCs w:val="20"/>
              </w:rPr>
            </w:pPr>
            <w:r w:rsidRPr="00C9559D">
              <w:rPr>
                <w:sz w:val="20"/>
                <w:szCs w:val="20"/>
                <w:lang w:val="en-GB"/>
              </w:rPr>
              <w:t>0 – 40</w:t>
            </w:r>
          </w:p>
          <w:p w:rsidR="00414D55" w:rsidRPr="00C9559D" w:rsidRDefault="00414D55" w:rsidP="00E616B2">
            <w:pPr>
              <w:snapToGrid w:val="0"/>
              <w:jc w:val="both"/>
              <w:rPr>
                <w:sz w:val="20"/>
                <w:szCs w:val="20"/>
              </w:rPr>
            </w:pPr>
            <w:r w:rsidRPr="00C9559D">
              <w:rPr>
                <w:sz w:val="20"/>
                <w:szCs w:val="20"/>
                <w:lang w:val="en-GB"/>
              </w:rPr>
              <w:t>8.5 (2 - 18)</w:t>
            </w:r>
          </w:p>
        </w:tc>
        <w:tc>
          <w:tcPr>
            <w:tcW w:w="1064" w:type="pct"/>
            <w:vAlign w:val="center"/>
          </w:tcPr>
          <w:p w:rsidR="00414D55" w:rsidRPr="00C9559D" w:rsidRDefault="00414D55" w:rsidP="00E616B2">
            <w:pPr>
              <w:snapToGrid w:val="0"/>
              <w:jc w:val="both"/>
              <w:rPr>
                <w:bCs/>
                <w:sz w:val="20"/>
                <w:szCs w:val="20"/>
              </w:rPr>
            </w:pPr>
            <w:r w:rsidRPr="00C9559D">
              <w:rPr>
                <w:sz w:val="20"/>
                <w:szCs w:val="20"/>
                <w:lang w:val="en-GB"/>
              </w:rPr>
              <w:t>0 – 46</w:t>
            </w:r>
          </w:p>
          <w:p w:rsidR="00414D55" w:rsidRPr="00C9559D" w:rsidRDefault="00414D55" w:rsidP="00E616B2">
            <w:pPr>
              <w:snapToGrid w:val="0"/>
              <w:jc w:val="both"/>
              <w:rPr>
                <w:sz w:val="20"/>
                <w:szCs w:val="20"/>
              </w:rPr>
            </w:pPr>
            <w:r w:rsidRPr="00C9559D">
              <w:rPr>
                <w:sz w:val="20"/>
                <w:szCs w:val="20"/>
                <w:lang w:val="en-GB"/>
              </w:rPr>
              <w:t>12 (4 - 26)</w:t>
            </w:r>
          </w:p>
        </w:tc>
        <w:tc>
          <w:tcPr>
            <w:tcW w:w="659" w:type="pct"/>
            <w:vAlign w:val="center"/>
          </w:tcPr>
          <w:p w:rsidR="00414D55" w:rsidRPr="00C9559D" w:rsidRDefault="00414D55" w:rsidP="00E616B2">
            <w:pPr>
              <w:snapToGrid w:val="0"/>
              <w:jc w:val="both"/>
              <w:rPr>
                <w:sz w:val="20"/>
                <w:szCs w:val="20"/>
                <w:lang w:val="en-GB"/>
              </w:rPr>
            </w:pPr>
            <w:r w:rsidRPr="00C9559D">
              <w:rPr>
                <w:sz w:val="20"/>
                <w:szCs w:val="20"/>
                <w:lang w:val="en-GB"/>
              </w:rPr>
              <w:t>-2.392</w:t>
            </w:r>
            <w:r w:rsidRPr="00C9559D">
              <w:rPr>
                <w:rFonts w:eastAsia="MS Mincho"/>
                <w:sz w:val="20"/>
                <w:szCs w:val="20"/>
                <w:lang w:val="en-GB"/>
              </w:rPr>
              <w:t>ǂ</w:t>
            </w:r>
          </w:p>
        </w:tc>
        <w:tc>
          <w:tcPr>
            <w:tcW w:w="503" w:type="pct"/>
            <w:vAlign w:val="center"/>
          </w:tcPr>
          <w:p w:rsidR="00414D55" w:rsidRPr="00C9559D" w:rsidRDefault="00414D55" w:rsidP="00E616B2">
            <w:pPr>
              <w:snapToGrid w:val="0"/>
              <w:jc w:val="both"/>
              <w:rPr>
                <w:sz w:val="20"/>
                <w:szCs w:val="20"/>
                <w:lang w:val="en-GB"/>
              </w:rPr>
            </w:pPr>
            <w:r w:rsidRPr="00C9559D">
              <w:rPr>
                <w:sz w:val="20"/>
                <w:szCs w:val="20"/>
                <w:lang w:val="en-GB"/>
              </w:rPr>
              <w:t>&lt;0.05</w:t>
            </w:r>
          </w:p>
        </w:tc>
        <w:tc>
          <w:tcPr>
            <w:tcW w:w="243" w:type="pct"/>
            <w:vAlign w:val="center"/>
          </w:tcPr>
          <w:p w:rsidR="00414D55" w:rsidRPr="00C9559D" w:rsidRDefault="00414D55" w:rsidP="00E616B2">
            <w:pPr>
              <w:snapToGrid w:val="0"/>
              <w:jc w:val="both"/>
              <w:rPr>
                <w:sz w:val="20"/>
                <w:szCs w:val="20"/>
                <w:lang w:val="en-GB"/>
              </w:rPr>
            </w:pPr>
            <w:r w:rsidRPr="00C9559D">
              <w:rPr>
                <w:sz w:val="20"/>
                <w:szCs w:val="20"/>
                <w:lang w:val="en-GB"/>
              </w:rPr>
              <w:t>S</w:t>
            </w:r>
          </w:p>
        </w:tc>
      </w:tr>
    </w:tbl>
    <w:p w:rsidR="00A07C1E" w:rsidRPr="00C9559D" w:rsidRDefault="00414D55" w:rsidP="00E616B2">
      <w:pPr>
        <w:snapToGrid w:val="0"/>
        <w:jc w:val="both"/>
        <w:rPr>
          <w:sz w:val="20"/>
          <w:szCs w:val="20"/>
        </w:rPr>
      </w:pPr>
      <w:r w:rsidRPr="00C9559D">
        <w:rPr>
          <w:sz w:val="20"/>
          <w:szCs w:val="20"/>
        </w:rPr>
        <w:t xml:space="preserve">P-value &gt;0.05: Non significant (NS); </w:t>
      </w:r>
    </w:p>
    <w:p w:rsidR="00A07C1E" w:rsidRPr="00C9559D" w:rsidRDefault="00414D55" w:rsidP="00E616B2">
      <w:pPr>
        <w:snapToGrid w:val="0"/>
        <w:jc w:val="both"/>
        <w:rPr>
          <w:sz w:val="20"/>
          <w:szCs w:val="20"/>
        </w:rPr>
      </w:pPr>
      <w:r w:rsidRPr="00C9559D">
        <w:rPr>
          <w:sz w:val="20"/>
          <w:szCs w:val="20"/>
        </w:rPr>
        <w:t>P-value &lt;0.0</w:t>
      </w:r>
      <w:r w:rsidR="00905775" w:rsidRPr="00C9559D">
        <w:rPr>
          <w:sz w:val="20"/>
          <w:szCs w:val="20"/>
        </w:rPr>
        <w:t xml:space="preserve">5: Significant (S); </w:t>
      </w:r>
    </w:p>
    <w:p w:rsidR="00414D55" w:rsidRPr="00C9559D" w:rsidRDefault="00905775" w:rsidP="00E616B2">
      <w:pPr>
        <w:snapToGrid w:val="0"/>
        <w:jc w:val="both"/>
        <w:rPr>
          <w:sz w:val="20"/>
          <w:szCs w:val="20"/>
        </w:rPr>
      </w:pPr>
      <w:r w:rsidRPr="00C9559D">
        <w:rPr>
          <w:sz w:val="20"/>
          <w:szCs w:val="20"/>
        </w:rPr>
        <w:t>P-value&lt; 0.</w:t>
      </w:r>
      <w:r w:rsidR="00414D55" w:rsidRPr="00C9559D">
        <w:rPr>
          <w:sz w:val="20"/>
          <w:szCs w:val="20"/>
        </w:rPr>
        <w:t>01: highly significant (HS)</w:t>
      </w:r>
    </w:p>
    <w:p w:rsidR="00414D55" w:rsidRPr="00C9559D" w:rsidRDefault="00414D55" w:rsidP="00E616B2">
      <w:pPr>
        <w:snapToGrid w:val="0"/>
        <w:jc w:val="both"/>
        <w:rPr>
          <w:sz w:val="20"/>
          <w:szCs w:val="20"/>
        </w:rPr>
      </w:pPr>
      <w:r w:rsidRPr="00C9559D">
        <w:rPr>
          <w:sz w:val="20"/>
          <w:szCs w:val="20"/>
        </w:rPr>
        <w:t>*</w:t>
      </w:r>
      <w:r w:rsidR="00E616B2" w:rsidRPr="00C9559D">
        <w:rPr>
          <w:sz w:val="20"/>
          <w:szCs w:val="20"/>
        </w:rPr>
        <w:t>: C</w:t>
      </w:r>
      <w:r w:rsidRPr="00C9559D">
        <w:rPr>
          <w:sz w:val="20"/>
          <w:szCs w:val="20"/>
        </w:rPr>
        <w:t xml:space="preserve">hi-square test; ‡: </w:t>
      </w:r>
      <w:proofErr w:type="spellStart"/>
      <w:r w:rsidRPr="00C9559D">
        <w:rPr>
          <w:sz w:val="20"/>
          <w:szCs w:val="20"/>
        </w:rPr>
        <w:t>Wilcoxon</w:t>
      </w:r>
      <w:proofErr w:type="spellEnd"/>
      <w:r w:rsidRPr="00C9559D">
        <w:rPr>
          <w:sz w:val="20"/>
          <w:szCs w:val="20"/>
        </w:rPr>
        <w:t xml:space="preserve"> Rank test</w:t>
      </w:r>
    </w:p>
    <w:p w:rsidR="00414D55" w:rsidRPr="00C9559D" w:rsidRDefault="00414D55" w:rsidP="00E616B2">
      <w:pPr>
        <w:snapToGrid w:val="0"/>
        <w:jc w:val="both"/>
        <w:rPr>
          <w:sz w:val="20"/>
          <w:szCs w:val="20"/>
        </w:rPr>
      </w:pPr>
      <w:r w:rsidRPr="00C9559D">
        <w:rPr>
          <w:b/>
          <w:bCs/>
          <w:sz w:val="20"/>
          <w:szCs w:val="20"/>
        </w:rPr>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4</w:t>
      </w:r>
      <w:r w:rsidR="00FA4FCE" w:rsidRPr="00C9559D">
        <w:rPr>
          <w:sz w:val="20"/>
          <w:szCs w:val="20"/>
        </w:rPr>
        <w:fldChar w:fldCharType="end"/>
      </w:r>
      <w:r w:rsidRPr="00C9559D">
        <w:rPr>
          <w:b/>
          <w:bCs/>
          <w:sz w:val="20"/>
          <w:szCs w:val="20"/>
        </w:rPr>
        <w:t xml:space="preserve">): </w:t>
      </w:r>
      <w:r w:rsidRPr="00C9559D">
        <w:rPr>
          <w:sz w:val="20"/>
          <w:szCs w:val="20"/>
          <w:lang w:val="en-GB"/>
        </w:rPr>
        <w:t>Comparison between pre-injection visit and 2</w:t>
      </w:r>
      <w:r w:rsidRPr="00C9559D">
        <w:rPr>
          <w:sz w:val="20"/>
          <w:szCs w:val="20"/>
          <w:vertAlign w:val="superscript"/>
          <w:lang w:val="en-GB"/>
        </w:rPr>
        <w:t>nd</w:t>
      </w:r>
      <w:r w:rsidRPr="00C9559D">
        <w:rPr>
          <w:sz w:val="20"/>
          <w:szCs w:val="20"/>
          <w:lang w:val="en-GB"/>
        </w:rPr>
        <w:t xml:space="preserve"> visit post-injection as regards the clinical and functional data</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376"/>
        <w:gridCol w:w="1540"/>
        <w:gridCol w:w="1840"/>
        <w:gridCol w:w="2044"/>
        <w:gridCol w:w="1213"/>
        <w:gridCol w:w="932"/>
        <w:gridCol w:w="529"/>
      </w:tblGrid>
      <w:tr w:rsidR="00414D55" w:rsidRPr="00C9559D" w:rsidTr="00D51578">
        <w:trPr>
          <w:jc w:val="center"/>
        </w:trPr>
        <w:tc>
          <w:tcPr>
            <w:tcW w:w="1539" w:type="pct"/>
            <w:gridSpan w:val="2"/>
            <w:vMerge w:val="restart"/>
            <w:vAlign w:val="center"/>
          </w:tcPr>
          <w:p w:rsidR="00414D55" w:rsidRPr="00C9559D" w:rsidRDefault="00414D55" w:rsidP="00E616B2">
            <w:pPr>
              <w:snapToGrid w:val="0"/>
              <w:jc w:val="both"/>
              <w:rPr>
                <w:sz w:val="20"/>
                <w:szCs w:val="20"/>
                <w:lang w:val="en-GB"/>
              </w:rPr>
            </w:pPr>
          </w:p>
        </w:tc>
        <w:tc>
          <w:tcPr>
            <w:tcW w:w="971" w:type="pct"/>
            <w:vAlign w:val="center"/>
          </w:tcPr>
          <w:p w:rsidR="00414D55" w:rsidRPr="00C9559D" w:rsidRDefault="00414D55" w:rsidP="00E616B2">
            <w:pPr>
              <w:snapToGrid w:val="0"/>
              <w:jc w:val="both"/>
              <w:rPr>
                <w:sz w:val="20"/>
                <w:szCs w:val="20"/>
                <w:lang w:val="en-GB"/>
              </w:rPr>
            </w:pPr>
            <w:r w:rsidRPr="00C9559D">
              <w:rPr>
                <w:b/>
                <w:bCs/>
                <w:sz w:val="20"/>
                <w:szCs w:val="20"/>
              </w:rPr>
              <w:t>Before Injection</w:t>
            </w:r>
          </w:p>
        </w:tc>
        <w:tc>
          <w:tcPr>
            <w:tcW w:w="1079" w:type="pct"/>
            <w:vAlign w:val="center"/>
          </w:tcPr>
          <w:p w:rsidR="00414D55" w:rsidRPr="00C9559D" w:rsidRDefault="00414D55" w:rsidP="00E616B2">
            <w:pPr>
              <w:snapToGrid w:val="0"/>
              <w:jc w:val="both"/>
              <w:rPr>
                <w:sz w:val="20"/>
                <w:szCs w:val="20"/>
                <w:lang w:val="en-GB"/>
              </w:rPr>
            </w:pPr>
            <w:r w:rsidRPr="00C9559D">
              <w:rPr>
                <w:b/>
                <w:bCs/>
                <w:sz w:val="20"/>
                <w:szCs w:val="20"/>
                <w:lang w:val="en-GB"/>
              </w:rPr>
              <w:t>2nd visit (90 days)</w:t>
            </w:r>
          </w:p>
        </w:tc>
        <w:tc>
          <w:tcPr>
            <w:tcW w:w="640" w:type="pct"/>
            <w:vMerge w:val="restart"/>
            <w:vAlign w:val="center"/>
          </w:tcPr>
          <w:p w:rsidR="00414D55" w:rsidRPr="00C9559D" w:rsidRDefault="00414D55" w:rsidP="00E616B2">
            <w:pPr>
              <w:snapToGrid w:val="0"/>
              <w:jc w:val="both"/>
              <w:rPr>
                <w:sz w:val="20"/>
                <w:szCs w:val="20"/>
                <w:lang w:val="en-GB"/>
              </w:rPr>
            </w:pPr>
            <w:r w:rsidRPr="00C9559D">
              <w:rPr>
                <w:b/>
                <w:bCs/>
                <w:sz w:val="20"/>
                <w:szCs w:val="20"/>
                <w:lang w:val="en-GB"/>
              </w:rPr>
              <w:t>Test value</w:t>
            </w:r>
          </w:p>
        </w:tc>
        <w:tc>
          <w:tcPr>
            <w:tcW w:w="492" w:type="pct"/>
            <w:vMerge w:val="restart"/>
            <w:vAlign w:val="center"/>
          </w:tcPr>
          <w:p w:rsidR="00414D55" w:rsidRPr="00C9559D" w:rsidRDefault="00414D55" w:rsidP="00E616B2">
            <w:pPr>
              <w:snapToGrid w:val="0"/>
              <w:jc w:val="both"/>
              <w:rPr>
                <w:sz w:val="20"/>
                <w:szCs w:val="20"/>
                <w:lang w:val="en-GB"/>
              </w:rPr>
            </w:pPr>
            <w:r w:rsidRPr="00C9559D">
              <w:rPr>
                <w:b/>
                <w:bCs/>
                <w:sz w:val="20"/>
                <w:szCs w:val="20"/>
                <w:lang w:val="en-GB"/>
              </w:rPr>
              <w:t>P-value</w:t>
            </w:r>
          </w:p>
        </w:tc>
        <w:tc>
          <w:tcPr>
            <w:tcW w:w="279" w:type="pct"/>
            <w:vMerge w:val="restart"/>
            <w:vAlign w:val="center"/>
          </w:tcPr>
          <w:p w:rsidR="00414D55" w:rsidRPr="00C9559D" w:rsidRDefault="00414D55" w:rsidP="00E616B2">
            <w:pPr>
              <w:snapToGrid w:val="0"/>
              <w:jc w:val="both"/>
              <w:rPr>
                <w:sz w:val="20"/>
                <w:szCs w:val="20"/>
                <w:lang w:val="en-GB"/>
              </w:rPr>
            </w:pPr>
            <w:r w:rsidRPr="00C9559D">
              <w:rPr>
                <w:b/>
                <w:bCs/>
                <w:sz w:val="20"/>
                <w:szCs w:val="20"/>
                <w:lang w:val="en-GB"/>
              </w:rPr>
              <w:t>Sig.</w:t>
            </w:r>
          </w:p>
        </w:tc>
      </w:tr>
      <w:tr w:rsidR="00414D55" w:rsidRPr="00C9559D" w:rsidTr="00D51578">
        <w:trPr>
          <w:jc w:val="center"/>
        </w:trPr>
        <w:tc>
          <w:tcPr>
            <w:tcW w:w="1539" w:type="pct"/>
            <w:gridSpan w:val="2"/>
            <w:vMerge/>
            <w:vAlign w:val="center"/>
          </w:tcPr>
          <w:p w:rsidR="00414D55" w:rsidRPr="00C9559D" w:rsidRDefault="00414D55" w:rsidP="00E616B2">
            <w:pPr>
              <w:snapToGrid w:val="0"/>
              <w:jc w:val="both"/>
              <w:rPr>
                <w:sz w:val="20"/>
                <w:szCs w:val="20"/>
                <w:lang w:val="en-GB"/>
              </w:rPr>
            </w:pPr>
          </w:p>
        </w:tc>
        <w:tc>
          <w:tcPr>
            <w:tcW w:w="971" w:type="pct"/>
            <w:vAlign w:val="center"/>
          </w:tcPr>
          <w:p w:rsidR="00414D55" w:rsidRPr="00C9559D" w:rsidRDefault="00414D55" w:rsidP="00E616B2">
            <w:pPr>
              <w:snapToGrid w:val="0"/>
              <w:jc w:val="both"/>
              <w:rPr>
                <w:sz w:val="20"/>
                <w:szCs w:val="20"/>
              </w:rPr>
            </w:pPr>
            <w:r w:rsidRPr="00C9559D">
              <w:rPr>
                <w:b/>
                <w:bCs/>
                <w:sz w:val="20"/>
                <w:szCs w:val="20"/>
              </w:rPr>
              <w:t>No.=30</w:t>
            </w:r>
          </w:p>
        </w:tc>
        <w:tc>
          <w:tcPr>
            <w:tcW w:w="1079" w:type="pct"/>
            <w:vAlign w:val="center"/>
          </w:tcPr>
          <w:p w:rsidR="00414D55" w:rsidRPr="00C9559D" w:rsidRDefault="00414D55" w:rsidP="00E616B2">
            <w:pPr>
              <w:snapToGrid w:val="0"/>
              <w:jc w:val="both"/>
              <w:rPr>
                <w:sz w:val="20"/>
                <w:szCs w:val="20"/>
              </w:rPr>
            </w:pPr>
            <w:r w:rsidRPr="00C9559D">
              <w:rPr>
                <w:b/>
                <w:bCs/>
                <w:sz w:val="20"/>
                <w:szCs w:val="20"/>
              </w:rPr>
              <w:t>No.=30</w:t>
            </w:r>
          </w:p>
        </w:tc>
        <w:tc>
          <w:tcPr>
            <w:tcW w:w="640" w:type="pct"/>
            <w:vMerge/>
            <w:vAlign w:val="center"/>
          </w:tcPr>
          <w:p w:rsidR="00414D55" w:rsidRPr="00C9559D" w:rsidRDefault="00414D55" w:rsidP="00E616B2">
            <w:pPr>
              <w:snapToGrid w:val="0"/>
              <w:jc w:val="both"/>
              <w:rPr>
                <w:sz w:val="20"/>
                <w:szCs w:val="20"/>
                <w:lang w:val="en-GB"/>
              </w:rPr>
            </w:pPr>
          </w:p>
        </w:tc>
        <w:tc>
          <w:tcPr>
            <w:tcW w:w="492" w:type="pct"/>
            <w:vMerge/>
            <w:vAlign w:val="center"/>
          </w:tcPr>
          <w:p w:rsidR="00414D55" w:rsidRPr="00C9559D" w:rsidRDefault="00414D55" w:rsidP="00E616B2">
            <w:pPr>
              <w:snapToGrid w:val="0"/>
              <w:jc w:val="both"/>
              <w:rPr>
                <w:sz w:val="20"/>
                <w:szCs w:val="20"/>
                <w:lang w:val="en-GB"/>
              </w:rPr>
            </w:pPr>
          </w:p>
        </w:tc>
        <w:tc>
          <w:tcPr>
            <w:tcW w:w="279" w:type="pct"/>
            <w:vMerge/>
            <w:vAlign w:val="center"/>
          </w:tcPr>
          <w:p w:rsidR="00414D55" w:rsidRPr="00C9559D" w:rsidRDefault="00414D55" w:rsidP="00E616B2">
            <w:pPr>
              <w:snapToGrid w:val="0"/>
              <w:jc w:val="both"/>
              <w:rPr>
                <w:sz w:val="20"/>
                <w:szCs w:val="20"/>
                <w:lang w:val="en-GB"/>
              </w:rPr>
            </w:pP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bCs/>
                <w:sz w:val="20"/>
                <w:szCs w:val="20"/>
              </w:rPr>
              <w:t>Central LBP</w:t>
            </w:r>
          </w:p>
        </w:tc>
        <w:tc>
          <w:tcPr>
            <w:tcW w:w="81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971" w:type="pct"/>
            <w:vAlign w:val="center"/>
          </w:tcPr>
          <w:p w:rsidR="00414D55" w:rsidRPr="00C9559D" w:rsidRDefault="00414D55" w:rsidP="00E616B2">
            <w:pPr>
              <w:snapToGrid w:val="0"/>
              <w:jc w:val="both"/>
              <w:rPr>
                <w:bCs/>
                <w:sz w:val="20"/>
                <w:szCs w:val="20"/>
              </w:rPr>
            </w:pPr>
            <w:r w:rsidRPr="00C9559D">
              <w:rPr>
                <w:bCs/>
                <w:sz w:val="20"/>
                <w:szCs w:val="20"/>
              </w:rPr>
              <w:t>29 (96.7%)</w:t>
            </w:r>
          </w:p>
          <w:p w:rsidR="00414D55" w:rsidRPr="00C9559D" w:rsidRDefault="00414D55" w:rsidP="00E616B2">
            <w:pPr>
              <w:snapToGrid w:val="0"/>
              <w:jc w:val="both"/>
              <w:rPr>
                <w:sz w:val="20"/>
                <w:szCs w:val="20"/>
                <w:lang w:val="en-GB"/>
              </w:rPr>
            </w:pPr>
            <w:r w:rsidRPr="00C9559D">
              <w:rPr>
                <w:sz w:val="20"/>
                <w:szCs w:val="20"/>
                <w:lang w:val="en-GB"/>
              </w:rPr>
              <w:t>1 (3.3%)</w:t>
            </w:r>
          </w:p>
        </w:tc>
        <w:tc>
          <w:tcPr>
            <w:tcW w:w="1079" w:type="pct"/>
            <w:vAlign w:val="center"/>
          </w:tcPr>
          <w:p w:rsidR="00414D55" w:rsidRPr="00C9559D" w:rsidRDefault="00414D55" w:rsidP="00E616B2">
            <w:pPr>
              <w:snapToGrid w:val="0"/>
              <w:jc w:val="both"/>
              <w:rPr>
                <w:bCs/>
                <w:sz w:val="20"/>
                <w:szCs w:val="20"/>
              </w:rPr>
            </w:pPr>
            <w:r w:rsidRPr="00C9559D">
              <w:rPr>
                <w:bCs/>
                <w:sz w:val="20"/>
                <w:szCs w:val="20"/>
              </w:rPr>
              <w:t>13 (43.3%)</w:t>
            </w:r>
          </w:p>
          <w:p w:rsidR="00414D55" w:rsidRPr="00C9559D" w:rsidRDefault="00414D55" w:rsidP="00E616B2">
            <w:pPr>
              <w:snapToGrid w:val="0"/>
              <w:jc w:val="both"/>
              <w:rPr>
                <w:sz w:val="20"/>
                <w:szCs w:val="20"/>
                <w:lang w:val="en-GB"/>
              </w:rPr>
            </w:pPr>
            <w:r w:rsidRPr="00C9559D">
              <w:rPr>
                <w:sz w:val="20"/>
                <w:szCs w:val="20"/>
                <w:lang w:val="en-GB"/>
              </w:rPr>
              <w:t>17 (56.7%)</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20.317</w:t>
            </w:r>
          </w:p>
        </w:tc>
        <w:tc>
          <w:tcPr>
            <w:tcW w:w="492"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79"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lang w:val="en-GB"/>
              </w:rPr>
            </w:pPr>
            <w:r w:rsidRPr="00C9559D">
              <w:rPr>
                <w:sz w:val="20"/>
                <w:szCs w:val="20"/>
              </w:rPr>
              <w:t>Pain of SIJ</w:t>
            </w:r>
          </w:p>
        </w:tc>
        <w:tc>
          <w:tcPr>
            <w:tcW w:w="81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lang w:val="en-GB"/>
              </w:rPr>
            </w:pPr>
            <w:r w:rsidRPr="00C9559D">
              <w:rPr>
                <w:bCs/>
                <w:sz w:val="20"/>
                <w:szCs w:val="20"/>
              </w:rPr>
              <w:t>Negative</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17 (56.7%)</w:t>
            </w:r>
          </w:p>
          <w:p w:rsidR="00414D55" w:rsidRPr="00C9559D" w:rsidRDefault="00414D55" w:rsidP="00E616B2">
            <w:pPr>
              <w:snapToGrid w:val="0"/>
              <w:jc w:val="both"/>
              <w:rPr>
                <w:sz w:val="20"/>
                <w:szCs w:val="20"/>
                <w:lang w:val="en-GB"/>
              </w:rPr>
            </w:pPr>
            <w:r w:rsidRPr="00C9559D">
              <w:rPr>
                <w:sz w:val="20"/>
                <w:szCs w:val="20"/>
                <w:lang w:val="en-GB"/>
              </w:rPr>
              <w:t>13 (43.3%)</w:t>
            </w:r>
          </w:p>
        </w:tc>
        <w:tc>
          <w:tcPr>
            <w:tcW w:w="1079" w:type="pct"/>
            <w:vAlign w:val="center"/>
          </w:tcPr>
          <w:p w:rsidR="00414D55" w:rsidRPr="00C9559D" w:rsidRDefault="00414D55" w:rsidP="00E616B2">
            <w:pPr>
              <w:snapToGrid w:val="0"/>
              <w:jc w:val="both"/>
              <w:rPr>
                <w:bCs/>
                <w:sz w:val="20"/>
                <w:szCs w:val="20"/>
              </w:rPr>
            </w:pPr>
            <w:r w:rsidRPr="00C9559D">
              <w:rPr>
                <w:sz w:val="20"/>
                <w:szCs w:val="20"/>
                <w:lang w:val="en-GB"/>
              </w:rPr>
              <w:t>8 (26.7%)</w:t>
            </w:r>
          </w:p>
          <w:p w:rsidR="00414D55" w:rsidRPr="00C9559D" w:rsidRDefault="00414D55" w:rsidP="00E616B2">
            <w:pPr>
              <w:snapToGrid w:val="0"/>
              <w:jc w:val="both"/>
              <w:rPr>
                <w:sz w:val="20"/>
                <w:szCs w:val="20"/>
                <w:lang w:val="en-GB"/>
              </w:rPr>
            </w:pPr>
            <w:r w:rsidRPr="00C9559D">
              <w:rPr>
                <w:sz w:val="20"/>
                <w:szCs w:val="20"/>
                <w:lang w:val="en-GB"/>
              </w:rPr>
              <w:t>22 (73.3%)</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5.554*</w:t>
            </w:r>
          </w:p>
        </w:tc>
        <w:tc>
          <w:tcPr>
            <w:tcW w:w="492" w:type="pct"/>
            <w:vAlign w:val="center"/>
          </w:tcPr>
          <w:p w:rsidR="00414D55" w:rsidRPr="00C9559D" w:rsidRDefault="00414D55" w:rsidP="00E616B2">
            <w:pPr>
              <w:snapToGrid w:val="0"/>
              <w:jc w:val="both"/>
              <w:rPr>
                <w:sz w:val="20"/>
                <w:szCs w:val="20"/>
                <w:lang w:val="en-GB"/>
              </w:rPr>
            </w:pPr>
            <w:r w:rsidRPr="00C9559D">
              <w:rPr>
                <w:sz w:val="20"/>
                <w:szCs w:val="20"/>
                <w:lang w:val="en-GB"/>
              </w:rPr>
              <w:t>&lt;0.05</w:t>
            </w:r>
          </w:p>
        </w:tc>
        <w:tc>
          <w:tcPr>
            <w:tcW w:w="279" w:type="pct"/>
            <w:vAlign w:val="center"/>
          </w:tcPr>
          <w:p w:rsidR="00414D55" w:rsidRPr="00C9559D" w:rsidRDefault="00414D55" w:rsidP="00E616B2">
            <w:pPr>
              <w:snapToGrid w:val="0"/>
              <w:jc w:val="both"/>
              <w:rPr>
                <w:sz w:val="20"/>
                <w:szCs w:val="20"/>
                <w:lang w:val="en-GB"/>
              </w:rPr>
            </w:pPr>
            <w:r w:rsidRPr="00C9559D">
              <w:rPr>
                <w:sz w:val="20"/>
                <w:szCs w:val="20"/>
                <w:lang w:val="en-GB"/>
              </w:rPr>
              <w:t>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bCs/>
                <w:sz w:val="20"/>
                <w:szCs w:val="20"/>
              </w:rPr>
              <w:t>SLR</w:t>
            </w:r>
          </w:p>
        </w:tc>
        <w:tc>
          <w:tcPr>
            <w:tcW w:w="81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29 (96.7%)</w:t>
            </w:r>
          </w:p>
          <w:p w:rsidR="00414D55" w:rsidRPr="00C9559D" w:rsidRDefault="00414D55" w:rsidP="00E616B2">
            <w:pPr>
              <w:snapToGrid w:val="0"/>
              <w:jc w:val="both"/>
              <w:rPr>
                <w:sz w:val="20"/>
                <w:szCs w:val="20"/>
                <w:lang w:val="en-GB"/>
              </w:rPr>
            </w:pPr>
            <w:r w:rsidRPr="00C9559D">
              <w:rPr>
                <w:sz w:val="20"/>
                <w:szCs w:val="20"/>
                <w:lang w:val="en-GB"/>
              </w:rPr>
              <w:t>1 (3.3%)</w:t>
            </w:r>
          </w:p>
        </w:tc>
        <w:tc>
          <w:tcPr>
            <w:tcW w:w="1079" w:type="pct"/>
            <w:vAlign w:val="center"/>
          </w:tcPr>
          <w:p w:rsidR="00414D55" w:rsidRPr="00C9559D" w:rsidRDefault="00414D55" w:rsidP="00E616B2">
            <w:pPr>
              <w:snapToGrid w:val="0"/>
              <w:jc w:val="both"/>
              <w:rPr>
                <w:bCs/>
                <w:sz w:val="20"/>
                <w:szCs w:val="20"/>
              </w:rPr>
            </w:pPr>
            <w:r w:rsidRPr="00C9559D">
              <w:rPr>
                <w:bCs/>
                <w:sz w:val="20"/>
                <w:szCs w:val="20"/>
              </w:rPr>
              <w:t>17 (56.7%)</w:t>
            </w:r>
          </w:p>
          <w:p w:rsidR="00414D55" w:rsidRPr="00C9559D" w:rsidRDefault="00414D55" w:rsidP="00E616B2">
            <w:pPr>
              <w:snapToGrid w:val="0"/>
              <w:jc w:val="both"/>
              <w:rPr>
                <w:sz w:val="20"/>
                <w:szCs w:val="20"/>
                <w:lang w:val="en-GB"/>
              </w:rPr>
            </w:pPr>
            <w:r w:rsidRPr="00C9559D">
              <w:rPr>
                <w:sz w:val="20"/>
                <w:szCs w:val="20"/>
                <w:lang w:val="en-GB"/>
              </w:rPr>
              <w:t>13 (43.3%)</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13.416</w:t>
            </w:r>
          </w:p>
        </w:tc>
        <w:tc>
          <w:tcPr>
            <w:tcW w:w="492" w:type="pct"/>
            <w:vAlign w:val="center"/>
          </w:tcPr>
          <w:p w:rsidR="00414D55" w:rsidRPr="00C9559D" w:rsidRDefault="00483D8A" w:rsidP="00E616B2">
            <w:pPr>
              <w:snapToGrid w:val="0"/>
              <w:jc w:val="both"/>
              <w:rPr>
                <w:sz w:val="20"/>
                <w:szCs w:val="20"/>
                <w:lang w:val="en-GB"/>
              </w:rPr>
            </w:pPr>
            <w:r w:rsidRPr="00C9559D">
              <w:rPr>
                <w:sz w:val="20"/>
                <w:szCs w:val="20"/>
                <w:lang w:val="en-GB"/>
              </w:rPr>
              <w:t>&lt;0.0</w:t>
            </w:r>
            <w:r w:rsidR="00414D55" w:rsidRPr="00C9559D">
              <w:rPr>
                <w:sz w:val="20"/>
                <w:szCs w:val="20"/>
                <w:lang w:val="en-GB"/>
              </w:rPr>
              <w:t>1</w:t>
            </w:r>
          </w:p>
        </w:tc>
        <w:tc>
          <w:tcPr>
            <w:tcW w:w="279" w:type="pct"/>
            <w:vAlign w:val="center"/>
          </w:tcPr>
          <w:p w:rsidR="00414D55" w:rsidRPr="00C9559D" w:rsidRDefault="00414D55" w:rsidP="00E616B2">
            <w:pPr>
              <w:snapToGrid w:val="0"/>
              <w:jc w:val="both"/>
              <w:rPr>
                <w:sz w:val="20"/>
                <w:szCs w:val="20"/>
              </w:rPr>
            </w:pPr>
            <w:r w:rsidRPr="00C9559D">
              <w:rPr>
                <w:sz w:val="20"/>
                <w:szCs w:val="20"/>
                <w:lang w:val="en-GB"/>
              </w:rPr>
              <w:t>HS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sz w:val="20"/>
                <w:szCs w:val="20"/>
              </w:rPr>
              <w:t>CSLR</w:t>
            </w:r>
          </w:p>
        </w:tc>
        <w:tc>
          <w:tcPr>
            <w:tcW w:w="81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23 (76.7%)</w:t>
            </w:r>
          </w:p>
          <w:p w:rsidR="00414D55" w:rsidRPr="00C9559D" w:rsidRDefault="00414D55" w:rsidP="00E616B2">
            <w:pPr>
              <w:snapToGrid w:val="0"/>
              <w:jc w:val="both"/>
              <w:rPr>
                <w:sz w:val="20"/>
                <w:szCs w:val="20"/>
                <w:lang w:val="en-GB"/>
              </w:rPr>
            </w:pPr>
            <w:r w:rsidRPr="00C9559D">
              <w:rPr>
                <w:sz w:val="20"/>
                <w:szCs w:val="20"/>
                <w:lang w:val="en-GB"/>
              </w:rPr>
              <w:t>7 (23.3%)</w:t>
            </w:r>
          </w:p>
        </w:tc>
        <w:tc>
          <w:tcPr>
            <w:tcW w:w="1079" w:type="pct"/>
            <w:vAlign w:val="center"/>
          </w:tcPr>
          <w:p w:rsidR="00414D55" w:rsidRPr="00C9559D" w:rsidRDefault="00414D55" w:rsidP="00E616B2">
            <w:pPr>
              <w:snapToGrid w:val="0"/>
              <w:jc w:val="both"/>
              <w:rPr>
                <w:bCs/>
                <w:sz w:val="20"/>
                <w:szCs w:val="20"/>
              </w:rPr>
            </w:pPr>
            <w:r w:rsidRPr="00C9559D">
              <w:rPr>
                <w:sz w:val="20"/>
                <w:szCs w:val="20"/>
                <w:lang w:val="en-GB"/>
              </w:rPr>
              <w:t>12 (40.0%)</w:t>
            </w:r>
          </w:p>
          <w:p w:rsidR="00414D55" w:rsidRPr="00C9559D" w:rsidRDefault="00414D55" w:rsidP="00E616B2">
            <w:pPr>
              <w:snapToGrid w:val="0"/>
              <w:jc w:val="both"/>
              <w:rPr>
                <w:sz w:val="20"/>
                <w:szCs w:val="20"/>
                <w:lang w:val="en-GB"/>
              </w:rPr>
            </w:pPr>
            <w:r w:rsidRPr="00C9559D">
              <w:rPr>
                <w:sz w:val="20"/>
                <w:szCs w:val="20"/>
                <w:lang w:val="en-GB"/>
              </w:rPr>
              <w:t>18 (60.0%)</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8.297*</w:t>
            </w:r>
          </w:p>
        </w:tc>
        <w:tc>
          <w:tcPr>
            <w:tcW w:w="492"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79"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bCs/>
                <w:sz w:val="20"/>
                <w:szCs w:val="20"/>
              </w:rPr>
              <w:t>FNS</w:t>
            </w:r>
          </w:p>
        </w:tc>
        <w:tc>
          <w:tcPr>
            <w:tcW w:w="81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4 (13.3%)</w:t>
            </w:r>
          </w:p>
          <w:p w:rsidR="00414D55" w:rsidRPr="00C9559D" w:rsidRDefault="00414D55" w:rsidP="00E616B2">
            <w:pPr>
              <w:snapToGrid w:val="0"/>
              <w:jc w:val="both"/>
              <w:rPr>
                <w:sz w:val="20"/>
                <w:szCs w:val="20"/>
                <w:lang w:val="en-GB"/>
              </w:rPr>
            </w:pPr>
            <w:r w:rsidRPr="00C9559D">
              <w:rPr>
                <w:sz w:val="20"/>
                <w:szCs w:val="20"/>
                <w:lang w:val="en-GB"/>
              </w:rPr>
              <w:t>26 (86.7%)</w:t>
            </w:r>
          </w:p>
        </w:tc>
        <w:tc>
          <w:tcPr>
            <w:tcW w:w="1079" w:type="pct"/>
            <w:vAlign w:val="center"/>
          </w:tcPr>
          <w:p w:rsidR="00414D55" w:rsidRPr="00C9559D" w:rsidRDefault="00414D55" w:rsidP="00E616B2">
            <w:pPr>
              <w:snapToGrid w:val="0"/>
              <w:jc w:val="both"/>
              <w:rPr>
                <w:bCs/>
                <w:sz w:val="20"/>
                <w:szCs w:val="20"/>
              </w:rPr>
            </w:pPr>
            <w:r w:rsidRPr="00C9559D">
              <w:rPr>
                <w:bCs/>
                <w:sz w:val="20"/>
                <w:szCs w:val="20"/>
              </w:rPr>
              <w:t>2 (6.7%)</w:t>
            </w:r>
          </w:p>
          <w:p w:rsidR="00414D55" w:rsidRPr="00C9559D" w:rsidRDefault="00414D55" w:rsidP="00E616B2">
            <w:pPr>
              <w:snapToGrid w:val="0"/>
              <w:jc w:val="both"/>
              <w:rPr>
                <w:sz w:val="20"/>
                <w:szCs w:val="20"/>
                <w:lang w:val="en-GB"/>
              </w:rPr>
            </w:pPr>
            <w:r w:rsidRPr="00C9559D">
              <w:rPr>
                <w:sz w:val="20"/>
                <w:szCs w:val="20"/>
                <w:lang w:val="en-GB"/>
              </w:rPr>
              <w:t>28 (93.3%)</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0.741</w:t>
            </w:r>
          </w:p>
        </w:tc>
        <w:tc>
          <w:tcPr>
            <w:tcW w:w="492"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79"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sz w:val="20"/>
                <w:szCs w:val="20"/>
              </w:rPr>
              <w:t>SIJ</w:t>
            </w:r>
          </w:p>
        </w:tc>
        <w:tc>
          <w:tcPr>
            <w:tcW w:w="812"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13 (43.3%)</w:t>
            </w:r>
          </w:p>
          <w:p w:rsidR="00414D55" w:rsidRPr="00C9559D" w:rsidRDefault="00414D55" w:rsidP="00E616B2">
            <w:pPr>
              <w:snapToGrid w:val="0"/>
              <w:jc w:val="both"/>
              <w:rPr>
                <w:sz w:val="20"/>
                <w:szCs w:val="20"/>
                <w:lang w:val="en-GB"/>
              </w:rPr>
            </w:pPr>
            <w:r w:rsidRPr="00C9559D">
              <w:rPr>
                <w:sz w:val="20"/>
                <w:szCs w:val="20"/>
                <w:lang w:val="en-GB"/>
              </w:rPr>
              <w:t>17 (56.7%)</w:t>
            </w:r>
          </w:p>
        </w:tc>
        <w:tc>
          <w:tcPr>
            <w:tcW w:w="1079" w:type="pct"/>
            <w:vAlign w:val="center"/>
          </w:tcPr>
          <w:p w:rsidR="00414D55" w:rsidRPr="00C9559D" w:rsidRDefault="00414D55" w:rsidP="00E616B2">
            <w:pPr>
              <w:snapToGrid w:val="0"/>
              <w:jc w:val="both"/>
              <w:rPr>
                <w:bCs/>
                <w:sz w:val="20"/>
                <w:szCs w:val="20"/>
              </w:rPr>
            </w:pPr>
            <w:r w:rsidRPr="00C9559D">
              <w:rPr>
                <w:sz w:val="20"/>
                <w:szCs w:val="20"/>
                <w:lang w:val="en-GB"/>
              </w:rPr>
              <w:t>8 (26.7%)</w:t>
            </w:r>
          </w:p>
          <w:p w:rsidR="00414D55" w:rsidRPr="00C9559D" w:rsidRDefault="00414D55" w:rsidP="00E616B2">
            <w:pPr>
              <w:snapToGrid w:val="0"/>
              <w:jc w:val="both"/>
              <w:rPr>
                <w:sz w:val="20"/>
                <w:szCs w:val="20"/>
                <w:lang w:val="en-GB"/>
              </w:rPr>
            </w:pPr>
            <w:r w:rsidRPr="00C9559D">
              <w:rPr>
                <w:sz w:val="20"/>
                <w:szCs w:val="20"/>
                <w:lang w:val="en-GB"/>
              </w:rPr>
              <w:t>22 (73.3%)</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1.832*</w:t>
            </w:r>
          </w:p>
        </w:tc>
        <w:tc>
          <w:tcPr>
            <w:tcW w:w="492"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79" w:type="pct"/>
            <w:vAlign w:val="center"/>
          </w:tcPr>
          <w:p w:rsidR="00414D55" w:rsidRPr="00C9559D" w:rsidRDefault="00414D55" w:rsidP="00E616B2">
            <w:pPr>
              <w:snapToGrid w:val="0"/>
              <w:jc w:val="both"/>
              <w:rPr>
                <w:sz w:val="20"/>
                <w:szCs w:val="20"/>
              </w:rPr>
            </w:pPr>
            <w:r w:rsidRPr="00C9559D">
              <w:rPr>
                <w:sz w:val="20"/>
                <w:szCs w:val="20"/>
                <w:lang w:val="en-GB"/>
              </w:rPr>
              <w:t>NS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sz w:val="20"/>
                <w:szCs w:val="20"/>
              </w:rPr>
              <w:t>VAS Score</w:t>
            </w:r>
          </w:p>
        </w:tc>
        <w:tc>
          <w:tcPr>
            <w:tcW w:w="812" w:type="pct"/>
            <w:vAlign w:val="center"/>
          </w:tcPr>
          <w:p w:rsidR="00414D55" w:rsidRPr="00C9559D" w:rsidRDefault="00414D55" w:rsidP="00E616B2">
            <w:pPr>
              <w:snapToGrid w:val="0"/>
              <w:jc w:val="both"/>
              <w:rPr>
                <w:sz w:val="20"/>
                <w:szCs w:val="20"/>
              </w:rPr>
            </w:pPr>
            <w:r w:rsidRPr="00C9559D">
              <w:rPr>
                <w:sz w:val="20"/>
                <w:szCs w:val="20"/>
              </w:rPr>
              <w:t>Range</w:t>
            </w:r>
          </w:p>
          <w:p w:rsidR="00414D55" w:rsidRPr="00C9559D" w:rsidRDefault="00414D55" w:rsidP="00E616B2">
            <w:pPr>
              <w:snapToGrid w:val="0"/>
              <w:jc w:val="both"/>
              <w:rPr>
                <w:sz w:val="20"/>
                <w:szCs w:val="20"/>
              </w:rPr>
            </w:pPr>
            <w:r w:rsidRPr="00C9559D">
              <w:rPr>
                <w:bCs/>
                <w:sz w:val="20"/>
                <w:szCs w:val="20"/>
              </w:rPr>
              <w:t>Median (IQR)</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6 – 9</w:t>
            </w:r>
          </w:p>
          <w:p w:rsidR="00414D55" w:rsidRPr="00C9559D" w:rsidRDefault="00414D55" w:rsidP="00E616B2">
            <w:pPr>
              <w:snapToGrid w:val="0"/>
              <w:jc w:val="both"/>
              <w:rPr>
                <w:sz w:val="20"/>
                <w:szCs w:val="20"/>
                <w:lang w:val="en-GB"/>
              </w:rPr>
            </w:pPr>
            <w:r w:rsidRPr="00C9559D">
              <w:rPr>
                <w:sz w:val="20"/>
                <w:szCs w:val="20"/>
                <w:lang w:val="en-GB"/>
              </w:rPr>
              <w:t>8 (7 - 8)</w:t>
            </w:r>
          </w:p>
        </w:tc>
        <w:tc>
          <w:tcPr>
            <w:tcW w:w="1079" w:type="pct"/>
            <w:vAlign w:val="center"/>
          </w:tcPr>
          <w:p w:rsidR="00414D55" w:rsidRPr="00C9559D" w:rsidRDefault="00414D55" w:rsidP="00E616B2">
            <w:pPr>
              <w:snapToGrid w:val="0"/>
              <w:jc w:val="both"/>
              <w:rPr>
                <w:bCs/>
                <w:sz w:val="20"/>
                <w:szCs w:val="20"/>
              </w:rPr>
            </w:pPr>
            <w:r w:rsidRPr="00C9559D">
              <w:rPr>
                <w:sz w:val="20"/>
                <w:szCs w:val="20"/>
                <w:lang w:val="en-GB"/>
              </w:rPr>
              <w:t>0 – 6</w:t>
            </w:r>
          </w:p>
          <w:p w:rsidR="00414D55" w:rsidRPr="00C9559D" w:rsidRDefault="00414D55" w:rsidP="00E616B2">
            <w:pPr>
              <w:snapToGrid w:val="0"/>
              <w:jc w:val="both"/>
              <w:rPr>
                <w:sz w:val="20"/>
                <w:szCs w:val="20"/>
                <w:lang w:val="en-GB"/>
              </w:rPr>
            </w:pPr>
            <w:r w:rsidRPr="00C9559D">
              <w:rPr>
                <w:sz w:val="20"/>
                <w:szCs w:val="20"/>
                <w:lang w:val="en-GB"/>
              </w:rPr>
              <w:t>1 (0 - 2)</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-4.873</w:t>
            </w:r>
            <w:r w:rsidRPr="00C9559D">
              <w:rPr>
                <w:rFonts w:eastAsia="MS Mincho"/>
                <w:sz w:val="20"/>
                <w:szCs w:val="20"/>
                <w:lang w:val="en-GB"/>
              </w:rPr>
              <w:t>ǂ</w:t>
            </w:r>
          </w:p>
        </w:tc>
        <w:tc>
          <w:tcPr>
            <w:tcW w:w="492"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79" w:type="pct"/>
            <w:vAlign w:val="center"/>
          </w:tcPr>
          <w:p w:rsidR="00414D55" w:rsidRPr="00C9559D" w:rsidRDefault="00414D55" w:rsidP="00E616B2">
            <w:pPr>
              <w:snapToGrid w:val="0"/>
              <w:jc w:val="both"/>
              <w:rPr>
                <w:sz w:val="20"/>
                <w:szCs w:val="20"/>
              </w:rPr>
            </w:pPr>
            <w:r w:rsidRPr="00C9559D">
              <w:rPr>
                <w:sz w:val="20"/>
                <w:szCs w:val="20"/>
                <w:lang w:val="en-GB"/>
              </w:rPr>
              <w:t>HS</w:t>
            </w:r>
          </w:p>
        </w:tc>
      </w:tr>
      <w:tr w:rsidR="00D51578" w:rsidRPr="00C9559D" w:rsidTr="00D51578">
        <w:trPr>
          <w:jc w:val="center"/>
        </w:trPr>
        <w:tc>
          <w:tcPr>
            <w:tcW w:w="726" w:type="pct"/>
            <w:vAlign w:val="center"/>
          </w:tcPr>
          <w:p w:rsidR="00414D55" w:rsidRPr="00C9559D" w:rsidRDefault="00414D55" w:rsidP="00E616B2">
            <w:pPr>
              <w:snapToGrid w:val="0"/>
              <w:jc w:val="both"/>
              <w:rPr>
                <w:sz w:val="20"/>
                <w:szCs w:val="20"/>
              </w:rPr>
            </w:pPr>
            <w:r w:rsidRPr="00C9559D">
              <w:rPr>
                <w:sz w:val="20"/>
                <w:szCs w:val="20"/>
              </w:rPr>
              <w:t>ODI Score</w:t>
            </w:r>
          </w:p>
        </w:tc>
        <w:tc>
          <w:tcPr>
            <w:tcW w:w="812" w:type="pct"/>
            <w:vAlign w:val="center"/>
          </w:tcPr>
          <w:p w:rsidR="00414D55" w:rsidRPr="00C9559D" w:rsidRDefault="00414D55" w:rsidP="00E616B2">
            <w:pPr>
              <w:snapToGrid w:val="0"/>
              <w:jc w:val="both"/>
              <w:rPr>
                <w:sz w:val="20"/>
                <w:szCs w:val="20"/>
              </w:rPr>
            </w:pPr>
            <w:r w:rsidRPr="00C9559D">
              <w:rPr>
                <w:sz w:val="20"/>
                <w:szCs w:val="20"/>
              </w:rPr>
              <w:t>Range</w:t>
            </w:r>
          </w:p>
          <w:p w:rsidR="00414D55" w:rsidRPr="00C9559D" w:rsidRDefault="00414D55" w:rsidP="00E616B2">
            <w:pPr>
              <w:snapToGrid w:val="0"/>
              <w:jc w:val="both"/>
              <w:rPr>
                <w:sz w:val="20"/>
                <w:szCs w:val="20"/>
              </w:rPr>
            </w:pPr>
            <w:r w:rsidRPr="00C9559D">
              <w:rPr>
                <w:bCs/>
                <w:sz w:val="20"/>
                <w:szCs w:val="20"/>
              </w:rPr>
              <w:t>Median (IQR)</w:t>
            </w:r>
          </w:p>
        </w:tc>
        <w:tc>
          <w:tcPr>
            <w:tcW w:w="971" w:type="pct"/>
            <w:vAlign w:val="center"/>
          </w:tcPr>
          <w:p w:rsidR="00414D55" w:rsidRPr="00C9559D" w:rsidRDefault="00414D55" w:rsidP="00E616B2">
            <w:pPr>
              <w:snapToGrid w:val="0"/>
              <w:jc w:val="both"/>
              <w:rPr>
                <w:bCs/>
                <w:sz w:val="20"/>
                <w:szCs w:val="20"/>
              </w:rPr>
            </w:pPr>
            <w:r w:rsidRPr="00C9559D">
              <w:rPr>
                <w:sz w:val="20"/>
                <w:szCs w:val="20"/>
                <w:lang w:val="en-GB"/>
              </w:rPr>
              <w:t>28 – 94</w:t>
            </w:r>
          </w:p>
          <w:p w:rsidR="00414D55" w:rsidRPr="00C9559D" w:rsidRDefault="00414D55" w:rsidP="00E616B2">
            <w:pPr>
              <w:snapToGrid w:val="0"/>
              <w:jc w:val="both"/>
              <w:rPr>
                <w:sz w:val="20"/>
                <w:szCs w:val="20"/>
                <w:lang w:val="en-GB"/>
              </w:rPr>
            </w:pPr>
            <w:r w:rsidRPr="00C9559D">
              <w:rPr>
                <w:sz w:val="20"/>
                <w:szCs w:val="20"/>
                <w:lang w:val="en-GB"/>
              </w:rPr>
              <w:t>66 (58 - 70)</w:t>
            </w:r>
          </w:p>
        </w:tc>
        <w:tc>
          <w:tcPr>
            <w:tcW w:w="1079" w:type="pct"/>
            <w:vAlign w:val="center"/>
          </w:tcPr>
          <w:p w:rsidR="00414D55" w:rsidRPr="00C9559D" w:rsidRDefault="00414D55" w:rsidP="00E616B2">
            <w:pPr>
              <w:snapToGrid w:val="0"/>
              <w:jc w:val="both"/>
              <w:rPr>
                <w:bCs/>
                <w:sz w:val="20"/>
                <w:szCs w:val="20"/>
              </w:rPr>
            </w:pPr>
            <w:r w:rsidRPr="00C9559D">
              <w:rPr>
                <w:sz w:val="20"/>
                <w:szCs w:val="20"/>
                <w:lang w:val="en-GB"/>
              </w:rPr>
              <w:t>0 – 46</w:t>
            </w:r>
          </w:p>
          <w:p w:rsidR="00414D55" w:rsidRPr="00C9559D" w:rsidRDefault="00414D55" w:rsidP="00E616B2">
            <w:pPr>
              <w:snapToGrid w:val="0"/>
              <w:jc w:val="both"/>
              <w:rPr>
                <w:sz w:val="20"/>
                <w:szCs w:val="20"/>
                <w:lang w:val="en-GB"/>
              </w:rPr>
            </w:pPr>
            <w:r w:rsidRPr="00C9559D">
              <w:rPr>
                <w:sz w:val="20"/>
                <w:szCs w:val="20"/>
                <w:lang w:val="en-GB"/>
              </w:rPr>
              <w:t>12 (4 - 26)</w:t>
            </w:r>
          </w:p>
        </w:tc>
        <w:tc>
          <w:tcPr>
            <w:tcW w:w="640" w:type="pct"/>
            <w:vAlign w:val="center"/>
          </w:tcPr>
          <w:p w:rsidR="00414D55" w:rsidRPr="00C9559D" w:rsidRDefault="00414D55" w:rsidP="00E616B2">
            <w:pPr>
              <w:snapToGrid w:val="0"/>
              <w:jc w:val="both"/>
              <w:rPr>
                <w:sz w:val="20"/>
                <w:szCs w:val="20"/>
                <w:lang w:val="en-GB"/>
              </w:rPr>
            </w:pPr>
            <w:r w:rsidRPr="00C9559D">
              <w:rPr>
                <w:sz w:val="20"/>
                <w:szCs w:val="20"/>
                <w:lang w:val="en-GB"/>
              </w:rPr>
              <w:t>-4.785</w:t>
            </w:r>
            <w:r w:rsidRPr="00C9559D">
              <w:rPr>
                <w:rFonts w:eastAsia="MS Mincho"/>
                <w:sz w:val="20"/>
                <w:szCs w:val="20"/>
                <w:lang w:val="en-GB"/>
              </w:rPr>
              <w:t>ǂ</w:t>
            </w:r>
          </w:p>
        </w:tc>
        <w:tc>
          <w:tcPr>
            <w:tcW w:w="492"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79" w:type="pct"/>
            <w:vAlign w:val="center"/>
          </w:tcPr>
          <w:p w:rsidR="00414D55" w:rsidRPr="00C9559D" w:rsidRDefault="00414D55" w:rsidP="00E616B2">
            <w:pPr>
              <w:snapToGrid w:val="0"/>
              <w:jc w:val="both"/>
              <w:rPr>
                <w:sz w:val="20"/>
                <w:szCs w:val="20"/>
              </w:rPr>
            </w:pPr>
            <w:r w:rsidRPr="00C9559D">
              <w:rPr>
                <w:sz w:val="20"/>
                <w:szCs w:val="20"/>
                <w:lang w:val="en-GB"/>
              </w:rPr>
              <w:t>HS</w:t>
            </w:r>
          </w:p>
        </w:tc>
      </w:tr>
    </w:tbl>
    <w:p w:rsidR="00A07C1E" w:rsidRPr="00C9559D" w:rsidRDefault="00414D55" w:rsidP="00E616B2">
      <w:pPr>
        <w:snapToGrid w:val="0"/>
        <w:jc w:val="both"/>
        <w:rPr>
          <w:sz w:val="20"/>
          <w:szCs w:val="20"/>
        </w:rPr>
      </w:pPr>
      <w:r w:rsidRPr="00C9559D">
        <w:rPr>
          <w:sz w:val="20"/>
          <w:szCs w:val="20"/>
        </w:rPr>
        <w:t xml:space="preserve">P-value &gt;0.05: Non significant (NS); </w:t>
      </w:r>
    </w:p>
    <w:p w:rsidR="00414D55" w:rsidRPr="00C9559D" w:rsidRDefault="00414D55" w:rsidP="00E616B2">
      <w:pPr>
        <w:snapToGrid w:val="0"/>
        <w:jc w:val="both"/>
        <w:rPr>
          <w:sz w:val="20"/>
          <w:szCs w:val="20"/>
        </w:rPr>
      </w:pPr>
      <w:r w:rsidRPr="00C9559D">
        <w:rPr>
          <w:sz w:val="20"/>
          <w:szCs w:val="20"/>
        </w:rPr>
        <w:t>P-value &lt;0.0</w:t>
      </w:r>
      <w:r w:rsidR="00483D8A" w:rsidRPr="00C9559D">
        <w:rPr>
          <w:sz w:val="20"/>
          <w:szCs w:val="20"/>
        </w:rPr>
        <w:t>5: Significant (S); P-value&lt; 0.</w:t>
      </w:r>
      <w:r w:rsidRPr="00C9559D">
        <w:rPr>
          <w:sz w:val="20"/>
          <w:szCs w:val="20"/>
        </w:rPr>
        <w:t>01: highly significant (HS)</w:t>
      </w:r>
    </w:p>
    <w:p w:rsidR="00414D55" w:rsidRPr="00C9559D" w:rsidRDefault="00414D55" w:rsidP="00E616B2">
      <w:pPr>
        <w:snapToGrid w:val="0"/>
        <w:jc w:val="both"/>
        <w:rPr>
          <w:sz w:val="20"/>
          <w:szCs w:val="20"/>
        </w:rPr>
      </w:pPr>
      <w:r w:rsidRPr="00C9559D">
        <w:rPr>
          <w:sz w:val="20"/>
          <w:szCs w:val="20"/>
        </w:rPr>
        <w:t>*</w:t>
      </w:r>
      <w:r w:rsidR="00E616B2" w:rsidRPr="00C9559D">
        <w:rPr>
          <w:sz w:val="20"/>
          <w:szCs w:val="20"/>
        </w:rPr>
        <w:t>: C</w:t>
      </w:r>
      <w:r w:rsidRPr="00C9559D">
        <w:rPr>
          <w:sz w:val="20"/>
          <w:szCs w:val="20"/>
        </w:rPr>
        <w:t xml:space="preserve">hi-square test; ‡: </w:t>
      </w:r>
      <w:proofErr w:type="spellStart"/>
      <w:r w:rsidRPr="00C9559D">
        <w:rPr>
          <w:sz w:val="20"/>
          <w:szCs w:val="20"/>
        </w:rPr>
        <w:t>Wilcoxon</w:t>
      </w:r>
      <w:proofErr w:type="spellEnd"/>
      <w:r w:rsidRPr="00C9559D">
        <w:rPr>
          <w:sz w:val="20"/>
          <w:szCs w:val="20"/>
        </w:rPr>
        <w:t xml:space="preserve"> Rank test</w:t>
      </w:r>
    </w:p>
    <w:p w:rsidR="00EA0D94" w:rsidRPr="00C9559D" w:rsidRDefault="00EA0D94" w:rsidP="00E616B2">
      <w:pPr>
        <w:snapToGrid w:val="0"/>
        <w:ind w:firstLine="425"/>
        <w:jc w:val="both"/>
        <w:rPr>
          <w:sz w:val="20"/>
          <w:szCs w:val="20"/>
        </w:rPr>
      </w:pPr>
    </w:p>
    <w:p w:rsidR="00414D55" w:rsidRPr="00C9559D" w:rsidRDefault="00414D55" w:rsidP="00E616B2">
      <w:pPr>
        <w:snapToGrid w:val="0"/>
        <w:ind w:firstLine="425"/>
        <w:jc w:val="both"/>
        <w:rPr>
          <w:sz w:val="20"/>
          <w:szCs w:val="20"/>
        </w:rPr>
      </w:pPr>
      <w:r w:rsidRPr="00C9559D">
        <w:rPr>
          <w:sz w:val="20"/>
          <w:szCs w:val="20"/>
        </w:rPr>
        <w:t xml:space="preserve">The Previous table shows that there was highly statistical significant difference between </w:t>
      </w:r>
      <w:r w:rsidRPr="00C9559D">
        <w:rPr>
          <w:b/>
          <w:sz w:val="20"/>
          <w:szCs w:val="20"/>
        </w:rPr>
        <w:t>(Before Injection</w:t>
      </w:r>
      <w:r w:rsidR="00D51578" w:rsidRPr="00C9559D">
        <w:rPr>
          <w:b/>
          <w:sz w:val="20"/>
          <w:szCs w:val="20"/>
        </w:rPr>
        <w:t xml:space="preserve"> &amp; </w:t>
      </w:r>
      <w:r w:rsidRPr="00C9559D">
        <w:rPr>
          <w:b/>
          <w:sz w:val="20"/>
          <w:szCs w:val="20"/>
        </w:rPr>
        <w:t>2nd visit)</w:t>
      </w:r>
      <w:r w:rsidRPr="00C9559D">
        <w:rPr>
          <w:sz w:val="20"/>
          <w:szCs w:val="20"/>
        </w:rPr>
        <w:t xml:space="preserve"> regarding (Central LBP, Tingling</w:t>
      </w:r>
      <w:r w:rsidR="00D51578" w:rsidRPr="00C9559D">
        <w:rPr>
          <w:sz w:val="20"/>
          <w:szCs w:val="20"/>
        </w:rPr>
        <w:t xml:space="preserve"> &amp; </w:t>
      </w:r>
      <w:r w:rsidRPr="00C9559D">
        <w:rPr>
          <w:sz w:val="20"/>
          <w:szCs w:val="20"/>
        </w:rPr>
        <w:t>Numbness; SLR; CSLR; VAS].</w:t>
      </w:r>
    </w:p>
    <w:p w:rsidR="00EA0D94" w:rsidRPr="00C9559D" w:rsidRDefault="00EA0D94" w:rsidP="00E616B2">
      <w:pPr>
        <w:snapToGrid w:val="0"/>
        <w:jc w:val="center"/>
        <w:rPr>
          <w:b/>
          <w:bCs/>
          <w:sz w:val="20"/>
          <w:szCs w:val="20"/>
        </w:rPr>
      </w:pPr>
    </w:p>
    <w:p w:rsidR="00C9559D" w:rsidRDefault="00C9559D" w:rsidP="00E616B2">
      <w:pPr>
        <w:snapToGrid w:val="0"/>
        <w:jc w:val="both"/>
        <w:rPr>
          <w:rFonts w:hint="eastAsia"/>
          <w:b/>
          <w:bCs/>
          <w:sz w:val="20"/>
          <w:szCs w:val="20"/>
          <w:lang w:eastAsia="zh-CN"/>
        </w:rPr>
      </w:pPr>
    </w:p>
    <w:p w:rsidR="00C9559D" w:rsidRDefault="00C9559D" w:rsidP="00E616B2">
      <w:pPr>
        <w:snapToGrid w:val="0"/>
        <w:jc w:val="both"/>
        <w:rPr>
          <w:rFonts w:hint="eastAsia"/>
          <w:b/>
          <w:bCs/>
          <w:sz w:val="20"/>
          <w:szCs w:val="20"/>
          <w:lang w:eastAsia="zh-CN"/>
        </w:rPr>
      </w:pPr>
    </w:p>
    <w:p w:rsidR="00414D55" w:rsidRPr="00C9559D" w:rsidRDefault="00414D55" w:rsidP="00E616B2">
      <w:pPr>
        <w:snapToGrid w:val="0"/>
        <w:jc w:val="both"/>
        <w:rPr>
          <w:sz w:val="20"/>
          <w:szCs w:val="20"/>
        </w:rPr>
      </w:pPr>
      <w:r w:rsidRPr="00C9559D">
        <w:rPr>
          <w:b/>
          <w:bCs/>
          <w:sz w:val="20"/>
          <w:szCs w:val="20"/>
        </w:rPr>
        <w:lastRenderedPageBreak/>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5</w:t>
      </w:r>
      <w:r w:rsidR="00FA4FCE" w:rsidRPr="00C9559D">
        <w:rPr>
          <w:sz w:val="20"/>
          <w:szCs w:val="20"/>
        </w:rPr>
        <w:fldChar w:fldCharType="end"/>
      </w:r>
      <w:r w:rsidRPr="00C9559D">
        <w:rPr>
          <w:b/>
          <w:bCs/>
          <w:sz w:val="20"/>
          <w:szCs w:val="20"/>
        </w:rPr>
        <w:t xml:space="preserve">): </w:t>
      </w:r>
      <w:r w:rsidRPr="00C9559D">
        <w:rPr>
          <w:sz w:val="20"/>
          <w:szCs w:val="20"/>
          <w:lang w:val="en-GB"/>
        </w:rPr>
        <w:t>Comparison between pre-injection visit, 1</w:t>
      </w:r>
      <w:r w:rsidRPr="00C9559D">
        <w:rPr>
          <w:sz w:val="20"/>
          <w:szCs w:val="20"/>
          <w:vertAlign w:val="superscript"/>
          <w:lang w:val="en-GB"/>
        </w:rPr>
        <w:t>st</w:t>
      </w:r>
      <w:r w:rsidRPr="00C9559D">
        <w:rPr>
          <w:sz w:val="20"/>
          <w:szCs w:val="20"/>
          <w:lang w:val="en-GB"/>
        </w:rPr>
        <w:t xml:space="preserve"> visit and 2</w:t>
      </w:r>
      <w:r w:rsidRPr="00C9559D">
        <w:rPr>
          <w:sz w:val="20"/>
          <w:szCs w:val="20"/>
          <w:vertAlign w:val="superscript"/>
          <w:lang w:val="en-GB"/>
        </w:rPr>
        <w:t>nd</w:t>
      </w:r>
      <w:r w:rsidRPr="00C9559D">
        <w:rPr>
          <w:sz w:val="20"/>
          <w:szCs w:val="20"/>
          <w:lang w:val="en-GB"/>
        </w:rPr>
        <w:t xml:space="preserve"> visit post-injection as regards the clinical and functional data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136"/>
        <w:gridCol w:w="1271"/>
        <w:gridCol w:w="1520"/>
        <w:gridCol w:w="1611"/>
        <w:gridCol w:w="1690"/>
        <w:gridCol w:w="1046"/>
        <w:gridCol w:w="815"/>
        <w:gridCol w:w="385"/>
      </w:tblGrid>
      <w:tr w:rsidR="00D51578" w:rsidRPr="00C9559D" w:rsidTr="00D51578">
        <w:trPr>
          <w:jc w:val="center"/>
        </w:trPr>
        <w:tc>
          <w:tcPr>
            <w:tcW w:w="1271" w:type="pct"/>
            <w:gridSpan w:val="2"/>
            <w:vMerge w:val="restart"/>
            <w:vAlign w:val="center"/>
          </w:tcPr>
          <w:p w:rsidR="00414D55" w:rsidRPr="00C9559D" w:rsidRDefault="00414D55" w:rsidP="00E616B2">
            <w:pPr>
              <w:snapToGrid w:val="0"/>
              <w:jc w:val="both"/>
              <w:rPr>
                <w:sz w:val="20"/>
                <w:szCs w:val="20"/>
                <w:lang w:val="en-GB"/>
              </w:rPr>
            </w:pPr>
          </w:p>
        </w:tc>
        <w:tc>
          <w:tcPr>
            <w:tcW w:w="802"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Before Injection</w:t>
            </w:r>
          </w:p>
        </w:tc>
        <w:tc>
          <w:tcPr>
            <w:tcW w:w="850"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1st visit (45 days)</w:t>
            </w:r>
          </w:p>
        </w:tc>
        <w:tc>
          <w:tcPr>
            <w:tcW w:w="892"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2nd visit (90 days)</w:t>
            </w:r>
          </w:p>
        </w:tc>
        <w:tc>
          <w:tcPr>
            <w:tcW w:w="552" w:type="pct"/>
            <w:vMerge w:val="restart"/>
            <w:vAlign w:val="center"/>
          </w:tcPr>
          <w:p w:rsidR="00414D55" w:rsidRPr="00C9559D" w:rsidRDefault="00414D55" w:rsidP="00E616B2">
            <w:pPr>
              <w:snapToGrid w:val="0"/>
              <w:jc w:val="both"/>
              <w:rPr>
                <w:b/>
                <w:sz w:val="20"/>
                <w:szCs w:val="20"/>
                <w:lang w:val="en-GB"/>
              </w:rPr>
            </w:pPr>
            <w:r w:rsidRPr="00C9559D">
              <w:rPr>
                <w:b/>
                <w:sz w:val="20"/>
                <w:szCs w:val="20"/>
                <w:lang w:val="en-GB"/>
              </w:rPr>
              <w:t>Test Value</w:t>
            </w:r>
          </w:p>
        </w:tc>
        <w:tc>
          <w:tcPr>
            <w:tcW w:w="430" w:type="pct"/>
            <w:vMerge w:val="restar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204" w:type="pct"/>
            <w:vMerge w:val="restart"/>
            <w:vAlign w:val="center"/>
          </w:tcPr>
          <w:p w:rsidR="00414D55" w:rsidRPr="00C9559D" w:rsidRDefault="00414D55" w:rsidP="00E616B2">
            <w:pPr>
              <w:snapToGrid w:val="0"/>
              <w:jc w:val="both"/>
              <w:rPr>
                <w:b/>
                <w:bCs/>
                <w:sz w:val="20"/>
                <w:szCs w:val="20"/>
              </w:rPr>
            </w:pPr>
            <w:r w:rsidRPr="00C9559D">
              <w:rPr>
                <w:b/>
                <w:bCs/>
                <w:sz w:val="20"/>
                <w:szCs w:val="20"/>
              </w:rPr>
              <w:t>Sig</w:t>
            </w:r>
          </w:p>
        </w:tc>
      </w:tr>
      <w:tr w:rsidR="00D51578" w:rsidRPr="00C9559D" w:rsidTr="00D51578">
        <w:trPr>
          <w:jc w:val="center"/>
        </w:trPr>
        <w:tc>
          <w:tcPr>
            <w:tcW w:w="1271" w:type="pct"/>
            <w:gridSpan w:val="2"/>
            <w:vMerge/>
            <w:vAlign w:val="center"/>
          </w:tcPr>
          <w:p w:rsidR="00414D55" w:rsidRPr="00C9559D" w:rsidRDefault="00414D55" w:rsidP="00E616B2">
            <w:pPr>
              <w:snapToGrid w:val="0"/>
              <w:jc w:val="both"/>
              <w:rPr>
                <w:sz w:val="20"/>
                <w:szCs w:val="20"/>
                <w:lang w:val="en-GB"/>
              </w:rPr>
            </w:pPr>
          </w:p>
        </w:tc>
        <w:tc>
          <w:tcPr>
            <w:tcW w:w="802"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No. = 30</w:t>
            </w:r>
          </w:p>
        </w:tc>
        <w:tc>
          <w:tcPr>
            <w:tcW w:w="850"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No. = 30</w:t>
            </w:r>
          </w:p>
        </w:tc>
        <w:tc>
          <w:tcPr>
            <w:tcW w:w="892" w:type="pct"/>
            <w:vAlign w:val="center"/>
          </w:tcPr>
          <w:p w:rsidR="00414D55" w:rsidRPr="00C9559D" w:rsidRDefault="00414D55" w:rsidP="00E616B2">
            <w:pPr>
              <w:snapToGrid w:val="0"/>
              <w:jc w:val="both"/>
              <w:rPr>
                <w:b/>
                <w:bCs/>
                <w:sz w:val="20"/>
                <w:szCs w:val="20"/>
                <w:lang w:val="en-GB"/>
              </w:rPr>
            </w:pPr>
            <w:r w:rsidRPr="00C9559D">
              <w:rPr>
                <w:b/>
                <w:bCs/>
                <w:sz w:val="20"/>
                <w:szCs w:val="20"/>
                <w:lang w:val="en-GB"/>
              </w:rPr>
              <w:t>No. = 30</w:t>
            </w:r>
          </w:p>
        </w:tc>
        <w:tc>
          <w:tcPr>
            <w:tcW w:w="552" w:type="pct"/>
            <w:vMerge/>
            <w:vAlign w:val="center"/>
          </w:tcPr>
          <w:p w:rsidR="00414D55" w:rsidRPr="00C9559D" w:rsidRDefault="00414D55" w:rsidP="00E616B2">
            <w:pPr>
              <w:snapToGrid w:val="0"/>
              <w:jc w:val="both"/>
              <w:rPr>
                <w:sz w:val="20"/>
                <w:szCs w:val="20"/>
                <w:lang w:val="en-GB"/>
              </w:rPr>
            </w:pPr>
          </w:p>
        </w:tc>
        <w:tc>
          <w:tcPr>
            <w:tcW w:w="430" w:type="pct"/>
            <w:vMerge/>
            <w:vAlign w:val="center"/>
          </w:tcPr>
          <w:p w:rsidR="00414D55" w:rsidRPr="00C9559D" w:rsidRDefault="00414D55" w:rsidP="00E616B2">
            <w:pPr>
              <w:snapToGrid w:val="0"/>
              <w:jc w:val="both"/>
              <w:rPr>
                <w:sz w:val="20"/>
                <w:szCs w:val="20"/>
                <w:lang w:val="en-GB"/>
              </w:rPr>
            </w:pPr>
          </w:p>
        </w:tc>
        <w:tc>
          <w:tcPr>
            <w:tcW w:w="204" w:type="pct"/>
            <w:vMerge/>
            <w:vAlign w:val="center"/>
          </w:tcPr>
          <w:p w:rsidR="00414D55" w:rsidRPr="00C9559D" w:rsidRDefault="00414D55" w:rsidP="00E616B2">
            <w:pPr>
              <w:snapToGrid w:val="0"/>
              <w:jc w:val="both"/>
              <w:rPr>
                <w:sz w:val="20"/>
                <w:szCs w:val="20"/>
                <w:lang w:val="en-GB"/>
              </w:rPr>
            </w:pP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bCs/>
                <w:sz w:val="20"/>
                <w:szCs w:val="20"/>
              </w:rPr>
              <w:t>Central LBP</w:t>
            </w:r>
          </w:p>
        </w:tc>
        <w:tc>
          <w:tcPr>
            <w:tcW w:w="67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802" w:type="pct"/>
            <w:vAlign w:val="center"/>
          </w:tcPr>
          <w:p w:rsidR="00414D55" w:rsidRPr="00C9559D" w:rsidRDefault="00414D55" w:rsidP="00E616B2">
            <w:pPr>
              <w:snapToGrid w:val="0"/>
              <w:jc w:val="both"/>
              <w:rPr>
                <w:bCs/>
                <w:sz w:val="20"/>
                <w:szCs w:val="20"/>
              </w:rPr>
            </w:pPr>
            <w:r w:rsidRPr="00C9559D">
              <w:rPr>
                <w:bCs/>
                <w:sz w:val="20"/>
                <w:szCs w:val="20"/>
              </w:rPr>
              <w:t>29 (96.7%)</w:t>
            </w:r>
          </w:p>
          <w:p w:rsidR="00414D55" w:rsidRPr="00C9559D" w:rsidRDefault="00414D55" w:rsidP="00E616B2">
            <w:pPr>
              <w:snapToGrid w:val="0"/>
              <w:jc w:val="both"/>
              <w:rPr>
                <w:sz w:val="20"/>
                <w:szCs w:val="20"/>
              </w:rPr>
            </w:pPr>
            <w:r w:rsidRPr="00C9559D">
              <w:rPr>
                <w:sz w:val="20"/>
                <w:szCs w:val="20"/>
                <w:lang w:val="en-GB"/>
              </w:rPr>
              <w:t>1 (3.3%)</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10 (33.3%)</w:t>
            </w:r>
          </w:p>
          <w:p w:rsidR="00414D55" w:rsidRPr="00C9559D" w:rsidRDefault="00414D55" w:rsidP="00E616B2">
            <w:pPr>
              <w:snapToGrid w:val="0"/>
              <w:jc w:val="both"/>
              <w:rPr>
                <w:sz w:val="20"/>
                <w:szCs w:val="20"/>
              </w:rPr>
            </w:pPr>
            <w:r w:rsidRPr="00C9559D">
              <w:rPr>
                <w:sz w:val="20"/>
                <w:szCs w:val="20"/>
                <w:lang w:val="en-GB"/>
              </w:rPr>
              <w:t>20 (66.7%)</w:t>
            </w:r>
          </w:p>
        </w:tc>
        <w:tc>
          <w:tcPr>
            <w:tcW w:w="892" w:type="pct"/>
            <w:vAlign w:val="center"/>
          </w:tcPr>
          <w:p w:rsidR="00414D55" w:rsidRPr="00C9559D" w:rsidRDefault="00414D55" w:rsidP="00E616B2">
            <w:pPr>
              <w:snapToGrid w:val="0"/>
              <w:jc w:val="both"/>
              <w:rPr>
                <w:bCs/>
                <w:sz w:val="20"/>
                <w:szCs w:val="20"/>
              </w:rPr>
            </w:pPr>
            <w:r w:rsidRPr="00C9559D">
              <w:rPr>
                <w:bCs/>
                <w:sz w:val="20"/>
                <w:szCs w:val="20"/>
              </w:rPr>
              <w:t>13 (43.3%)</w:t>
            </w:r>
          </w:p>
          <w:p w:rsidR="00414D55" w:rsidRPr="00C9559D" w:rsidRDefault="00414D55" w:rsidP="00E616B2">
            <w:pPr>
              <w:snapToGrid w:val="0"/>
              <w:jc w:val="both"/>
              <w:rPr>
                <w:sz w:val="20"/>
                <w:szCs w:val="20"/>
              </w:rPr>
            </w:pPr>
            <w:r w:rsidRPr="00C9559D">
              <w:rPr>
                <w:sz w:val="20"/>
                <w:szCs w:val="20"/>
                <w:lang w:val="en-GB"/>
              </w:rPr>
              <w:t>17 (56.7%)</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28.512</w:t>
            </w:r>
          </w:p>
        </w:tc>
        <w:tc>
          <w:tcPr>
            <w:tcW w:w="430"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sz w:val="20"/>
                <w:szCs w:val="20"/>
              </w:rPr>
              <w:t>Pain of SIJ</w:t>
            </w:r>
          </w:p>
        </w:tc>
        <w:tc>
          <w:tcPr>
            <w:tcW w:w="67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17 (56.7%)</w:t>
            </w:r>
          </w:p>
          <w:p w:rsidR="00414D55" w:rsidRPr="00C9559D" w:rsidRDefault="00414D55" w:rsidP="00E616B2">
            <w:pPr>
              <w:snapToGrid w:val="0"/>
              <w:jc w:val="both"/>
              <w:rPr>
                <w:sz w:val="20"/>
                <w:szCs w:val="20"/>
              </w:rPr>
            </w:pPr>
            <w:r w:rsidRPr="00C9559D">
              <w:rPr>
                <w:sz w:val="20"/>
                <w:szCs w:val="20"/>
                <w:lang w:val="en-GB"/>
              </w:rPr>
              <w:t>13 (43.3%)</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6 (20.0%)</w:t>
            </w:r>
          </w:p>
          <w:p w:rsidR="00414D55" w:rsidRPr="00C9559D" w:rsidRDefault="00414D55" w:rsidP="00E616B2">
            <w:pPr>
              <w:snapToGrid w:val="0"/>
              <w:jc w:val="both"/>
              <w:rPr>
                <w:sz w:val="20"/>
                <w:szCs w:val="20"/>
              </w:rPr>
            </w:pPr>
            <w:r w:rsidRPr="00C9559D">
              <w:rPr>
                <w:sz w:val="20"/>
                <w:szCs w:val="20"/>
                <w:lang w:val="en-GB"/>
              </w:rPr>
              <w:t>24 (80.0%)</w:t>
            </w:r>
          </w:p>
        </w:tc>
        <w:tc>
          <w:tcPr>
            <w:tcW w:w="892" w:type="pct"/>
            <w:vAlign w:val="center"/>
          </w:tcPr>
          <w:p w:rsidR="00414D55" w:rsidRPr="00C9559D" w:rsidRDefault="00414D55" w:rsidP="00E616B2">
            <w:pPr>
              <w:snapToGrid w:val="0"/>
              <w:jc w:val="both"/>
              <w:rPr>
                <w:bCs/>
                <w:sz w:val="20"/>
                <w:szCs w:val="20"/>
              </w:rPr>
            </w:pPr>
            <w:r w:rsidRPr="00C9559D">
              <w:rPr>
                <w:sz w:val="20"/>
                <w:szCs w:val="20"/>
                <w:lang w:val="en-GB"/>
              </w:rPr>
              <w:t>8 (26.7%)</w:t>
            </w:r>
          </w:p>
          <w:p w:rsidR="00414D55" w:rsidRPr="00C9559D" w:rsidRDefault="00414D55" w:rsidP="00E616B2">
            <w:pPr>
              <w:snapToGrid w:val="0"/>
              <w:jc w:val="both"/>
              <w:rPr>
                <w:sz w:val="20"/>
                <w:szCs w:val="20"/>
              </w:rPr>
            </w:pPr>
            <w:r w:rsidRPr="00C9559D">
              <w:rPr>
                <w:sz w:val="20"/>
                <w:szCs w:val="20"/>
                <w:lang w:val="en-GB"/>
              </w:rPr>
              <w:t>22 (73.3%)</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0.373*</w:t>
            </w:r>
          </w:p>
        </w:tc>
        <w:tc>
          <w:tcPr>
            <w:tcW w:w="430"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bCs/>
                <w:sz w:val="20"/>
                <w:szCs w:val="20"/>
              </w:rPr>
              <w:t>SLR</w:t>
            </w:r>
          </w:p>
        </w:tc>
        <w:tc>
          <w:tcPr>
            <w:tcW w:w="67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29 (96.7%)</w:t>
            </w:r>
          </w:p>
          <w:p w:rsidR="00414D55" w:rsidRPr="00C9559D" w:rsidRDefault="00414D55" w:rsidP="00E616B2">
            <w:pPr>
              <w:snapToGrid w:val="0"/>
              <w:jc w:val="both"/>
              <w:rPr>
                <w:sz w:val="20"/>
                <w:szCs w:val="20"/>
              </w:rPr>
            </w:pPr>
            <w:r w:rsidRPr="00C9559D">
              <w:rPr>
                <w:sz w:val="20"/>
                <w:szCs w:val="20"/>
                <w:lang w:val="en-GB"/>
              </w:rPr>
              <w:t>1 (3.3%)</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15 (50.0%)</w:t>
            </w:r>
          </w:p>
          <w:p w:rsidR="00414D55" w:rsidRPr="00C9559D" w:rsidRDefault="00414D55" w:rsidP="00E616B2">
            <w:pPr>
              <w:snapToGrid w:val="0"/>
              <w:jc w:val="both"/>
              <w:rPr>
                <w:sz w:val="20"/>
                <w:szCs w:val="20"/>
              </w:rPr>
            </w:pPr>
            <w:r w:rsidRPr="00C9559D">
              <w:rPr>
                <w:sz w:val="20"/>
                <w:szCs w:val="20"/>
                <w:lang w:val="en-GB"/>
              </w:rPr>
              <w:t>15 (50.0%)</w:t>
            </w:r>
          </w:p>
        </w:tc>
        <w:tc>
          <w:tcPr>
            <w:tcW w:w="892" w:type="pct"/>
            <w:vAlign w:val="center"/>
          </w:tcPr>
          <w:p w:rsidR="00414D55" w:rsidRPr="00C9559D" w:rsidRDefault="00414D55" w:rsidP="00E616B2">
            <w:pPr>
              <w:snapToGrid w:val="0"/>
              <w:jc w:val="both"/>
              <w:rPr>
                <w:bCs/>
                <w:sz w:val="20"/>
                <w:szCs w:val="20"/>
              </w:rPr>
            </w:pPr>
            <w:r w:rsidRPr="00C9559D">
              <w:rPr>
                <w:bCs/>
                <w:sz w:val="20"/>
                <w:szCs w:val="20"/>
              </w:rPr>
              <w:t>17 (56.7%)</w:t>
            </w:r>
          </w:p>
          <w:p w:rsidR="00414D55" w:rsidRPr="00C9559D" w:rsidRDefault="00414D55" w:rsidP="00E616B2">
            <w:pPr>
              <w:snapToGrid w:val="0"/>
              <w:jc w:val="both"/>
              <w:rPr>
                <w:sz w:val="20"/>
                <w:szCs w:val="20"/>
              </w:rPr>
            </w:pPr>
            <w:r w:rsidRPr="00C9559D">
              <w:rPr>
                <w:sz w:val="20"/>
                <w:szCs w:val="20"/>
                <w:lang w:val="en-GB"/>
              </w:rPr>
              <w:t>13 (43.3%)</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17.501</w:t>
            </w:r>
          </w:p>
        </w:tc>
        <w:tc>
          <w:tcPr>
            <w:tcW w:w="430" w:type="pct"/>
            <w:vAlign w:val="center"/>
          </w:tcPr>
          <w:p w:rsidR="00414D55" w:rsidRPr="00C9559D" w:rsidRDefault="00483D8A" w:rsidP="00E616B2">
            <w:pPr>
              <w:snapToGrid w:val="0"/>
              <w:jc w:val="both"/>
              <w:rPr>
                <w:sz w:val="20"/>
                <w:szCs w:val="20"/>
                <w:lang w:val="en-GB"/>
              </w:rPr>
            </w:pPr>
            <w:r w:rsidRPr="00C9559D">
              <w:rPr>
                <w:sz w:val="20"/>
                <w:szCs w:val="20"/>
                <w:lang w:val="en-GB"/>
              </w:rPr>
              <w:t>&lt;0.0</w:t>
            </w:r>
            <w:r w:rsidR="00414D55" w:rsidRPr="00C9559D">
              <w:rPr>
                <w:sz w:val="20"/>
                <w:szCs w:val="20"/>
                <w:lang w:val="en-GB"/>
              </w:rPr>
              <w:t>1</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sz w:val="20"/>
                <w:szCs w:val="20"/>
              </w:rPr>
              <w:t>CSLR</w:t>
            </w:r>
          </w:p>
        </w:tc>
        <w:tc>
          <w:tcPr>
            <w:tcW w:w="67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23 (76.7%)</w:t>
            </w:r>
          </w:p>
          <w:p w:rsidR="00414D55" w:rsidRPr="00C9559D" w:rsidRDefault="00414D55" w:rsidP="00E616B2">
            <w:pPr>
              <w:snapToGrid w:val="0"/>
              <w:jc w:val="both"/>
              <w:rPr>
                <w:sz w:val="20"/>
                <w:szCs w:val="20"/>
              </w:rPr>
            </w:pPr>
            <w:r w:rsidRPr="00C9559D">
              <w:rPr>
                <w:sz w:val="20"/>
                <w:szCs w:val="20"/>
                <w:lang w:val="en-GB"/>
              </w:rPr>
              <w:t>7 (23.3%)</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12 (40.0%)</w:t>
            </w:r>
          </w:p>
          <w:p w:rsidR="00414D55" w:rsidRPr="00C9559D" w:rsidRDefault="00414D55" w:rsidP="00E616B2">
            <w:pPr>
              <w:snapToGrid w:val="0"/>
              <w:jc w:val="both"/>
              <w:rPr>
                <w:sz w:val="20"/>
                <w:szCs w:val="20"/>
              </w:rPr>
            </w:pPr>
            <w:r w:rsidRPr="00C9559D">
              <w:rPr>
                <w:sz w:val="20"/>
                <w:szCs w:val="20"/>
                <w:lang w:val="en-GB"/>
              </w:rPr>
              <w:t>18 (60.0%)</w:t>
            </w:r>
          </w:p>
        </w:tc>
        <w:tc>
          <w:tcPr>
            <w:tcW w:w="892" w:type="pct"/>
            <w:vAlign w:val="center"/>
          </w:tcPr>
          <w:p w:rsidR="00414D55" w:rsidRPr="00C9559D" w:rsidRDefault="00414D55" w:rsidP="00E616B2">
            <w:pPr>
              <w:snapToGrid w:val="0"/>
              <w:jc w:val="both"/>
              <w:rPr>
                <w:bCs/>
                <w:sz w:val="20"/>
                <w:szCs w:val="20"/>
              </w:rPr>
            </w:pPr>
            <w:r w:rsidRPr="00C9559D">
              <w:rPr>
                <w:sz w:val="20"/>
                <w:szCs w:val="20"/>
                <w:lang w:val="en-GB"/>
              </w:rPr>
              <w:t>12 (40.0%)</w:t>
            </w:r>
          </w:p>
          <w:p w:rsidR="00414D55" w:rsidRPr="00C9559D" w:rsidRDefault="00414D55" w:rsidP="00E616B2">
            <w:pPr>
              <w:snapToGrid w:val="0"/>
              <w:jc w:val="both"/>
              <w:rPr>
                <w:sz w:val="20"/>
                <w:szCs w:val="20"/>
              </w:rPr>
            </w:pPr>
            <w:r w:rsidRPr="00C9559D">
              <w:rPr>
                <w:sz w:val="20"/>
                <w:szCs w:val="20"/>
                <w:lang w:val="en-GB"/>
              </w:rPr>
              <w:t>18 (60.0%)</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0.000*</w:t>
            </w:r>
          </w:p>
        </w:tc>
        <w:tc>
          <w:tcPr>
            <w:tcW w:w="430"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bCs/>
                <w:sz w:val="20"/>
                <w:szCs w:val="20"/>
              </w:rPr>
              <w:t>FNS</w:t>
            </w:r>
          </w:p>
        </w:tc>
        <w:tc>
          <w:tcPr>
            <w:tcW w:w="67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4 (13.3%)</w:t>
            </w:r>
          </w:p>
          <w:p w:rsidR="00414D55" w:rsidRPr="00C9559D" w:rsidRDefault="00414D55" w:rsidP="00E616B2">
            <w:pPr>
              <w:snapToGrid w:val="0"/>
              <w:jc w:val="both"/>
              <w:rPr>
                <w:sz w:val="20"/>
                <w:szCs w:val="20"/>
              </w:rPr>
            </w:pPr>
            <w:r w:rsidRPr="00C9559D">
              <w:rPr>
                <w:sz w:val="20"/>
                <w:szCs w:val="20"/>
                <w:lang w:val="en-GB"/>
              </w:rPr>
              <w:t>26 (86.7%)</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2 (6.7%)</w:t>
            </w:r>
          </w:p>
          <w:p w:rsidR="00414D55" w:rsidRPr="00C9559D" w:rsidRDefault="00414D55" w:rsidP="00E616B2">
            <w:pPr>
              <w:snapToGrid w:val="0"/>
              <w:jc w:val="both"/>
              <w:rPr>
                <w:sz w:val="20"/>
                <w:szCs w:val="20"/>
              </w:rPr>
            </w:pPr>
            <w:r w:rsidRPr="00C9559D">
              <w:rPr>
                <w:sz w:val="20"/>
                <w:szCs w:val="20"/>
                <w:lang w:val="en-GB"/>
              </w:rPr>
              <w:t>28 (93.3%)</w:t>
            </w:r>
          </w:p>
        </w:tc>
        <w:tc>
          <w:tcPr>
            <w:tcW w:w="892" w:type="pct"/>
            <w:vAlign w:val="center"/>
          </w:tcPr>
          <w:p w:rsidR="00414D55" w:rsidRPr="00C9559D" w:rsidRDefault="00414D55" w:rsidP="00E616B2">
            <w:pPr>
              <w:snapToGrid w:val="0"/>
              <w:jc w:val="both"/>
              <w:rPr>
                <w:bCs/>
                <w:sz w:val="20"/>
                <w:szCs w:val="20"/>
              </w:rPr>
            </w:pPr>
            <w:r w:rsidRPr="00C9559D">
              <w:rPr>
                <w:bCs/>
                <w:sz w:val="20"/>
                <w:szCs w:val="20"/>
              </w:rPr>
              <w:t>2 (6.7%)</w:t>
            </w:r>
          </w:p>
          <w:p w:rsidR="00414D55" w:rsidRPr="00C9559D" w:rsidRDefault="00414D55" w:rsidP="00E616B2">
            <w:pPr>
              <w:snapToGrid w:val="0"/>
              <w:jc w:val="both"/>
              <w:rPr>
                <w:sz w:val="20"/>
                <w:szCs w:val="20"/>
              </w:rPr>
            </w:pPr>
            <w:r w:rsidRPr="00C9559D">
              <w:rPr>
                <w:sz w:val="20"/>
                <w:szCs w:val="20"/>
                <w:lang w:val="en-GB"/>
              </w:rPr>
              <w:t>28 (93.3%)</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1.098</w:t>
            </w:r>
          </w:p>
        </w:tc>
        <w:tc>
          <w:tcPr>
            <w:tcW w:w="430"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sz w:val="20"/>
                <w:szCs w:val="20"/>
              </w:rPr>
              <w:t>SIJ</w:t>
            </w:r>
          </w:p>
        </w:tc>
        <w:tc>
          <w:tcPr>
            <w:tcW w:w="671" w:type="pct"/>
            <w:vAlign w:val="center"/>
          </w:tcPr>
          <w:p w:rsidR="00414D55" w:rsidRPr="00C9559D" w:rsidRDefault="00414D55" w:rsidP="00E616B2">
            <w:pPr>
              <w:snapToGrid w:val="0"/>
              <w:jc w:val="both"/>
              <w:rPr>
                <w:bCs/>
                <w:sz w:val="20"/>
                <w:szCs w:val="20"/>
              </w:rPr>
            </w:pPr>
            <w:r w:rsidRPr="00C9559D">
              <w:rPr>
                <w:bCs/>
                <w:sz w:val="20"/>
                <w:szCs w:val="20"/>
              </w:rPr>
              <w:t>Positive</w:t>
            </w:r>
          </w:p>
          <w:p w:rsidR="00414D55" w:rsidRPr="00C9559D" w:rsidRDefault="00414D55" w:rsidP="00E616B2">
            <w:pPr>
              <w:snapToGrid w:val="0"/>
              <w:jc w:val="both"/>
              <w:rPr>
                <w:sz w:val="20"/>
                <w:szCs w:val="20"/>
              </w:rPr>
            </w:pPr>
            <w:r w:rsidRPr="00C9559D">
              <w:rPr>
                <w:bCs/>
                <w:sz w:val="20"/>
                <w:szCs w:val="20"/>
              </w:rPr>
              <w:t>Negative</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13 (43.3%)</w:t>
            </w:r>
          </w:p>
          <w:p w:rsidR="00414D55" w:rsidRPr="00C9559D" w:rsidRDefault="00414D55" w:rsidP="00E616B2">
            <w:pPr>
              <w:snapToGrid w:val="0"/>
              <w:jc w:val="both"/>
              <w:rPr>
                <w:sz w:val="20"/>
                <w:szCs w:val="20"/>
              </w:rPr>
            </w:pPr>
            <w:r w:rsidRPr="00C9559D">
              <w:rPr>
                <w:sz w:val="20"/>
                <w:szCs w:val="20"/>
                <w:lang w:val="en-GB"/>
              </w:rPr>
              <w:t>17 (56.7%)</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6 (20.0%)</w:t>
            </w:r>
          </w:p>
          <w:p w:rsidR="00414D55" w:rsidRPr="00C9559D" w:rsidRDefault="00414D55" w:rsidP="00E616B2">
            <w:pPr>
              <w:snapToGrid w:val="0"/>
              <w:jc w:val="both"/>
              <w:rPr>
                <w:sz w:val="20"/>
                <w:szCs w:val="20"/>
              </w:rPr>
            </w:pPr>
            <w:r w:rsidRPr="00C9559D">
              <w:rPr>
                <w:sz w:val="20"/>
                <w:szCs w:val="20"/>
                <w:lang w:val="en-GB"/>
              </w:rPr>
              <w:t>24 (80.0%)</w:t>
            </w:r>
          </w:p>
        </w:tc>
        <w:tc>
          <w:tcPr>
            <w:tcW w:w="892" w:type="pct"/>
            <w:vAlign w:val="center"/>
          </w:tcPr>
          <w:p w:rsidR="00414D55" w:rsidRPr="00C9559D" w:rsidRDefault="00414D55" w:rsidP="00E616B2">
            <w:pPr>
              <w:snapToGrid w:val="0"/>
              <w:jc w:val="both"/>
              <w:rPr>
                <w:bCs/>
                <w:sz w:val="20"/>
                <w:szCs w:val="20"/>
              </w:rPr>
            </w:pPr>
            <w:r w:rsidRPr="00C9559D">
              <w:rPr>
                <w:sz w:val="20"/>
                <w:szCs w:val="20"/>
                <w:lang w:val="en-GB"/>
              </w:rPr>
              <w:t>8 (26.7%)</w:t>
            </w:r>
          </w:p>
          <w:p w:rsidR="00414D55" w:rsidRPr="00C9559D" w:rsidRDefault="00414D55" w:rsidP="00E616B2">
            <w:pPr>
              <w:snapToGrid w:val="0"/>
              <w:jc w:val="both"/>
              <w:rPr>
                <w:sz w:val="20"/>
                <w:szCs w:val="20"/>
              </w:rPr>
            </w:pPr>
            <w:r w:rsidRPr="00C9559D">
              <w:rPr>
                <w:sz w:val="20"/>
                <w:szCs w:val="20"/>
                <w:lang w:val="en-GB"/>
              </w:rPr>
              <w:t>22 (73.3%)</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0.373*</w:t>
            </w:r>
          </w:p>
        </w:tc>
        <w:tc>
          <w:tcPr>
            <w:tcW w:w="430" w:type="pct"/>
            <w:vAlign w:val="center"/>
          </w:tcPr>
          <w:p w:rsidR="00414D55" w:rsidRPr="00C9559D" w:rsidRDefault="00414D55" w:rsidP="00E616B2">
            <w:pPr>
              <w:snapToGrid w:val="0"/>
              <w:jc w:val="both"/>
              <w:rPr>
                <w:sz w:val="20"/>
                <w:szCs w:val="20"/>
                <w:lang w:val="en-GB"/>
              </w:rPr>
            </w:pPr>
            <w:r w:rsidRPr="00C9559D">
              <w:rPr>
                <w:sz w:val="20"/>
                <w:szCs w:val="20"/>
                <w:lang w:val="en-GB"/>
              </w:rPr>
              <w:t>&gt;0.05</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NS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sz w:val="20"/>
                <w:szCs w:val="20"/>
              </w:rPr>
              <w:t>VAS Score</w:t>
            </w:r>
          </w:p>
        </w:tc>
        <w:tc>
          <w:tcPr>
            <w:tcW w:w="671" w:type="pct"/>
            <w:vAlign w:val="center"/>
          </w:tcPr>
          <w:p w:rsidR="00414D55" w:rsidRPr="00C9559D" w:rsidRDefault="00414D55" w:rsidP="00E616B2">
            <w:pPr>
              <w:snapToGrid w:val="0"/>
              <w:jc w:val="both"/>
              <w:rPr>
                <w:sz w:val="20"/>
                <w:szCs w:val="20"/>
              </w:rPr>
            </w:pPr>
            <w:r w:rsidRPr="00C9559D">
              <w:rPr>
                <w:sz w:val="20"/>
                <w:szCs w:val="20"/>
              </w:rPr>
              <w:t>Range</w:t>
            </w:r>
          </w:p>
          <w:p w:rsidR="00414D55" w:rsidRPr="00C9559D" w:rsidRDefault="00414D55" w:rsidP="00E616B2">
            <w:pPr>
              <w:snapToGrid w:val="0"/>
              <w:jc w:val="both"/>
              <w:rPr>
                <w:sz w:val="20"/>
                <w:szCs w:val="20"/>
              </w:rPr>
            </w:pPr>
            <w:r w:rsidRPr="00C9559D">
              <w:rPr>
                <w:bCs/>
                <w:sz w:val="20"/>
                <w:szCs w:val="20"/>
              </w:rPr>
              <w:t>Median (IQR)</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6 – 9</w:t>
            </w:r>
          </w:p>
          <w:p w:rsidR="00414D55" w:rsidRPr="00C9559D" w:rsidRDefault="00414D55" w:rsidP="00E616B2">
            <w:pPr>
              <w:snapToGrid w:val="0"/>
              <w:jc w:val="both"/>
              <w:rPr>
                <w:sz w:val="20"/>
                <w:szCs w:val="20"/>
              </w:rPr>
            </w:pPr>
            <w:r w:rsidRPr="00C9559D">
              <w:rPr>
                <w:sz w:val="20"/>
                <w:szCs w:val="20"/>
                <w:lang w:val="en-GB"/>
              </w:rPr>
              <w:t>8 (7 - 8)</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0 – 4</w:t>
            </w:r>
          </w:p>
          <w:p w:rsidR="00414D55" w:rsidRPr="00C9559D" w:rsidRDefault="00414D55" w:rsidP="00E616B2">
            <w:pPr>
              <w:snapToGrid w:val="0"/>
              <w:jc w:val="both"/>
              <w:rPr>
                <w:sz w:val="20"/>
                <w:szCs w:val="20"/>
              </w:rPr>
            </w:pPr>
            <w:r w:rsidRPr="00C9559D">
              <w:rPr>
                <w:sz w:val="20"/>
                <w:szCs w:val="20"/>
                <w:lang w:val="en-GB"/>
              </w:rPr>
              <w:t>1 (0 - 2)</w:t>
            </w:r>
          </w:p>
        </w:tc>
        <w:tc>
          <w:tcPr>
            <w:tcW w:w="892" w:type="pct"/>
            <w:vAlign w:val="center"/>
          </w:tcPr>
          <w:p w:rsidR="00414D55" w:rsidRPr="00C9559D" w:rsidRDefault="00414D55" w:rsidP="00E616B2">
            <w:pPr>
              <w:snapToGrid w:val="0"/>
              <w:jc w:val="both"/>
              <w:rPr>
                <w:bCs/>
                <w:sz w:val="20"/>
                <w:szCs w:val="20"/>
              </w:rPr>
            </w:pPr>
            <w:r w:rsidRPr="00C9559D">
              <w:rPr>
                <w:sz w:val="20"/>
                <w:szCs w:val="20"/>
                <w:lang w:val="en-GB"/>
              </w:rPr>
              <w:t>0 – 6</w:t>
            </w:r>
          </w:p>
          <w:p w:rsidR="00414D55" w:rsidRPr="00C9559D" w:rsidRDefault="00414D55" w:rsidP="00E616B2">
            <w:pPr>
              <w:snapToGrid w:val="0"/>
              <w:jc w:val="both"/>
              <w:rPr>
                <w:sz w:val="20"/>
                <w:szCs w:val="20"/>
              </w:rPr>
            </w:pPr>
            <w:r w:rsidRPr="00C9559D">
              <w:rPr>
                <w:sz w:val="20"/>
                <w:szCs w:val="20"/>
                <w:lang w:val="en-GB"/>
              </w:rPr>
              <w:t>1 (0 - 2)</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-2.401</w:t>
            </w:r>
            <w:r w:rsidRPr="00C9559D">
              <w:rPr>
                <w:rFonts w:eastAsia="MS Mincho"/>
                <w:sz w:val="20"/>
                <w:szCs w:val="20"/>
                <w:lang w:val="en-GB"/>
              </w:rPr>
              <w:t>ǂ</w:t>
            </w:r>
          </w:p>
        </w:tc>
        <w:tc>
          <w:tcPr>
            <w:tcW w:w="430"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r w:rsidR="00D51578" w:rsidRPr="00C9559D" w:rsidTr="00D51578">
        <w:trPr>
          <w:jc w:val="center"/>
        </w:trPr>
        <w:tc>
          <w:tcPr>
            <w:tcW w:w="600" w:type="pct"/>
            <w:vAlign w:val="center"/>
          </w:tcPr>
          <w:p w:rsidR="00414D55" w:rsidRPr="00C9559D" w:rsidRDefault="00414D55" w:rsidP="00E616B2">
            <w:pPr>
              <w:snapToGrid w:val="0"/>
              <w:jc w:val="both"/>
              <w:rPr>
                <w:sz w:val="20"/>
                <w:szCs w:val="20"/>
              </w:rPr>
            </w:pPr>
            <w:r w:rsidRPr="00C9559D">
              <w:rPr>
                <w:sz w:val="20"/>
                <w:szCs w:val="20"/>
              </w:rPr>
              <w:t>ODI Score</w:t>
            </w:r>
          </w:p>
        </w:tc>
        <w:tc>
          <w:tcPr>
            <w:tcW w:w="671" w:type="pct"/>
            <w:vAlign w:val="center"/>
          </w:tcPr>
          <w:p w:rsidR="00414D55" w:rsidRPr="00C9559D" w:rsidRDefault="00414D55" w:rsidP="00E616B2">
            <w:pPr>
              <w:snapToGrid w:val="0"/>
              <w:jc w:val="both"/>
              <w:rPr>
                <w:sz w:val="20"/>
                <w:szCs w:val="20"/>
              </w:rPr>
            </w:pPr>
            <w:r w:rsidRPr="00C9559D">
              <w:rPr>
                <w:sz w:val="20"/>
                <w:szCs w:val="20"/>
              </w:rPr>
              <w:t>Range</w:t>
            </w:r>
          </w:p>
          <w:p w:rsidR="00414D55" w:rsidRPr="00C9559D" w:rsidRDefault="00414D55" w:rsidP="00E616B2">
            <w:pPr>
              <w:snapToGrid w:val="0"/>
              <w:jc w:val="both"/>
              <w:rPr>
                <w:sz w:val="20"/>
                <w:szCs w:val="20"/>
              </w:rPr>
            </w:pPr>
            <w:r w:rsidRPr="00C9559D">
              <w:rPr>
                <w:bCs/>
                <w:sz w:val="20"/>
                <w:szCs w:val="20"/>
              </w:rPr>
              <w:t>Median (IQR)</w:t>
            </w:r>
          </w:p>
        </w:tc>
        <w:tc>
          <w:tcPr>
            <w:tcW w:w="802" w:type="pct"/>
            <w:vAlign w:val="center"/>
          </w:tcPr>
          <w:p w:rsidR="00414D55" w:rsidRPr="00C9559D" w:rsidRDefault="00414D55" w:rsidP="00E616B2">
            <w:pPr>
              <w:snapToGrid w:val="0"/>
              <w:jc w:val="both"/>
              <w:rPr>
                <w:bCs/>
                <w:sz w:val="20"/>
                <w:szCs w:val="20"/>
              </w:rPr>
            </w:pPr>
            <w:r w:rsidRPr="00C9559D">
              <w:rPr>
                <w:sz w:val="20"/>
                <w:szCs w:val="20"/>
                <w:lang w:val="en-GB"/>
              </w:rPr>
              <w:t>28 – 94</w:t>
            </w:r>
          </w:p>
          <w:p w:rsidR="00414D55" w:rsidRPr="00C9559D" w:rsidRDefault="00414D55" w:rsidP="00E616B2">
            <w:pPr>
              <w:snapToGrid w:val="0"/>
              <w:jc w:val="both"/>
              <w:rPr>
                <w:sz w:val="20"/>
                <w:szCs w:val="20"/>
              </w:rPr>
            </w:pPr>
            <w:r w:rsidRPr="00C9559D">
              <w:rPr>
                <w:sz w:val="20"/>
                <w:szCs w:val="20"/>
                <w:lang w:val="en-GB"/>
              </w:rPr>
              <w:t>66 (58 - 70)</w:t>
            </w:r>
          </w:p>
        </w:tc>
        <w:tc>
          <w:tcPr>
            <w:tcW w:w="850" w:type="pct"/>
            <w:vAlign w:val="center"/>
          </w:tcPr>
          <w:p w:rsidR="00414D55" w:rsidRPr="00C9559D" w:rsidRDefault="00414D55" w:rsidP="00E616B2">
            <w:pPr>
              <w:snapToGrid w:val="0"/>
              <w:jc w:val="both"/>
              <w:rPr>
                <w:bCs/>
                <w:sz w:val="20"/>
                <w:szCs w:val="20"/>
              </w:rPr>
            </w:pPr>
            <w:r w:rsidRPr="00C9559D">
              <w:rPr>
                <w:sz w:val="20"/>
                <w:szCs w:val="20"/>
                <w:lang w:val="en-GB"/>
              </w:rPr>
              <w:t>0 – 40</w:t>
            </w:r>
          </w:p>
          <w:p w:rsidR="00414D55" w:rsidRPr="00C9559D" w:rsidRDefault="00414D55" w:rsidP="00E616B2">
            <w:pPr>
              <w:snapToGrid w:val="0"/>
              <w:jc w:val="both"/>
              <w:rPr>
                <w:sz w:val="20"/>
                <w:szCs w:val="20"/>
              </w:rPr>
            </w:pPr>
            <w:r w:rsidRPr="00C9559D">
              <w:rPr>
                <w:sz w:val="20"/>
                <w:szCs w:val="20"/>
                <w:lang w:val="en-GB"/>
              </w:rPr>
              <w:t>8.5 (2 - 18)</w:t>
            </w:r>
          </w:p>
        </w:tc>
        <w:tc>
          <w:tcPr>
            <w:tcW w:w="892" w:type="pct"/>
            <w:vAlign w:val="center"/>
          </w:tcPr>
          <w:p w:rsidR="00414D55" w:rsidRPr="00C9559D" w:rsidRDefault="00414D55" w:rsidP="00E616B2">
            <w:pPr>
              <w:snapToGrid w:val="0"/>
              <w:jc w:val="both"/>
              <w:rPr>
                <w:bCs/>
                <w:sz w:val="20"/>
                <w:szCs w:val="20"/>
              </w:rPr>
            </w:pPr>
            <w:r w:rsidRPr="00C9559D">
              <w:rPr>
                <w:sz w:val="20"/>
                <w:szCs w:val="20"/>
                <w:lang w:val="en-GB"/>
              </w:rPr>
              <w:t>0 – 46</w:t>
            </w:r>
          </w:p>
          <w:p w:rsidR="00414D55" w:rsidRPr="00C9559D" w:rsidRDefault="00414D55" w:rsidP="00E616B2">
            <w:pPr>
              <w:snapToGrid w:val="0"/>
              <w:jc w:val="both"/>
              <w:rPr>
                <w:sz w:val="20"/>
                <w:szCs w:val="20"/>
              </w:rPr>
            </w:pPr>
            <w:r w:rsidRPr="00C9559D">
              <w:rPr>
                <w:sz w:val="20"/>
                <w:szCs w:val="20"/>
                <w:lang w:val="en-GB"/>
              </w:rPr>
              <w:t>12 (4 - 26)</w:t>
            </w:r>
          </w:p>
        </w:tc>
        <w:tc>
          <w:tcPr>
            <w:tcW w:w="552" w:type="pct"/>
            <w:vAlign w:val="center"/>
          </w:tcPr>
          <w:p w:rsidR="00414D55" w:rsidRPr="00C9559D" w:rsidRDefault="00414D55" w:rsidP="00E616B2">
            <w:pPr>
              <w:snapToGrid w:val="0"/>
              <w:jc w:val="both"/>
              <w:rPr>
                <w:sz w:val="20"/>
                <w:szCs w:val="20"/>
                <w:lang w:val="en-GB"/>
              </w:rPr>
            </w:pPr>
            <w:r w:rsidRPr="00C9559D">
              <w:rPr>
                <w:sz w:val="20"/>
                <w:szCs w:val="20"/>
                <w:lang w:val="en-GB"/>
              </w:rPr>
              <w:t>-2.392</w:t>
            </w:r>
            <w:r w:rsidRPr="00C9559D">
              <w:rPr>
                <w:rFonts w:eastAsia="MS Mincho"/>
                <w:sz w:val="20"/>
                <w:szCs w:val="20"/>
                <w:lang w:val="en-GB"/>
              </w:rPr>
              <w:t>ǂ</w:t>
            </w:r>
          </w:p>
        </w:tc>
        <w:tc>
          <w:tcPr>
            <w:tcW w:w="430" w:type="pct"/>
            <w:vAlign w:val="center"/>
          </w:tcPr>
          <w:p w:rsidR="00414D55" w:rsidRPr="00C9559D" w:rsidRDefault="00483D8A" w:rsidP="00E616B2">
            <w:pPr>
              <w:snapToGrid w:val="0"/>
              <w:jc w:val="both"/>
              <w:rPr>
                <w:sz w:val="20"/>
                <w:szCs w:val="20"/>
                <w:lang w:val="en-GB"/>
              </w:rPr>
            </w:pPr>
            <w:r w:rsidRPr="00C9559D">
              <w:rPr>
                <w:sz w:val="20"/>
                <w:szCs w:val="20"/>
                <w:lang w:val="en-GB"/>
              </w:rPr>
              <w:t>&lt;0.</w:t>
            </w:r>
            <w:r w:rsidR="00414D55" w:rsidRPr="00C9559D">
              <w:rPr>
                <w:sz w:val="20"/>
                <w:szCs w:val="20"/>
                <w:lang w:val="en-GB"/>
              </w:rPr>
              <w:t>01</w:t>
            </w:r>
          </w:p>
        </w:tc>
        <w:tc>
          <w:tcPr>
            <w:tcW w:w="204" w:type="pct"/>
            <w:vAlign w:val="center"/>
          </w:tcPr>
          <w:p w:rsidR="00414D55" w:rsidRPr="00C9559D" w:rsidRDefault="00414D55" w:rsidP="00E616B2">
            <w:pPr>
              <w:snapToGrid w:val="0"/>
              <w:jc w:val="both"/>
              <w:rPr>
                <w:sz w:val="20"/>
                <w:szCs w:val="20"/>
                <w:lang w:val="en-GB"/>
              </w:rPr>
            </w:pPr>
            <w:r w:rsidRPr="00C9559D">
              <w:rPr>
                <w:sz w:val="20"/>
                <w:szCs w:val="20"/>
                <w:lang w:val="en-GB"/>
              </w:rPr>
              <w:t>HS</w:t>
            </w:r>
          </w:p>
        </w:tc>
      </w:tr>
    </w:tbl>
    <w:p w:rsidR="00A07C1E" w:rsidRPr="00C9559D" w:rsidRDefault="00414D55" w:rsidP="00E616B2">
      <w:pPr>
        <w:snapToGrid w:val="0"/>
        <w:jc w:val="both"/>
        <w:rPr>
          <w:sz w:val="20"/>
          <w:szCs w:val="20"/>
        </w:rPr>
      </w:pPr>
      <w:r w:rsidRPr="00C9559D">
        <w:rPr>
          <w:sz w:val="20"/>
          <w:szCs w:val="20"/>
        </w:rPr>
        <w:t xml:space="preserve">P-value &gt;0.05: Non significant (NS); </w:t>
      </w:r>
    </w:p>
    <w:p w:rsidR="00414D55" w:rsidRPr="00C9559D" w:rsidRDefault="00414D55" w:rsidP="00E616B2">
      <w:pPr>
        <w:snapToGrid w:val="0"/>
        <w:jc w:val="both"/>
        <w:rPr>
          <w:sz w:val="20"/>
          <w:szCs w:val="20"/>
        </w:rPr>
      </w:pPr>
      <w:r w:rsidRPr="00C9559D">
        <w:rPr>
          <w:sz w:val="20"/>
          <w:szCs w:val="20"/>
        </w:rPr>
        <w:t>P-value &lt;0.0</w:t>
      </w:r>
      <w:r w:rsidR="003E2BC3" w:rsidRPr="00C9559D">
        <w:rPr>
          <w:sz w:val="20"/>
          <w:szCs w:val="20"/>
        </w:rPr>
        <w:t>5: Significant (S); P-value&lt; 0.</w:t>
      </w:r>
      <w:r w:rsidRPr="00C9559D">
        <w:rPr>
          <w:sz w:val="20"/>
          <w:szCs w:val="20"/>
        </w:rPr>
        <w:t>01: highly significant (HS)</w:t>
      </w:r>
    </w:p>
    <w:p w:rsidR="00414D55" w:rsidRPr="00C9559D" w:rsidRDefault="00414D55" w:rsidP="00E616B2">
      <w:pPr>
        <w:snapToGrid w:val="0"/>
        <w:jc w:val="both"/>
        <w:rPr>
          <w:sz w:val="20"/>
          <w:szCs w:val="20"/>
        </w:rPr>
      </w:pPr>
      <w:r w:rsidRPr="00C9559D">
        <w:rPr>
          <w:sz w:val="20"/>
          <w:szCs w:val="20"/>
        </w:rPr>
        <w:t>*</w:t>
      </w:r>
      <w:r w:rsidR="00E616B2" w:rsidRPr="00C9559D">
        <w:rPr>
          <w:sz w:val="20"/>
          <w:szCs w:val="20"/>
        </w:rPr>
        <w:t>: C</w:t>
      </w:r>
      <w:r w:rsidRPr="00C9559D">
        <w:rPr>
          <w:sz w:val="20"/>
          <w:szCs w:val="20"/>
        </w:rPr>
        <w:t>hi-square test; ‡: Friedman test</w:t>
      </w:r>
    </w:p>
    <w:p w:rsidR="00EA0D94" w:rsidRPr="00C9559D" w:rsidRDefault="00EA0D94" w:rsidP="00E616B2">
      <w:pPr>
        <w:snapToGrid w:val="0"/>
        <w:ind w:firstLine="425"/>
        <w:jc w:val="both"/>
        <w:rPr>
          <w:sz w:val="20"/>
          <w:szCs w:val="20"/>
          <w:lang w:val="en-GB"/>
        </w:rPr>
      </w:pPr>
    </w:p>
    <w:p w:rsidR="00E616B2" w:rsidRPr="00C9559D" w:rsidRDefault="00E616B2" w:rsidP="00E616B2">
      <w:pPr>
        <w:snapToGrid w:val="0"/>
        <w:ind w:firstLine="425"/>
        <w:jc w:val="both"/>
        <w:rPr>
          <w:sz w:val="20"/>
          <w:szCs w:val="20"/>
          <w:lang w:val="en-GB"/>
        </w:rPr>
        <w:sectPr w:rsidR="00E616B2" w:rsidRPr="00C9559D" w:rsidSect="00D51578">
          <w:type w:val="continuous"/>
          <w:pgSz w:w="12240" w:h="15840" w:code="9"/>
          <w:pgMar w:top="1440" w:right="1440" w:bottom="1440" w:left="1440" w:header="720" w:footer="720" w:gutter="0"/>
          <w:cols w:space="720"/>
          <w:docGrid w:linePitch="360"/>
        </w:sectPr>
      </w:pPr>
    </w:p>
    <w:p w:rsidR="00414D55" w:rsidRPr="00C9559D" w:rsidRDefault="00414D55" w:rsidP="00E616B2">
      <w:pPr>
        <w:snapToGrid w:val="0"/>
        <w:ind w:firstLine="425"/>
        <w:jc w:val="both"/>
        <w:rPr>
          <w:sz w:val="20"/>
          <w:szCs w:val="20"/>
        </w:rPr>
      </w:pPr>
      <w:r w:rsidRPr="00C9559D">
        <w:rPr>
          <w:sz w:val="20"/>
          <w:szCs w:val="20"/>
          <w:lang w:val="en-GB"/>
        </w:rPr>
        <w:lastRenderedPageBreak/>
        <w:t xml:space="preserve">The Previous table shows that there was highly statistical significant difference between </w:t>
      </w:r>
      <w:r w:rsidRPr="00C9559D">
        <w:rPr>
          <w:b/>
          <w:bCs/>
          <w:sz w:val="20"/>
          <w:szCs w:val="20"/>
          <w:lang w:val="en-GB"/>
        </w:rPr>
        <w:t>(Before injection, 1</w:t>
      </w:r>
      <w:r w:rsidRPr="00C9559D">
        <w:rPr>
          <w:b/>
          <w:bCs/>
          <w:sz w:val="20"/>
          <w:szCs w:val="20"/>
          <w:vertAlign w:val="superscript"/>
          <w:lang w:val="en-GB"/>
        </w:rPr>
        <w:t>st</w:t>
      </w:r>
      <w:r w:rsidRPr="00C9559D">
        <w:rPr>
          <w:b/>
          <w:bCs/>
          <w:sz w:val="20"/>
          <w:szCs w:val="20"/>
          <w:lang w:val="en-GB"/>
        </w:rPr>
        <w:t xml:space="preserve"> visit</w:t>
      </w:r>
      <w:r w:rsidR="00D51578" w:rsidRPr="00C9559D">
        <w:rPr>
          <w:b/>
          <w:bCs/>
          <w:sz w:val="20"/>
          <w:szCs w:val="20"/>
          <w:lang w:val="en-GB"/>
        </w:rPr>
        <w:t xml:space="preserve"> &amp; </w:t>
      </w:r>
      <w:r w:rsidRPr="00C9559D">
        <w:rPr>
          <w:b/>
          <w:bCs/>
          <w:sz w:val="20"/>
          <w:szCs w:val="20"/>
          <w:lang w:val="en-GB"/>
        </w:rPr>
        <w:t>2</w:t>
      </w:r>
      <w:r w:rsidRPr="00C9559D">
        <w:rPr>
          <w:b/>
          <w:bCs/>
          <w:sz w:val="20"/>
          <w:szCs w:val="20"/>
          <w:vertAlign w:val="superscript"/>
          <w:lang w:val="en-GB"/>
        </w:rPr>
        <w:t>nd</w:t>
      </w:r>
      <w:r w:rsidRPr="00C9559D">
        <w:rPr>
          <w:b/>
          <w:bCs/>
          <w:sz w:val="20"/>
          <w:szCs w:val="20"/>
          <w:lang w:val="en-GB"/>
        </w:rPr>
        <w:t xml:space="preserve"> visit) </w:t>
      </w:r>
      <w:r w:rsidRPr="00C9559D">
        <w:rPr>
          <w:sz w:val="20"/>
          <w:szCs w:val="20"/>
          <w:lang w:val="en-GB"/>
        </w:rPr>
        <w:t>regarding (Central LBP, pain of SIJ, Tingling</w:t>
      </w:r>
      <w:r w:rsidR="00D51578" w:rsidRPr="00C9559D">
        <w:rPr>
          <w:sz w:val="20"/>
          <w:szCs w:val="20"/>
          <w:lang w:val="en-GB"/>
        </w:rPr>
        <w:t xml:space="preserve"> &amp; </w:t>
      </w:r>
      <w:r w:rsidRPr="00C9559D">
        <w:rPr>
          <w:sz w:val="20"/>
          <w:szCs w:val="20"/>
          <w:lang w:val="en-GB"/>
        </w:rPr>
        <w:t xml:space="preserve">Numbness; SLR; CSLR; </w:t>
      </w:r>
      <w:r w:rsidRPr="00C9559D">
        <w:rPr>
          <w:sz w:val="20"/>
          <w:szCs w:val="20"/>
          <w:lang w:val="en-GB"/>
        </w:rPr>
        <w:lastRenderedPageBreak/>
        <w:t xml:space="preserve">Vas Score; and ODI Score (%)) with </w:t>
      </w:r>
      <w:r w:rsidRPr="00C9559D">
        <w:rPr>
          <w:b/>
          <w:bCs/>
          <w:sz w:val="20"/>
          <w:szCs w:val="20"/>
          <w:lang w:val="en-GB"/>
        </w:rPr>
        <w:t xml:space="preserve">(p-value &lt;0.01) </w:t>
      </w:r>
      <w:r w:rsidRPr="00C9559D">
        <w:rPr>
          <w:sz w:val="20"/>
          <w:szCs w:val="20"/>
          <w:lang w:val="en-GB"/>
        </w:rPr>
        <w:t>while there was no statistically significant difference found regarding FNS and SIJ. With (</w:t>
      </w:r>
      <w:r w:rsidRPr="00C9559D">
        <w:rPr>
          <w:b/>
          <w:bCs/>
          <w:sz w:val="20"/>
          <w:szCs w:val="20"/>
          <w:lang w:val="en-GB"/>
        </w:rPr>
        <w:t>P-value &gt;0.05).</w:t>
      </w:r>
    </w:p>
    <w:p w:rsidR="00E616B2" w:rsidRPr="00C9559D" w:rsidRDefault="00E616B2" w:rsidP="00E616B2">
      <w:pPr>
        <w:snapToGrid w:val="0"/>
        <w:jc w:val="center"/>
        <w:rPr>
          <w:b/>
          <w:bCs/>
          <w:sz w:val="20"/>
          <w:szCs w:val="20"/>
        </w:rPr>
        <w:sectPr w:rsidR="00E616B2" w:rsidRPr="00C9559D" w:rsidSect="00E616B2">
          <w:type w:val="continuous"/>
          <w:pgSz w:w="12240" w:h="15840" w:code="9"/>
          <w:pgMar w:top="1440" w:right="1440" w:bottom="1440" w:left="1440" w:header="720" w:footer="720" w:gutter="0"/>
          <w:cols w:num="2" w:space="600"/>
          <w:docGrid w:linePitch="360"/>
        </w:sectPr>
      </w:pPr>
    </w:p>
    <w:p w:rsidR="00EA0D94" w:rsidRPr="00C9559D" w:rsidRDefault="00EA0D94" w:rsidP="00E616B2">
      <w:pPr>
        <w:snapToGrid w:val="0"/>
        <w:jc w:val="center"/>
        <w:rPr>
          <w:b/>
          <w:bCs/>
          <w:sz w:val="20"/>
          <w:szCs w:val="20"/>
        </w:rPr>
      </w:pPr>
    </w:p>
    <w:p w:rsidR="00414D55" w:rsidRPr="00C9559D" w:rsidRDefault="00414D55" w:rsidP="00E616B2">
      <w:pPr>
        <w:snapToGrid w:val="0"/>
        <w:jc w:val="both"/>
        <w:rPr>
          <w:sz w:val="20"/>
          <w:szCs w:val="20"/>
        </w:rPr>
      </w:pPr>
      <w:r w:rsidRPr="00C9559D">
        <w:rPr>
          <w:b/>
          <w:bCs/>
          <w:sz w:val="20"/>
          <w:szCs w:val="20"/>
        </w:rPr>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6</w:t>
      </w:r>
      <w:r w:rsidR="00FA4FCE" w:rsidRPr="00C9559D">
        <w:rPr>
          <w:sz w:val="20"/>
          <w:szCs w:val="20"/>
        </w:rPr>
        <w:fldChar w:fldCharType="end"/>
      </w:r>
      <w:r w:rsidRPr="00C9559D">
        <w:rPr>
          <w:b/>
          <w:bCs/>
          <w:sz w:val="20"/>
          <w:szCs w:val="20"/>
        </w:rPr>
        <w:t xml:space="preserve">): </w:t>
      </w:r>
      <w:r w:rsidRPr="00C9559D">
        <w:rPr>
          <w:sz w:val="20"/>
          <w:szCs w:val="20"/>
        </w:rPr>
        <w:t>Correlation between disease duration and (VAS Score, ODI Score (%)) Before Injection, 1</w:t>
      </w:r>
      <w:r w:rsidRPr="00C9559D">
        <w:rPr>
          <w:sz w:val="20"/>
          <w:szCs w:val="20"/>
          <w:vertAlign w:val="superscript"/>
        </w:rPr>
        <w:t>st</w:t>
      </w:r>
      <w:r w:rsidRPr="00C9559D">
        <w:rPr>
          <w:sz w:val="20"/>
          <w:szCs w:val="20"/>
        </w:rPr>
        <w:t xml:space="preserve"> visit (45 days) and 2</w:t>
      </w:r>
      <w:r w:rsidRPr="00C9559D">
        <w:rPr>
          <w:sz w:val="20"/>
          <w:szCs w:val="20"/>
          <w:vertAlign w:val="superscript"/>
        </w:rPr>
        <w:t>nd</w:t>
      </w:r>
      <w:r w:rsidRPr="00C9559D">
        <w:rPr>
          <w:sz w:val="20"/>
          <w:szCs w:val="20"/>
        </w:rPr>
        <w:t xml:space="preserve"> visit (90 days)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804"/>
        <w:gridCol w:w="1108"/>
        <w:gridCol w:w="1211"/>
        <w:gridCol w:w="688"/>
        <w:gridCol w:w="1061"/>
        <w:gridCol w:w="1162"/>
        <w:gridCol w:w="659"/>
        <w:gridCol w:w="963"/>
        <w:gridCol w:w="1162"/>
        <w:gridCol w:w="656"/>
      </w:tblGrid>
      <w:tr w:rsidR="00414D55" w:rsidRPr="00C9559D" w:rsidTr="00D51578">
        <w:trPr>
          <w:jc w:val="center"/>
        </w:trPr>
        <w:tc>
          <w:tcPr>
            <w:tcW w:w="425" w:type="pct"/>
            <w:vMerge w:val="restart"/>
            <w:tcBorders>
              <w:top w:val="single" w:sz="18" w:space="0" w:color="auto"/>
            </w:tcBorders>
            <w:noWrap/>
            <w:vAlign w:val="center"/>
          </w:tcPr>
          <w:p w:rsidR="00414D55" w:rsidRPr="00C9559D" w:rsidRDefault="00414D55" w:rsidP="00E616B2">
            <w:pPr>
              <w:snapToGrid w:val="0"/>
              <w:jc w:val="both"/>
              <w:rPr>
                <w:b/>
                <w:bCs/>
                <w:sz w:val="20"/>
                <w:szCs w:val="20"/>
              </w:rPr>
            </w:pPr>
            <w:r w:rsidRPr="00C9559D">
              <w:rPr>
                <w:b/>
                <w:bCs/>
                <w:sz w:val="20"/>
                <w:szCs w:val="20"/>
              </w:rPr>
              <w:t>Data</w:t>
            </w:r>
          </w:p>
        </w:tc>
        <w:tc>
          <w:tcPr>
            <w:tcW w:w="4575" w:type="pct"/>
            <w:gridSpan w:val="9"/>
            <w:tcBorders>
              <w:top w:val="single" w:sz="18" w:space="0" w:color="auto"/>
            </w:tcBorders>
            <w:noWrap/>
            <w:vAlign w:val="center"/>
          </w:tcPr>
          <w:p w:rsidR="00414D55" w:rsidRPr="00C9559D" w:rsidRDefault="00414D55" w:rsidP="00E616B2">
            <w:pPr>
              <w:snapToGrid w:val="0"/>
              <w:jc w:val="both"/>
              <w:rPr>
                <w:b/>
                <w:bCs/>
                <w:sz w:val="20"/>
                <w:szCs w:val="20"/>
              </w:rPr>
            </w:pPr>
            <w:r w:rsidRPr="00C9559D">
              <w:rPr>
                <w:b/>
                <w:bCs/>
                <w:sz w:val="20"/>
                <w:szCs w:val="20"/>
              </w:rPr>
              <w:t xml:space="preserve">Disease duration </w:t>
            </w:r>
          </w:p>
        </w:tc>
      </w:tr>
      <w:tr w:rsidR="00414D55" w:rsidRPr="00C9559D" w:rsidTr="00D51578">
        <w:trPr>
          <w:jc w:val="center"/>
        </w:trPr>
        <w:tc>
          <w:tcPr>
            <w:tcW w:w="425" w:type="pct"/>
            <w:vMerge/>
            <w:vAlign w:val="center"/>
          </w:tcPr>
          <w:p w:rsidR="00414D55" w:rsidRPr="00C9559D" w:rsidRDefault="00414D55" w:rsidP="00E616B2">
            <w:pPr>
              <w:snapToGrid w:val="0"/>
              <w:jc w:val="both"/>
              <w:rPr>
                <w:sz w:val="20"/>
                <w:szCs w:val="20"/>
              </w:rPr>
            </w:pPr>
          </w:p>
        </w:tc>
        <w:tc>
          <w:tcPr>
            <w:tcW w:w="1586" w:type="pct"/>
            <w:gridSpan w:val="3"/>
            <w:vAlign w:val="center"/>
          </w:tcPr>
          <w:p w:rsidR="00414D55" w:rsidRPr="00C9559D" w:rsidRDefault="00414D55" w:rsidP="00E616B2">
            <w:pPr>
              <w:snapToGrid w:val="0"/>
              <w:jc w:val="both"/>
              <w:rPr>
                <w:b/>
                <w:bCs/>
                <w:sz w:val="20"/>
                <w:szCs w:val="20"/>
              </w:rPr>
            </w:pPr>
            <w:r w:rsidRPr="00C9559D">
              <w:rPr>
                <w:b/>
                <w:bCs/>
                <w:sz w:val="20"/>
                <w:szCs w:val="20"/>
              </w:rPr>
              <w:t>ASS. Before Injection</w:t>
            </w:r>
          </w:p>
        </w:tc>
        <w:tc>
          <w:tcPr>
            <w:tcW w:w="1521" w:type="pct"/>
            <w:gridSpan w:val="3"/>
            <w:vAlign w:val="center"/>
          </w:tcPr>
          <w:p w:rsidR="00414D55" w:rsidRPr="00C9559D" w:rsidRDefault="00414D55" w:rsidP="00E616B2">
            <w:pPr>
              <w:snapToGrid w:val="0"/>
              <w:jc w:val="both"/>
              <w:rPr>
                <w:b/>
                <w:bCs/>
                <w:sz w:val="20"/>
                <w:szCs w:val="20"/>
              </w:rPr>
            </w:pPr>
            <w:r w:rsidRPr="00C9559D">
              <w:rPr>
                <w:b/>
                <w:bCs/>
                <w:sz w:val="20"/>
                <w:szCs w:val="20"/>
              </w:rPr>
              <w:t>1st visit (45 days)</w:t>
            </w:r>
          </w:p>
        </w:tc>
        <w:tc>
          <w:tcPr>
            <w:tcW w:w="1469" w:type="pct"/>
            <w:gridSpan w:val="3"/>
            <w:vAlign w:val="center"/>
          </w:tcPr>
          <w:p w:rsidR="00414D55" w:rsidRPr="00C9559D" w:rsidRDefault="00414D55" w:rsidP="00E616B2">
            <w:pPr>
              <w:snapToGrid w:val="0"/>
              <w:jc w:val="both"/>
              <w:rPr>
                <w:b/>
                <w:bCs/>
                <w:sz w:val="20"/>
                <w:szCs w:val="20"/>
              </w:rPr>
            </w:pPr>
            <w:r w:rsidRPr="00C9559D">
              <w:rPr>
                <w:b/>
                <w:bCs/>
                <w:sz w:val="20"/>
                <w:szCs w:val="20"/>
              </w:rPr>
              <w:t>2nd visit (90 days)</w:t>
            </w:r>
          </w:p>
        </w:tc>
      </w:tr>
      <w:tr w:rsidR="00D51578" w:rsidRPr="00C9559D" w:rsidTr="00D51578">
        <w:trPr>
          <w:jc w:val="center"/>
        </w:trPr>
        <w:tc>
          <w:tcPr>
            <w:tcW w:w="425" w:type="pct"/>
            <w:vMerge/>
            <w:vAlign w:val="center"/>
          </w:tcPr>
          <w:p w:rsidR="00414D55" w:rsidRPr="00C9559D" w:rsidRDefault="00414D55" w:rsidP="00E616B2">
            <w:pPr>
              <w:snapToGrid w:val="0"/>
              <w:jc w:val="both"/>
              <w:rPr>
                <w:sz w:val="20"/>
                <w:szCs w:val="20"/>
              </w:rPr>
            </w:pPr>
          </w:p>
        </w:tc>
        <w:tc>
          <w:tcPr>
            <w:tcW w:w="585" w:type="pct"/>
            <w:vAlign w:val="center"/>
          </w:tcPr>
          <w:p w:rsidR="00414D55" w:rsidRPr="00C9559D" w:rsidRDefault="00414D55" w:rsidP="00E616B2">
            <w:pPr>
              <w:snapToGrid w:val="0"/>
              <w:jc w:val="both"/>
              <w:rPr>
                <w:b/>
                <w:bCs/>
                <w:sz w:val="20"/>
                <w:szCs w:val="20"/>
              </w:rPr>
            </w:pPr>
            <w:r w:rsidRPr="00C9559D">
              <w:rPr>
                <w:b/>
                <w:bCs/>
                <w:sz w:val="20"/>
                <w:szCs w:val="20"/>
              </w:rPr>
              <w:t>r</w:t>
            </w:r>
          </w:p>
        </w:tc>
        <w:tc>
          <w:tcPr>
            <w:tcW w:w="639" w:type="pc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363" w:type="pct"/>
            <w:vAlign w:val="center"/>
          </w:tcPr>
          <w:p w:rsidR="00414D55" w:rsidRPr="00C9559D" w:rsidRDefault="00414D55" w:rsidP="00E616B2">
            <w:pPr>
              <w:snapToGrid w:val="0"/>
              <w:jc w:val="both"/>
              <w:rPr>
                <w:b/>
                <w:bCs/>
                <w:sz w:val="20"/>
                <w:szCs w:val="20"/>
              </w:rPr>
            </w:pPr>
            <w:r w:rsidRPr="00C9559D">
              <w:rPr>
                <w:b/>
                <w:bCs/>
                <w:sz w:val="20"/>
                <w:szCs w:val="20"/>
              </w:rPr>
              <w:t>Sig.</w:t>
            </w:r>
          </w:p>
        </w:tc>
        <w:tc>
          <w:tcPr>
            <w:tcW w:w="560" w:type="pct"/>
            <w:vAlign w:val="center"/>
          </w:tcPr>
          <w:p w:rsidR="00414D55" w:rsidRPr="00C9559D" w:rsidRDefault="00414D55" w:rsidP="00E616B2">
            <w:pPr>
              <w:snapToGrid w:val="0"/>
              <w:jc w:val="both"/>
              <w:rPr>
                <w:b/>
                <w:bCs/>
                <w:sz w:val="20"/>
                <w:szCs w:val="20"/>
              </w:rPr>
            </w:pPr>
            <w:r w:rsidRPr="00C9559D">
              <w:rPr>
                <w:b/>
                <w:bCs/>
                <w:sz w:val="20"/>
                <w:szCs w:val="20"/>
              </w:rPr>
              <w:t>r</w:t>
            </w:r>
          </w:p>
        </w:tc>
        <w:tc>
          <w:tcPr>
            <w:tcW w:w="613" w:type="pc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348" w:type="pct"/>
            <w:vAlign w:val="center"/>
          </w:tcPr>
          <w:p w:rsidR="00414D55" w:rsidRPr="00C9559D" w:rsidRDefault="00414D55" w:rsidP="00E616B2">
            <w:pPr>
              <w:snapToGrid w:val="0"/>
              <w:jc w:val="both"/>
              <w:rPr>
                <w:b/>
                <w:bCs/>
                <w:sz w:val="20"/>
                <w:szCs w:val="20"/>
              </w:rPr>
            </w:pPr>
            <w:r w:rsidRPr="00C9559D">
              <w:rPr>
                <w:b/>
                <w:bCs/>
                <w:sz w:val="20"/>
                <w:szCs w:val="20"/>
              </w:rPr>
              <w:t>Sig.</w:t>
            </w:r>
          </w:p>
        </w:tc>
        <w:tc>
          <w:tcPr>
            <w:tcW w:w="508" w:type="pct"/>
            <w:vAlign w:val="center"/>
          </w:tcPr>
          <w:p w:rsidR="00414D55" w:rsidRPr="00C9559D" w:rsidRDefault="00414D55" w:rsidP="00E616B2">
            <w:pPr>
              <w:snapToGrid w:val="0"/>
              <w:jc w:val="both"/>
              <w:rPr>
                <w:b/>
                <w:bCs/>
                <w:sz w:val="20"/>
                <w:szCs w:val="20"/>
              </w:rPr>
            </w:pPr>
            <w:r w:rsidRPr="00C9559D">
              <w:rPr>
                <w:b/>
                <w:bCs/>
                <w:sz w:val="20"/>
                <w:szCs w:val="20"/>
              </w:rPr>
              <w:t>r</w:t>
            </w:r>
          </w:p>
        </w:tc>
        <w:tc>
          <w:tcPr>
            <w:tcW w:w="613" w:type="pc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348" w:type="pct"/>
            <w:vAlign w:val="center"/>
          </w:tcPr>
          <w:p w:rsidR="00414D55" w:rsidRPr="00C9559D" w:rsidRDefault="00414D55" w:rsidP="00E616B2">
            <w:pPr>
              <w:snapToGrid w:val="0"/>
              <w:jc w:val="both"/>
              <w:rPr>
                <w:b/>
                <w:bCs/>
                <w:sz w:val="20"/>
                <w:szCs w:val="20"/>
              </w:rPr>
            </w:pPr>
            <w:r w:rsidRPr="00C9559D">
              <w:rPr>
                <w:b/>
                <w:bCs/>
                <w:sz w:val="20"/>
                <w:szCs w:val="20"/>
              </w:rPr>
              <w:t>Sig.</w:t>
            </w:r>
          </w:p>
        </w:tc>
      </w:tr>
      <w:tr w:rsidR="00D51578" w:rsidRPr="00C9559D" w:rsidTr="00D51578">
        <w:trPr>
          <w:jc w:val="center"/>
        </w:trPr>
        <w:tc>
          <w:tcPr>
            <w:tcW w:w="425" w:type="pct"/>
            <w:vAlign w:val="center"/>
          </w:tcPr>
          <w:p w:rsidR="00414D55" w:rsidRPr="00C9559D" w:rsidRDefault="00414D55" w:rsidP="00E616B2">
            <w:pPr>
              <w:snapToGrid w:val="0"/>
              <w:jc w:val="both"/>
              <w:rPr>
                <w:sz w:val="20"/>
                <w:szCs w:val="20"/>
              </w:rPr>
            </w:pPr>
            <w:r w:rsidRPr="00C9559D">
              <w:rPr>
                <w:sz w:val="20"/>
                <w:szCs w:val="20"/>
              </w:rPr>
              <w:t>VAS</w:t>
            </w:r>
          </w:p>
        </w:tc>
        <w:tc>
          <w:tcPr>
            <w:tcW w:w="585" w:type="pct"/>
            <w:noWrap/>
            <w:vAlign w:val="center"/>
          </w:tcPr>
          <w:p w:rsidR="00414D55" w:rsidRPr="00C9559D" w:rsidRDefault="00414D55" w:rsidP="00E616B2">
            <w:pPr>
              <w:snapToGrid w:val="0"/>
              <w:jc w:val="both"/>
              <w:rPr>
                <w:sz w:val="20"/>
                <w:szCs w:val="20"/>
              </w:rPr>
            </w:pPr>
            <w:r w:rsidRPr="00C9559D">
              <w:rPr>
                <w:sz w:val="20"/>
                <w:szCs w:val="20"/>
              </w:rPr>
              <w:t>0.398</w:t>
            </w:r>
            <w:r w:rsidRPr="00C9559D">
              <w:rPr>
                <w:sz w:val="20"/>
                <w:szCs w:val="20"/>
                <w:vertAlign w:val="superscript"/>
              </w:rPr>
              <w:t>*</w:t>
            </w:r>
          </w:p>
        </w:tc>
        <w:tc>
          <w:tcPr>
            <w:tcW w:w="639" w:type="pct"/>
            <w:noWrap/>
            <w:vAlign w:val="center"/>
          </w:tcPr>
          <w:p w:rsidR="00414D55" w:rsidRPr="00C9559D" w:rsidRDefault="00414D55" w:rsidP="00E616B2">
            <w:pPr>
              <w:snapToGrid w:val="0"/>
              <w:jc w:val="both"/>
              <w:rPr>
                <w:sz w:val="20"/>
                <w:szCs w:val="20"/>
              </w:rPr>
            </w:pPr>
            <w:r w:rsidRPr="00C9559D">
              <w:rPr>
                <w:sz w:val="20"/>
                <w:szCs w:val="20"/>
              </w:rPr>
              <w:t>0.030</w:t>
            </w:r>
          </w:p>
        </w:tc>
        <w:tc>
          <w:tcPr>
            <w:tcW w:w="363" w:type="pct"/>
            <w:vAlign w:val="center"/>
          </w:tcPr>
          <w:p w:rsidR="00414D55" w:rsidRPr="00C9559D" w:rsidRDefault="00414D55" w:rsidP="00E616B2">
            <w:pPr>
              <w:snapToGrid w:val="0"/>
              <w:jc w:val="both"/>
              <w:rPr>
                <w:sz w:val="20"/>
                <w:szCs w:val="20"/>
              </w:rPr>
            </w:pPr>
            <w:r w:rsidRPr="00C9559D">
              <w:rPr>
                <w:sz w:val="20"/>
                <w:szCs w:val="20"/>
              </w:rPr>
              <w:t>S</w:t>
            </w:r>
          </w:p>
        </w:tc>
        <w:tc>
          <w:tcPr>
            <w:tcW w:w="560" w:type="pct"/>
            <w:noWrap/>
            <w:vAlign w:val="center"/>
          </w:tcPr>
          <w:p w:rsidR="00414D55" w:rsidRPr="00C9559D" w:rsidRDefault="00414D55" w:rsidP="00E616B2">
            <w:pPr>
              <w:snapToGrid w:val="0"/>
              <w:jc w:val="both"/>
              <w:rPr>
                <w:sz w:val="20"/>
                <w:szCs w:val="20"/>
              </w:rPr>
            </w:pPr>
            <w:r w:rsidRPr="00C9559D">
              <w:rPr>
                <w:sz w:val="20"/>
                <w:szCs w:val="20"/>
              </w:rPr>
              <w:t>0.608</w:t>
            </w:r>
            <w:r w:rsidRPr="00C9559D">
              <w:rPr>
                <w:sz w:val="20"/>
                <w:szCs w:val="20"/>
                <w:vertAlign w:val="superscript"/>
              </w:rPr>
              <w:t>**</w:t>
            </w:r>
          </w:p>
        </w:tc>
        <w:tc>
          <w:tcPr>
            <w:tcW w:w="613" w:type="pct"/>
            <w:noWrap/>
            <w:vAlign w:val="center"/>
          </w:tcPr>
          <w:p w:rsidR="00414D55" w:rsidRPr="00C9559D" w:rsidRDefault="00414D55" w:rsidP="00E616B2">
            <w:pPr>
              <w:snapToGrid w:val="0"/>
              <w:jc w:val="both"/>
              <w:rPr>
                <w:sz w:val="20"/>
                <w:szCs w:val="20"/>
              </w:rPr>
            </w:pPr>
            <w:r w:rsidRPr="00C9559D">
              <w:rPr>
                <w:sz w:val="20"/>
                <w:szCs w:val="20"/>
              </w:rPr>
              <w:t>0.000</w:t>
            </w:r>
          </w:p>
        </w:tc>
        <w:tc>
          <w:tcPr>
            <w:tcW w:w="348" w:type="pct"/>
            <w:vAlign w:val="center"/>
          </w:tcPr>
          <w:p w:rsidR="00414D55" w:rsidRPr="00C9559D" w:rsidRDefault="00414D55" w:rsidP="00E616B2">
            <w:pPr>
              <w:snapToGrid w:val="0"/>
              <w:jc w:val="both"/>
              <w:rPr>
                <w:sz w:val="20"/>
                <w:szCs w:val="20"/>
              </w:rPr>
            </w:pPr>
            <w:r w:rsidRPr="00C9559D">
              <w:rPr>
                <w:sz w:val="20"/>
                <w:szCs w:val="20"/>
              </w:rPr>
              <w:t>HS</w:t>
            </w:r>
          </w:p>
        </w:tc>
        <w:tc>
          <w:tcPr>
            <w:tcW w:w="508" w:type="pct"/>
            <w:noWrap/>
            <w:vAlign w:val="center"/>
          </w:tcPr>
          <w:p w:rsidR="00414D55" w:rsidRPr="00C9559D" w:rsidRDefault="00414D55" w:rsidP="00E616B2">
            <w:pPr>
              <w:snapToGrid w:val="0"/>
              <w:jc w:val="both"/>
              <w:rPr>
                <w:sz w:val="20"/>
                <w:szCs w:val="20"/>
              </w:rPr>
            </w:pPr>
            <w:r w:rsidRPr="00C9559D">
              <w:rPr>
                <w:sz w:val="20"/>
                <w:szCs w:val="20"/>
              </w:rPr>
              <w:t>0.368</w:t>
            </w:r>
            <w:r w:rsidRPr="00C9559D">
              <w:rPr>
                <w:sz w:val="20"/>
                <w:szCs w:val="20"/>
                <w:vertAlign w:val="superscript"/>
              </w:rPr>
              <w:t>*</w:t>
            </w:r>
          </w:p>
        </w:tc>
        <w:tc>
          <w:tcPr>
            <w:tcW w:w="613" w:type="pct"/>
            <w:noWrap/>
            <w:vAlign w:val="center"/>
          </w:tcPr>
          <w:p w:rsidR="00414D55" w:rsidRPr="00C9559D" w:rsidRDefault="00414D55" w:rsidP="00E616B2">
            <w:pPr>
              <w:snapToGrid w:val="0"/>
              <w:jc w:val="both"/>
              <w:rPr>
                <w:sz w:val="20"/>
                <w:szCs w:val="20"/>
              </w:rPr>
            </w:pPr>
            <w:r w:rsidRPr="00C9559D">
              <w:rPr>
                <w:sz w:val="20"/>
                <w:szCs w:val="20"/>
              </w:rPr>
              <w:t>0.045</w:t>
            </w:r>
          </w:p>
        </w:tc>
        <w:tc>
          <w:tcPr>
            <w:tcW w:w="348" w:type="pct"/>
            <w:vAlign w:val="center"/>
          </w:tcPr>
          <w:p w:rsidR="00414D55" w:rsidRPr="00C9559D" w:rsidRDefault="00414D55" w:rsidP="00E616B2">
            <w:pPr>
              <w:snapToGrid w:val="0"/>
              <w:jc w:val="both"/>
              <w:rPr>
                <w:sz w:val="20"/>
                <w:szCs w:val="20"/>
              </w:rPr>
            </w:pPr>
            <w:r w:rsidRPr="00C9559D">
              <w:rPr>
                <w:sz w:val="20"/>
                <w:szCs w:val="20"/>
              </w:rPr>
              <w:t>S</w:t>
            </w:r>
          </w:p>
        </w:tc>
      </w:tr>
      <w:tr w:rsidR="00D51578" w:rsidRPr="00C9559D" w:rsidTr="00D51578">
        <w:trPr>
          <w:jc w:val="center"/>
        </w:trPr>
        <w:tc>
          <w:tcPr>
            <w:tcW w:w="425"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ODI</w:t>
            </w:r>
          </w:p>
        </w:tc>
        <w:tc>
          <w:tcPr>
            <w:tcW w:w="585"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0.465</w:t>
            </w:r>
            <w:r w:rsidRPr="00C9559D">
              <w:rPr>
                <w:sz w:val="20"/>
                <w:szCs w:val="20"/>
                <w:vertAlign w:val="superscript"/>
              </w:rPr>
              <w:t>**</w:t>
            </w:r>
          </w:p>
        </w:tc>
        <w:tc>
          <w:tcPr>
            <w:tcW w:w="639"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0.010</w:t>
            </w:r>
          </w:p>
        </w:tc>
        <w:tc>
          <w:tcPr>
            <w:tcW w:w="363"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S</w:t>
            </w:r>
          </w:p>
        </w:tc>
        <w:tc>
          <w:tcPr>
            <w:tcW w:w="560"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0.648</w:t>
            </w:r>
            <w:r w:rsidRPr="00C9559D">
              <w:rPr>
                <w:sz w:val="20"/>
                <w:szCs w:val="20"/>
                <w:vertAlign w:val="superscript"/>
              </w:rPr>
              <w:t>**</w:t>
            </w:r>
          </w:p>
        </w:tc>
        <w:tc>
          <w:tcPr>
            <w:tcW w:w="613"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0.000</w:t>
            </w:r>
          </w:p>
        </w:tc>
        <w:tc>
          <w:tcPr>
            <w:tcW w:w="348"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HS</w:t>
            </w:r>
          </w:p>
        </w:tc>
        <w:tc>
          <w:tcPr>
            <w:tcW w:w="508"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0.432</w:t>
            </w:r>
            <w:r w:rsidRPr="00C9559D">
              <w:rPr>
                <w:sz w:val="20"/>
                <w:szCs w:val="20"/>
                <w:vertAlign w:val="superscript"/>
              </w:rPr>
              <w:t>*</w:t>
            </w:r>
          </w:p>
        </w:tc>
        <w:tc>
          <w:tcPr>
            <w:tcW w:w="613"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0.017</w:t>
            </w:r>
          </w:p>
        </w:tc>
        <w:tc>
          <w:tcPr>
            <w:tcW w:w="348"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S</w:t>
            </w:r>
          </w:p>
        </w:tc>
      </w:tr>
    </w:tbl>
    <w:p w:rsidR="00EA0D94" w:rsidRPr="00C9559D" w:rsidRDefault="00EA0D94" w:rsidP="00E616B2">
      <w:pPr>
        <w:snapToGrid w:val="0"/>
        <w:jc w:val="center"/>
        <w:rPr>
          <w:b/>
          <w:bCs/>
          <w:sz w:val="20"/>
          <w:szCs w:val="20"/>
        </w:rPr>
      </w:pPr>
    </w:p>
    <w:p w:rsidR="00414D55" w:rsidRPr="00C9559D" w:rsidRDefault="00414D55" w:rsidP="00E616B2">
      <w:pPr>
        <w:snapToGrid w:val="0"/>
        <w:jc w:val="both"/>
        <w:rPr>
          <w:sz w:val="20"/>
          <w:szCs w:val="20"/>
        </w:rPr>
      </w:pPr>
      <w:r w:rsidRPr="00C9559D">
        <w:rPr>
          <w:b/>
          <w:bCs/>
          <w:sz w:val="20"/>
          <w:szCs w:val="20"/>
        </w:rPr>
        <w:t>Table (</w:t>
      </w:r>
      <w:r w:rsidR="00FA4FCE" w:rsidRPr="00C9559D">
        <w:rPr>
          <w:b/>
          <w:bCs/>
          <w:sz w:val="20"/>
          <w:szCs w:val="20"/>
        </w:rPr>
        <w:fldChar w:fldCharType="begin"/>
      </w:r>
      <w:r w:rsidRPr="00C9559D">
        <w:rPr>
          <w:b/>
          <w:bCs/>
          <w:sz w:val="20"/>
          <w:szCs w:val="20"/>
        </w:rPr>
        <w:instrText xml:space="preserve"> SEQ Table \* ARABIC </w:instrText>
      </w:r>
      <w:r w:rsidR="00FA4FCE" w:rsidRPr="00C9559D">
        <w:rPr>
          <w:b/>
          <w:bCs/>
          <w:sz w:val="20"/>
          <w:szCs w:val="20"/>
        </w:rPr>
        <w:fldChar w:fldCharType="separate"/>
      </w:r>
      <w:r w:rsidR="00BD7F25" w:rsidRPr="00C9559D">
        <w:rPr>
          <w:b/>
          <w:bCs/>
          <w:noProof/>
          <w:sz w:val="20"/>
          <w:szCs w:val="20"/>
        </w:rPr>
        <w:t>7</w:t>
      </w:r>
      <w:r w:rsidR="00FA4FCE" w:rsidRPr="00C9559D">
        <w:rPr>
          <w:sz w:val="20"/>
          <w:szCs w:val="20"/>
        </w:rPr>
        <w:fldChar w:fldCharType="end"/>
      </w:r>
      <w:r w:rsidRPr="00C9559D">
        <w:rPr>
          <w:b/>
          <w:bCs/>
          <w:sz w:val="20"/>
          <w:szCs w:val="20"/>
        </w:rPr>
        <w:t xml:space="preserve">): </w:t>
      </w:r>
      <w:r w:rsidRPr="00C9559D">
        <w:rPr>
          <w:sz w:val="20"/>
          <w:szCs w:val="20"/>
        </w:rPr>
        <w:t>Correlation between VAS score and ODI score before injection, 45 days post-injection and 90 days post-injection:</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795"/>
        <w:gridCol w:w="982"/>
        <w:gridCol w:w="1072"/>
        <w:gridCol w:w="608"/>
        <w:gridCol w:w="940"/>
        <w:gridCol w:w="1029"/>
        <w:gridCol w:w="584"/>
        <w:gridCol w:w="853"/>
        <w:gridCol w:w="1029"/>
        <w:gridCol w:w="582"/>
      </w:tblGrid>
      <w:tr w:rsidR="00414D55" w:rsidRPr="00C9559D" w:rsidTr="00D51578">
        <w:trPr>
          <w:jc w:val="center"/>
        </w:trPr>
        <w:tc>
          <w:tcPr>
            <w:tcW w:w="948" w:type="pct"/>
            <w:vMerge w:val="restart"/>
            <w:tcBorders>
              <w:top w:val="single" w:sz="18" w:space="0" w:color="auto"/>
            </w:tcBorders>
            <w:noWrap/>
            <w:vAlign w:val="center"/>
          </w:tcPr>
          <w:p w:rsidR="00414D55" w:rsidRPr="00C9559D" w:rsidRDefault="00414D55" w:rsidP="00E616B2">
            <w:pPr>
              <w:snapToGrid w:val="0"/>
              <w:jc w:val="both"/>
              <w:rPr>
                <w:sz w:val="20"/>
                <w:szCs w:val="20"/>
              </w:rPr>
            </w:pPr>
          </w:p>
        </w:tc>
        <w:tc>
          <w:tcPr>
            <w:tcW w:w="4052" w:type="pct"/>
            <w:gridSpan w:val="9"/>
            <w:tcBorders>
              <w:top w:val="single" w:sz="18" w:space="0" w:color="auto"/>
            </w:tcBorders>
            <w:noWrap/>
            <w:vAlign w:val="center"/>
          </w:tcPr>
          <w:p w:rsidR="00414D55" w:rsidRPr="00C9559D" w:rsidRDefault="00414D55" w:rsidP="00E616B2">
            <w:pPr>
              <w:snapToGrid w:val="0"/>
              <w:jc w:val="both"/>
              <w:rPr>
                <w:b/>
                <w:bCs/>
                <w:sz w:val="20"/>
                <w:szCs w:val="20"/>
              </w:rPr>
            </w:pPr>
            <w:r w:rsidRPr="00C9559D">
              <w:rPr>
                <w:b/>
                <w:bCs/>
                <w:sz w:val="20"/>
                <w:szCs w:val="20"/>
              </w:rPr>
              <w:t>VAS Score</w:t>
            </w:r>
          </w:p>
        </w:tc>
      </w:tr>
      <w:tr w:rsidR="00414D55" w:rsidRPr="00C9559D" w:rsidTr="00D51578">
        <w:trPr>
          <w:jc w:val="center"/>
        </w:trPr>
        <w:tc>
          <w:tcPr>
            <w:tcW w:w="948" w:type="pct"/>
            <w:vMerge/>
            <w:vAlign w:val="center"/>
          </w:tcPr>
          <w:p w:rsidR="00414D55" w:rsidRPr="00C9559D" w:rsidRDefault="00414D55" w:rsidP="00E616B2">
            <w:pPr>
              <w:snapToGrid w:val="0"/>
              <w:jc w:val="both"/>
              <w:rPr>
                <w:sz w:val="20"/>
                <w:szCs w:val="20"/>
              </w:rPr>
            </w:pPr>
          </w:p>
        </w:tc>
        <w:tc>
          <w:tcPr>
            <w:tcW w:w="1404" w:type="pct"/>
            <w:gridSpan w:val="3"/>
            <w:vAlign w:val="center"/>
          </w:tcPr>
          <w:p w:rsidR="00414D55" w:rsidRPr="00C9559D" w:rsidRDefault="00414D55" w:rsidP="00E616B2">
            <w:pPr>
              <w:snapToGrid w:val="0"/>
              <w:jc w:val="both"/>
              <w:rPr>
                <w:b/>
                <w:bCs/>
                <w:sz w:val="20"/>
                <w:szCs w:val="20"/>
              </w:rPr>
            </w:pPr>
            <w:r w:rsidRPr="00C9559D">
              <w:rPr>
                <w:b/>
                <w:bCs/>
                <w:sz w:val="20"/>
                <w:szCs w:val="20"/>
              </w:rPr>
              <w:t>ASS. Before Injection</w:t>
            </w:r>
          </w:p>
        </w:tc>
        <w:tc>
          <w:tcPr>
            <w:tcW w:w="1347" w:type="pct"/>
            <w:gridSpan w:val="3"/>
            <w:vAlign w:val="center"/>
          </w:tcPr>
          <w:p w:rsidR="00414D55" w:rsidRPr="00C9559D" w:rsidRDefault="00414D55" w:rsidP="00E616B2">
            <w:pPr>
              <w:snapToGrid w:val="0"/>
              <w:jc w:val="both"/>
              <w:rPr>
                <w:b/>
                <w:bCs/>
                <w:sz w:val="20"/>
                <w:szCs w:val="20"/>
              </w:rPr>
            </w:pPr>
            <w:r w:rsidRPr="00C9559D">
              <w:rPr>
                <w:b/>
                <w:bCs/>
                <w:sz w:val="20"/>
                <w:szCs w:val="20"/>
              </w:rPr>
              <w:t>1st visit (45 days)</w:t>
            </w:r>
          </w:p>
        </w:tc>
        <w:tc>
          <w:tcPr>
            <w:tcW w:w="1301" w:type="pct"/>
            <w:gridSpan w:val="3"/>
            <w:vAlign w:val="center"/>
          </w:tcPr>
          <w:p w:rsidR="00414D55" w:rsidRPr="00C9559D" w:rsidRDefault="00414D55" w:rsidP="00E616B2">
            <w:pPr>
              <w:snapToGrid w:val="0"/>
              <w:jc w:val="both"/>
              <w:rPr>
                <w:b/>
                <w:bCs/>
                <w:sz w:val="20"/>
                <w:szCs w:val="20"/>
              </w:rPr>
            </w:pPr>
            <w:r w:rsidRPr="00C9559D">
              <w:rPr>
                <w:b/>
                <w:bCs/>
                <w:sz w:val="20"/>
                <w:szCs w:val="20"/>
              </w:rPr>
              <w:t>2nd visit (90 days)</w:t>
            </w:r>
          </w:p>
        </w:tc>
      </w:tr>
      <w:tr w:rsidR="00D51578" w:rsidRPr="00C9559D" w:rsidTr="00D51578">
        <w:trPr>
          <w:jc w:val="center"/>
        </w:trPr>
        <w:tc>
          <w:tcPr>
            <w:tcW w:w="948" w:type="pct"/>
            <w:vMerge/>
            <w:vAlign w:val="center"/>
          </w:tcPr>
          <w:p w:rsidR="00414D55" w:rsidRPr="00C9559D" w:rsidRDefault="00414D55" w:rsidP="00E616B2">
            <w:pPr>
              <w:snapToGrid w:val="0"/>
              <w:jc w:val="both"/>
              <w:rPr>
                <w:sz w:val="20"/>
                <w:szCs w:val="20"/>
              </w:rPr>
            </w:pPr>
          </w:p>
        </w:tc>
        <w:tc>
          <w:tcPr>
            <w:tcW w:w="518" w:type="pct"/>
            <w:vAlign w:val="center"/>
          </w:tcPr>
          <w:p w:rsidR="00414D55" w:rsidRPr="00C9559D" w:rsidRDefault="00414D55" w:rsidP="00E616B2">
            <w:pPr>
              <w:snapToGrid w:val="0"/>
              <w:jc w:val="both"/>
              <w:rPr>
                <w:b/>
                <w:bCs/>
                <w:sz w:val="20"/>
                <w:szCs w:val="20"/>
              </w:rPr>
            </w:pPr>
            <w:r w:rsidRPr="00C9559D">
              <w:rPr>
                <w:b/>
                <w:bCs/>
                <w:sz w:val="20"/>
                <w:szCs w:val="20"/>
              </w:rPr>
              <w:t>r</w:t>
            </w:r>
          </w:p>
        </w:tc>
        <w:tc>
          <w:tcPr>
            <w:tcW w:w="566" w:type="pc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321" w:type="pct"/>
            <w:vAlign w:val="center"/>
          </w:tcPr>
          <w:p w:rsidR="00414D55" w:rsidRPr="00C9559D" w:rsidRDefault="00414D55" w:rsidP="00E616B2">
            <w:pPr>
              <w:snapToGrid w:val="0"/>
              <w:jc w:val="both"/>
              <w:rPr>
                <w:b/>
                <w:bCs/>
                <w:sz w:val="20"/>
                <w:szCs w:val="20"/>
              </w:rPr>
            </w:pPr>
            <w:r w:rsidRPr="00C9559D">
              <w:rPr>
                <w:b/>
                <w:bCs/>
                <w:sz w:val="20"/>
                <w:szCs w:val="20"/>
              </w:rPr>
              <w:t>Sig.</w:t>
            </w:r>
          </w:p>
        </w:tc>
        <w:tc>
          <w:tcPr>
            <w:tcW w:w="496" w:type="pct"/>
            <w:vAlign w:val="center"/>
          </w:tcPr>
          <w:p w:rsidR="00414D55" w:rsidRPr="00C9559D" w:rsidRDefault="00414D55" w:rsidP="00E616B2">
            <w:pPr>
              <w:snapToGrid w:val="0"/>
              <w:jc w:val="both"/>
              <w:rPr>
                <w:b/>
                <w:bCs/>
                <w:sz w:val="20"/>
                <w:szCs w:val="20"/>
              </w:rPr>
            </w:pPr>
            <w:r w:rsidRPr="00C9559D">
              <w:rPr>
                <w:b/>
                <w:bCs/>
                <w:sz w:val="20"/>
                <w:szCs w:val="20"/>
              </w:rPr>
              <w:t>r</w:t>
            </w:r>
          </w:p>
        </w:tc>
        <w:tc>
          <w:tcPr>
            <w:tcW w:w="543" w:type="pc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308" w:type="pct"/>
            <w:vAlign w:val="center"/>
          </w:tcPr>
          <w:p w:rsidR="00414D55" w:rsidRPr="00C9559D" w:rsidRDefault="00414D55" w:rsidP="00E616B2">
            <w:pPr>
              <w:snapToGrid w:val="0"/>
              <w:jc w:val="both"/>
              <w:rPr>
                <w:b/>
                <w:bCs/>
                <w:sz w:val="20"/>
                <w:szCs w:val="20"/>
              </w:rPr>
            </w:pPr>
            <w:r w:rsidRPr="00C9559D">
              <w:rPr>
                <w:b/>
                <w:bCs/>
                <w:sz w:val="20"/>
                <w:szCs w:val="20"/>
              </w:rPr>
              <w:t>Sig.</w:t>
            </w:r>
          </w:p>
        </w:tc>
        <w:tc>
          <w:tcPr>
            <w:tcW w:w="450" w:type="pct"/>
            <w:vAlign w:val="center"/>
          </w:tcPr>
          <w:p w:rsidR="00414D55" w:rsidRPr="00C9559D" w:rsidRDefault="00414D55" w:rsidP="00E616B2">
            <w:pPr>
              <w:snapToGrid w:val="0"/>
              <w:jc w:val="both"/>
              <w:rPr>
                <w:b/>
                <w:bCs/>
                <w:sz w:val="20"/>
                <w:szCs w:val="20"/>
              </w:rPr>
            </w:pPr>
            <w:r w:rsidRPr="00C9559D">
              <w:rPr>
                <w:b/>
                <w:bCs/>
                <w:sz w:val="20"/>
                <w:szCs w:val="20"/>
              </w:rPr>
              <w:t>r</w:t>
            </w:r>
          </w:p>
        </w:tc>
        <w:tc>
          <w:tcPr>
            <w:tcW w:w="543" w:type="pct"/>
            <w:vAlign w:val="center"/>
          </w:tcPr>
          <w:p w:rsidR="00414D55" w:rsidRPr="00C9559D" w:rsidRDefault="00414D55" w:rsidP="00E616B2">
            <w:pPr>
              <w:snapToGrid w:val="0"/>
              <w:jc w:val="both"/>
              <w:rPr>
                <w:b/>
                <w:bCs/>
                <w:sz w:val="20"/>
                <w:szCs w:val="20"/>
              </w:rPr>
            </w:pPr>
            <w:r w:rsidRPr="00C9559D">
              <w:rPr>
                <w:b/>
                <w:bCs/>
                <w:sz w:val="20"/>
                <w:szCs w:val="20"/>
              </w:rPr>
              <w:t>P-value</w:t>
            </w:r>
          </w:p>
        </w:tc>
        <w:tc>
          <w:tcPr>
            <w:tcW w:w="308" w:type="pct"/>
            <w:vAlign w:val="center"/>
          </w:tcPr>
          <w:p w:rsidR="00414D55" w:rsidRPr="00C9559D" w:rsidRDefault="00414D55" w:rsidP="00E616B2">
            <w:pPr>
              <w:snapToGrid w:val="0"/>
              <w:jc w:val="both"/>
              <w:rPr>
                <w:b/>
                <w:bCs/>
                <w:sz w:val="20"/>
                <w:szCs w:val="20"/>
              </w:rPr>
            </w:pPr>
            <w:r w:rsidRPr="00C9559D">
              <w:rPr>
                <w:b/>
                <w:bCs/>
                <w:sz w:val="20"/>
                <w:szCs w:val="20"/>
              </w:rPr>
              <w:t>Sig.</w:t>
            </w:r>
          </w:p>
        </w:tc>
      </w:tr>
      <w:tr w:rsidR="00D51578" w:rsidRPr="00C9559D" w:rsidTr="00D51578">
        <w:trPr>
          <w:jc w:val="center"/>
        </w:trPr>
        <w:tc>
          <w:tcPr>
            <w:tcW w:w="948"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ODI Score (%)</w:t>
            </w:r>
          </w:p>
        </w:tc>
        <w:tc>
          <w:tcPr>
            <w:tcW w:w="518"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0.613</w:t>
            </w:r>
            <w:r w:rsidRPr="00C9559D">
              <w:rPr>
                <w:sz w:val="20"/>
                <w:szCs w:val="20"/>
                <w:vertAlign w:val="superscript"/>
              </w:rPr>
              <w:t>**</w:t>
            </w:r>
          </w:p>
        </w:tc>
        <w:tc>
          <w:tcPr>
            <w:tcW w:w="566"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0.000</w:t>
            </w:r>
          </w:p>
        </w:tc>
        <w:tc>
          <w:tcPr>
            <w:tcW w:w="321"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HS</w:t>
            </w:r>
          </w:p>
        </w:tc>
        <w:tc>
          <w:tcPr>
            <w:tcW w:w="496"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0.594</w:t>
            </w:r>
            <w:r w:rsidRPr="00C9559D">
              <w:rPr>
                <w:sz w:val="20"/>
                <w:szCs w:val="20"/>
                <w:vertAlign w:val="superscript"/>
              </w:rPr>
              <w:t>**</w:t>
            </w:r>
          </w:p>
        </w:tc>
        <w:tc>
          <w:tcPr>
            <w:tcW w:w="543"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0.001</w:t>
            </w:r>
          </w:p>
        </w:tc>
        <w:tc>
          <w:tcPr>
            <w:tcW w:w="308"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HS</w:t>
            </w:r>
          </w:p>
        </w:tc>
        <w:tc>
          <w:tcPr>
            <w:tcW w:w="450"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0.456</w:t>
            </w:r>
            <w:r w:rsidRPr="00C9559D">
              <w:rPr>
                <w:sz w:val="20"/>
                <w:szCs w:val="20"/>
                <w:vertAlign w:val="superscript"/>
              </w:rPr>
              <w:t>*</w:t>
            </w:r>
          </w:p>
        </w:tc>
        <w:tc>
          <w:tcPr>
            <w:tcW w:w="543" w:type="pct"/>
            <w:tcBorders>
              <w:bottom w:val="single" w:sz="18" w:space="0" w:color="auto"/>
            </w:tcBorders>
            <w:noWrap/>
            <w:vAlign w:val="center"/>
          </w:tcPr>
          <w:p w:rsidR="00414D55" w:rsidRPr="00C9559D" w:rsidRDefault="00414D55" w:rsidP="00E616B2">
            <w:pPr>
              <w:snapToGrid w:val="0"/>
              <w:jc w:val="both"/>
              <w:rPr>
                <w:sz w:val="20"/>
                <w:szCs w:val="20"/>
              </w:rPr>
            </w:pPr>
            <w:r w:rsidRPr="00C9559D">
              <w:rPr>
                <w:sz w:val="20"/>
                <w:szCs w:val="20"/>
              </w:rPr>
              <w:t>0.011</w:t>
            </w:r>
          </w:p>
        </w:tc>
        <w:tc>
          <w:tcPr>
            <w:tcW w:w="308" w:type="pct"/>
            <w:tcBorders>
              <w:bottom w:val="single" w:sz="18" w:space="0" w:color="auto"/>
            </w:tcBorders>
            <w:vAlign w:val="center"/>
          </w:tcPr>
          <w:p w:rsidR="00414D55" w:rsidRPr="00C9559D" w:rsidRDefault="00414D55" w:rsidP="00E616B2">
            <w:pPr>
              <w:snapToGrid w:val="0"/>
              <w:jc w:val="both"/>
              <w:rPr>
                <w:sz w:val="20"/>
                <w:szCs w:val="20"/>
              </w:rPr>
            </w:pPr>
            <w:r w:rsidRPr="00C9559D">
              <w:rPr>
                <w:sz w:val="20"/>
                <w:szCs w:val="20"/>
              </w:rPr>
              <w:t>S</w:t>
            </w:r>
          </w:p>
        </w:tc>
      </w:tr>
    </w:tbl>
    <w:p w:rsidR="00EA0D94" w:rsidRPr="00C9559D" w:rsidRDefault="00EA0D94" w:rsidP="00E616B2">
      <w:pPr>
        <w:snapToGrid w:val="0"/>
        <w:jc w:val="both"/>
        <w:rPr>
          <w:b/>
          <w:bCs/>
          <w:sz w:val="20"/>
          <w:szCs w:val="20"/>
        </w:rPr>
      </w:pPr>
    </w:p>
    <w:p w:rsidR="00E616B2" w:rsidRPr="00C9559D" w:rsidRDefault="00E616B2" w:rsidP="00E616B2">
      <w:pPr>
        <w:snapToGrid w:val="0"/>
        <w:jc w:val="both"/>
        <w:rPr>
          <w:b/>
          <w:bCs/>
          <w:sz w:val="20"/>
          <w:szCs w:val="20"/>
        </w:rPr>
        <w:sectPr w:rsidR="00E616B2" w:rsidRPr="00C9559D" w:rsidSect="00D51578">
          <w:type w:val="continuous"/>
          <w:pgSz w:w="12240" w:h="15840" w:code="9"/>
          <w:pgMar w:top="1440" w:right="1440" w:bottom="1440" w:left="1440" w:header="720" w:footer="720" w:gutter="0"/>
          <w:cols w:space="720"/>
          <w:docGrid w:linePitch="360"/>
        </w:sectPr>
      </w:pPr>
    </w:p>
    <w:p w:rsidR="00414D55" w:rsidRPr="00C9559D" w:rsidRDefault="00EA0D94" w:rsidP="00E616B2">
      <w:pPr>
        <w:snapToGrid w:val="0"/>
        <w:jc w:val="both"/>
        <w:rPr>
          <w:b/>
          <w:bCs/>
          <w:sz w:val="20"/>
          <w:szCs w:val="20"/>
        </w:rPr>
      </w:pPr>
      <w:r w:rsidRPr="00C9559D">
        <w:rPr>
          <w:b/>
          <w:bCs/>
          <w:sz w:val="20"/>
          <w:szCs w:val="20"/>
        </w:rPr>
        <w:lastRenderedPageBreak/>
        <w:t>4. Discussion</w:t>
      </w:r>
    </w:p>
    <w:p w:rsidR="00414D55" w:rsidRPr="00C9559D" w:rsidRDefault="00414D55" w:rsidP="00E616B2">
      <w:pPr>
        <w:snapToGrid w:val="0"/>
        <w:ind w:firstLine="425"/>
        <w:jc w:val="both"/>
        <w:rPr>
          <w:sz w:val="20"/>
          <w:szCs w:val="20"/>
        </w:rPr>
      </w:pPr>
      <w:r w:rsidRPr="00C9559D">
        <w:rPr>
          <w:sz w:val="20"/>
          <w:szCs w:val="20"/>
        </w:rPr>
        <w:t xml:space="preserve">This study was conducted on 30 patients with </w:t>
      </w:r>
      <w:proofErr w:type="spellStart"/>
      <w:r w:rsidRPr="00C9559D">
        <w:rPr>
          <w:sz w:val="20"/>
          <w:szCs w:val="20"/>
        </w:rPr>
        <w:t>lumbosacral</w:t>
      </w:r>
      <w:proofErr w:type="spellEnd"/>
      <w:r w:rsidRPr="00C9559D">
        <w:rPr>
          <w:sz w:val="20"/>
          <w:szCs w:val="20"/>
        </w:rPr>
        <w:t xml:space="preserve"> </w:t>
      </w:r>
      <w:proofErr w:type="spellStart"/>
      <w:r w:rsidRPr="00C9559D">
        <w:rPr>
          <w:sz w:val="20"/>
          <w:szCs w:val="20"/>
        </w:rPr>
        <w:t>radiculopathy</w:t>
      </w:r>
      <w:proofErr w:type="spellEnd"/>
      <w:r w:rsidRPr="00C9559D">
        <w:rPr>
          <w:sz w:val="20"/>
          <w:szCs w:val="20"/>
        </w:rPr>
        <w:t xml:space="preserve">. The objective of our study was to assess the immediate and short-term effects of </w:t>
      </w:r>
      <w:proofErr w:type="spellStart"/>
      <w:r w:rsidRPr="00C9559D">
        <w:rPr>
          <w:sz w:val="20"/>
          <w:szCs w:val="20"/>
        </w:rPr>
        <w:t>transforaminal</w:t>
      </w:r>
      <w:proofErr w:type="spellEnd"/>
      <w:r w:rsidRPr="00C9559D">
        <w:rPr>
          <w:sz w:val="20"/>
          <w:szCs w:val="20"/>
        </w:rPr>
        <w:t xml:space="preserve"> epidural steroid injections in patients with </w:t>
      </w:r>
      <w:proofErr w:type="spellStart"/>
      <w:r w:rsidRPr="00C9559D">
        <w:rPr>
          <w:sz w:val="20"/>
          <w:szCs w:val="20"/>
        </w:rPr>
        <w:t>lumbosacral</w:t>
      </w:r>
      <w:proofErr w:type="spellEnd"/>
      <w:r w:rsidRPr="00C9559D">
        <w:rPr>
          <w:sz w:val="20"/>
          <w:szCs w:val="20"/>
        </w:rPr>
        <w:t xml:space="preserve"> </w:t>
      </w:r>
      <w:proofErr w:type="spellStart"/>
      <w:r w:rsidRPr="00C9559D">
        <w:rPr>
          <w:sz w:val="20"/>
          <w:szCs w:val="20"/>
        </w:rPr>
        <w:t>radiculopathy</w:t>
      </w:r>
      <w:proofErr w:type="spellEnd"/>
      <w:r w:rsidRPr="00C9559D">
        <w:rPr>
          <w:sz w:val="20"/>
          <w:szCs w:val="20"/>
        </w:rPr>
        <w:t>.</w:t>
      </w:r>
    </w:p>
    <w:p w:rsidR="00414D55" w:rsidRPr="00C9559D" w:rsidRDefault="00414D55" w:rsidP="00E616B2">
      <w:pPr>
        <w:snapToGrid w:val="0"/>
        <w:ind w:firstLine="425"/>
        <w:jc w:val="both"/>
        <w:rPr>
          <w:sz w:val="20"/>
          <w:szCs w:val="20"/>
        </w:rPr>
      </w:pPr>
      <w:r w:rsidRPr="00C9559D">
        <w:rPr>
          <w:sz w:val="20"/>
          <w:szCs w:val="20"/>
        </w:rPr>
        <w:t xml:space="preserve">All patients were subjected to CT-guided </w:t>
      </w:r>
      <w:proofErr w:type="spellStart"/>
      <w:r w:rsidRPr="00C9559D">
        <w:rPr>
          <w:sz w:val="20"/>
          <w:szCs w:val="20"/>
        </w:rPr>
        <w:t>transforaminal</w:t>
      </w:r>
      <w:proofErr w:type="spellEnd"/>
      <w:r w:rsidRPr="00C9559D">
        <w:rPr>
          <w:sz w:val="20"/>
          <w:szCs w:val="20"/>
        </w:rPr>
        <w:t xml:space="preserve"> epidural steroid injection and were followed up for 3 months. They were assessed </w:t>
      </w:r>
      <w:r w:rsidRPr="00C9559D">
        <w:rPr>
          <w:sz w:val="20"/>
          <w:szCs w:val="20"/>
        </w:rPr>
        <w:lastRenderedPageBreak/>
        <w:t>clinically and functionally pre-injection and twice post-injection (45 days</w:t>
      </w:r>
      <w:r w:rsidR="00D51578" w:rsidRPr="00C9559D">
        <w:rPr>
          <w:sz w:val="20"/>
          <w:szCs w:val="20"/>
        </w:rPr>
        <w:t xml:space="preserve"> </w:t>
      </w:r>
      <w:r w:rsidRPr="00C9559D">
        <w:rPr>
          <w:sz w:val="20"/>
          <w:szCs w:val="20"/>
        </w:rPr>
        <w:t xml:space="preserve">and 90 days post-injection). </w:t>
      </w:r>
    </w:p>
    <w:p w:rsidR="00414D55" w:rsidRPr="00C9559D" w:rsidRDefault="00414D55" w:rsidP="00E616B2">
      <w:pPr>
        <w:snapToGrid w:val="0"/>
        <w:ind w:firstLine="425"/>
        <w:jc w:val="both"/>
        <w:rPr>
          <w:sz w:val="20"/>
          <w:szCs w:val="20"/>
        </w:rPr>
      </w:pPr>
      <w:r w:rsidRPr="00C9559D">
        <w:rPr>
          <w:bCs/>
          <w:sz w:val="20"/>
          <w:szCs w:val="20"/>
        </w:rPr>
        <w:t xml:space="preserve">Regarding demographic data, </w:t>
      </w:r>
      <w:r w:rsidRPr="00C9559D">
        <w:rPr>
          <w:sz w:val="20"/>
          <w:szCs w:val="20"/>
        </w:rPr>
        <w:t>the study included 15 men (50 %) and 15 women (50%). Their mean age was 41 ± 13.23 years, their mean BMI was 24.80 ± 2.49, and</w:t>
      </w:r>
      <w:r w:rsidRPr="00C9559D">
        <w:rPr>
          <w:bCs/>
          <w:sz w:val="20"/>
          <w:szCs w:val="20"/>
        </w:rPr>
        <w:t xml:space="preserve"> the average </w:t>
      </w:r>
      <w:r w:rsidRPr="00C9559D">
        <w:rPr>
          <w:sz w:val="20"/>
          <w:szCs w:val="20"/>
        </w:rPr>
        <w:t>disease duration was 6.07</w:t>
      </w:r>
      <w:r w:rsidR="00D51578" w:rsidRPr="00C9559D">
        <w:rPr>
          <w:sz w:val="20"/>
          <w:szCs w:val="20"/>
        </w:rPr>
        <w:t xml:space="preserve"> </w:t>
      </w:r>
      <w:r w:rsidRPr="00C9559D">
        <w:rPr>
          <w:sz w:val="20"/>
          <w:szCs w:val="20"/>
        </w:rPr>
        <w:t xml:space="preserve">months (ranging from 1 - 18 months). These findings denote that </w:t>
      </w:r>
      <w:proofErr w:type="spellStart"/>
      <w:r w:rsidRPr="00C9559D">
        <w:rPr>
          <w:sz w:val="20"/>
          <w:szCs w:val="20"/>
        </w:rPr>
        <w:t>lumbosacral</w:t>
      </w:r>
      <w:proofErr w:type="spellEnd"/>
      <w:r w:rsidRPr="00C9559D">
        <w:rPr>
          <w:sz w:val="20"/>
          <w:szCs w:val="20"/>
        </w:rPr>
        <w:t xml:space="preserve"> </w:t>
      </w:r>
      <w:proofErr w:type="spellStart"/>
      <w:r w:rsidRPr="00C9559D">
        <w:rPr>
          <w:sz w:val="20"/>
          <w:szCs w:val="20"/>
        </w:rPr>
        <w:t>radiculopathy</w:t>
      </w:r>
      <w:proofErr w:type="spellEnd"/>
      <w:r w:rsidRPr="00C9559D">
        <w:rPr>
          <w:sz w:val="20"/>
          <w:szCs w:val="20"/>
        </w:rPr>
        <w:t xml:space="preserve"> affect women and men equally and occurred in our patients in the middle age which is a highly productive age. Other </w:t>
      </w:r>
      <w:r w:rsidRPr="00C9559D">
        <w:rPr>
          <w:sz w:val="20"/>
          <w:szCs w:val="20"/>
        </w:rPr>
        <w:lastRenderedPageBreak/>
        <w:t xml:space="preserve">authors found similar results, including </w:t>
      </w:r>
      <w:proofErr w:type="spellStart"/>
      <w:r w:rsidRPr="00C9559D">
        <w:rPr>
          <w:b/>
          <w:bCs/>
          <w:i/>
          <w:iCs/>
          <w:sz w:val="20"/>
          <w:szCs w:val="20"/>
        </w:rPr>
        <w:t>Ekedahl</w:t>
      </w:r>
      <w:proofErr w:type="spellEnd"/>
      <w:r w:rsidRPr="00C9559D">
        <w:rPr>
          <w:b/>
          <w:bCs/>
          <w:i/>
          <w:iCs/>
          <w:sz w:val="20"/>
          <w:szCs w:val="20"/>
        </w:rPr>
        <w:t xml:space="preserve"> et al. (2018).</w:t>
      </w:r>
    </w:p>
    <w:p w:rsidR="00414D55" w:rsidRPr="00C9559D" w:rsidRDefault="00414D55" w:rsidP="00E616B2">
      <w:pPr>
        <w:snapToGrid w:val="0"/>
        <w:ind w:firstLine="425"/>
        <w:jc w:val="both"/>
        <w:rPr>
          <w:bCs/>
          <w:sz w:val="20"/>
          <w:szCs w:val="20"/>
        </w:rPr>
      </w:pPr>
      <w:r w:rsidRPr="00C9559D">
        <w:rPr>
          <w:bCs/>
          <w:sz w:val="20"/>
          <w:szCs w:val="20"/>
          <w:lang w:val="en-GB"/>
        </w:rPr>
        <w:t>The results of clinical assessment showed that the disease onset was gradual and progressive in all patients with disease duration rang</w:t>
      </w:r>
      <w:r w:rsidR="00001CFB" w:rsidRPr="00C9559D">
        <w:rPr>
          <w:bCs/>
          <w:sz w:val="20"/>
          <w:szCs w:val="20"/>
          <w:lang w:val="en-GB"/>
        </w:rPr>
        <w:t>ing from 0.43 to 60, and a media</w:t>
      </w:r>
      <w:r w:rsidR="00D51578" w:rsidRPr="00C9559D">
        <w:rPr>
          <w:bCs/>
          <w:sz w:val="20"/>
          <w:szCs w:val="20"/>
          <w:lang w:val="en-GB"/>
        </w:rPr>
        <w:t>n (</w:t>
      </w:r>
      <w:r w:rsidR="00001CFB" w:rsidRPr="00C9559D">
        <w:rPr>
          <w:bCs/>
          <w:sz w:val="20"/>
          <w:szCs w:val="20"/>
          <w:lang w:val="en-GB"/>
        </w:rPr>
        <w:t xml:space="preserve">IQR) </w:t>
      </w:r>
      <w:r w:rsidRPr="00C9559D">
        <w:rPr>
          <w:bCs/>
          <w:sz w:val="20"/>
          <w:szCs w:val="20"/>
          <w:lang w:val="en-GB"/>
        </w:rPr>
        <w:t>of 6.07</w:t>
      </w:r>
      <w:r w:rsidR="00553251" w:rsidRPr="00C9559D">
        <w:rPr>
          <w:bCs/>
          <w:sz w:val="20"/>
          <w:szCs w:val="20"/>
          <w:lang w:val="en-GB"/>
        </w:rPr>
        <w:t xml:space="preserve"> (1-18)</w:t>
      </w:r>
      <w:r w:rsidRPr="00C9559D">
        <w:rPr>
          <w:bCs/>
          <w:sz w:val="20"/>
          <w:szCs w:val="20"/>
          <w:lang w:val="en-GB"/>
        </w:rPr>
        <w:t xml:space="preserve"> months which denotes that most of our patients had chronic </w:t>
      </w:r>
      <w:proofErr w:type="spellStart"/>
      <w:r w:rsidRPr="00C9559D">
        <w:rPr>
          <w:bCs/>
          <w:sz w:val="20"/>
          <w:szCs w:val="20"/>
          <w:lang w:val="en-GB"/>
        </w:rPr>
        <w:t>lumbosacral</w:t>
      </w:r>
      <w:proofErr w:type="spellEnd"/>
      <w:r w:rsidRPr="00C9559D">
        <w:rPr>
          <w:bCs/>
          <w:sz w:val="20"/>
          <w:szCs w:val="20"/>
          <w:lang w:val="en-GB"/>
        </w:rPr>
        <w:t xml:space="preserve"> </w:t>
      </w:r>
      <w:proofErr w:type="spellStart"/>
      <w:r w:rsidRPr="00C9559D">
        <w:rPr>
          <w:bCs/>
          <w:sz w:val="20"/>
          <w:szCs w:val="20"/>
          <w:lang w:val="en-GB"/>
        </w:rPr>
        <w:t>radiculopathy</w:t>
      </w:r>
      <w:proofErr w:type="spellEnd"/>
      <w:r w:rsidRPr="00C9559D">
        <w:rPr>
          <w:bCs/>
          <w:sz w:val="20"/>
          <w:szCs w:val="20"/>
          <w:lang w:val="en-GB"/>
        </w:rPr>
        <w:t xml:space="preserve">. Twenty-nine patients (96.6%) complained of central low back pain and 1 patient complained of pain over the sacroiliac joint. Twenty-nine patients (96.6%) had positive SLR, 23 (76%) had positive </w:t>
      </w:r>
      <w:proofErr w:type="spellStart"/>
      <w:r w:rsidRPr="00C9559D">
        <w:rPr>
          <w:bCs/>
          <w:sz w:val="20"/>
          <w:szCs w:val="20"/>
          <w:lang w:val="en-GB"/>
        </w:rPr>
        <w:t>contralateral</w:t>
      </w:r>
      <w:proofErr w:type="spellEnd"/>
      <w:r w:rsidRPr="00C9559D">
        <w:rPr>
          <w:bCs/>
          <w:sz w:val="20"/>
          <w:szCs w:val="20"/>
          <w:lang w:val="en-GB"/>
        </w:rPr>
        <w:t xml:space="preserve"> SLR, and 4 patients had (13%) positive femoral nerve stretch. Similarly, other studies like </w:t>
      </w:r>
      <w:r w:rsidRPr="00C9559D">
        <w:rPr>
          <w:b/>
          <w:i/>
          <w:iCs/>
          <w:sz w:val="20"/>
          <w:szCs w:val="20"/>
          <w:lang w:val="en-GB"/>
        </w:rPr>
        <w:t>Bono (2018)</w:t>
      </w:r>
      <w:r w:rsidRPr="00C9559D">
        <w:rPr>
          <w:bCs/>
          <w:sz w:val="20"/>
          <w:szCs w:val="20"/>
          <w:lang w:val="en-GB"/>
        </w:rPr>
        <w:t xml:space="preserve"> reported that, </w:t>
      </w:r>
      <w:r w:rsidRPr="00C9559D">
        <w:rPr>
          <w:bCs/>
          <w:sz w:val="20"/>
          <w:szCs w:val="20"/>
        </w:rPr>
        <w:t xml:space="preserve">disc </w:t>
      </w:r>
      <w:proofErr w:type="spellStart"/>
      <w:r w:rsidRPr="00C9559D">
        <w:rPr>
          <w:bCs/>
          <w:sz w:val="20"/>
          <w:szCs w:val="20"/>
        </w:rPr>
        <w:t>herniations</w:t>
      </w:r>
      <w:proofErr w:type="spellEnd"/>
      <w:r w:rsidRPr="00C9559D">
        <w:rPr>
          <w:bCs/>
          <w:sz w:val="20"/>
          <w:szCs w:val="20"/>
        </w:rPr>
        <w:t xml:space="preserve"> may be associated with a positive femoral stretch test</w:t>
      </w:r>
      <w:r w:rsidR="00C7442C" w:rsidRPr="00C9559D">
        <w:rPr>
          <w:bCs/>
          <w:sz w:val="20"/>
          <w:szCs w:val="20"/>
        </w:rPr>
        <w:t>.</w:t>
      </w:r>
      <w:r w:rsidR="00D51578" w:rsidRPr="00C9559D">
        <w:rPr>
          <w:bCs/>
          <w:sz w:val="20"/>
          <w:szCs w:val="20"/>
          <w:lang w:val="en-GB"/>
        </w:rPr>
        <w:t xml:space="preserve"> </w:t>
      </w:r>
    </w:p>
    <w:p w:rsidR="00414D55" w:rsidRPr="00C9559D" w:rsidRDefault="00414D55" w:rsidP="00E616B2">
      <w:pPr>
        <w:snapToGrid w:val="0"/>
        <w:ind w:firstLine="425"/>
        <w:jc w:val="both"/>
        <w:rPr>
          <w:bCs/>
          <w:sz w:val="20"/>
          <w:szCs w:val="20"/>
          <w:lang w:val="en-GB"/>
        </w:rPr>
      </w:pPr>
      <w:r w:rsidRPr="00C9559D">
        <w:rPr>
          <w:bCs/>
          <w:sz w:val="20"/>
          <w:szCs w:val="20"/>
          <w:lang w:val="en-GB"/>
        </w:rPr>
        <w:t xml:space="preserve">The visual analogue scale </w:t>
      </w:r>
      <w:r w:rsidRPr="00C9559D">
        <w:rPr>
          <w:bCs/>
          <w:sz w:val="20"/>
          <w:szCs w:val="20"/>
        </w:rPr>
        <w:t xml:space="preserve">ranged from 6 to 9 with a </w:t>
      </w:r>
      <w:r w:rsidRPr="00C9559D">
        <w:rPr>
          <w:sz w:val="20"/>
          <w:szCs w:val="20"/>
          <w:lang w:val="en-GB"/>
        </w:rPr>
        <w:t>Media</w:t>
      </w:r>
      <w:r w:rsidR="00D51578" w:rsidRPr="00C9559D">
        <w:rPr>
          <w:sz w:val="20"/>
          <w:szCs w:val="20"/>
          <w:lang w:val="en-GB"/>
        </w:rPr>
        <w:t>n (</w:t>
      </w:r>
      <w:r w:rsidRPr="00C9559D">
        <w:rPr>
          <w:sz w:val="20"/>
          <w:szCs w:val="20"/>
          <w:lang w:val="en-GB"/>
        </w:rPr>
        <w:t xml:space="preserve">IQR) of 8 (7-8) </w:t>
      </w:r>
      <w:r w:rsidRPr="00C9559D">
        <w:rPr>
          <w:bCs/>
          <w:sz w:val="20"/>
          <w:szCs w:val="20"/>
        </w:rPr>
        <w:t xml:space="preserve">denoting that the low back pain in our patients was moderate. The ODI score ranged from 28 % to 94 % with a </w:t>
      </w:r>
      <w:r w:rsidRPr="00C9559D">
        <w:rPr>
          <w:sz w:val="20"/>
          <w:szCs w:val="20"/>
          <w:lang w:val="en-GB"/>
        </w:rPr>
        <w:t>Media</w:t>
      </w:r>
      <w:r w:rsidR="00D51578" w:rsidRPr="00C9559D">
        <w:rPr>
          <w:sz w:val="20"/>
          <w:szCs w:val="20"/>
          <w:lang w:val="en-GB"/>
        </w:rPr>
        <w:t>n (</w:t>
      </w:r>
      <w:r w:rsidRPr="00C9559D">
        <w:rPr>
          <w:sz w:val="20"/>
          <w:szCs w:val="20"/>
          <w:lang w:val="en-GB"/>
        </w:rPr>
        <w:t>IQR) of 66 (58-70)</w:t>
      </w:r>
      <w:r w:rsidRPr="00C9559D">
        <w:rPr>
          <w:bCs/>
          <w:sz w:val="20"/>
          <w:szCs w:val="20"/>
        </w:rPr>
        <w:t>. This means that all patients had degree of functional limitation ranging from minimum to severe disability. 53.3% of our patients had score from 61%-80 % which (crippled) which means that back pain impinges on all aspects of patient’s life.</w:t>
      </w:r>
      <w:r w:rsidR="00D51578" w:rsidRPr="00C9559D">
        <w:rPr>
          <w:bCs/>
          <w:sz w:val="20"/>
          <w:szCs w:val="20"/>
        </w:rPr>
        <w:t xml:space="preserve"> </w:t>
      </w:r>
      <w:r w:rsidRPr="00C9559D">
        <w:rPr>
          <w:bCs/>
          <w:sz w:val="20"/>
          <w:szCs w:val="20"/>
        </w:rPr>
        <w:t xml:space="preserve">Of note, the VAS of these crippled patients ranged from 7 to 9 which may implicate that, this degree of functional disability may be related to the severity of pain. </w:t>
      </w:r>
    </w:p>
    <w:p w:rsidR="00414D55" w:rsidRPr="00C9559D" w:rsidRDefault="00414D55" w:rsidP="00E616B2">
      <w:pPr>
        <w:snapToGrid w:val="0"/>
        <w:ind w:firstLine="425"/>
        <w:jc w:val="both"/>
        <w:rPr>
          <w:bCs/>
          <w:sz w:val="20"/>
          <w:szCs w:val="20"/>
          <w:lang w:val="en-GB"/>
        </w:rPr>
      </w:pPr>
      <w:r w:rsidRPr="00C9559D">
        <w:rPr>
          <w:bCs/>
          <w:sz w:val="20"/>
          <w:szCs w:val="20"/>
          <w:lang w:val="en-GB"/>
        </w:rPr>
        <w:t xml:space="preserve">The </w:t>
      </w:r>
      <w:proofErr w:type="spellStart"/>
      <w:r w:rsidRPr="00C9559D">
        <w:rPr>
          <w:bCs/>
          <w:sz w:val="20"/>
          <w:szCs w:val="20"/>
          <w:lang w:val="en-GB"/>
        </w:rPr>
        <w:t>electrodiagnostic</w:t>
      </w:r>
      <w:proofErr w:type="spellEnd"/>
      <w:r w:rsidRPr="00C9559D">
        <w:rPr>
          <w:bCs/>
          <w:sz w:val="20"/>
          <w:szCs w:val="20"/>
          <w:lang w:val="en-GB"/>
        </w:rPr>
        <w:t xml:space="preserve"> studies were normal in all our patients expect 8 patients in whom there was significant side-to-side difference in H-wave latency. These results reflect the fact that EDX is commonly normal in patients with </w:t>
      </w:r>
      <w:proofErr w:type="spellStart"/>
      <w:r w:rsidRPr="00C9559D">
        <w:rPr>
          <w:bCs/>
          <w:sz w:val="20"/>
          <w:szCs w:val="20"/>
          <w:lang w:val="en-GB"/>
        </w:rPr>
        <w:t>lumbosacral</w:t>
      </w:r>
      <w:proofErr w:type="spellEnd"/>
      <w:r w:rsidRPr="00C9559D">
        <w:rPr>
          <w:bCs/>
          <w:sz w:val="20"/>
          <w:szCs w:val="20"/>
          <w:lang w:val="en-GB"/>
        </w:rPr>
        <w:t xml:space="preserve"> </w:t>
      </w:r>
      <w:proofErr w:type="spellStart"/>
      <w:r w:rsidRPr="00C9559D">
        <w:rPr>
          <w:bCs/>
          <w:sz w:val="20"/>
          <w:szCs w:val="20"/>
          <w:lang w:val="en-GB"/>
        </w:rPr>
        <w:t>radiculopathy</w:t>
      </w:r>
      <w:proofErr w:type="spellEnd"/>
      <w:r w:rsidRPr="00C9559D">
        <w:rPr>
          <w:bCs/>
          <w:sz w:val="20"/>
          <w:szCs w:val="20"/>
          <w:lang w:val="en-GB"/>
        </w:rPr>
        <w:t xml:space="preserve"> despite symptoms and positive stretch tests and this is mostly due to masking of abnormally conducting root by other normally conducting roots. </w:t>
      </w:r>
    </w:p>
    <w:p w:rsidR="00414D55" w:rsidRPr="00C9559D" w:rsidRDefault="00414D55" w:rsidP="00E616B2">
      <w:pPr>
        <w:snapToGrid w:val="0"/>
        <w:ind w:firstLine="425"/>
        <w:jc w:val="both"/>
        <w:rPr>
          <w:bCs/>
          <w:sz w:val="20"/>
          <w:szCs w:val="20"/>
        </w:rPr>
      </w:pPr>
      <w:r w:rsidRPr="00C9559D">
        <w:rPr>
          <w:bCs/>
          <w:sz w:val="20"/>
          <w:szCs w:val="20"/>
          <w:lang w:val="en-GB"/>
        </w:rPr>
        <w:t xml:space="preserve">MRI showed that 60% of our patients had L4-5 </w:t>
      </w:r>
      <w:proofErr w:type="spellStart"/>
      <w:r w:rsidRPr="00C9559D">
        <w:rPr>
          <w:bCs/>
          <w:sz w:val="20"/>
          <w:szCs w:val="20"/>
          <w:lang w:val="en-GB"/>
        </w:rPr>
        <w:t>radiculopathy</w:t>
      </w:r>
      <w:proofErr w:type="spellEnd"/>
      <w:r w:rsidRPr="00C9559D">
        <w:rPr>
          <w:bCs/>
          <w:sz w:val="20"/>
          <w:szCs w:val="20"/>
          <w:lang w:val="en-GB"/>
        </w:rPr>
        <w:t xml:space="preserve">, denoting that the most common roots affected are L4-5. This agrees with </w:t>
      </w:r>
      <w:proofErr w:type="spellStart"/>
      <w:r w:rsidRPr="00C9559D">
        <w:rPr>
          <w:sz w:val="20"/>
          <w:szCs w:val="20"/>
        </w:rPr>
        <w:t>Beyaz</w:t>
      </w:r>
      <w:proofErr w:type="spellEnd"/>
      <w:r w:rsidRPr="00C9559D">
        <w:rPr>
          <w:sz w:val="20"/>
          <w:szCs w:val="20"/>
        </w:rPr>
        <w:t xml:space="preserve">, 2017 who reported (58.1%) of patients had L4-% </w:t>
      </w:r>
      <w:proofErr w:type="spellStart"/>
      <w:r w:rsidRPr="00C9559D">
        <w:rPr>
          <w:sz w:val="20"/>
          <w:szCs w:val="20"/>
        </w:rPr>
        <w:t>radiculopathy</w:t>
      </w:r>
      <w:proofErr w:type="spellEnd"/>
      <w:r w:rsidR="00212940" w:rsidRPr="00C9559D">
        <w:rPr>
          <w:sz w:val="20"/>
          <w:szCs w:val="20"/>
        </w:rPr>
        <w:t>.</w:t>
      </w:r>
    </w:p>
    <w:p w:rsidR="00414D55" w:rsidRPr="00C9559D" w:rsidRDefault="00414D55" w:rsidP="00E616B2">
      <w:pPr>
        <w:snapToGrid w:val="0"/>
        <w:ind w:firstLine="425"/>
        <w:jc w:val="both"/>
        <w:rPr>
          <w:b/>
          <w:bCs/>
          <w:i/>
          <w:iCs/>
          <w:sz w:val="20"/>
          <w:szCs w:val="20"/>
        </w:rPr>
      </w:pPr>
      <w:r w:rsidRPr="00C9559D">
        <w:rPr>
          <w:b/>
          <w:i/>
          <w:iCs/>
          <w:sz w:val="20"/>
          <w:szCs w:val="20"/>
          <w:lang w:val="en-GB"/>
        </w:rPr>
        <w:t>Regarding central LBP and SIJ pain, comparison between pre-injection visit and 1st visit post-injection revealed</w:t>
      </w:r>
      <w:r w:rsidRPr="00C9559D">
        <w:rPr>
          <w:bCs/>
          <w:sz w:val="20"/>
          <w:szCs w:val="20"/>
          <w:lang w:val="en-GB"/>
        </w:rPr>
        <w:t>, statistically significant decrease in central low back pain, sacroiliac pain, in the 1st visit post-injection compared to pre-injection visit</w:t>
      </w:r>
      <w:r w:rsidR="00961F1D" w:rsidRPr="00C9559D">
        <w:rPr>
          <w:bCs/>
          <w:sz w:val="20"/>
          <w:szCs w:val="20"/>
          <w:lang w:val="en-GB"/>
        </w:rPr>
        <w:t xml:space="preserve"> (p&lt;0.05)</w:t>
      </w:r>
      <w:r w:rsidR="00D51578" w:rsidRPr="00C9559D">
        <w:rPr>
          <w:bCs/>
          <w:sz w:val="20"/>
          <w:szCs w:val="20"/>
          <w:lang w:val="en-GB"/>
        </w:rPr>
        <w:t>.</w:t>
      </w:r>
      <w:r w:rsidRPr="00C9559D">
        <w:rPr>
          <w:bCs/>
          <w:sz w:val="20"/>
          <w:szCs w:val="20"/>
          <w:lang w:val="en-GB"/>
        </w:rPr>
        <w:t xml:space="preserve"> </w:t>
      </w:r>
      <w:r w:rsidRPr="00C9559D">
        <w:rPr>
          <w:sz w:val="20"/>
          <w:szCs w:val="20"/>
        </w:rPr>
        <w:t xml:space="preserve">Our results agreed with the results obtained by </w:t>
      </w:r>
      <w:proofErr w:type="spellStart"/>
      <w:r w:rsidRPr="00C9559D">
        <w:rPr>
          <w:sz w:val="20"/>
          <w:szCs w:val="20"/>
        </w:rPr>
        <w:t>Kotb</w:t>
      </w:r>
      <w:proofErr w:type="spellEnd"/>
      <w:r w:rsidRPr="00C9559D">
        <w:rPr>
          <w:sz w:val="20"/>
          <w:szCs w:val="20"/>
        </w:rPr>
        <w:t xml:space="preserve"> and colleagues in 2018 who investigated CT-guided </w:t>
      </w:r>
      <w:proofErr w:type="spellStart"/>
      <w:r w:rsidRPr="00C9559D">
        <w:rPr>
          <w:sz w:val="20"/>
          <w:szCs w:val="20"/>
        </w:rPr>
        <w:t>transforaminal</w:t>
      </w:r>
      <w:proofErr w:type="spellEnd"/>
      <w:r w:rsidRPr="00C9559D">
        <w:rPr>
          <w:sz w:val="20"/>
          <w:szCs w:val="20"/>
        </w:rPr>
        <w:t xml:space="preserve"> epidural steroid injection, and reported a</w:t>
      </w:r>
      <w:r w:rsidRPr="00C9559D">
        <w:rPr>
          <w:bCs/>
          <w:sz w:val="20"/>
          <w:szCs w:val="20"/>
        </w:rPr>
        <w:t xml:space="preserve"> </w:t>
      </w:r>
      <w:r w:rsidRPr="00C9559D">
        <w:rPr>
          <w:bCs/>
          <w:iCs/>
          <w:sz w:val="20"/>
          <w:szCs w:val="20"/>
        </w:rPr>
        <w:t>significant</w:t>
      </w:r>
      <w:r w:rsidRPr="00C9559D">
        <w:rPr>
          <w:bCs/>
          <w:sz w:val="20"/>
          <w:szCs w:val="20"/>
        </w:rPr>
        <w:t xml:space="preserve"> </w:t>
      </w:r>
      <w:r w:rsidRPr="00C9559D">
        <w:rPr>
          <w:bCs/>
          <w:iCs/>
          <w:sz w:val="20"/>
          <w:szCs w:val="20"/>
        </w:rPr>
        <w:t>improvement of pain intensity and reduction in functional impairment</w:t>
      </w:r>
      <w:r w:rsidRPr="00C9559D">
        <w:rPr>
          <w:bCs/>
          <w:sz w:val="20"/>
          <w:szCs w:val="20"/>
        </w:rPr>
        <w:t xml:space="preserve"> </w:t>
      </w:r>
      <w:r w:rsidRPr="00C9559D">
        <w:rPr>
          <w:bCs/>
          <w:iCs/>
          <w:sz w:val="20"/>
          <w:szCs w:val="20"/>
        </w:rPr>
        <w:t>after one month of treatment and after a three month follow</w:t>
      </w:r>
      <w:r w:rsidRPr="00C9559D">
        <w:rPr>
          <w:bCs/>
          <w:sz w:val="20"/>
          <w:szCs w:val="20"/>
        </w:rPr>
        <w:t xml:space="preserve"> </w:t>
      </w:r>
      <w:r w:rsidRPr="00C9559D">
        <w:rPr>
          <w:bCs/>
          <w:iCs/>
          <w:sz w:val="20"/>
          <w:szCs w:val="20"/>
        </w:rPr>
        <w:t>up from baseline</w:t>
      </w:r>
      <w:r w:rsidR="00745BFE" w:rsidRPr="00C9559D">
        <w:rPr>
          <w:bCs/>
          <w:iCs/>
          <w:sz w:val="20"/>
          <w:szCs w:val="20"/>
        </w:rPr>
        <w:t>.</w:t>
      </w:r>
    </w:p>
    <w:p w:rsidR="00414D55" w:rsidRPr="00C9559D" w:rsidRDefault="00414D55" w:rsidP="00E616B2">
      <w:pPr>
        <w:snapToGrid w:val="0"/>
        <w:ind w:firstLine="425"/>
        <w:jc w:val="both"/>
        <w:rPr>
          <w:sz w:val="20"/>
          <w:szCs w:val="20"/>
        </w:rPr>
      </w:pPr>
      <w:r w:rsidRPr="00C9559D">
        <w:rPr>
          <w:sz w:val="20"/>
          <w:szCs w:val="20"/>
        </w:rPr>
        <w:t xml:space="preserve">Our results and </w:t>
      </w:r>
      <w:proofErr w:type="spellStart"/>
      <w:r w:rsidRPr="00C9559D">
        <w:rPr>
          <w:sz w:val="20"/>
          <w:szCs w:val="20"/>
        </w:rPr>
        <w:t>kotb’s</w:t>
      </w:r>
      <w:proofErr w:type="spellEnd"/>
      <w:r w:rsidRPr="00C9559D">
        <w:rPr>
          <w:sz w:val="20"/>
          <w:szCs w:val="20"/>
        </w:rPr>
        <w:t xml:space="preserve"> results denote that CT-guided </w:t>
      </w:r>
      <w:proofErr w:type="spellStart"/>
      <w:r w:rsidRPr="00C9559D">
        <w:rPr>
          <w:sz w:val="20"/>
          <w:szCs w:val="20"/>
        </w:rPr>
        <w:t>transforaminal</w:t>
      </w:r>
      <w:proofErr w:type="spellEnd"/>
      <w:r w:rsidRPr="00C9559D">
        <w:rPr>
          <w:sz w:val="20"/>
          <w:szCs w:val="20"/>
        </w:rPr>
        <w:t xml:space="preserve"> injection is effective in reducing pain and sensory symptoms and that pain </w:t>
      </w:r>
      <w:r w:rsidRPr="00C9559D">
        <w:rPr>
          <w:sz w:val="20"/>
          <w:szCs w:val="20"/>
        </w:rPr>
        <w:lastRenderedPageBreak/>
        <w:t>improvement is achieved during the 1</w:t>
      </w:r>
      <w:r w:rsidRPr="00C9559D">
        <w:rPr>
          <w:sz w:val="20"/>
          <w:szCs w:val="20"/>
          <w:vertAlign w:val="superscript"/>
        </w:rPr>
        <w:t>st</w:t>
      </w:r>
      <w:r w:rsidRPr="00C9559D">
        <w:rPr>
          <w:sz w:val="20"/>
          <w:szCs w:val="20"/>
        </w:rPr>
        <w:t xml:space="preserve"> month post-injection </w:t>
      </w:r>
      <w:r w:rsidRPr="00C9559D">
        <w:rPr>
          <w:b/>
          <w:bCs/>
          <w:i/>
          <w:iCs/>
          <w:sz w:val="20"/>
          <w:szCs w:val="20"/>
        </w:rPr>
        <w:t>(</w:t>
      </w:r>
      <w:proofErr w:type="spellStart"/>
      <w:r w:rsidRPr="00C9559D">
        <w:rPr>
          <w:b/>
          <w:bCs/>
          <w:i/>
          <w:iCs/>
          <w:sz w:val="20"/>
          <w:szCs w:val="20"/>
        </w:rPr>
        <w:t>Kotb</w:t>
      </w:r>
      <w:proofErr w:type="spellEnd"/>
      <w:r w:rsidRPr="00C9559D">
        <w:rPr>
          <w:b/>
          <w:bCs/>
          <w:i/>
          <w:iCs/>
          <w:sz w:val="20"/>
          <w:szCs w:val="20"/>
        </w:rPr>
        <w:t xml:space="preserve"> et al., 2018).</w:t>
      </w:r>
    </w:p>
    <w:p w:rsidR="00855C94" w:rsidRPr="00C9559D" w:rsidRDefault="00414D55" w:rsidP="00E616B2">
      <w:pPr>
        <w:snapToGrid w:val="0"/>
        <w:ind w:firstLine="425"/>
        <w:jc w:val="both"/>
        <w:rPr>
          <w:sz w:val="20"/>
          <w:szCs w:val="20"/>
        </w:rPr>
      </w:pPr>
      <w:r w:rsidRPr="00C9559D">
        <w:rPr>
          <w:b/>
          <w:bCs/>
          <w:i/>
          <w:iCs/>
          <w:sz w:val="20"/>
          <w:szCs w:val="20"/>
        </w:rPr>
        <w:t>Comparison between pre-injection visit and 2nd visit post-injection revealed,</w:t>
      </w:r>
      <w:r w:rsidRPr="00C9559D">
        <w:rPr>
          <w:sz w:val="20"/>
          <w:szCs w:val="20"/>
        </w:rPr>
        <w:t xml:space="preserve"> a statistically significant reduction in sacroiliac pain, central low back pain, in the 2nd visit </w:t>
      </w:r>
      <w:r w:rsidR="00855C94" w:rsidRPr="00C9559D">
        <w:rPr>
          <w:sz w:val="20"/>
          <w:szCs w:val="20"/>
        </w:rPr>
        <w:t>compared to pre-injection visit (p&lt;0.05).</w:t>
      </w:r>
    </w:p>
    <w:p w:rsidR="00414D55" w:rsidRPr="00C9559D" w:rsidRDefault="00414D55" w:rsidP="00E616B2">
      <w:pPr>
        <w:snapToGrid w:val="0"/>
        <w:ind w:firstLine="425"/>
        <w:jc w:val="both"/>
        <w:rPr>
          <w:sz w:val="20"/>
          <w:szCs w:val="20"/>
        </w:rPr>
      </w:pPr>
    </w:p>
    <w:p w:rsidR="00414D55" w:rsidRPr="00C9559D" w:rsidRDefault="00414D55" w:rsidP="00E616B2">
      <w:pPr>
        <w:snapToGrid w:val="0"/>
        <w:ind w:firstLine="425"/>
        <w:jc w:val="both"/>
        <w:rPr>
          <w:bCs/>
          <w:iCs/>
          <w:sz w:val="20"/>
          <w:szCs w:val="20"/>
        </w:rPr>
      </w:pPr>
      <w:r w:rsidRPr="00C9559D">
        <w:rPr>
          <w:bCs/>
          <w:iCs/>
          <w:sz w:val="20"/>
          <w:szCs w:val="20"/>
        </w:rPr>
        <w:t xml:space="preserve">These findings partially agreed with the findings in </w:t>
      </w:r>
      <w:r w:rsidRPr="00C9559D">
        <w:rPr>
          <w:b/>
          <w:i/>
          <w:sz w:val="20"/>
          <w:szCs w:val="20"/>
        </w:rPr>
        <w:t xml:space="preserve">a study by </w:t>
      </w:r>
      <w:proofErr w:type="spellStart"/>
      <w:r w:rsidRPr="00C9559D">
        <w:rPr>
          <w:b/>
          <w:i/>
          <w:sz w:val="20"/>
          <w:szCs w:val="20"/>
        </w:rPr>
        <w:t>Haseeb</w:t>
      </w:r>
      <w:proofErr w:type="spellEnd"/>
      <w:r w:rsidRPr="00C9559D">
        <w:rPr>
          <w:b/>
          <w:i/>
          <w:sz w:val="20"/>
          <w:szCs w:val="20"/>
        </w:rPr>
        <w:t xml:space="preserve"> et al. in 2019</w:t>
      </w:r>
      <w:r w:rsidRPr="00C9559D">
        <w:rPr>
          <w:sz w:val="20"/>
          <w:szCs w:val="20"/>
        </w:rPr>
        <w:t>, who studied the clinical effectiveness of oxygen-ozone therapy combined with steroid versus steroid injection alone at different follow-up period.</w:t>
      </w:r>
      <w:r w:rsidRPr="00C9559D">
        <w:rPr>
          <w:bCs/>
          <w:iCs/>
          <w:sz w:val="20"/>
          <w:szCs w:val="20"/>
        </w:rPr>
        <w:t xml:space="preserve"> They found satisfactory better clinical outcomes “regarding pain scores, SIJ pain, tingling and numbness” in both groups after two weeks, three months and at 6 months. Implying that, steroid injection is effective in reducing pain and improving symptoms whether used solely or with other modalities as oxygen therapy</w:t>
      </w:r>
      <w:r w:rsidR="00764D93" w:rsidRPr="00C9559D">
        <w:rPr>
          <w:bCs/>
          <w:iCs/>
          <w:sz w:val="20"/>
          <w:szCs w:val="20"/>
        </w:rPr>
        <w:t>.</w:t>
      </w:r>
    </w:p>
    <w:p w:rsidR="00414D55" w:rsidRPr="00C9559D" w:rsidRDefault="00414D55" w:rsidP="00E616B2">
      <w:pPr>
        <w:snapToGrid w:val="0"/>
        <w:ind w:firstLine="425"/>
        <w:jc w:val="both"/>
        <w:rPr>
          <w:sz w:val="20"/>
          <w:szCs w:val="20"/>
        </w:rPr>
      </w:pPr>
      <w:r w:rsidRPr="00C9559D">
        <w:rPr>
          <w:b/>
          <w:bCs/>
          <w:i/>
          <w:iCs/>
          <w:sz w:val="20"/>
          <w:szCs w:val="20"/>
        </w:rPr>
        <w:t>Comparison between the 1st</w:t>
      </w:r>
      <w:r w:rsidR="00D51578" w:rsidRPr="00C9559D">
        <w:rPr>
          <w:b/>
          <w:bCs/>
          <w:i/>
          <w:iCs/>
          <w:sz w:val="20"/>
          <w:szCs w:val="20"/>
        </w:rPr>
        <w:t xml:space="preserve"> &amp; </w:t>
      </w:r>
      <w:r w:rsidRPr="00C9559D">
        <w:rPr>
          <w:b/>
          <w:bCs/>
          <w:i/>
          <w:iCs/>
          <w:sz w:val="20"/>
          <w:szCs w:val="20"/>
        </w:rPr>
        <w:t>2nd visits post-injection revealed,</w:t>
      </w:r>
      <w:r w:rsidRPr="00C9559D">
        <w:rPr>
          <w:sz w:val="20"/>
          <w:szCs w:val="20"/>
        </w:rPr>
        <w:t xml:space="preserve"> non-significant difference</w:t>
      </w:r>
      <w:r w:rsidR="005C2415" w:rsidRPr="00C9559D">
        <w:rPr>
          <w:sz w:val="20"/>
          <w:szCs w:val="20"/>
        </w:rPr>
        <w:t xml:space="preserve"> (p&gt;0.05)</w:t>
      </w:r>
      <w:r w:rsidR="00D51578" w:rsidRPr="00C9559D">
        <w:rPr>
          <w:sz w:val="20"/>
          <w:szCs w:val="20"/>
        </w:rPr>
        <w:t xml:space="preserve"> </w:t>
      </w:r>
      <w:r w:rsidRPr="00C9559D">
        <w:rPr>
          <w:sz w:val="20"/>
          <w:szCs w:val="20"/>
        </w:rPr>
        <w:t xml:space="preserve">regarding central LBP and SIJ pain, which came in agreement with </w:t>
      </w:r>
      <w:proofErr w:type="spellStart"/>
      <w:r w:rsidRPr="00C9559D">
        <w:rPr>
          <w:sz w:val="20"/>
          <w:szCs w:val="20"/>
        </w:rPr>
        <w:t>Kotb</w:t>
      </w:r>
      <w:proofErr w:type="spellEnd"/>
      <w:r w:rsidRPr="00C9559D">
        <w:rPr>
          <w:sz w:val="20"/>
          <w:szCs w:val="20"/>
        </w:rPr>
        <w:t xml:space="preserve"> and colleagues in 2018</w:t>
      </w:r>
      <w:r w:rsidR="001C2345" w:rsidRPr="00C9559D">
        <w:rPr>
          <w:sz w:val="20"/>
          <w:szCs w:val="20"/>
        </w:rPr>
        <w:t>.</w:t>
      </w:r>
    </w:p>
    <w:p w:rsidR="00414D55" w:rsidRPr="00C9559D" w:rsidRDefault="00414D55" w:rsidP="00E616B2">
      <w:pPr>
        <w:snapToGrid w:val="0"/>
        <w:ind w:firstLine="425"/>
        <w:jc w:val="both"/>
        <w:rPr>
          <w:bCs/>
          <w:sz w:val="20"/>
          <w:szCs w:val="20"/>
          <w:lang w:val="en-GB"/>
        </w:rPr>
      </w:pPr>
      <w:r w:rsidRPr="00C9559D">
        <w:rPr>
          <w:b/>
          <w:i/>
          <w:iCs/>
          <w:sz w:val="20"/>
          <w:szCs w:val="20"/>
          <w:lang w:val="en-GB"/>
        </w:rPr>
        <w:t>Regarding SLR, CSLR, FNS and SIJ tests,</w:t>
      </w:r>
      <w:r w:rsidRPr="00C9559D">
        <w:rPr>
          <w:bCs/>
          <w:sz w:val="20"/>
          <w:szCs w:val="20"/>
          <w:lang w:val="en-GB"/>
        </w:rPr>
        <w:t xml:space="preserve"> </w:t>
      </w:r>
      <w:r w:rsidRPr="00C9559D">
        <w:rPr>
          <w:b/>
          <w:i/>
          <w:iCs/>
          <w:sz w:val="20"/>
          <w:szCs w:val="20"/>
          <w:lang w:val="en-GB"/>
        </w:rPr>
        <w:t>comparison between pre-injection visit and 1st visit post-injection also revealed</w:t>
      </w:r>
      <w:r w:rsidRPr="00C9559D">
        <w:rPr>
          <w:bCs/>
          <w:sz w:val="20"/>
          <w:szCs w:val="20"/>
          <w:lang w:val="en-GB"/>
        </w:rPr>
        <w:t>, the results of femoral nerve stretch, straight leg raising and cross-straight leg ra</w:t>
      </w:r>
      <w:r w:rsidR="008D59A8" w:rsidRPr="00C9559D">
        <w:rPr>
          <w:bCs/>
          <w:sz w:val="20"/>
          <w:szCs w:val="20"/>
          <w:lang w:val="en-GB"/>
        </w:rPr>
        <w:t>ising test significantly reduced (p&lt;0.05)</w:t>
      </w:r>
      <w:r w:rsidRPr="00C9559D">
        <w:rPr>
          <w:bCs/>
          <w:sz w:val="20"/>
          <w:szCs w:val="20"/>
          <w:lang w:val="en-GB"/>
        </w:rPr>
        <w:t xml:space="preserve"> in the 1stvisit, while there was no statistically significant difference </w:t>
      </w:r>
      <w:r w:rsidR="008D59A8" w:rsidRPr="00C9559D">
        <w:rPr>
          <w:bCs/>
          <w:sz w:val="20"/>
          <w:szCs w:val="20"/>
          <w:lang w:val="en-GB"/>
        </w:rPr>
        <w:t xml:space="preserve">(p&gt;0.05) </w:t>
      </w:r>
      <w:r w:rsidRPr="00C9559D">
        <w:rPr>
          <w:bCs/>
          <w:sz w:val="20"/>
          <w:szCs w:val="20"/>
          <w:lang w:val="en-GB"/>
        </w:rPr>
        <w:t>regarding SIJ test.</w:t>
      </w:r>
    </w:p>
    <w:p w:rsidR="00414D55" w:rsidRPr="00C9559D" w:rsidRDefault="00414D55" w:rsidP="00E616B2">
      <w:pPr>
        <w:snapToGrid w:val="0"/>
        <w:ind w:firstLine="425"/>
        <w:jc w:val="both"/>
        <w:rPr>
          <w:sz w:val="20"/>
          <w:szCs w:val="20"/>
        </w:rPr>
      </w:pPr>
      <w:r w:rsidRPr="00C9559D">
        <w:rPr>
          <w:b/>
          <w:bCs/>
          <w:i/>
          <w:iCs/>
          <w:sz w:val="20"/>
          <w:szCs w:val="20"/>
        </w:rPr>
        <w:t>Comparison between pre-injection visit and 2nd visit post-injection revealed,</w:t>
      </w:r>
      <w:r w:rsidRPr="00C9559D">
        <w:rPr>
          <w:sz w:val="20"/>
          <w:szCs w:val="20"/>
        </w:rPr>
        <w:t xml:space="preserve"> a </w:t>
      </w:r>
      <w:r w:rsidRPr="00C9559D">
        <w:rPr>
          <w:bCs/>
          <w:sz w:val="20"/>
          <w:szCs w:val="20"/>
        </w:rPr>
        <w:t>stat</w:t>
      </w:r>
      <w:r w:rsidR="00B005FB" w:rsidRPr="00C9559D">
        <w:rPr>
          <w:bCs/>
          <w:sz w:val="20"/>
          <w:szCs w:val="20"/>
        </w:rPr>
        <w:t>istically significant reduction</w:t>
      </w:r>
      <w:r w:rsidRPr="00C9559D">
        <w:rPr>
          <w:bCs/>
          <w:sz w:val="20"/>
          <w:szCs w:val="20"/>
        </w:rPr>
        <w:t xml:space="preserve"> </w:t>
      </w:r>
      <w:r w:rsidR="00DB58E2" w:rsidRPr="00C9559D">
        <w:rPr>
          <w:bCs/>
          <w:sz w:val="20"/>
          <w:szCs w:val="20"/>
        </w:rPr>
        <w:t xml:space="preserve">(p&lt;0.05) </w:t>
      </w:r>
      <w:r w:rsidRPr="00C9559D">
        <w:rPr>
          <w:bCs/>
          <w:sz w:val="20"/>
          <w:szCs w:val="20"/>
        </w:rPr>
        <w:t>in straight leg raising and crossed straight leg raising in the 2</w:t>
      </w:r>
      <w:r w:rsidRPr="00C9559D">
        <w:rPr>
          <w:bCs/>
          <w:sz w:val="20"/>
          <w:szCs w:val="20"/>
          <w:vertAlign w:val="superscript"/>
        </w:rPr>
        <w:t>nd</w:t>
      </w:r>
      <w:r w:rsidRPr="00C9559D">
        <w:rPr>
          <w:bCs/>
          <w:sz w:val="20"/>
          <w:szCs w:val="20"/>
        </w:rPr>
        <w:t xml:space="preserve"> visit post-injection compared to pre-injection visit. These findings denote that the improvement in pain, sensory symptoms, and </w:t>
      </w:r>
      <w:proofErr w:type="spellStart"/>
      <w:r w:rsidRPr="00C9559D">
        <w:rPr>
          <w:bCs/>
          <w:sz w:val="20"/>
          <w:szCs w:val="20"/>
        </w:rPr>
        <w:t>radiculopathy</w:t>
      </w:r>
      <w:proofErr w:type="spellEnd"/>
      <w:r w:rsidRPr="00C9559D">
        <w:rPr>
          <w:bCs/>
          <w:sz w:val="20"/>
          <w:szCs w:val="20"/>
        </w:rPr>
        <w:t xml:space="preserve"> were evident in the 1</w:t>
      </w:r>
      <w:r w:rsidRPr="00C9559D">
        <w:rPr>
          <w:bCs/>
          <w:sz w:val="20"/>
          <w:szCs w:val="20"/>
          <w:vertAlign w:val="superscript"/>
        </w:rPr>
        <w:t>st</w:t>
      </w:r>
      <w:r w:rsidRPr="00C9559D">
        <w:rPr>
          <w:bCs/>
          <w:sz w:val="20"/>
          <w:szCs w:val="20"/>
        </w:rPr>
        <w:t xml:space="preserve"> visit post-injection continued for at least 3 months post-injection.</w:t>
      </w:r>
      <w:r w:rsidR="00D51578" w:rsidRPr="00C9559D">
        <w:rPr>
          <w:bCs/>
          <w:sz w:val="20"/>
          <w:szCs w:val="20"/>
        </w:rPr>
        <w:t xml:space="preserve"> </w:t>
      </w:r>
      <w:r w:rsidRPr="00C9559D">
        <w:rPr>
          <w:bCs/>
          <w:sz w:val="20"/>
          <w:szCs w:val="20"/>
        </w:rPr>
        <w:t xml:space="preserve">However, we found no statistically significant difference </w:t>
      </w:r>
      <w:r w:rsidR="00B005FB" w:rsidRPr="00C9559D">
        <w:rPr>
          <w:bCs/>
          <w:sz w:val="20"/>
          <w:szCs w:val="20"/>
        </w:rPr>
        <w:t xml:space="preserve">(p&gt;0.05) </w:t>
      </w:r>
      <w:r w:rsidRPr="00C9559D">
        <w:rPr>
          <w:bCs/>
          <w:sz w:val="20"/>
          <w:szCs w:val="20"/>
        </w:rPr>
        <w:t>regarding femoral nerve stretch and sacroiliac joint tests.</w:t>
      </w:r>
    </w:p>
    <w:p w:rsidR="00414D55" w:rsidRPr="00C9559D" w:rsidRDefault="00414D55" w:rsidP="00E616B2">
      <w:pPr>
        <w:snapToGrid w:val="0"/>
        <w:ind w:firstLine="425"/>
        <w:jc w:val="both"/>
        <w:rPr>
          <w:sz w:val="20"/>
          <w:szCs w:val="20"/>
        </w:rPr>
      </w:pPr>
      <w:r w:rsidRPr="00C9559D">
        <w:rPr>
          <w:bCs/>
          <w:iCs/>
          <w:sz w:val="20"/>
          <w:szCs w:val="20"/>
        </w:rPr>
        <w:t>Our results related to femoral nerve stretch test which revealed non-significant change</w:t>
      </w:r>
      <w:r w:rsidR="007A2306" w:rsidRPr="00C9559D">
        <w:rPr>
          <w:bCs/>
          <w:iCs/>
          <w:sz w:val="20"/>
          <w:szCs w:val="20"/>
        </w:rPr>
        <w:t xml:space="preserve"> (p&gt;0.05)</w:t>
      </w:r>
      <w:r w:rsidR="00D51578" w:rsidRPr="00C9559D">
        <w:rPr>
          <w:bCs/>
          <w:iCs/>
          <w:sz w:val="20"/>
          <w:szCs w:val="20"/>
        </w:rPr>
        <w:t xml:space="preserve"> </w:t>
      </w:r>
      <w:r w:rsidRPr="00C9559D">
        <w:rPr>
          <w:bCs/>
          <w:iCs/>
          <w:sz w:val="20"/>
          <w:szCs w:val="20"/>
        </w:rPr>
        <w:t>in the test in the 2</w:t>
      </w:r>
      <w:r w:rsidRPr="00C9559D">
        <w:rPr>
          <w:bCs/>
          <w:iCs/>
          <w:sz w:val="20"/>
          <w:szCs w:val="20"/>
          <w:vertAlign w:val="superscript"/>
        </w:rPr>
        <w:t>nd</w:t>
      </w:r>
      <w:r w:rsidRPr="00C9559D">
        <w:rPr>
          <w:bCs/>
          <w:iCs/>
          <w:sz w:val="20"/>
          <w:szCs w:val="20"/>
        </w:rPr>
        <w:t xml:space="preserve"> visited compared to pre-injection visit is supported by a study performed by Sultan and colleagues in 2019 who also found non-significant difference in femoral nerve stretch test results post-</w:t>
      </w:r>
      <w:proofErr w:type="spellStart"/>
      <w:r w:rsidRPr="00C9559D">
        <w:rPr>
          <w:bCs/>
          <w:iCs/>
          <w:sz w:val="20"/>
          <w:szCs w:val="20"/>
        </w:rPr>
        <w:t>transforaminal</w:t>
      </w:r>
      <w:proofErr w:type="spellEnd"/>
      <w:r w:rsidRPr="00C9559D">
        <w:rPr>
          <w:bCs/>
          <w:iCs/>
          <w:sz w:val="20"/>
          <w:szCs w:val="20"/>
        </w:rPr>
        <w:t xml:space="preserve"> epidural steroid injection.</w:t>
      </w:r>
      <w:r w:rsidR="00D51578" w:rsidRPr="00C9559D">
        <w:rPr>
          <w:bCs/>
          <w:iCs/>
          <w:sz w:val="20"/>
          <w:szCs w:val="20"/>
        </w:rPr>
        <w:t xml:space="preserve"> </w:t>
      </w:r>
      <w:r w:rsidRPr="00C9559D">
        <w:rPr>
          <w:bCs/>
          <w:iCs/>
          <w:sz w:val="20"/>
          <w:szCs w:val="20"/>
        </w:rPr>
        <w:t xml:space="preserve">femoral nerve stretch test </w:t>
      </w:r>
      <w:r w:rsidRPr="00C9559D">
        <w:rPr>
          <w:b/>
          <w:bCs/>
          <w:i/>
          <w:iCs/>
          <w:sz w:val="20"/>
          <w:szCs w:val="20"/>
        </w:rPr>
        <w:t xml:space="preserve">(Sultan et al., 2019), </w:t>
      </w:r>
      <w:r w:rsidRPr="00C9559D">
        <w:rPr>
          <w:sz w:val="20"/>
          <w:szCs w:val="20"/>
        </w:rPr>
        <w:t xml:space="preserve">We think that our femoral nerve stretch test results, may denote that L2 - L3 </w:t>
      </w:r>
      <w:proofErr w:type="spellStart"/>
      <w:r w:rsidRPr="00C9559D">
        <w:rPr>
          <w:sz w:val="20"/>
          <w:szCs w:val="20"/>
        </w:rPr>
        <w:t>radiculopathy</w:t>
      </w:r>
      <w:proofErr w:type="spellEnd"/>
      <w:r w:rsidRPr="00C9559D">
        <w:rPr>
          <w:sz w:val="20"/>
          <w:szCs w:val="20"/>
        </w:rPr>
        <w:t xml:space="preserve"> is more resistant to treatment compared to L4 - L5 and S1 </w:t>
      </w:r>
      <w:proofErr w:type="spellStart"/>
      <w:r w:rsidRPr="00C9559D">
        <w:rPr>
          <w:sz w:val="20"/>
          <w:szCs w:val="20"/>
        </w:rPr>
        <w:t>radiculopathy</w:t>
      </w:r>
      <w:proofErr w:type="spellEnd"/>
      <w:r w:rsidRPr="00C9559D">
        <w:rPr>
          <w:sz w:val="20"/>
          <w:szCs w:val="20"/>
        </w:rPr>
        <w:t>.</w:t>
      </w:r>
    </w:p>
    <w:p w:rsidR="00414D55" w:rsidRPr="00C9559D" w:rsidRDefault="00414D55" w:rsidP="00E616B2">
      <w:pPr>
        <w:snapToGrid w:val="0"/>
        <w:ind w:firstLine="425"/>
        <w:jc w:val="both"/>
        <w:rPr>
          <w:sz w:val="20"/>
          <w:szCs w:val="20"/>
        </w:rPr>
      </w:pPr>
      <w:r w:rsidRPr="00C9559D">
        <w:rPr>
          <w:b/>
          <w:bCs/>
          <w:i/>
          <w:iCs/>
          <w:sz w:val="20"/>
          <w:szCs w:val="20"/>
        </w:rPr>
        <w:t>Comparison between the 1st</w:t>
      </w:r>
      <w:r w:rsidR="00D51578" w:rsidRPr="00C9559D">
        <w:rPr>
          <w:b/>
          <w:bCs/>
          <w:i/>
          <w:iCs/>
          <w:sz w:val="20"/>
          <w:szCs w:val="20"/>
        </w:rPr>
        <w:t xml:space="preserve"> &amp; </w:t>
      </w:r>
      <w:r w:rsidRPr="00C9559D">
        <w:rPr>
          <w:b/>
          <w:bCs/>
          <w:i/>
          <w:iCs/>
          <w:sz w:val="20"/>
          <w:szCs w:val="20"/>
        </w:rPr>
        <w:t>2nd visits post-injection revealed,</w:t>
      </w:r>
      <w:r w:rsidRPr="00C9559D">
        <w:rPr>
          <w:sz w:val="20"/>
          <w:szCs w:val="20"/>
        </w:rPr>
        <w:t xml:space="preserve"> non-significant difference </w:t>
      </w:r>
      <w:r w:rsidR="00125369" w:rsidRPr="00C9559D">
        <w:rPr>
          <w:sz w:val="20"/>
          <w:szCs w:val="20"/>
        </w:rPr>
        <w:t xml:space="preserve">(p&gt;0.05) </w:t>
      </w:r>
      <w:r w:rsidRPr="00C9559D">
        <w:rPr>
          <w:sz w:val="20"/>
          <w:szCs w:val="20"/>
        </w:rPr>
        <w:t xml:space="preserve">regarding SLR, CSLR, FNS and SIJ tests, which came in agreement </w:t>
      </w:r>
      <w:r w:rsidR="00125369" w:rsidRPr="00C9559D">
        <w:rPr>
          <w:sz w:val="20"/>
          <w:szCs w:val="20"/>
        </w:rPr>
        <w:t>with</w:t>
      </w:r>
      <w:r w:rsidR="00D51578" w:rsidRPr="00C9559D">
        <w:rPr>
          <w:sz w:val="20"/>
          <w:szCs w:val="20"/>
        </w:rPr>
        <w:t xml:space="preserve"> </w:t>
      </w:r>
      <w:r w:rsidRPr="00C9559D">
        <w:rPr>
          <w:b/>
          <w:bCs/>
          <w:i/>
          <w:iCs/>
          <w:sz w:val="20"/>
          <w:szCs w:val="20"/>
        </w:rPr>
        <w:t>(</w:t>
      </w:r>
      <w:proofErr w:type="spellStart"/>
      <w:r w:rsidRPr="00C9559D">
        <w:rPr>
          <w:b/>
          <w:bCs/>
          <w:i/>
          <w:iCs/>
          <w:sz w:val="20"/>
          <w:szCs w:val="20"/>
        </w:rPr>
        <w:t>Kotb</w:t>
      </w:r>
      <w:proofErr w:type="spellEnd"/>
      <w:r w:rsidRPr="00C9559D">
        <w:rPr>
          <w:b/>
          <w:bCs/>
          <w:i/>
          <w:iCs/>
          <w:sz w:val="20"/>
          <w:szCs w:val="20"/>
        </w:rPr>
        <w:t xml:space="preserve"> et al., 2018).</w:t>
      </w:r>
    </w:p>
    <w:p w:rsidR="00CB2EF2" w:rsidRPr="00C9559D" w:rsidRDefault="00414D55" w:rsidP="00E616B2">
      <w:pPr>
        <w:snapToGrid w:val="0"/>
        <w:ind w:firstLine="425"/>
        <w:jc w:val="both"/>
        <w:rPr>
          <w:bCs/>
          <w:iCs/>
          <w:sz w:val="20"/>
          <w:szCs w:val="20"/>
        </w:rPr>
      </w:pPr>
      <w:r w:rsidRPr="00C9559D">
        <w:rPr>
          <w:b/>
          <w:i/>
          <w:iCs/>
          <w:sz w:val="20"/>
          <w:szCs w:val="20"/>
          <w:lang w:val="en-GB"/>
        </w:rPr>
        <w:lastRenderedPageBreak/>
        <w:t>Regarding VAS score,</w:t>
      </w:r>
      <w:r w:rsidRPr="00C9559D">
        <w:rPr>
          <w:bCs/>
          <w:sz w:val="20"/>
          <w:szCs w:val="20"/>
          <w:lang w:val="en-GB"/>
        </w:rPr>
        <w:t xml:space="preserve"> </w:t>
      </w:r>
      <w:r w:rsidRPr="00C9559D">
        <w:rPr>
          <w:b/>
          <w:i/>
          <w:iCs/>
          <w:sz w:val="20"/>
          <w:szCs w:val="20"/>
          <w:lang w:val="en-GB"/>
        </w:rPr>
        <w:t>comparison between pre-injection visit and 1</w:t>
      </w:r>
      <w:r w:rsidRPr="00C9559D">
        <w:rPr>
          <w:b/>
          <w:i/>
          <w:iCs/>
          <w:sz w:val="20"/>
          <w:szCs w:val="20"/>
          <w:vertAlign w:val="superscript"/>
          <w:lang w:val="en-GB"/>
        </w:rPr>
        <w:t>st</w:t>
      </w:r>
      <w:r w:rsidRPr="00C9559D">
        <w:rPr>
          <w:b/>
          <w:i/>
          <w:iCs/>
          <w:sz w:val="20"/>
          <w:szCs w:val="20"/>
          <w:lang w:val="en-GB"/>
        </w:rPr>
        <w:t xml:space="preserve"> visit post-injection also revealed, </w:t>
      </w:r>
      <w:r w:rsidR="00DC26DB" w:rsidRPr="00C9559D">
        <w:rPr>
          <w:bCs/>
          <w:i/>
          <w:iCs/>
          <w:sz w:val="20"/>
          <w:szCs w:val="20"/>
          <w:lang w:val="en-GB"/>
        </w:rPr>
        <w:t xml:space="preserve">a </w:t>
      </w:r>
      <w:r w:rsidRPr="00C9559D">
        <w:rPr>
          <w:sz w:val="20"/>
          <w:szCs w:val="20"/>
        </w:rPr>
        <w:t xml:space="preserve">highly statistically significant difference </w:t>
      </w:r>
      <w:r w:rsidR="00DC26DB" w:rsidRPr="00C9559D">
        <w:rPr>
          <w:sz w:val="20"/>
          <w:szCs w:val="20"/>
        </w:rPr>
        <w:t xml:space="preserve">(p&lt;0.01) </w:t>
      </w:r>
      <w:r w:rsidRPr="00C9559D">
        <w:rPr>
          <w:sz w:val="20"/>
          <w:szCs w:val="20"/>
        </w:rPr>
        <w:t>found as regards VAS Score.</w:t>
      </w:r>
      <w:r w:rsidRPr="00C9559D">
        <w:rPr>
          <w:iCs/>
          <w:sz w:val="20"/>
          <w:szCs w:val="20"/>
        </w:rPr>
        <w:t xml:space="preserve"> </w:t>
      </w:r>
      <w:r w:rsidRPr="00C9559D">
        <w:rPr>
          <w:bCs/>
          <w:iCs/>
          <w:sz w:val="20"/>
          <w:szCs w:val="20"/>
        </w:rPr>
        <w:t>VAS score significantly reduced 45 days post-injection compared to pre-injection denoting improvement in pain and as well as in functional abilities post-injection and that this improvement can happen during the 1</w:t>
      </w:r>
      <w:r w:rsidRPr="00C9559D">
        <w:rPr>
          <w:bCs/>
          <w:iCs/>
          <w:sz w:val="20"/>
          <w:szCs w:val="20"/>
          <w:vertAlign w:val="superscript"/>
        </w:rPr>
        <w:t>st</w:t>
      </w:r>
      <w:r w:rsidRPr="00C9559D">
        <w:rPr>
          <w:bCs/>
          <w:iCs/>
          <w:sz w:val="20"/>
          <w:szCs w:val="20"/>
        </w:rPr>
        <w:t xml:space="preserve"> 6 weeks post-injection. </w:t>
      </w:r>
      <w:r w:rsidR="00CB2EF2" w:rsidRPr="00C9559D">
        <w:rPr>
          <w:bCs/>
          <w:iCs/>
          <w:sz w:val="20"/>
          <w:szCs w:val="20"/>
        </w:rPr>
        <w:t>Our results as regards VAS score agreed with the results obtained by (</w:t>
      </w:r>
      <w:r w:rsidR="00CB2EF2" w:rsidRPr="00C9559D">
        <w:rPr>
          <w:b/>
          <w:bCs/>
          <w:i/>
          <w:iCs/>
          <w:sz w:val="20"/>
          <w:szCs w:val="20"/>
        </w:rPr>
        <w:t xml:space="preserve">Fish </w:t>
      </w:r>
      <w:proofErr w:type="spellStart"/>
      <w:r w:rsidR="00CB2EF2" w:rsidRPr="00C9559D">
        <w:rPr>
          <w:b/>
          <w:bCs/>
          <w:i/>
          <w:iCs/>
          <w:sz w:val="20"/>
          <w:szCs w:val="20"/>
        </w:rPr>
        <w:t>etal</w:t>
      </w:r>
      <w:proofErr w:type="spellEnd"/>
      <w:r w:rsidR="00CB2EF2" w:rsidRPr="00C9559D">
        <w:rPr>
          <w:b/>
          <w:bCs/>
          <w:i/>
          <w:iCs/>
          <w:sz w:val="20"/>
          <w:szCs w:val="20"/>
        </w:rPr>
        <w:t>.,</w:t>
      </w:r>
      <w:r w:rsidR="00D51578" w:rsidRPr="00C9559D">
        <w:rPr>
          <w:b/>
          <w:bCs/>
          <w:i/>
          <w:iCs/>
          <w:sz w:val="20"/>
          <w:szCs w:val="20"/>
        </w:rPr>
        <w:t xml:space="preserve"> </w:t>
      </w:r>
      <w:r w:rsidR="00CB2EF2" w:rsidRPr="00C9559D">
        <w:rPr>
          <w:b/>
          <w:bCs/>
          <w:i/>
          <w:iCs/>
          <w:sz w:val="20"/>
          <w:szCs w:val="20"/>
        </w:rPr>
        <w:t xml:space="preserve">2008) </w:t>
      </w:r>
      <w:r w:rsidR="00CB2EF2" w:rsidRPr="00C9559D">
        <w:rPr>
          <w:bCs/>
          <w:iCs/>
          <w:sz w:val="20"/>
          <w:szCs w:val="20"/>
        </w:rPr>
        <w:t>who found significant improvement in VAS score post-steroid injection. These findings confirm that CT-guided injection not only results in pain reduction but also leads to functional improvement. Functional improvement is very important as it impacts patient’s quality of life because if pain just decreases without parallel functional improvement, it can still interfere with the patient’s lifestyle.</w:t>
      </w:r>
    </w:p>
    <w:p w:rsidR="00414D55" w:rsidRPr="00C9559D" w:rsidRDefault="00414D55" w:rsidP="00E616B2">
      <w:pPr>
        <w:snapToGrid w:val="0"/>
        <w:ind w:firstLine="425"/>
        <w:jc w:val="both"/>
        <w:rPr>
          <w:sz w:val="20"/>
          <w:szCs w:val="20"/>
        </w:rPr>
      </w:pPr>
      <w:r w:rsidRPr="00C9559D">
        <w:rPr>
          <w:bCs/>
          <w:iCs/>
          <w:sz w:val="20"/>
          <w:szCs w:val="20"/>
        </w:rPr>
        <w:t xml:space="preserve">Our results as regards VAS score disagree with the results obtained by </w:t>
      </w:r>
      <w:proofErr w:type="spellStart"/>
      <w:r w:rsidRPr="00C9559D">
        <w:rPr>
          <w:b/>
          <w:bCs/>
          <w:i/>
          <w:iCs/>
          <w:sz w:val="20"/>
          <w:szCs w:val="20"/>
        </w:rPr>
        <w:t>Miskin</w:t>
      </w:r>
      <w:proofErr w:type="spellEnd"/>
      <w:r w:rsidRPr="00C9559D">
        <w:rPr>
          <w:b/>
          <w:bCs/>
          <w:i/>
          <w:iCs/>
          <w:sz w:val="20"/>
          <w:szCs w:val="20"/>
        </w:rPr>
        <w:t xml:space="preserve"> et al. (2018)</w:t>
      </w:r>
      <w:r w:rsidRPr="00C9559D">
        <w:rPr>
          <w:sz w:val="20"/>
          <w:szCs w:val="20"/>
        </w:rPr>
        <w:t xml:space="preserve">, who found no difference in immediate post-procedural pain scores </w:t>
      </w:r>
      <w:r w:rsidRPr="00C9559D">
        <w:rPr>
          <w:b/>
          <w:bCs/>
          <w:i/>
          <w:iCs/>
          <w:sz w:val="20"/>
          <w:szCs w:val="20"/>
        </w:rPr>
        <w:t>(</w:t>
      </w:r>
      <w:proofErr w:type="spellStart"/>
      <w:r w:rsidRPr="00C9559D">
        <w:rPr>
          <w:b/>
          <w:bCs/>
          <w:i/>
          <w:iCs/>
          <w:sz w:val="20"/>
          <w:szCs w:val="20"/>
        </w:rPr>
        <w:t>Miskin</w:t>
      </w:r>
      <w:proofErr w:type="spellEnd"/>
      <w:r w:rsidRPr="00C9559D">
        <w:rPr>
          <w:b/>
          <w:bCs/>
          <w:i/>
          <w:iCs/>
          <w:sz w:val="20"/>
          <w:szCs w:val="20"/>
        </w:rPr>
        <w:t xml:space="preserve"> et al., 2018). </w:t>
      </w:r>
      <w:r w:rsidRPr="00C9559D">
        <w:rPr>
          <w:sz w:val="20"/>
          <w:szCs w:val="20"/>
        </w:rPr>
        <w:t xml:space="preserve">This disagreement may be related to an important limitation in </w:t>
      </w:r>
      <w:proofErr w:type="spellStart"/>
      <w:r w:rsidRPr="00C9559D">
        <w:rPr>
          <w:sz w:val="20"/>
          <w:szCs w:val="20"/>
        </w:rPr>
        <w:t>Miskin’s</w:t>
      </w:r>
      <w:proofErr w:type="spellEnd"/>
      <w:r w:rsidRPr="00C9559D">
        <w:rPr>
          <w:sz w:val="20"/>
          <w:szCs w:val="20"/>
        </w:rPr>
        <w:t xml:space="preserve"> study in which the authors did not record numeric pain scores in every case</w:t>
      </w:r>
      <w:r w:rsidR="00E438F0" w:rsidRPr="00C9559D">
        <w:rPr>
          <w:sz w:val="20"/>
          <w:szCs w:val="20"/>
        </w:rPr>
        <w:t>.</w:t>
      </w:r>
    </w:p>
    <w:p w:rsidR="00414D55" w:rsidRPr="00C9559D" w:rsidRDefault="00414D55" w:rsidP="00E616B2">
      <w:pPr>
        <w:snapToGrid w:val="0"/>
        <w:ind w:firstLine="425"/>
        <w:jc w:val="both"/>
        <w:rPr>
          <w:sz w:val="20"/>
          <w:szCs w:val="20"/>
        </w:rPr>
      </w:pPr>
      <w:bookmarkStart w:id="0" w:name="_Hlk12390465"/>
      <w:r w:rsidRPr="00C9559D">
        <w:rPr>
          <w:b/>
          <w:bCs/>
          <w:i/>
          <w:iCs/>
          <w:sz w:val="20"/>
          <w:szCs w:val="20"/>
        </w:rPr>
        <w:t>Comparison between pre-injection visit and 2nd visit post-injection revealed,</w:t>
      </w:r>
      <w:r w:rsidRPr="00C9559D">
        <w:rPr>
          <w:sz w:val="20"/>
          <w:szCs w:val="20"/>
        </w:rPr>
        <w:t xml:space="preserve"> </w:t>
      </w:r>
      <w:r w:rsidRPr="00C9559D">
        <w:rPr>
          <w:bCs/>
          <w:sz w:val="20"/>
          <w:szCs w:val="20"/>
        </w:rPr>
        <w:t xml:space="preserve">a highly </w:t>
      </w:r>
      <w:bookmarkEnd w:id="0"/>
      <w:r w:rsidRPr="00C9559D">
        <w:rPr>
          <w:bCs/>
          <w:sz w:val="20"/>
          <w:szCs w:val="20"/>
        </w:rPr>
        <w:t xml:space="preserve">statistically significant difference </w:t>
      </w:r>
      <w:r w:rsidR="00F131A5" w:rsidRPr="00C9559D">
        <w:rPr>
          <w:bCs/>
          <w:sz w:val="20"/>
          <w:szCs w:val="20"/>
        </w:rPr>
        <w:t xml:space="preserve">(p&lt;0.01) </w:t>
      </w:r>
      <w:r w:rsidRPr="00C9559D">
        <w:rPr>
          <w:bCs/>
          <w:sz w:val="20"/>
          <w:szCs w:val="20"/>
        </w:rPr>
        <w:t>regarding VAS score in the 2</w:t>
      </w:r>
      <w:r w:rsidRPr="00C9559D">
        <w:rPr>
          <w:bCs/>
          <w:sz w:val="20"/>
          <w:szCs w:val="20"/>
          <w:vertAlign w:val="superscript"/>
        </w:rPr>
        <w:t>nd</w:t>
      </w:r>
      <w:r w:rsidRPr="00C9559D">
        <w:rPr>
          <w:bCs/>
          <w:sz w:val="20"/>
          <w:szCs w:val="20"/>
        </w:rPr>
        <w:t xml:space="preserve"> visit post-injection compared to the pre-injection visit. </w:t>
      </w:r>
      <w:r w:rsidRPr="00C9559D">
        <w:rPr>
          <w:bCs/>
          <w:iCs/>
          <w:sz w:val="20"/>
          <w:szCs w:val="20"/>
        </w:rPr>
        <w:t>VAS score significantly reduced 90 days post-injection compare</w:t>
      </w:r>
      <w:r w:rsidR="00F131A5" w:rsidRPr="00C9559D">
        <w:rPr>
          <w:bCs/>
          <w:iCs/>
          <w:sz w:val="20"/>
          <w:szCs w:val="20"/>
        </w:rPr>
        <w:t>d to pre-injection score (P&lt;0.05</w:t>
      </w:r>
      <w:r w:rsidRPr="00C9559D">
        <w:rPr>
          <w:bCs/>
          <w:iCs/>
          <w:sz w:val="20"/>
          <w:szCs w:val="20"/>
        </w:rPr>
        <w:t>).</w:t>
      </w:r>
      <w:r w:rsidRPr="00C9559D">
        <w:rPr>
          <w:sz w:val="20"/>
          <w:szCs w:val="20"/>
        </w:rPr>
        <w:t xml:space="preserve"> These results came in agreement with </w:t>
      </w:r>
      <w:r w:rsidRPr="00C9559D">
        <w:rPr>
          <w:b/>
          <w:bCs/>
          <w:i/>
          <w:iCs/>
          <w:sz w:val="20"/>
          <w:szCs w:val="20"/>
        </w:rPr>
        <w:t>Sultan et al. (2019)</w:t>
      </w:r>
      <w:r w:rsidRPr="00C9559D">
        <w:rPr>
          <w:sz w:val="20"/>
          <w:szCs w:val="20"/>
        </w:rPr>
        <w:t xml:space="preserve">, who investigated the functional outcome of </w:t>
      </w:r>
      <w:proofErr w:type="spellStart"/>
      <w:r w:rsidRPr="00C9559D">
        <w:rPr>
          <w:sz w:val="20"/>
          <w:szCs w:val="20"/>
        </w:rPr>
        <w:t>transforaminal</w:t>
      </w:r>
      <w:proofErr w:type="spellEnd"/>
      <w:r w:rsidRPr="00C9559D">
        <w:rPr>
          <w:sz w:val="20"/>
          <w:szCs w:val="20"/>
        </w:rPr>
        <w:t xml:space="preserve"> epidural steroid injection in </w:t>
      </w:r>
      <w:proofErr w:type="spellStart"/>
      <w:r w:rsidRPr="00C9559D">
        <w:rPr>
          <w:sz w:val="20"/>
          <w:szCs w:val="20"/>
        </w:rPr>
        <w:t>lumbosacral</w:t>
      </w:r>
      <w:proofErr w:type="spellEnd"/>
      <w:r w:rsidRPr="00C9559D">
        <w:rPr>
          <w:sz w:val="20"/>
          <w:szCs w:val="20"/>
        </w:rPr>
        <w:t xml:space="preserve"> </w:t>
      </w:r>
      <w:proofErr w:type="spellStart"/>
      <w:r w:rsidRPr="00C9559D">
        <w:rPr>
          <w:sz w:val="20"/>
          <w:szCs w:val="20"/>
        </w:rPr>
        <w:t>radiculopathy</w:t>
      </w:r>
      <w:proofErr w:type="spellEnd"/>
      <w:r w:rsidRPr="00C9559D">
        <w:rPr>
          <w:sz w:val="20"/>
          <w:szCs w:val="20"/>
        </w:rPr>
        <w:t>, and found a st</w:t>
      </w:r>
      <w:r w:rsidRPr="00C9559D">
        <w:rPr>
          <w:bCs/>
          <w:iCs/>
          <w:sz w:val="20"/>
          <w:szCs w:val="20"/>
        </w:rPr>
        <w:t>atistically significant decrease in pain severity using VAS score post injection in patients with symptom duration less than 3 months compared with patients with longer duration of symptoms</w:t>
      </w:r>
      <w:r w:rsidR="00275348" w:rsidRPr="00C9559D">
        <w:rPr>
          <w:bCs/>
          <w:iCs/>
          <w:sz w:val="20"/>
          <w:szCs w:val="20"/>
        </w:rPr>
        <w:t>.</w:t>
      </w:r>
    </w:p>
    <w:p w:rsidR="00414D55" w:rsidRPr="00C9559D" w:rsidRDefault="00414D55" w:rsidP="00E616B2">
      <w:pPr>
        <w:snapToGrid w:val="0"/>
        <w:ind w:firstLine="425"/>
        <w:jc w:val="both"/>
        <w:rPr>
          <w:b/>
          <w:bCs/>
          <w:iCs/>
          <w:sz w:val="20"/>
          <w:szCs w:val="20"/>
        </w:rPr>
      </w:pPr>
      <w:r w:rsidRPr="00C9559D">
        <w:rPr>
          <w:b/>
          <w:bCs/>
          <w:i/>
          <w:iCs/>
          <w:sz w:val="20"/>
          <w:szCs w:val="20"/>
        </w:rPr>
        <w:t>Comparison between the 1st</w:t>
      </w:r>
      <w:r w:rsidR="00D51578" w:rsidRPr="00C9559D">
        <w:rPr>
          <w:b/>
          <w:bCs/>
          <w:i/>
          <w:iCs/>
          <w:sz w:val="20"/>
          <w:szCs w:val="20"/>
        </w:rPr>
        <w:t xml:space="preserve"> &amp; </w:t>
      </w:r>
      <w:r w:rsidRPr="00C9559D">
        <w:rPr>
          <w:b/>
          <w:bCs/>
          <w:i/>
          <w:iCs/>
          <w:sz w:val="20"/>
          <w:szCs w:val="20"/>
        </w:rPr>
        <w:t>2nd visits post-injection revealed,</w:t>
      </w:r>
      <w:r w:rsidRPr="00C9559D">
        <w:rPr>
          <w:sz w:val="20"/>
          <w:szCs w:val="20"/>
        </w:rPr>
        <w:t xml:space="preserve"> </w:t>
      </w:r>
      <w:r w:rsidRPr="00C9559D">
        <w:rPr>
          <w:bCs/>
          <w:sz w:val="20"/>
          <w:szCs w:val="20"/>
        </w:rPr>
        <w:t xml:space="preserve">a </w:t>
      </w:r>
      <w:r w:rsidRPr="00C9559D">
        <w:rPr>
          <w:sz w:val="20"/>
          <w:szCs w:val="20"/>
          <w:lang w:val="en-GB"/>
        </w:rPr>
        <w:t xml:space="preserve">statistically significant difference found between the two visits as </w:t>
      </w:r>
      <w:r w:rsidR="00BC272E" w:rsidRPr="00C9559D">
        <w:rPr>
          <w:sz w:val="20"/>
          <w:szCs w:val="20"/>
          <w:lang w:val="en-GB"/>
        </w:rPr>
        <w:t>regards VAS score with (p</w:t>
      </w:r>
      <w:r w:rsidRPr="00C9559D">
        <w:rPr>
          <w:sz w:val="20"/>
          <w:szCs w:val="20"/>
          <w:lang w:val="en-GB"/>
        </w:rPr>
        <w:t>&lt;0.05). These results came in agreement with</w:t>
      </w:r>
      <w:r w:rsidRPr="00C9559D">
        <w:rPr>
          <w:b/>
          <w:bCs/>
          <w:sz w:val="20"/>
          <w:szCs w:val="20"/>
          <w:lang w:val="en-GB"/>
        </w:rPr>
        <w:t xml:space="preserve"> </w:t>
      </w:r>
      <w:r w:rsidRPr="00C9559D">
        <w:rPr>
          <w:b/>
          <w:bCs/>
          <w:i/>
          <w:iCs/>
          <w:sz w:val="20"/>
          <w:szCs w:val="20"/>
        </w:rPr>
        <w:t>Fish et al. (2008)</w:t>
      </w:r>
      <w:r w:rsidR="00BC272E" w:rsidRPr="00C9559D">
        <w:rPr>
          <w:b/>
          <w:bCs/>
          <w:i/>
          <w:iCs/>
          <w:sz w:val="20"/>
          <w:szCs w:val="20"/>
        </w:rPr>
        <w:t xml:space="preserve"> and </w:t>
      </w:r>
      <w:proofErr w:type="spellStart"/>
      <w:r w:rsidR="00BC272E" w:rsidRPr="00C9559D">
        <w:rPr>
          <w:b/>
          <w:bCs/>
          <w:i/>
          <w:iCs/>
          <w:sz w:val="20"/>
          <w:szCs w:val="20"/>
        </w:rPr>
        <w:t>Miskin</w:t>
      </w:r>
      <w:proofErr w:type="spellEnd"/>
      <w:r w:rsidR="00BC272E" w:rsidRPr="00C9559D">
        <w:rPr>
          <w:b/>
          <w:bCs/>
          <w:i/>
          <w:iCs/>
          <w:sz w:val="20"/>
          <w:szCs w:val="20"/>
        </w:rPr>
        <w:t xml:space="preserve"> et al. 2018.</w:t>
      </w:r>
    </w:p>
    <w:p w:rsidR="00414D55" w:rsidRPr="00C9559D" w:rsidRDefault="00414D55" w:rsidP="00E616B2">
      <w:pPr>
        <w:snapToGrid w:val="0"/>
        <w:ind w:firstLine="425"/>
        <w:jc w:val="both"/>
        <w:rPr>
          <w:bCs/>
          <w:sz w:val="20"/>
          <w:szCs w:val="20"/>
          <w:lang w:val="en-GB"/>
        </w:rPr>
      </w:pPr>
      <w:r w:rsidRPr="00C9559D">
        <w:rPr>
          <w:b/>
          <w:i/>
          <w:iCs/>
          <w:sz w:val="20"/>
          <w:szCs w:val="20"/>
          <w:lang w:val="en-GB"/>
        </w:rPr>
        <w:t>Regarding ODI score,</w:t>
      </w:r>
      <w:r w:rsidRPr="00C9559D">
        <w:rPr>
          <w:bCs/>
          <w:sz w:val="20"/>
          <w:szCs w:val="20"/>
          <w:lang w:val="en-GB"/>
        </w:rPr>
        <w:t xml:space="preserve"> </w:t>
      </w:r>
      <w:r w:rsidRPr="00C9559D">
        <w:rPr>
          <w:b/>
          <w:i/>
          <w:iCs/>
          <w:sz w:val="20"/>
          <w:szCs w:val="20"/>
          <w:lang w:val="en-GB"/>
        </w:rPr>
        <w:t>comparison between pre-injection visit and 1</w:t>
      </w:r>
      <w:r w:rsidRPr="00C9559D">
        <w:rPr>
          <w:b/>
          <w:i/>
          <w:iCs/>
          <w:sz w:val="20"/>
          <w:szCs w:val="20"/>
          <w:vertAlign w:val="superscript"/>
          <w:lang w:val="en-GB"/>
        </w:rPr>
        <w:t>st</w:t>
      </w:r>
      <w:r w:rsidRPr="00C9559D">
        <w:rPr>
          <w:b/>
          <w:i/>
          <w:iCs/>
          <w:sz w:val="20"/>
          <w:szCs w:val="20"/>
          <w:lang w:val="en-GB"/>
        </w:rPr>
        <w:t xml:space="preserve"> visit post-injection also revealed, </w:t>
      </w:r>
      <w:r w:rsidRPr="00C9559D">
        <w:rPr>
          <w:sz w:val="20"/>
          <w:szCs w:val="20"/>
        </w:rPr>
        <w:t xml:space="preserve">highly statistically significant difference </w:t>
      </w:r>
      <w:r w:rsidR="00B45EB8" w:rsidRPr="00C9559D">
        <w:rPr>
          <w:sz w:val="20"/>
          <w:szCs w:val="20"/>
        </w:rPr>
        <w:t xml:space="preserve">(p&lt;0.01) </w:t>
      </w:r>
      <w:r w:rsidRPr="00C9559D">
        <w:rPr>
          <w:sz w:val="20"/>
          <w:szCs w:val="20"/>
        </w:rPr>
        <w:t xml:space="preserve">found as regards ODI Score (%). </w:t>
      </w:r>
      <w:r w:rsidRPr="00C9559D">
        <w:rPr>
          <w:bCs/>
          <w:iCs/>
          <w:sz w:val="20"/>
          <w:szCs w:val="20"/>
        </w:rPr>
        <w:t>ODI score significantly reduced 45 days post-injection compared to pre-injection</w:t>
      </w:r>
      <w:r w:rsidR="00B45EB8" w:rsidRPr="00C9559D">
        <w:rPr>
          <w:bCs/>
          <w:iCs/>
          <w:sz w:val="20"/>
          <w:szCs w:val="20"/>
        </w:rPr>
        <w:t xml:space="preserve"> (p&lt;0.05)</w:t>
      </w:r>
      <w:r w:rsidRPr="00C9559D">
        <w:rPr>
          <w:bCs/>
          <w:iCs/>
          <w:sz w:val="20"/>
          <w:szCs w:val="20"/>
        </w:rPr>
        <w:t xml:space="preserve"> denoting improvement in functional abilities post-injection and that this improvement can happen during the 1</w:t>
      </w:r>
      <w:r w:rsidRPr="00C9559D">
        <w:rPr>
          <w:bCs/>
          <w:iCs/>
          <w:sz w:val="20"/>
          <w:szCs w:val="20"/>
          <w:vertAlign w:val="superscript"/>
        </w:rPr>
        <w:t>st</w:t>
      </w:r>
      <w:r w:rsidRPr="00C9559D">
        <w:rPr>
          <w:bCs/>
          <w:iCs/>
          <w:sz w:val="20"/>
          <w:szCs w:val="20"/>
        </w:rPr>
        <w:t xml:space="preserve"> 6 weeks post-injection. </w:t>
      </w:r>
    </w:p>
    <w:p w:rsidR="00414D55" w:rsidRPr="00C9559D" w:rsidRDefault="00414D55" w:rsidP="00E616B2">
      <w:pPr>
        <w:snapToGrid w:val="0"/>
        <w:ind w:firstLine="425"/>
        <w:jc w:val="both"/>
        <w:rPr>
          <w:sz w:val="20"/>
          <w:szCs w:val="20"/>
        </w:rPr>
      </w:pPr>
      <w:r w:rsidRPr="00C9559D">
        <w:rPr>
          <w:bCs/>
          <w:iCs/>
          <w:sz w:val="20"/>
          <w:szCs w:val="20"/>
        </w:rPr>
        <w:t xml:space="preserve">Our results as regards ODI score agreed </w:t>
      </w:r>
      <w:r w:rsidRPr="00C9559D">
        <w:rPr>
          <w:sz w:val="20"/>
          <w:szCs w:val="20"/>
        </w:rPr>
        <w:t xml:space="preserve">with the results obtained by </w:t>
      </w:r>
      <w:r w:rsidRPr="00C9559D">
        <w:rPr>
          <w:b/>
          <w:bCs/>
          <w:i/>
          <w:iCs/>
          <w:sz w:val="20"/>
          <w:szCs w:val="20"/>
        </w:rPr>
        <w:t xml:space="preserve">Fish et al. in 2008 </w:t>
      </w:r>
      <w:r w:rsidRPr="00C9559D">
        <w:rPr>
          <w:sz w:val="20"/>
          <w:szCs w:val="20"/>
        </w:rPr>
        <w:t xml:space="preserve">who found </w:t>
      </w:r>
      <w:r w:rsidRPr="00C9559D">
        <w:rPr>
          <w:sz w:val="20"/>
          <w:szCs w:val="20"/>
        </w:rPr>
        <w:lastRenderedPageBreak/>
        <w:t>significant improvement in ODI score post-steroid injection</w:t>
      </w:r>
      <w:r w:rsidR="00D16724" w:rsidRPr="00C9559D">
        <w:rPr>
          <w:sz w:val="20"/>
          <w:szCs w:val="20"/>
        </w:rPr>
        <w:t>.</w:t>
      </w:r>
    </w:p>
    <w:p w:rsidR="00414D55" w:rsidRPr="00C9559D" w:rsidRDefault="00414D55" w:rsidP="00E616B2">
      <w:pPr>
        <w:snapToGrid w:val="0"/>
        <w:ind w:firstLine="425"/>
        <w:jc w:val="both"/>
        <w:rPr>
          <w:bCs/>
          <w:iCs/>
          <w:sz w:val="20"/>
          <w:szCs w:val="20"/>
        </w:rPr>
      </w:pPr>
      <w:r w:rsidRPr="00C9559D">
        <w:rPr>
          <w:b/>
          <w:bCs/>
          <w:i/>
          <w:iCs/>
          <w:sz w:val="20"/>
          <w:szCs w:val="20"/>
        </w:rPr>
        <w:t>Fish et al. (2008)</w:t>
      </w:r>
      <w:r w:rsidR="00D16724" w:rsidRPr="00C9559D">
        <w:rPr>
          <w:b/>
          <w:bCs/>
          <w:i/>
          <w:iCs/>
          <w:sz w:val="20"/>
          <w:szCs w:val="20"/>
        </w:rPr>
        <w:t xml:space="preserve"> and </w:t>
      </w:r>
      <w:proofErr w:type="spellStart"/>
      <w:r w:rsidR="00D16724" w:rsidRPr="00C9559D">
        <w:rPr>
          <w:b/>
          <w:bCs/>
          <w:i/>
          <w:iCs/>
          <w:sz w:val="20"/>
          <w:szCs w:val="20"/>
        </w:rPr>
        <w:t>Miskin</w:t>
      </w:r>
      <w:proofErr w:type="spellEnd"/>
      <w:r w:rsidR="00D16724" w:rsidRPr="00C9559D">
        <w:rPr>
          <w:b/>
          <w:bCs/>
          <w:i/>
          <w:iCs/>
          <w:sz w:val="20"/>
          <w:szCs w:val="20"/>
        </w:rPr>
        <w:t xml:space="preserve"> et al. (2018)</w:t>
      </w:r>
      <w:r w:rsidR="00D51578" w:rsidRPr="00C9559D">
        <w:rPr>
          <w:b/>
          <w:bCs/>
          <w:i/>
          <w:iCs/>
          <w:sz w:val="20"/>
          <w:szCs w:val="20"/>
        </w:rPr>
        <w:t xml:space="preserve"> </w:t>
      </w:r>
      <w:r w:rsidRPr="00C9559D">
        <w:rPr>
          <w:sz w:val="20"/>
          <w:szCs w:val="20"/>
        </w:rPr>
        <w:t xml:space="preserve">also implied that, CT-guided steroid injections, help reducing pain and disability in short-term period of 1.5 months among lumbar </w:t>
      </w:r>
      <w:proofErr w:type="spellStart"/>
      <w:r w:rsidRPr="00C9559D">
        <w:rPr>
          <w:sz w:val="20"/>
          <w:szCs w:val="20"/>
        </w:rPr>
        <w:t>radiculopathy</w:t>
      </w:r>
      <w:proofErr w:type="spellEnd"/>
      <w:r w:rsidRPr="00C9559D">
        <w:rPr>
          <w:sz w:val="20"/>
          <w:szCs w:val="20"/>
        </w:rPr>
        <w:t xml:space="preserve"> patients</w:t>
      </w:r>
      <w:r w:rsidR="00BA1454" w:rsidRPr="00C9559D">
        <w:rPr>
          <w:sz w:val="20"/>
          <w:szCs w:val="20"/>
        </w:rPr>
        <w:t>.</w:t>
      </w:r>
    </w:p>
    <w:p w:rsidR="00414D55" w:rsidRPr="00C9559D" w:rsidRDefault="00414D55" w:rsidP="00E616B2">
      <w:pPr>
        <w:snapToGrid w:val="0"/>
        <w:ind w:firstLine="425"/>
        <w:jc w:val="both"/>
        <w:rPr>
          <w:sz w:val="20"/>
          <w:szCs w:val="20"/>
        </w:rPr>
      </w:pPr>
      <w:r w:rsidRPr="00C9559D">
        <w:rPr>
          <w:b/>
          <w:bCs/>
          <w:i/>
          <w:iCs/>
          <w:sz w:val="20"/>
          <w:szCs w:val="20"/>
        </w:rPr>
        <w:t>Comparison between pre-injection visit and 2nd visit post-injection revealed,</w:t>
      </w:r>
      <w:r w:rsidRPr="00C9559D">
        <w:rPr>
          <w:sz w:val="20"/>
          <w:szCs w:val="20"/>
        </w:rPr>
        <w:t xml:space="preserve"> a </w:t>
      </w:r>
      <w:r w:rsidRPr="00C9559D">
        <w:rPr>
          <w:bCs/>
          <w:sz w:val="20"/>
          <w:szCs w:val="20"/>
        </w:rPr>
        <w:t>highly stat</w:t>
      </w:r>
      <w:r w:rsidR="00B05F02" w:rsidRPr="00C9559D">
        <w:rPr>
          <w:bCs/>
          <w:sz w:val="20"/>
          <w:szCs w:val="20"/>
        </w:rPr>
        <w:t>istically significant reduction (p&lt;0.01)</w:t>
      </w:r>
      <w:r w:rsidRPr="00C9559D">
        <w:rPr>
          <w:bCs/>
          <w:sz w:val="20"/>
          <w:szCs w:val="20"/>
        </w:rPr>
        <w:t xml:space="preserve"> regarding ODI score in the 2</w:t>
      </w:r>
      <w:r w:rsidRPr="00C9559D">
        <w:rPr>
          <w:bCs/>
          <w:sz w:val="20"/>
          <w:szCs w:val="20"/>
          <w:vertAlign w:val="superscript"/>
        </w:rPr>
        <w:t>nd</w:t>
      </w:r>
      <w:r w:rsidRPr="00C9559D">
        <w:rPr>
          <w:bCs/>
          <w:sz w:val="20"/>
          <w:szCs w:val="20"/>
        </w:rPr>
        <w:t xml:space="preserve"> visit post-injection compared to the pre-injection visit. </w:t>
      </w:r>
      <w:r w:rsidRPr="00C9559D">
        <w:rPr>
          <w:bCs/>
          <w:iCs/>
          <w:sz w:val="20"/>
          <w:szCs w:val="20"/>
        </w:rPr>
        <w:t>ODI score significantly reduced 90 days post-injection compared to pre-injection score (P&lt;0.01).</w:t>
      </w:r>
      <w:r w:rsidRPr="00C9559D">
        <w:rPr>
          <w:sz w:val="20"/>
          <w:szCs w:val="20"/>
        </w:rPr>
        <w:t xml:space="preserve"> These results came in agreement with </w:t>
      </w:r>
      <w:r w:rsidRPr="00C9559D">
        <w:rPr>
          <w:b/>
          <w:bCs/>
          <w:i/>
          <w:iCs/>
          <w:sz w:val="20"/>
          <w:szCs w:val="20"/>
        </w:rPr>
        <w:t>Sultan et al. (2019)</w:t>
      </w:r>
      <w:r w:rsidRPr="00C9559D">
        <w:rPr>
          <w:sz w:val="20"/>
          <w:szCs w:val="20"/>
        </w:rPr>
        <w:t>, who found a</w:t>
      </w:r>
      <w:r w:rsidRPr="00C9559D">
        <w:rPr>
          <w:bCs/>
          <w:iCs/>
          <w:sz w:val="20"/>
          <w:szCs w:val="20"/>
        </w:rPr>
        <w:t xml:space="preserve"> significant improvement in the ODI functional score post injection in patients with symptom duration less than 3 months compared with patients with longer duration of symptoms</w:t>
      </w:r>
      <w:r w:rsidR="00E956E3" w:rsidRPr="00C9559D">
        <w:rPr>
          <w:bCs/>
          <w:iCs/>
          <w:sz w:val="20"/>
          <w:szCs w:val="20"/>
        </w:rPr>
        <w:t>.</w:t>
      </w:r>
    </w:p>
    <w:p w:rsidR="00414D55" w:rsidRPr="00C9559D" w:rsidRDefault="00414D55" w:rsidP="00E616B2">
      <w:pPr>
        <w:snapToGrid w:val="0"/>
        <w:ind w:firstLine="425"/>
        <w:jc w:val="both"/>
        <w:rPr>
          <w:sz w:val="20"/>
          <w:szCs w:val="20"/>
        </w:rPr>
      </w:pPr>
      <w:r w:rsidRPr="00C9559D">
        <w:rPr>
          <w:sz w:val="20"/>
          <w:szCs w:val="20"/>
        </w:rPr>
        <w:t xml:space="preserve">Our results related to ODI came also in agreement with </w:t>
      </w:r>
      <w:proofErr w:type="spellStart"/>
      <w:r w:rsidRPr="00C9559D">
        <w:rPr>
          <w:sz w:val="20"/>
          <w:szCs w:val="20"/>
        </w:rPr>
        <w:t>Hammerich</w:t>
      </w:r>
      <w:proofErr w:type="spellEnd"/>
      <w:r w:rsidRPr="00C9559D">
        <w:rPr>
          <w:sz w:val="20"/>
          <w:szCs w:val="20"/>
        </w:rPr>
        <w:t xml:space="preserve"> and co-workers in 2019</w:t>
      </w:r>
      <w:r w:rsidR="004032B4" w:rsidRPr="00C9559D">
        <w:rPr>
          <w:sz w:val="20"/>
          <w:szCs w:val="20"/>
        </w:rPr>
        <w:t>.</w:t>
      </w:r>
      <w:r w:rsidRPr="00C9559D">
        <w:rPr>
          <w:b/>
          <w:bCs/>
          <w:i/>
          <w:iCs/>
          <w:sz w:val="20"/>
          <w:szCs w:val="20"/>
        </w:rPr>
        <w:t xml:space="preserve"> </w:t>
      </w:r>
      <w:r w:rsidR="004032B4" w:rsidRPr="00C9559D">
        <w:rPr>
          <w:sz w:val="20"/>
          <w:szCs w:val="20"/>
        </w:rPr>
        <w:t>They</w:t>
      </w:r>
      <w:r w:rsidRPr="00C9559D">
        <w:rPr>
          <w:sz w:val="20"/>
          <w:szCs w:val="20"/>
        </w:rPr>
        <w:t xml:space="preserve"> studied the effectiveness of physical therapy combined with</w:t>
      </w:r>
      <w:r w:rsidRPr="00C9559D">
        <w:rPr>
          <w:bCs/>
          <w:iCs/>
          <w:sz w:val="20"/>
          <w:szCs w:val="20"/>
        </w:rPr>
        <w:t xml:space="preserve"> </w:t>
      </w:r>
      <w:r w:rsidRPr="00C9559D">
        <w:rPr>
          <w:sz w:val="20"/>
          <w:szCs w:val="20"/>
        </w:rPr>
        <w:t>epidural steroid injection in patients</w:t>
      </w:r>
      <w:r w:rsidR="00D51578" w:rsidRPr="00C9559D">
        <w:rPr>
          <w:sz w:val="20"/>
          <w:szCs w:val="20"/>
        </w:rPr>
        <w:t xml:space="preserve"> </w:t>
      </w:r>
      <w:r w:rsidRPr="00C9559D">
        <w:rPr>
          <w:sz w:val="20"/>
          <w:szCs w:val="20"/>
        </w:rPr>
        <w:t>with</w:t>
      </w:r>
      <w:r w:rsidRPr="00C9559D">
        <w:rPr>
          <w:bCs/>
          <w:iCs/>
          <w:sz w:val="20"/>
          <w:szCs w:val="20"/>
        </w:rPr>
        <w:t xml:space="preserve"> </w:t>
      </w:r>
      <w:r w:rsidRPr="00C9559D">
        <w:rPr>
          <w:sz w:val="20"/>
          <w:szCs w:val="20"/>
        </w:rPr>
        <w:t xml:space="preserve">lumbar spinal </w:t>
      </w:r>
      <w:proofErr w:type="spellStart"/>
      <w:r w:rsidRPr="00C9559D">
        <w:rPr>
          <w:sz w:val="20"/>
          <w:szCs w:val="20"/>
        </w:rPr>
        <w:t>stenosis</w:t>
      </w:r>
      <w:proofErr w:type="spellEnd"/>
      <w:r w:rsidRPr="00C9559D">
        <w:rPr>
          <w:sz w:val="20"/>
          <w:szCs w:val="20"/>
        </w:rPr>
        <w:t>, and found significant improvement in ODI score at</w:t>
      </w:r>
      <w:r w:rsidR="00A10504" w:rsidRPr="00C9559D">
        <w:rPr>
          <w:sz w:val="20"/>
          <w:szCs w:val="20"/>
        </w:rPr>
        <w:t xml:space="preserve"> 10 </w:t>
      </w:r>
      <w:r w:rsidRPr="00C9559D">
        <w:rPr>
          <w:sz w:val="20"/>
          <w:szCs w:val="20"/>
        </w:rPr>
        <w:t xml:space="preserve">weeks and at 1 year post in patients group who received epidural steroid injection only as well as in patients group who received epidural injection combined with physiotherapy with no significant difference between the 2 patients groups which denote that epidural steroid injection alone leads to functional improvement through improving pain and decreasing inflammation and that functional improvement does not entirely depends on physical therapy alone although it is an important treatment option </w:t>
      </w:r>
      <w:r w:rsidRPr="00C9559D">
        <w:rPr>
          <w:b/>
          <w:bCs/>
          <w:i/>
          <w:iCs/>
          <w:sz w:val="20"/>
          <w:szCs w:val="20"/>
        </w:rPr>
        <w:t>(</w:t>
      </w:r>
      <w:proofErr w:type="spellStart"/>
      <w:r w:rsidRPr="00C9559D">
        <w:rPr>
          <w:b/>
          <w:bCs/>
          <w:i/>
          <w:iCs/>
          <w:sz w:val="20"/>
          <w:szCs w:val="20"/>
        </w:rPr>
        <w:t>Hammerich</w:t>
      </w:r>
      <w:proofErr w:type="spellEnd"/>
      <w:r w:rsidRPr="00C9559D">
        <w:rPr>
          <w:b/>
          <w:bCs/>
          <w:i/>
          <w:iCs/>
          <w:sz w:val="20"/>
          <w:szCs w:val="20"/>
        </w:rPr>
        <w:t xml:space="preserve"> et al., 2019).</w:t>
      </w:r>
    </w:p>
    <w:p w:rsidR="00414D55" w:rsidRPr="00C9559D" w:rsidRDefault="00414D55" w:rsidP="00E616B2">
      <w:pPr>
        <w:snapToGrid w:val="0"/>
        <w:ind w:firstLine="425"/>
        <w:jc w:val="both"/>
        <w:rPr>
          <w:sz w:val="20"/>
          <w:szCs w:val="20"/>
          <w:lang w:val="en-GB"/>
        </w:rPr>
      </w:pPr>
      <w:r w:rsidRPr="00C9559D">
        <w:rPr>
          <w:b/>
          <w:bCs/>
          <w:i/>
          <w:iCs/>
          <w:sz w:val="20"/>
          <w:szCs w:val="20"/>
        </w:rPr>
        <w:t>Comparison between pre-injection visit and 2nd visit post-injection revealed,</w:t>
      </w:r>
      <w:r w:rsidRPr="00C9559D">
        <w:rPr>
          <w:sz w:val="20"/>
          <w:szCs w:val="20"/>
        </w:rPr>
        <w:t xml:space="preserve"> </w:t>
      </w:r>
      <w:r w:rsidRPr="00C9559D">
        <w:rPr>
          <w:bCs/>
          <w:sz w:val="20"/>
          <w:szCs w:val="20"/>
        </w:rPr>
        <w:t xml:space="preserve">a </w:t>
      </w:r>
      <w:r w:rsidRPr="00C9559D">
        <w:rPr>
          <w:sz w:val="20"/>
          <w:szCs w:val="20"/>
          <w:lang w:val="en-GB"/>
        </w:rPr>
        <w:t>statistically significant difference found between the two visits as regards VAS sco</w:t>
      </w:r>
      <w:r w:rsidR="003815F6" w:rsidRPr="00C9559D">
        <w:rPr>
          <w:sz w:val="20"/>
          <w:szCs w:val="20"/>
          <w:lang w:val="en-GB"/>
        </w:rPr>
        <w:t>re and ODI score with (p&lt;</w:t>
      </w:r>
      <w:r w:rsidRPr="00C9559D">
        <w:rPr>
          <w:sz w:val="20"/>
          <w:szCs w:val="20"/>
          <w:lang w:val="en-GB"/>
        </w:rPr>
        <w:t xml:space="preserve">0.05) while there was no statistically significant difference </w:t>
      </w:r>
      <w:r w:rsidR="003815F6" w:rsidRPr="00C9559D">
        <w:rPr>
          <w:sz w:val="20"/>
          <w:szCs w:val="20"/>
          <w:lang w:val="en-GB"/>
        </w:rPr>
        <w:t xml:space="preserve">(p&gt;0.05) </w:t>
      </w:r>
      <w:r w:rsidRPr="00C9559D">
        <w:rPr>
          <w:sz w:val="20"/>
          <w:szCs w:val="20"/>
          <w:lang w:val="en-GB"/>
        </w:rPr>
        <w:t>found between the two visits as regards central low back pain, pain of SIJ, tingling and numbness, SLR, CSLR, FNS and SIJ. These results came in agreement with</w:t>
      </w:r>
      <w:r w:rsidRPr="00C9559D">
        <w:rPr>
          <w:b/>
          <w:bCs/>
          <w:sz w:val="20"/>
          <w:szCs w:val="20"/>
          <w:lang w:val="en-GB"/>
        </w:rPr>
        <w:t xml:space="preserve"> </w:t>
      </w:r>
      <w:r w:rsidRPr="00C9559D">
        <w:rPr>
          <w:b/>
          <w:bCs/>
          <w:i/>
          <w:iCs/>
          <w:sz w:val="20"/>
          <w:szCs w:val="20"/>
        </w:rPr>
        <w:t>Fish et al. (2008)</w:t>
      </w:r>
      <w:r w:rsidR="003815F6" w:rsidRPr="00C9559D">
        <w:rPr>
          <w:b/>
          <w:bCs/>
          <w:i/>
          <w:iCs/>
          <w:sz w:val="20"/>
          <w:szCs w:val="20"/>
        </w:rPr>
        <w:t xml:space="preserve"> and </w:t>
      </w:r>
      <w:proofErr w:type="spellStart"/>
      <w:r w:rsidR="003815F6" w:rsidRPr="00C9559D">
        <w:rPr>
          <w:b/>
          <w:bCs/>
          <w:i/>
          <w:iCs/>
          <w:sz w:val="20"/>
          <w:szCs w:val="20"/>
        </w:rPr>
        <w:t>Miskin</w:t>
      </w:r>
      <w:proofErr w:type="spellEnd"/>
      <w:r w:rsidR="003815F6" w:rsidRPr="00C9559D">
        <w:rPr>
          <w:b/>
          <w:bCs/>
          <w:i/>
          <w:iCs/>
          <w:sz w:val="20"/>
          <w:szCs w:val="20"/>
        </w:rPr>
        <w:t xml:space="preserve"> et al. (2018).</w:t>
      </w:r>
    </w:p>
    <w:p w:rsidR="00414D55" w:rsidRPr="00C9559D" w:rsidRDefault="00414D55" w:rsidP="00E616B2">
      <w:pPr>
        <w:snapToGrid w:val="0"/>
        <w:ind w:firstLine="425"/>
        <w:jc w:val="both"/>
        <w:rPr>
          <w:sz w:val="20"/>
          <w:szCs w:val="20"/>
        </w:rPr>
      </w:pPr>
      <w:r w:rsidRPr="00C9559D">
        <w:rPr>
          <w:b/>
          <w:bCs/>
          <w:i/>
          <w:iCs/>
          <w:sz w:val="20"/>
          <w:szCs w:val="20"/>
        </w:rPr>
        <w:t>In our study, we found significant positive correlation</w:t>
      </w:r>
      <w:r w:rsidRPr="00C9559D">
        <w:rPr>
          <w:sz w:val="20"/>
          <w:szCs w:val="20"/>
        </w:rPr>
        <w:t xml:space="preserve"> between disease duration and each of VAS score and ODI score pre-injection as well as post-injection which means that with </w:t>
      </w:r>
      <w:proofErr w:type="spellStart"/>
      <w:r w:rsidRPr="00C9559D">
        <w:rPr>
          <w:sz w:val="20"/>
          <w:szCs w:val="20"/>
        </w:rPr>
        <w:t>chronicity</w:t>
      </w:r>
      <w:proofErr w:type="spellEnd"/>
      <w:r w:rsidRPr="00C9559D">
        <w:rPr>
          <w:sz w:val="20"/>
          <w:szCs w:val="20"/>
        </w:rPr>
        <w:t xml:space="preserve"> of the disease, both pain and functional impairment increases. This finding highlights the importance of early treatment and intervention before the condition becomes chronic.</w:t>
      </w:r>
      <w:r w:rsidR="00D51578" w:rsidRPr="00C9559D">
        <w:rPr>
          <w:sz w:val="20"/>
          <w:szCs w:val="20"/>
        </w:rPr>
        <w:t xml:space="preserve"> </w:t>
      </w:r>
      <w:r w:rsidRPr="00C9559D">
        <w:rPr>
          <w:sz w:val="20"/>
          <w:szCs w:val="20"/>
        </w:rPr>
        <w:t xml:space="preserve">Also, there was significant positive correlation between VAS and ODI pre-injection and post injection. This implies a strong relation between pain severity and functional impairment and that when pain decrease, the functional abilities of the patient </w:t>
      </w:r>
      <w:r w:rsidRPr="00C9559D">
        <w:rPr>
          <w:sz w:val="20"/>
          <w:szCs w:val="20"/>
        </w:rPr>
        <w:lastRenderedPageBreak/>
        <w:t xml:space="preserve">improves and it explains our previously mentioned results regarding improvement of VAS and ODI score post-injection. It was found that steroid injection inhibits cytokine production and, conversely, </w:t>
      </w:r>
      <w:proofErr w:type="spellStart"/>
      <w:r w:rsidRPr="00C9559D">
        <w:rPr>
          <w:sz w:val="20"/>
          <w:szCs w:val="20"/>
        </w:rPr>
        <w:t>proinflammatory</w:t>
      </w:r>
      <w:proofErr w:type="spellEnd"/>
      <w:r w:rsidRPr="00C9559D">
        <w:rPr>
          <w:sz w:val="20"/>
          <w:szCs w:val="20"/>
        </w:rPr>
        <w:t xml:space="preserve"> </w:t>
      </w:r>
      <w:r w:rsidR="00C506F4" w:rsidRPr="00C9559D">
        <w:rPr>
          <w:sz w:val="20"/>
          <w:szCs w:val="20"/>
        </w:rPr>
        <w:t>cytokines, such as</w:t>
      </w:r>
      <w:r w:rsidRPr="00C9559D">
        <w:rPr>
          <w:sz w:val="20"/>
          <w:szCs w:val="20"/>
        </w:rPr>
        <w:t xml:space="preserve"> (IL-1β) and (TNF-α), which modulate intracellular GC (</w:t>
      </w:r>
      <w:proofErr w:type="spellStart"/>
      <w:r w:rsidRPr="00C9559D">
        <w:rPr>
          <w:sz w:val="20"/>
          <w:szCs w:val="20"/>
        </w:rPr>
        <w:t>glucocorticoid</w:t>
      </w:r>
      <w:proofErr w:type="spellEnd"/>
      <w:r w:rsidRPr="00C9559D">
        <w:rPr>
          <w:sz w:val="20"/>
          <w:szCs w:val="20"/>
        </w:rPr>
        <w:t>) metabolism. This may contribute to the nonlinear dose–response curve for stimulation and suppression of inflammation by steroid injection, and therefore subsequently lead to functional improvement</w:t>
      </w:r>
      <w:r w:rsidRPr="00C9559D">
        <w:rPr>
          <w:b/>
          <w:bCs/>
          <w:i/>
          <w:iCs/>
          <w:sz w:val="20"/>
          <w:szCs w:val="20"/>
        </w:rPr>
        <w:t xml:space="preserve"> (</w:t>
      </w:r>
      <w:proofErr w:type="spellStart"/>
      <w:r w:rsidRPr="00C9559D">
        <w:rPr>
          <w:b/>
          <w:bCs/>
          <w:i/>
          <w:iCs/>
          <w:sz w:val="20"/>
          <w:szCs w:val="20"/>
        </w:rPr>
        <w:t>Frew</w:t>
      </w:r>
      <w:proofErr w:type="spellEnd"/>
      <w:r w:rsidRPr="00C9559D">
        <w:rPr>
          <w:b/>
          <w:bCs/>
          <w:i/>
          <w:iCs/>
          <w:sz w:val="20"/>
          <w:szCs w:val="20"/>
        </w:rPr>
        <w:t>, 2019).</w:t>
      </w:r>
    </w:p>
    <w:p w:rsidR="00414D55" w:rsidRPr="00C9559D" w:rsidRDefault="00414D55" w:rsidP="00E616B2">
      <w:pPr>
        <w:snapToGrid w:val="0"/>
        <w:ind w:firstLine="425"/>
        <w:jc w:val="both"/>
        <w:rPr>
          <w:b/>
          <w:bCs/>
          <w:i/>
          <w:iCs/>
          <w:sz w:val="20"/>
          <w:szCs w:val="20"/>
        </w:rPr>
      </w:pPr>
      <w:r w:rsidRPr="00C9559D">
        <w:rPr>
          <w:sz w:val="20"/>
          <w:szCs w:val="20"/>
        </w:rPr>
        <w:t xml:space="preserve">Our results of correlation studies agreed with </w:t>
      </w:r>
      <w:proofErr w:type="spellStart"/>
      <w:r w:rsidRPr="00C9559D">
        <w:rPr>
          <w:sz w:val="20"/>
          <w:szCs w:val="20"/>
        </w:rPr>
        <w:t>Kotb</w:t>
      </w:r>
      <w:proofErr w:type="spellEnd"/>
      <w:r w:rsidRPr="00C9559D">
        <w:rPr>
          <w:sz w:val="20"/>
          <w:szCs w:val="20"/>
        </w:rPr>
        <w:t xml:space="preserve"> and co-workers in 2018</w:t>
      </w:r>
      <w:r w:rsidRPr="00C9559D">
        <w:rPr>
          <w:b/>
          <w:bCs/>
          <w:i/>
          <w:iCs/>
          <w:sz w:val="20"/>
          <w:szCs w:val="20"/>
        </w:rPr>
        <w:t xml:space="preserve"> </w:t>
      </w:r>
      <w:r w:rsidRPr="00C9559D">
        <w:rPr>
          <w:sz w:val="20"/>
          <w:szCs w:val="20"/>
        </w:rPr>
        <w:t>who</w:t>
      </w:r>
      <w:r w:rsidRPr="00C9559D">
        <w:rPr>
          <w:b/>
          <w:bCs/>
          <w:i/>
          <w:iCs/>
          <w:sz w:val="20"/>
          <w:szCs w:val="20"/>
        </w:rPr>
        <w:t xml:space="preserve"> </w:t>
      </w:r>
      <w:r w:rsidRPr="00C9559D">
        <w:rPr>
          <w:sz w:val="20"/>
          <w:szCs w:val="20"/>
        </w:rPr>
        <w:t xml:space="preserve">studied CT-guided </w:t>
      </w:r>
      <w:proofErr w:type="spellStart"/>
      <w:r w:rsidRPr="00C9559D">
        <w:rPr>
          <w:sz w:val="20"/>
          <w:szCs w:val="20"/>
        </w:rPr>
        <w:t>transforaminal</w:t>
      </w:r>
      <w:proofErr w:type="spellEnd"/>
      <w:r w:rsidRPr="00C9559D">
        <w:rPr>
          <w:sz w:val="20"/>
          <w:szCs w:val="20"/>
        </w:rPr>
        <w:t xml:space="preserve"> epidural steroid injection and vertebral axial decompression in the management of acute lumbar disc </w:t>
      </w:r>
      <w:proofErr w:type="spellStart"/>
      <w:r w:rsidRPr="00C9559D">
        <w:rPr>
          <w:sz w:val="20"/>
          <w:szCs w:val="20"/>
        </w:rPr>
        <w:t>herniation</w:t>
      </w:r>
      <w:proofErr w:type="spellEnd"/>
      <w:r w:rsidRPr="00C9559D">
        <w:rPr>
          <w:sz w:val="20"/>
          <w:szCs w:val="20"/>
        </w:rPr>
        <w:t xml:space="preserve">, and reported a significant inverse correlation between disease duration with each of VAS and ODI percent of improvement </w:t>
      </w:r>
      <w:r w:rsidRPr="00C9559D">
        <w:rPr>
          <w:b/>
          <w:bCs/>
          <w:i/>
          <w:iCs/>
          <w:sz w:val="20"/>
          <w:szCs w:val="20"/>
        </w:rPr>
        <w:t>(</w:t>
      </w:r>
      <w:proofErr w:type="spellStart"/>
      <w:r w:rsidRPr="00C9559D">
        <w:rPr>
          <w:b/>
          <w:bCs/>
          <w:i/>
          <w:iCs/>
          <w:sz w:val="20"/>
          <w:szCs w:val="20"/>
        </w:rPr>
        <w:t>Kotb</w:t>
      </w:r>
      <w:proofErr w:type="spellEnd"/>
      <w:r w:rsidRPr="00C9559D">
        <w:rPr>
          <w:b/>
          <w:bCs/>
          <w:i/>
          <w:iCs/>
          <w:sz w:val="20"/>
          <w:szCs w:val="20"/>
        </w:rPr>
        <w:t xml:space="preserve"> et al., 2018). </w:t>
      </w:r>
      <w:r w:rsidRPr="00C9559D">
        <w:rPr>
          <w:sz w:val="20"/>
          <w:szCs w:val="20"/>
        </w:rPr>
        <w:t>On the other hand,</w:t>
      </w:r>
      <w:r w:rsidRPr="00C9559D">
        <w:rPr>
          <w:b/>
          <w:bCs/>
          <w:i/>
          <w:iCs/>
          <w:sz w:val="20"/>
          <w:szCs w:val="20"/>
        </w:rPr>
        <w:t xml:space="preserve"> </w:t>
      </w:r>
      <w:proofErr w:type="spellStart"/>
      <w:r w:rsidRPr="00C9559D">
        <w:rPr>
          <w:b/>
          <w:bCs/>
          <w:i/>
          <w:iCs/>
          <w:sz w:val="20"/>
          <w:szCs w:val="20"/>
        </w:rPr>
        <w:t>Seo</w:t>
      </w:r>
      <w:proofErr w:type="spellEnd"/>
      <w:r w:rsidRPr="00C9559D">
        <w:rPr>
          <w:b/>
          <w:bCs/>
          <w:i/>
          <w:iCs/>
          <w:sz w:val="20"/>
          <w:szCs w:val="20"/>
        </w:rPr>
        <w:t xml:space="preserve"> et al. (2019) </w:t>
      </w:r>
      <w:r w:rsidRPr="00C9559D">
        <w:rPr>
          <w:sz w:val="20"/>
          <w:szCs w:val="20"/>
        </w:rPr>
        <w:t xml:space="preserve">studied the responsiveness of outcome measures after spine injection, and reported poor agreement between the </w:t>
      </w:r>
      <w:proofErr w:type="spellStart"/>
      <w:r w:rsidRPr="00C9559D">
        <w:rPr>
          <w:sz w:val="20"/>
          <w:szCs w:val="20"/>
        </w:rPr>
        <w:t>Oswestry</w:t>
      </w:r>
      <w:proofErr w:type="spellEnd"/>
      <w:r w:rsidRPr="00C9559D">
        <w:rPr>
          <w:sz w:val="20"/>
          <w:szCs w:val="20"/>
        </w:rPr>
        <w:t xml:space="preserve"> disability index and the other measures especially VAS score (</w:t>
      </w:r>
      <w:proofErr w:type="spellStart"/>
      <w:r w:rsidRPr="00C9559D">
        <w:rPr>
          <w:sz w:val="20"/>
          <w:szCs w:val="20"/>
        </w:rPr>
        <w:t>Intraclass</w:t>
      </w:r>
      <w:proofErr w:type="spellEnd"/>
      <w:r w:rsidRPr="00C9559D">
        <w:rPr>
          <w:sz w:val="20"/>
          <w:szCs w:val="20"/>
        </w:rPr>
        <w:t xml:space="preserve"> correlation coefficient was 0.160). This disagreement between our study and </w:t>
      </w:r>
      <w:proofErr w:type="spellStart"/>
      <w:r w:rsidRPr="00C9559D">
        <w:rPr>
          <w:sz w:val="20"/>
          <w:szCs w:val="20"/>
        </w:rPr>
        <w:t>Seo</w:t>
      </w:r>
      <w:proofErr w:type="spellEnd"/>
      <w:r w:rsidRPr="00C9559D">
        <w:rPr>
          <w:sz w:val="20"/>
          <w:szCs w:val="20"/>
        </w:rPr>
        <w:t xml:space="preserve">’ study may be due to difference in study population </w:t>
      </w:r>
      <w:proofErr w:type="spellStart"/>
      <w:r w:rsidRPr="00C9559D">
        <w:rPr>
          <w:sz w:val="20"/>
          <w:szCs w:val="20"/>
        </w:rPr>
        <w:t>Seo</w:t>
      </w:r>
      <w:proofErr w:type="spellEnd"/>
      <w:r w:rsidRPr="00C9559D">
        <w:rPr>
          <w:sz w:val="20"/>
          <w:szCs w:val="20"/>
        </w:rPr>
        <w:t xml:space="preserve"> included 164 patients with neck or low back pain who and received prior spine injections. Also, </w:t>
      </w:r>
      <w:proofErr w:type="spellStart"/>
      <w:r w:rsidRPr="00C9559D">
        <w:rPr>
          <w:sz w:val="20"/>
          <w:szCs w:val="20"/>
        </w:rPr>
        <w:t>Seo</w:t>
      </w:r>
      <w:proofErr w:type="spellEnd"/>
      <w:r w:rsidRPr="00C9559D">
        <w:rPr>
          <w:sz w:val="20"/>
          <w:szCs w:val="20"/>
        </w:rPr>
        <w:t>’ study was retrospective and lacked careful follow up for disability assessment</w:t>
      </w:r>
      <w:r w:rsidR="00B84556" w:rsidRPr="00C9559D">
        <w:rPr>
          <w:sz w:val="20"/>
          <w:szCs w:val="20"/>
        </w:rPr>
        <w:t>.</w:t>
      </w:r>
    </w:p>
    <w:p w:rsidR="00EA0D94" w:rsidRPr="00C9559D" w:rsidRDefault="00EA0D94" w:rsidP="00E616B2">
      <w:pPr>
        <w:snapToGrid w:val="0"/>
        <w:jc w:val="both"/>
        <w:rPr>
          <w:b/>
          <w:bCs/>
          <w:sz w:val="20"/>
          <w:szCs w:val="20"/>
        </w:rPr>
      </w:pPr>
    </w:p>
    <w:p w:rsidR="00414D55" w:rsidRPr="00C9559D" w:rsidRDefault="00EA0D94" w:rsidP="00E616B2">
      <w:pPr>
        <w:snapToGrid w:val="0"/>
        <w:jc w:val="both"/>
        <w:rPr>
          <w:sz w:val="20"/>
          <w:szCs w:val="20"/>
        </w:rPr>
      </w:pPr>
      <w:r w:rsidRPr="00C9559D">
        <w:rPr>
          <w:b/>
          <w:bCs/>
          <w:sz w:val="20"/>
          <w:szCs w:val="20"/>
        </w:rPr>
        <w:t>Conclusion</w:t>
      </w:r>
    </w:p>
    <w:p w:rsidR="00414D55" w:rsidRPr="00C9559D" w:rsidRDefault="00414D55" w:rsidP="00E616B2">
      <w:pPr>
        <w:snapToGrid w:val="0"/>
        <w:ind w:firstLine="425"/>
        <w:jc w:val="both"/>
        <w:rPr>
          <w:sz w:val="20"/>
          <w:szCs w:val="20"/>
        </w:rPr>
      </w:pPr>
      <w:r w:rsidRPr="00C9559D">
        <w:rPr>
          <w:sz w:val="20"/>
          <w:szCs w:val="20"/>
        </w:rPr>
        <w:t>Steroid injection treatment resulted in significant improvement of pain intensity and reduction in functional impairment, this improvement occurred during the 1</w:t>
      </w:r>
      <w:r w:rsidRPr="00C9559D">
        <w:rPr>
          <w:sz w:val="20"/>
          <w:szCs w:val="20"/>
          <w:vertAlign w:val="superscript"/>
        </w:rPr>
        <w:t>st</w:t>
      </w:r>
      <w:r w:rsidRPr="00C9559D">
        <w:rPr>
          <w:sz w:val="20"/>
          <w:szCs w:val="20"/>
        </w:rPr>
        <w:t xml:space="preserve"> month post-injection and continued for at least 3 months post-injection.</w:t>
      </w:r>
      <w:r w:rsidR="00D51578" w:rsidRPr="00C9559D">
        <w:rPr>
          <w:sz w:val="20"/>
          <w:szCs w:val="20"/>
        </w:rPr>
        <w:t xml:space="preserve"> </w:t>
      </w:r>
      <w:r w:rsidRPr="00C9559D">
        <w:rPr>
          <w:sz w:val="20"/>
          <w:szCs w:val="20"/>
        </w:rPr>
        <w:t>Steroid injection had the highest functional improvement that was significantly associated with pain control, especially in patients with shorter disease duration.</w:t>
      </w:r>
    </w:p>
    <w:p w:rsidR="00EA0D94" w:rsidRPr="00C9559D" w:rsidRDefault="00EA0D94" w:rsidP="00E616B2">
      <w:pPr>
        <w:snapToGrid w:val="0"/>
        <w:jc w:val="both"/>
        <w:rPr>
          <w:b/>
          <w:bCs/>
          <w:sz w:val="20"/>
          <w:szCs w:val="20"/>
        </w:rPr>
      </w:pPr>
    </w:p>
    <w:p w:rsidR="00414D55" w:rsidRPr="00C9559D" w:rsidRDefault="00EA0D94" w:rsidP="00E616B2">
      <w:pPr>
        <w:snapToGrid w:val="0"/>
        <w:jc w:val="both"/>
        <w:rPr>
          <w:b/>
          <w:bCs/>
          <w:sz w:val="20"/>
          <w:szCs w:val="20"/>
        </w:rPr>
      </w:pPr>
      <w:r w:rsidRPr="00C9559D">
        <w:rPr>
          <w:b/>
          <w:bCs/>
          <w:sz w:val="20"/>
          <w:szCs w:val="20"/>
        </w:rPr>
        <w:t>References</w:t>
      </w:r>
    </w:p>
    <w:p w:rsidR="001E2F0A" w:rsidRPr="00C9559D" w:rsidRDefault="001E2F0A" w:rsidP="00E616B2">
      <w:pPr>
        <w:pStyle w:val="ListParagraph"/>
        <w:numPr>
          <w:ilvl w:val="0"/>
          <w:numId w:val="10"/>
        </w:numPr>
        <w:snapToGrid w:val="0"/>
        <w:ind w:left="425" w:firstLineChars="0" w:hanging="425"/>
        <w:jc w:val="both"/>
        <w:rPr>
          <w:sz w:val="20"/>
          <w:szCs w:val="20"/>
        </w:rPr>
      </w:pPr>
      <w:bookmarkStart w:id="1" w:name="_Hlk536767276"/>
      <w:proofErr w:type="spellStart"/>
      <w:r w:rsidRPr="00C9559D">
        <w:rPr>
          <w:bCs/>
          <w:sz w:val="20"/>
          <w:szCs w:val="20"/>
        </w:rPr>
        <w:t>Batistaki</w:t>
      </w:r>
      <w:proofErr w:type="spellEnd"/>
      <w:r w:rsidR="00D51578" w:rsidRPr="00C9559D">
        <w:rPr>
          <w:bCs/>
          <w:sz w:val="20"/>
          <w:szCs w:val="20"/>
        </w:rPr>
        <w:t xml:space="preserve"> </w:t>
      </w:r>
      <w:r w:rsidRPr="00C9559D">
        <w:rPr>
          <w:bCs/>
          <w:sz w:val="20"/>
          <w:szCs w:val="20"/>
        </w:rPr>
        <w:t>C,</w:t>
      </w:r>
      <w:r w:rsidR="00D51578" w:rsidRPr="00C9559D">
        <w:rPr>
          <w:bCs/>
          <w:sz w:val="20"/>
          <w:szCs w:val="20"/>
        </w:rPr>
        <w:t xml:space="preserve"> </w:t>
      </w:r>
      <w:proofErr w:type="spellStart"/>
      <w:r w:rsidRPr="00C9559D">
        <w:rPr>
          <w:bCs/>
          <w:sz w:val="20"/>
          <w:szCs w:val="20"/>
        </w:rPr>
        <w:t>Angelopoulou</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proofErr w:type="spellStart"/>
      <w:r w:rsidRPr="00C9559D">
        <w:rPr>
          <w:bCs/>
          <w:sz w:val="20"/>
          <w:szCs w:val="20"/>
        </w:rPr>
        <w:t>Smyrnioti</w:t>
      </w:r>
      <w:proofErr w:type="spellEnd"/>
      <w:r w:rsidR="00D51578" w:rsidRPr="00C9559D">
        <w:rPr>
          <w:bCs/>
          <w:sz w:val="20"/>
          <w:szCs w:val="20"/>
        </w:rPr>
        <w:t xml:space="preserve"> </w:t>
      </w:r>
      <w:r w:rsidRPr="00C9559D">
        <w:rPr>
          <w:bCs/>
          <w:sz w:val="20"/>
          <w:szCs w:val="20"/>
        </w:rPr>
        <w:t>ME,</w:t>
      </w:r>
      <w:r w:rsidR="00D51578" w:rsidRPr="00C9559D">
        <w:rPr>
          <w:bCs/>
          <w:sz w:val="20"/>
          <w:szCs w:val="20"/>
        </w:rPr>
        <w:t xml:space="preserve"> </w:t>
      </w:r>
      <w:proofErr w:type="spellStart"/>
      <w:r w:rsidRPr="00C9559D">
        <w:rPr>
          <w:bCs/>
          <w:sz w:val="20"/>
          <w:szCs w:val="20"/>
        </w:rPr>
        <w:t>Kitsou</w:t>
      </w:r>
      <w:proofErr w:type="spellEnd"/>
      <w:r w:rsidR="00D51578" w:rsidRPr="00C9559D">
        <w:rPr>
          <w:bCs/>
          <w:sz w:val="20"/>
          <w:szCs w:val="20"/>
        </w:rPr>
        <w:t xml:space="preserve"> </w:t>
      </w:r>
      <w:r w:rsidRPr="00C9559D">
        <w:rPr>
          <w:bCs/>
          <w:sz w:val="20"/>
          <w:szCs w:val="20"/>
        </w:rPr>
        <w:t>MC</w:t>
      </w:r>
      <w:r w:rsidR="00D51578" w:rsidRPr="00C9559D">
        <w:rPr>
          <w:bCs/>
          <w:sz w:val="20"/>
          <w:szCs w:val="20"/>
        </w:rPr>
        <w:t xml:space="preserve"> </w:t>
      </w:r>
      <w:r w:rsidRPr="00C9559D">
        <w:rPr>
          <w:bCs/>
          <w:sz w:val="20"/>
          <w:szCs w:val="20"/>
        </w:rPr>
        <w:t>and</w:t>
      </w:r>
      <w:r w:rsidR="00D51578" w:rsidRPr="00C9559D">
        <w:rPr>
          <w:bCs/>
          <w:sz w:val="20"/>
          <w:szCs w:val="20"/>
        </w:rPr>
        <w:t xml:space="preserve"> </w:t>
      </w:r>
      <w:proofErr w:type="spellStart"/>
      <w:r w:rsidRPr="00C9559D">
        <w:rPr>
          <w:bCs/>
          <w:sz w:val="20"/>
          <w:szCs w:val="20"/>
        </w:rPr>
        <w:t>Kostopanagiotou</w:t>
      </w:r>
      <w:proofErr w:type="spellEnd"/>
      <w:r w:rsidR="00D51578" w:rsidRPr="00C9559D">
        <w:rPr>
          <w:bCs/>
          <w:sz w:val="20"/>
          <w:szCs w:val="20"/>
        </w:rPr>
        <w:t xml:space="preserve"> </w:t>
      </w:r>
      <w:r w:rsidRPr="00C9559D">
        <w:rPr>
          <w:bCs/>
          <w:sz w:val="20"/>
          <w:szCs w:val="20"/>
        </w:rPr>
        <w:t>G</w:t>
      </w:r>
      <w:r w:rsidR="00D51578" w:rsidRPr="00C9559D">
        <w:rPr>
          <w:bCs/>
          <w:sz w:val="20"/>
          <w:szCs w:val="20"/>
        </w:rPr>
        <w:t xml:space="preserve"> </w:t>
      </w:r>
      <w:r w:rsidRPr="00C9559D">
        <w:rPr>
          <w:bCs/>
          <w:sz w:val="20"/>
          <w:szCs w:val="20"/>
        </w:rPr>
        <w:t>(2017):</w:t>
      </w:r>
      <w:r w:rsidR="00D51578" w:rsidRPr="00C9559D">
        <w:rPr>
          <w:bCs/>
          <w:sz w:val="20"/>
          <w:szCs w:val="20"/>
        </w:rPr>
        <w:t xml:space="preserve"> </w:t>
      </w:r>
      <w:proofErr w:type="spellStart"/>
      <w:r w:rsidRPr="00C9559D">
        <w:rPr>
          <w:sz w:val="20"/>
          <w:szCs w:val="20"/>
        </w:rPr>
        <w:t>Electromyographic</w:t>
      </w:r>
      <w:proofErr w:type="spellEnd"/>
      <w:r w:rsidR="00D51578" w:rsidRPr="00C9559D">
        <w:rPr>
          <w:sz w:val="20"/>
          <w:szCs w:val="20"/>
        </w:rPr>
        <w:t xml:space="preserve"> </w:t>
      </w:r>
      <w:r w:rsidRPr="00C9559D">
        <w:rPr>
          <w:sz w:val="20"/>
          <w:szCs w:val="20"/>
        </w:rPr>
        <w:t>Findings</w:t>
      </w:r>
      <w:r w:rsidR="00D51578" w:rsidRPr="00C9559D">
        <w:rPr>
          <w:sz w:val="20"/>
          <w:szCs w:val="20"/>
        </w:rPr>
        <w:t xml:space="preserve"> </w:t>
      </w:r>
      <w:r w:rsidRPr="00C9559D">
        <w:rPr>
          <w:sz w:val="20"/>
          <w:szCs w:val="20"/>
        </w:rPr>
        <w:t>After</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Patients</w:t>
      </w:r>
      <w:r w:rsidR="00D51578" w:rsidRPr="00C9559D">
        <w:rPr>
          <w:sz w:val="20"/>
          <w:szCs w:val="20"/>
        </w:rPr>
        <w:t xml:space="preserve"> </w:t>
      </w:r>
      <w:r w:rsidRPr="00C9559D">
        <w:rPr>
          <w:sz w:val="20"/>
          <w:szCs w:val="20"/>
        </w:rPr>
        <w:t>with</w:t>
      </w:r>
      <w:r w:rsidR="00D51578" w:rsidRPr="00C9559D">
        <w:rPr>
          <w:sz w:val="20"/>
          <w:szCs w:val="20"/>
        </w:rPr>
        <w:t xml:space="preserve"> </w:t>
      </w:r>
      <w:proofErr w:type="spellStart"/>
      <w:r w:rsidRPr="00C9559D">
        <w:rPr>
          <w:sz w:val="20"/>
          <w:szCs w:val="20"/>
        </w:rPr>
        <w:t>Radicular</w:t>
      </w:r>
      <w:proofErr w:type="spellEnd"/>
      <w:r w:rsidR="00D51578" w:rsidRPr="00C9559D">
        <w:rPr>
          <w:sz w:val="20"/>
          <w:szCs w:val="20"/>
        </w:rPr>
        <w:t xml:space="preserve"> </w:t>
      </w:r>
      <w:r w:rsidRPr="00C9559D">
        <w:rPr>
          <w:sz w:val="20"/>
          <w:szCs w:val="20"/>
        </w:rPr>
        <w:t>Low</w:t>
      </w:r>
      <w:r w:rsidR="00D51578" w:rsidRPr="00C9559D">
        <w:rPr>
          <w:sz w:val="20"/>
          <w:szCs w:val="20"/>
        </w:rPr>
        <w:t xml:space="preserve"> </w:t>
      </w:r>
      <w:r w:rsidRPr="00C9559D">
        <w:rPr>
          <w:sz w:val="20"/>
          <w:szCs w:val="20"/>
        </w:rPr>
        <w:t>Back</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Prospective</w:t>
      </w:r>
      <w:r w:rsidR="00D51578" w:rsidRPr="00C9559D">
        <w:rPr>
          <w:sz w:val="20"/>
          <w:szCs w:val="20"/>
        </w:rPr>
        <w:t xml:space="preserve"> </w:t>
      </w:r>
      <w:r w:rsidRPr="00C9559D">
        <w:rPr>
          <w:sz w:val="20"/>
          <w:szCs w:val="20"/>
        </w:rPr>
        <w:t>Open-Label</w:t>
      </w:r>
      <w:r w:rsidR="00D51578" w:rsidRPr="00C9559D">
        <w:rPr>
          <w:sz w:val="20"/>
          <w:szCs w:val="20"/>
        </w:rPr>
        <w:t xml:space="preserve"> </w:t>
      </w:r>
      <w:r w:rsidRPr="00C9559D">
        <w:rPr>
          <w:sz w:val="20"/>
          <w:szCs w:val="20"/>
        </w:rPr>
        <w:t>Study.</w:t>
      </w:r>
      <w:r w:rsidR="00D51578" w:rsidRPr="00C9559D">
        <w:rPr>
          <w:sz w:val="20"/>
          <w:szCs w:val="20"/>
        </w:rPr>
        <w:t xml:space="preserve"> </w:t>
      </w:r>
      <w:r w:rsidRPr="00C9559D">
        <w:rPr>
          <w:sz w:val="20"/>
          <w:szCs w:val="20"/>
        </w:rPr>
        <w:t>Anesthesiology</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7(6).</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Beyaz</w:t>
      </w:r>
      <w:proofErr w:type="spellEnd"/>
      <w:r w:rsidR="00D51578" w:rsidRPr="00C9559D">
        <w:rPr>
          <w:bCs/>
          <w:sz w:val="20"/>
          <w:szCs w:val="20"/>
        </w:rPr>
        <w:t xml:space="preserve"> </w:t>
      </w:r>
      <w:r w:rsidRPr="00C9559D">
        <w:rPr>
          <w:bCs/>
          <w:sz w:val="20"/>
          <w:szCs w:val="20"/>
        </w:rPr>
        <w:t>SG</w:t>
      </w:r>
      <w:r w:rsidR="00D51578" w:rsidRPr="00C9559D">
        <w:rPr>
          <w:bCs/>
          <w:sz w:val="20"/>
          <w:szCs w:val="20"/>
        </w:rPr>
        <w:t xml:space="preserve"> </w:t>
      </w:r>
      <w:r w:rsidRPr="00C9559D">
        <w:rPr>
          <w:bCs/>
          <w:sz w:val="20"/>
          <w:szCs w:val="20"/>
        </w:rPr>
        <w:t>(2017):</w:t>
      </w:r>
      <w:r w:rsidR="00D51578" w:rsidRPr="00C9559D">
        <w:rPr>
          <w:sz w:val="20"/>
          <w:szCs w:val="20"/>
        </w:rPr>
        <w:t xml:space="preserve"> </w:t>
      </w:r>
      <w:r w:rsidRPr="00C9559D">
        <w:rPr>
          <w:sz w:val="20"/>
          <w:szCs w:val="20"/>
        </w:rPr>
        <w:t>Comparison</w:t>
      </w:r>
      <w:r w:rsidR="00D51578" w:rsidRPr="00C9559D">
        <w:rPr>
          <w:sz w:val="20"/>
          <w:szCs w:val="20"/>
        </w:rPr>
        <w:t xml:space="preserve"> </w:t>
      </w:r>
      <w:r w:rsidRPr="00C9559D">
        <w:rPr>
          <w:sz w:val="20"/>
          <w:szCs w:val="20"/>
        </w:rPr>
        <w:t>of</w:t>
      </w:r>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and</w:t>
      </w:r>
      <w:r w:rsidR="00D51578" w:rsidRPr="00C9559D">
        <w:rPr>
          <w:sz w:val="20"/>
          <w:szCs w:val="20"/>
        </w:rPr>
        <w:t xml:space="preserve"> </w:t>
      </w:r>
      <w:proofErr w:type="spellStart"/>
      <w:r w:rsidRPr="00C9559D">
        <w:rPr>
          <w:sz w:val="20"/>
          <w:szCs w:val="20"/>
        </w:rPr>
        <w:t>interlaminar</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treatment</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chronic</w:t>
      </w:r>
      <w:r w:rsidR="00D51578" w:rsidRPr="00C9559D">
        <w:rPr>
          <w:sz w:val="20"/>
          <w:szCs w:val="20"/>
        </w:rPr>
        <w:t xml:space="preserve"> </w:t>
      </w:r>
      <w:r w:rsidRPr="00C9559D">
        <w:rPr>
          <w:sz w:val="20"/>
          <w:szCs w:val="20"/>
        </w:rPr>
        <w:t>lumbar</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Brazilian</w:t>
      </w:r>
      <w:r w:rsidR="00D51578" w:rsidRPr="00C9559D">
        <w:rPr>
          <w:sz w:val="20"/>
          <w:szCs w:val="20"/>
        </w:rPr>
        <w:t xml:space="preserve"> </w:t>
      </w:r>
      <w:r w:rsidRPr="00C9559D">
        <w:rPr>
          <w:sz w:val="20"/>
          <w:szCs w:val="20"/>
        </w:rPr>
        <w:t>Journal</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Anesthesiology</w:t>
      </w:r>
      <w:r w:rsidR="00D51578" w:rsidRPr="00C9559D">
        <w:rPr>
          <w:sz w:val="20"/>
          <w:szCs w:val="20"/>
        </w:rPr>
        <w:t xml:space="preserve"> </w:t>
      </w:r>
      <w:r w:rsidRPr="00C9559D">
        <w:rPr>
          <w:sz w:val="20"/>
          <w:szCs w:val="20"/>
        </w:rPr>
        <w:t>(English</w:t>
      </w:r>
      <w:r w:rsidR="00D51578" w:rsidRPr="00C9559D">
        <w:rPr>
          <w:sz w:val="20"/>
          <w:szCs w:val="20"/>
        </w:rPr>
        <w:t xml:space="preserve"> </w:t>
      </w:r>
      <w:r w:rsidRPr="00C9559D">
        <w:rPr>
          <w:sz w:val="20"/>
          <w:szCs w:val="20"/>
        </w:rPr>
        <w:t>Edition);</w:t>
      </w:r>
      <w:r w:rsidR="00D51578" w:rsidRPr="00C9559D">
        <w:rPr>
          <w:sz w:val="20"/>
          <w:szCs w:val="20"/>
        </w:rPr>
        <w:t xml:space="preserve"> </w:t>
      </w:r>
      <w:r w:rsidRPr="00C9559D">
        <w:rPr>
          <w:sz w:val="20"/>
          <w:szCs w:val="20"/>
        </w:rPr>
        <w:t>67(1):</w:t>
      </w:r>
      <w:r w:rsidR="00D51578" w:rsidRPr="00C9559D">
        <w:rPr>
          <w:sz w:val="20"/>
          <w:szCs w:val="20"/>
        </w:rPr>
        <w:t xml:space="preserve"> </w:t>
      </w:r>
      <w:r w:rsidRPr="00C9559D">
        <w:rPr>
          <w:sz w:val="20"/>
          <w:szCs w:val="20"/>
        </w:rPr>
        <w:t>21-27.</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Bono</w:t>
      </w:r>
      <w:r w:rsidR="00D51578" w:rsidRPr="00C9559D">
        <w:rPr>
          <w:bCs/>
          <w:sz w:val="20"/>
          <w:szCs w:val="20"/>
        </w:rPr>
        <w:t xml:space="preserve"> </w:t>
      </w:r>
      <w:r w:rsidRPr="00C9559D">
        <w:rPr>
          <w:bCs/>
          <w:sz w:val="20"/>
          <w:szCs w:val="20"/>
        </w:rPr>
        <w:t>CM</w:t>
      </w:r>
      <w:r w:rsidR="00D51578" w:rsidRPr="00C9559D">
        <w:rPr>
          <w:bCs/>
          <w:sz w:val="20"/>
          <w:szCs w:val="20"/>
        </w:rPr>
        <w:t xml:space="preserve"> </w:t>
      </w:r>
      <w:r w:rsidRPr="00C9559D">
        <w:rPr>
          <w:bCs/>
          <w:sz w:val="20"/>
          <w:szCs w:val="20"/>
        </w:rPr>
        <w:t>(2018):</w:t>
      </w:r>
      <w:r w:rsidR="00D51578" w:rsidRPr="00C9559D">
        <w:rPr>
          <w:sz w:val="20"/>
          <w:szCs w:val="20"/>
        </w:rPr>
        <w:t xml:space="preserve"> </w:t>
      </w:r>
      <w:r w:rsidRPr="00C9559D">
        <w:rPr>
          <w:sz w:val="20"/>
          <w:szCs w:val="20"/>
        </w:rPr>
        <w:t>Lumbar</w:t>
      </w:r>
      <w:r w:rsidR="00D51578" w:rsidRPr="00C9559D">
        <w:rPr>
          <w:sz w:val="20"/>
          <w:szCs w:val="20"/>
        </w:rPr>
        <w:t xml:space="preserve"> </w:t>
      </w:r>
      <w:r w:rsidRPr="00C9559D">
        <w:rPr>
          <w:sz w:val="20"/>
          <w:szCs w:val="20"/>
        </w:rPr>
        <w:t>Disc</w:t>
      </w:r>
      <w:r w:rsidR="00D51578" w:rsidRPr="00C9559D">
        <w:rPr>
          <w:sz w:val="20"/>
          <w:szCs w:val="20"/>
        </w:rPr>
        <w:t xml:space="preserve"> </w:t>
      </w:r>
      <w:proofErr w:type="spellStart"/>
      <w:r w:rsidRPr="00C9559D">
        <w:rPr>
          <w:sz w:val="20"/>
          <w:szCs w:val="20"/>
        </w:rPr>
        <w:t>Herniation</w:t>
      </w:r>
      <w:proofErr w:type="spellEnd"/>
      <w:r w:rsidR="00D51578" w:rsidRPr="00C9559D">
        <w:rPr>
          <w:sz w:val="20"/>
          <w:szCs w:val="20"/>
        </w:rPr>
        <w:t xml:space="preserve"> </w:t>
      </w:r>
      <w:r w:rsidRPr="00C9559D">
        <w:rPr>
          <w:sz w:val="20"/>
          <w:szCs w:val="20"/>
        </w:rPr>
        <w:t>and</w:t>
      </w:r>
      <w:r w:rsidR="00D51578" w:rsidRPr="00C9559D">
        <w:rPr>
          <w:sz w:val="20"/>
          <w:szCs w:val="20"/>
        </w:rPr>
        <w:t xml:space="preserve"> </w:t>
      </w:r>
      <w:proofErr w:type="spellStart"/>
      <w:r w:rsidRPr="00C9559D">
        <w:rPr>
          <w:sz w:val="20"/>
          <w:szCs w:val="20"/>
        </w:rPr>
        <w:t>Radiculopathy</w:t>
      </w:r>
      <w:proofErr w:type="spellEnd"/>
      <w:r w:rsidRPr="00C9559D">
        <w:rPr>
          <w:sz w:val="20"/>
          <w:szCs w:val="20"/>
        </w:rPr>
        <w:t>.</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Principles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Orthopedic</w:t>
      </w:r>
      <w:r w:rsidR="00D51578" w:rsidRPr="00C9559D">
        <w:rPr>
          <w:sz w:val="20"/>
          <w:szCs w:val="20"/>
        </w:rPr>
        <w:t xml:space="preserve"> </w:t>
      </w:r>
      <w:r w:rsidRPr="00C9559D">
        <w:rPr>
          <w:sz w:val="20"/>
          <w:szCs w:val="20"/>
        </w:rPr>
        <w:t>Practice</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Primary</w:t>
      </w:r>
      <w:r w:rsidR="00D51578" w:rsidRPr="00C9559D">
        <w:rPr>
          <w:sz w:val="20"/>
          <w:szCs w:val="20"/>
        </w:rPr>
        <w:t xml:space="preserve"> </w:t>
      </w:r>
      <w:r w:rsidRPr="00C9559D">
        <w:rPr>
          <w:sz w:val="20"/>
          <w:szCs w:val="20"/>
        </w:rPr>
        <w:t>Care</w:t>
      </w:r>
      <w:r w:rsidR="00D51578" w:rsidRPr="00C9559D">
        <w:rPr>
          <w:sz w:val="20"/>
          <w:szCs w:val="20"/>
        </w:rPr>
        <w:t xml:space="preserve"> </w:t>
      </w:r>
      <w:r w:rsidRPr="00C9559D">
        <w:rPr>
          <w:sz w:val="20"/>
          <w:szCs w:val="20"/>
        </w:rPr>
        <w:t>Providers</w:t>
      </w:r>
      <w:r w:rsidR="00D51578" w:rsidRPr="00C9559D">
        <w:rPr>
          <w:sz w:val="20"/>
          <w:szCs w:val="20"/>
        </w:rPr>
        <w:t xml:space="preserve"> </w:t>
      </w:r>
      <w:r w:rsidRPr="00C9559D">
        <w:rPr>
          <w:sz w:val="20"/>
          <w:szCs w:val="20"/>
        </w:rPr>
        <w:t>(pp.</w:t>
      </w:r>
      <w:r w:rsidR="00D51578" w:rsidRPr="00C9559D">
        <w:rPr>
          <w:sz w:val="20"/>
          <w:szCs w:val="20"/>
        </w:rPr>
        <w:t xml:space="preserve"> </w:t>
      </w:r>
      <w:r w:rsidRPr="00C9559D">
        <w:rPr>
          <w:sz w:val="20"/>
          <w:szCs w:val="20"/>
        </w:rPr>
        <w:t>37-46).</w:t>
      </w:r>
      <w:r w:rsidR="00D51578" w:rsidRPr="00C9559D">
        <w:rPr>
          <w:sz w:val="20"/>
          <w:szCs w:val="20"/>
        </w:rPr>
        <w:t xml:space="preserve"> </w:t>
      </w:r>
      <w:r w:rsidRPr="00C9559D">
        <w:rPr>
          <w:sz w:val="20"/>
          <w:szCs w:val="20"/>
        </w:rPr>
        <w:t>Springer,</w:t>
      </w:r>
      <w:r w:rsidR="00D51578" w:rsidRPr="00C9559D">
        <w:rPr>
          <w:sz w:val="20"/>
          <w:szCs w:val="20"/>
        </w:rPr>
        <w:t xml:space="preserve"> </w:t>
      </w:r>
      <w:r w:rsidRPr="00C9559D">
        <w:rPr>
          <w:sz w:val="20"/>
          <w:szCs w:val="20"/>
        </w:rPr>
        <w:t>Cham.</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lastRenderedPageBreak/>
        <w:t>Cathelin</w:t>
      </w:r>
      <w:proofErr w:type="spellEnd"/>
      <w:r w:rsidR="00D51578" w:rsidRPr="00C9559D">
        <w:rPr>
          <w:bCs/>
          <w:sz w:val="20"/>
          <w:szCs w:val="20"/>
        </w:rPr>
        <w:t xml:space="preserve"> </w:t>
      </w:r>
      <w:r w:rsidRPr="00C9559D">
        <w:rPr>
          <w:bCs/>
          <w:sz w:val="20"/>
          <w:szCs w:val="20"/>
        </w:rPr>
        <w:t>MF.</w:t>
      </w:r>
      <w:r w:rsidR="00D51578" w:rsidRPr="00C9559D">
        <w:rPr>
          <w:bCs/>
          <w:sz w:val="20"/>
          <w:szCs w:val="20"/>
        </w:rPr>
        <w:t xml:space="preserve"> </w:t>
      </w:r>
      <w:r w:rsidRPr="00C9559D">
        <w:rPr>
          <w:sz w:val="20"/>
          <w:szCs w:val="20"/>
        </w:rPr>
        <w:t>Mode</w:t>
      </w:r>
      <w:r w:rsidR="00D51578" w:rsidRPr="00C9559D">
        <w:rPr>
          <w:sz w:val="20"/>
          <w:szCs w:val="20"/>
        </w:rPr>
        <w:t xml:space="preserve"> </w:t>
      </w:r>
      <w:proofErr w:type="spellStart"/>
      <w:r w:rsidRPr="00C9559D">
        <w:rPr>
          <w:sz w:val="20"/>
          <w:szCs w:val="20"/>
        </w:rPr>
        <w:t>d’action</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r w:rsidRPr="00C9559D">
        <w:rPr>
          <w:sz w:val="20"/>
          <w:szCs w:val="20"/>
        </w:rPr>
        <w:t>la</w:t>
      </w:r>
      <w:r w:rsidR="00D51578" w:rsidRPr="00C9559D">
        <w:rPr>
          <w:sz w:val="20"/>
          <w:szCs w:val="20"/>
        </w:rPr>
        <w:t xml:space="preserve"> </w:t>
      </w:r>
      <w:r w:rsidRPr="00C9559D">
        <w:rPr>
          <w:sz w:val="20"/>
          <w:szCs w:val="20"/>
        </w:rPr>
        <w:t>cocaine</w:t>
      </w:r>
      <w:r w:rsidR="00D51578" w:rsidRPr="00C9559D">
        <w:rPr>
          <w:sz w:val="20"/>
          <w:szCs w:val="20"/>
        </w:rPr>
        <w:t xml:space="preserve"> </w:t>
      </w:r>
      <w:proofErr w:type="spellStart"/>
      <w:r w:rsidRPr="00C9559D">
        <w:rPr>
          <w:sz w:val="20"/>
          <w:szCs w:val="20"/>
        </w:rPr>
        <w:t>injecte</w:t>
      </w:r>
      <w:proofErr w:type="spellEnd"/>
      <w:r w:rsidR="00D51578" w:rsidRPr="00C9559D">
        <w:rPr>
          <w:sz w:val="20"/>
          <w:szCs w:val="20"/>
        </w:rPr>
        <w:t xml:space="preserve"> </w:t>
      </w:r>
      <w:proofErr w:type="spellStart"/>
      <w:r w:rsidRPr="00C9559D">
        <w:rPr>
          <w:sz w:val="20"/>
          <w:szCs w:val="20"/>
        </w:rPr>
        <w:t>dans</w:t>
      </w:r>
      <w:proofErr w:type="spellEnd"/>
      <w:r w:rsidR="00D51578" w:rsidRPr="00C9559D">
        <w:rPr>
          <w:sz w:val="20"/>
          <w:szCs w:val="20"/>
        </w:rPr>
        <w:t xml:space="preserve"> </w:t>
      </w:r>
      <w:proofErr w:type="spellStart"/>
      <w:r w:rsidRPr="00C9559D">
        <w:rPr>
          <w:sz w:val="20"/>
          <w:szCs w:val="20"/>
        </w:rPr>
        <w:t>l’escape</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par</w:t>
      </w:r>
      <w:r w:rsidR="00D51578" w:rsidRPr="00C9559D">
        <w:rPr>
          <w:sz w:val="20"/>
          <w:szCs w:val="20"/>
        </w:rPr>
        <w:t xml:space="preserve"> </w:t>
      </w:r>
      <w:r w:rsidRPr="00C9559D">
        <w:rPr>
          <w:sz w:val="20"/>
          <w:szCs w:val="20"/>
        </w:rPr>
        <w:t>le</w:t>
      </w:r>
      <w:r w:rsidR="00D51578" w:rsidRPr="00C9559D">
        <w:rPr>
          <w:sz w:val="20"/>
          <w:szCs w:val="20"/>
        </w:rPr>
        <w:t xml:space="preserve"> </w:t>
      </w:r>
      <w:proofErr w:type="spellStart"/>
      <w:r w:rsidRPr="00C9559D">
        <w:rPr>
          <w:sz w:val="20"/>
          <w:szCs w:val="20"/>
        </w:rPr>
        <w:t>procede</w:t>
      </w:r>
      <w:proofErr w:type="spellEnd"/>
      <w:r w:rsidR="00D51578" w:rsidRPr="00C9559D">
        <w:rPr>
          <w:sz w:val="20"/>
          <w:szCs w:val="20"/>
        </w:rPr>
        <w:t xml:space="preserve"> </w:t>
      </w:r>
      <w:r w:rsidRPr="00C9559D">
        <w:rPr>
          <w:sz w:val="20"/>
          <w:szCs w:val="20"/>
        </w:rPr>
        <w:t>du</w:t>
      </w:r>
      <w:r w:rsidR="00D51578" w:rsidRPr="00C9559D">
        <w:rPr>
          <w:sz w:val="20"/>
          <w:szCs w:val="20"/>
        </w:rPr>
        <w:t xml:space="preserve"> </w:t>
      </w:r>
      <w:r w:rsidRPr="00C9559D">
        <w:rPr>
          <w:sz w:val="20"/>
          <w:szCs w:val="20"/>
        </w:rPr>
        <w:t>canal</w:t>
      </w:r>
      <w:r w:rsidR="00D51578" w:rsidRPr="00C9559D">
        <w:rPr>
          <w:sz w:val="20"/>
          <w:szCs w:val="20"/>
        </w:rPr>
        <w:t xml:space="preserve"> </w:t>
      </w:r>
      <w:proofErr w:type="spellStart"/>
      <w:r w:rsidRPr="00C9559D">
        <w:rPr>
          <w:sz w:val="20"/>
          <w:szCs w:val="20"/>
        </w:rPr>
        <w:t>sacre</w:t>
      </w:r>
      <w:proofErr w:type="spellEnd"/>
      <w:r w:rsidRPr="00C9559D">
        <w:rPr>
          <w:sz w:val="20"/>
          <w:szCs w:val="20"/>
        </w:rPr>
        <w:t>.</w:t>
      </w:r>
      <w:r w:rsidR="00D51578" w:rsidRPr="00C9559D">
        <w:rPr>
          <w:sz w:val="20"/>
          <w:szCs w:val="20"/>
        </w:rPr>
        <w:t xml:space="preserve"> </w:t>
      </w:r>
      <w:proofErr w:type="spellStart"/>
      <w:r w:rsidRPr="00C9559D">
        <w:rPr>
          <w:sz w:val="20"/>
          <w:szCs w:val="20"/>
        </w:rPr>
        <w:t>Comptes</w:t>
      </w:r>
      <w:proofErr w:type="spellEnd"/>
      <w:r w:rsidR="00D51578" w:rsidRPr="00C9559D">
        <w:rPr>
          <w:sz w:val="20"/>
          <w:szCs w:val="20"/>
        </w:rPr>
        <w:t xml:space="preserve"> </w:t>
      </w:r>
      <w:proofErr w:type="spellStart"/>
      <w:r w:rsidRPr="00C9559D">
        <w:rPr>
          <w:sz w:val="20"/>
          <w:szCs w:val="20"/>
        </w:rPr>
        <w:t>Rendues</w:t>
      </w:r>
      <w:proofErr w:type="spellEnd"/>
      <w:r w:rsidR="00D51578" w:rsidRPr="00C9559D">
        <w:rPr>
          <w:sz w:val="20"/>
          <w:szCs w:val="20"/>
        </w:rPr>
        <w:t xml:space="preserve"> </w:t>
      </w:r>
      <w:r w:rsidRPr="00C9559D">
        <w:rPr>
          <w:sz w:val="20"/>
          <w:szCs w:val="20"/>
        </w:rPr>
        <w:t>des</w:t>
      </w:r>
      <w:r w:rsidR="00D51578" w:rsidRPr="00C9559D">
        <w:rPr>
          <w:sz w:val="20"/>
          <w:szCs w:val="20"/>
        </w:rPr>
        <w:t xml:space="preserve"> </w:t>
      </w:r>
      <w:proofErr w:type="spellStart"/>
      <w:r w:rsidRPr="00C9559D">
        <w:rPr>
          <w:sz w:val="20"/>
          <w:szCs w:val="20"/>
        </w:rPr>
        <w:t>Seances</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r w:rsidRPr="00C9559D">
        <w:rPr>
          <w:sz w:val="20"/>
          <w:szCs w:val="20"/>
        </w:rPr>
        <w:t>la</w:t>
      </w:r>
      <w:r w:rsidR="00D51578" w:rsidRPr="00C9559D">
        <w:rPr>
          <w:sz w:val="20"/>
          <w:szCs w:val="20"/>
        </w:rPr>
        <w:t xml:space="preserve"> </w:t>
      </w:r>
      <w:proofErr w:type="spellStart"/>
      <w:r w:rsidRPr="00C9559D">
        <w:rPr>
          <w:sz w:val="20"/>
          <w:szCs w:val="20"/>
        </w:rPr>
        <w:t>Societe</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proofErr w:type="spellStart"/>
      <w:r w:rsidRPr="00C9559D">
        <w:rPr>
          <w:sz w:val="20"/>
          <w:szCs w:val="20"/>
        </w:rPr>
        <w:t>Biologie</w:t>
      </w:r>
      <w:proofErr w:type="spellEnd"/>
      <w:r w:rsidR="00D51578" w:rsidRPr="00C9559D">
        <w:rPr>
          <w:sz w:val="20"/>
          <w:szCs w:val="20"/>
        </w:rPr>
        <w:t xml:space="preserve"> </w:t>
      </w:r>
      <w:r w:rsidRPr="00C9559D">
        <w:rPr>
          <w:sz w:val="20"/>
          <w:szCs w:val="20"/>
        </w:rPr>
        <w:t>et</w:t>
      </w:r>
      <w:r w:rsidR="00D51578" w:rsidRPr="00C9559D">
        <w:rPr>
          <w:sz w:val="20"/>
          <w:szCs w:val="20"/>
        </w:rPr>
        <w:t xml:space="preserve"> </w:t>
      </w:r>
      <w:r w:rsidRPr="00C9559D">
        <w:rPr>
          <w:sz w:val="20"/>
          <w:szCs w:val="20"/>
        </w:rPr>
        <w:t>de</w:t>
      </w:r>
      <w:r w:rsidR="00D51578" w:rsidRPr="00C9559D">
        <w:rPr>
          <w:sz w:val="20"/>
          <w:szCs w:val="20"/>
        </w:rPr>
        <w:t xml:space="preserve"> </w:t>
      </w:r>
      <w:proofErr w:type="spellStart"/>
      <w:r w:rsidRPr="00C9559D">
        <w:rPr>
          <w:sz w:val="20"/>
          <w:szCs w:val="20"/>
        </w:rPr>
        <w:t>ses</w:t>
      </w:r>
      <w:proofErr w:type="spellEnd"/>
      <w:r w:rsidR="00D51578" w:rsidRPr="00C9559D">
        <w:rPr>
          <w:sz w:val="20"/>
          <w:szCs w:val="20"/>
        </w:rPr>
        <w:t xml:space="preserve"> </w:t>
      </w:r>
      <w:proofErr w:type="spellStart"/>
      <w:r w:rsidRPr="00C9559D">
        <w:rPr>
          <w:sz w:val="20"/>
          <w:szCs w:val="20"/>
        </w:rPr>
        <w:t>Filliales</w:t>
      </w:r>
      <w:proofErr w:type="spellEnd"/>
      <w:r w:rsidR="00D51578" w:rsidRPr="00C9559D">
        <w:rPr>
          <w:sz w:val="20"/>
          <w:szCs w:val="20"/>
        </w:rPr>
        <w:t xml:space="preserve"> </w:t>
      </w:r>
      <w:r w:rsidRPr="00C9559D">
        <w:rPr>
          <w:sz w:val="20"/>
          <w:szCs w:val="20"/>
        </w:rPr>
        <w:t>(Paris)</w:t>
      </w:r>
      <w:r w:rsidR="00D51578" w:rsidRPr="00C9559D">
        <w:rPr>
          <w:sz w:val="20"/>
          <w:szCs w:val="20"/>
        </w:rPr>
        <w:t xml:space="preserve"> </w:t>
      </w:r>
      <w:r w:rsidRPr="00C9559D">
        <w:rPr>
          <w:sz w:val="20"/>
          <w:szCs w:val="20"/>
        </w:rPr>
        <w:t>1901;</w:t>
      </w:r>
      <w:r w:rsidR="00D51578" w:rsidRPr="00C9559D">
        <w:rPr>
          <w:sz w:val="20"/>
          <w:szCs w:val="20"/>
        </w:rPr>
        <w:t xml:space="preserve"> </w:t>
      </w:r>
      <w:r w:rsidRPr="00C9559D">
        <w:rPr>
          <w:sz w:val="20"/>
          <w:szCs w:val="20"/>
        </w:rPr>
        <w:t>43:487.</w:t>
      </w:r>
      <w:r w:rsidR="00D51578" w:rsidRPr="00C9559D">
        <w:rPr>
          <w:sz w:val="20"/>
          <w:szCs w:val="20"/>
        </w:rPr>
        <w:t xml:space="preserve"> </w:t>
      </w:r>
      <w:r w:rsidRPr="00C9559D">
        <w:rPr>
          <w:sz w:val="20"/>
          <w:szCs w:val="20"/>
        </w:rPr>
        <w:t>Quoted</w:t>
      </w:r>
      <w:r w:rsidR="00D51578" w:rsidRPr="00C9559D">
        <w:rPr>
          <w:sz w:val="20"/>
          <w:szCs w:val="20"/>
        </w:rPr>
        <w:t xml:space="preserve"> </w:t>
      </w:r>
      <w:r w:rsidRPr="00C9559D">
        <w:rPr>
          <w:sz w:val="20"/>
          <w:szCs w:val="20"/>
        </w:rPr>
        <w:t>from:</w:t>
      </w:r>
      <w:r w:rsidR="00D51578" w:rsidRPr="00C9559D">
        <w:rPr>
          <w:sz w:val="20"/>
          <w:szCs w:val="20"/>
        </w:rPr>
        <w:t xml:space="preserve"> </w:t>
      </w:r>
      <w:proofErr w:type="spellStart"/>
      <w:r w:rsidRPr="00C9559D">
        <w:rPr>
          <w:sz w:val="20"/>
          <w:szCs w:val="20"/>
        </w:rPr>
        <w:t>Ogoke</w:t>
      </w:r>
      <w:proofErr w:type="spellEnd"/>
      <w:r w:rsidR="00D51578" w:rsidRPr="00C9559D">
        <w:rPr>
          <w:sz w:val="20"/>
          <w:szCs w:val="20"/>
        </w:rPr>
        <w:t xml:space="preserve"> </w:t>
      </w:r>
      <w:r w:rsidRPr="00C9559D">
        <w:rPr>
          <w:sz w:val="20"/>
          <w:szCs w:val="20"/>
        </w:rPr>
        <w:t>BA.</w:t>
      </w:r>
      <w:r w:rsidR="00D51578" w:rsidRPr="00C9559D">
        <w:rPr>
          <w:sz w:val="20"/>
          <w:szCs w:val="20"/>
        </w:rPr>
        <w:t xml:space="preserve"> </w:t>
      </w:r>
      <w:r w:rsidRPr="00C9559D">
        <w:rPr>
          <w:sz w:val="20"/>
          <w:szCs w:val="20"/>
        </w:rPr>
        <w:t>Caudal</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Physician,</w:t>
      </w:r>
      <w:r w:rsidR="00D51578" w:rsidRPr="00C9559D">
        <w:rPr>
          <w:sz w:val="20"/>
          <w:szCs w:val="20"/>
        </w:rPr>
        <w:t xml:space="preserve"> </w:t>
      </w:r>
      <w:r w:rsidRPr="00C9559D">
        <w:rPr>
          <w:sz w:val="20"/>
          <w:szCs w:val="20"/>
        </w:rPr>
        <w:t>2000;</w:t>
      </w:r>
      <w:r w:rsidR="00D51578" w:rsidRPr="00C9559D">
        <w:rPr>
          <w:sz w:val="20"/>
          <w:szCs w:val="20"/>
        </w:rPr>
        <w:t xml:space="preserve"> </w:t>
      </w:r>
      <w:r w:rsidRPr="00C9559D">
        <w:rPr>
          <w:sz w:val="20"/>
          <w:szCs w:val="20"/>
        </w:rPr>
        <w:t>3:</w:t>
      </w:r>
      <w:r w:rsidR="00D51578" w:rsidRPr="00C9559D">
        <w:rPr>
          <w:sz w:val="20"/>
          <w:szCs w:val="20"/>
        </w:rPr>
        <w:t xml:space="preserve"> </w:t>
      </w:r>
      <w:r w:rsidRPr="00C9559D">
        <w:rPr>
          <w:sz w:val="20"/>
          <w:szCs w:val="20"/>
        </w:rPr>
        <w:t>305-312.</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Dooley</w:t>
      </w:r>
      <w:r w:rsidR="00D51578" w:rsidRPr="00C9559D">
        <w:rPr>
          <w:bCs/>
          <w:sz w:val="20"/>
          <w:szCs w:val="20"/>
        </w:rPr>
        <w:t xml:space="preserve"> </w:t>
      </w:r>
      <w:r w:rsidRPr="00C9559D">
        <w:rPr>
          <w:bCs/>
          <w:sz w:val="20"/>
          <w:szCs w:val="20"/>
        </w:rPr>
        <w:t>J,</w:t>
      </w:r>
      <w:r w:rsidR="00D51578" w:rsidRPr="00C9559D">
        <w:rPr>
          <w:bCs/>
          <w:sz w:val="20"/>
          <w:szCs w:val="20"/>
        </w:rPr>
        <w:t xml:space="preserve"> </w:t>
      </w:r>
      <w:r w:rsidRPr="00C9559D">
        <w:rPr>
          <w:bCs/>
          <w:sz w:val="20"/>
          <w:szCs w:val="20"/>
        </w:rPr>
        <w:t>McBroom</w:t>
      </w:r>
      <w:r w:rsidR="00D51578" w:rsidRPr="00C9559D">
        <w:rPr>
          <w:bCs/>
          <w:sz w:val="20"/>
          <w:szCs w:val="20"/>
        </w:rPr>
        <w:t xml:space="preserve"> </w:t>
      </w:r>
      <w:r w:rsidRPr="00C9559D">
        <w:rPr>
          <w:bCs/>
          <w:sz w:val="20"/>
          <w:szCs w:val="20"/>
        </w:rPr>
        <w:t>R,</w:t>
      </w:r>
      <w:r w:rsidR="00D51578" w:rsidRPr="00C9559D">
        <w:rPr>
          <w:bCs/>
          <w:sz w:val="20"/>
          <w:szCs w:val="20"/>
        </w:rPr>
        <w:t xml:space="preserve"> </w:t>
      </w:r>
      <w:r w:rsidRPr="00C9559D">
        <w:rPr>
          <w:bCs/>
          <w:sz w:val="20"/>
          <w:szCs w:val="20"/>
        </w:rPr>
        <w:t>Taguchi</w:t>
      </w:r>
      <w:r w:rsidR="00D51578" w:rsidRPr="00C9559D">
        <w:rPr>
          <w:bCs/>
          <w:sz w:val="20"/>
          <w:szCs w:val="20"/>
        </w:rPr>
        <w:t xml:space="preserve"> </w:t>
      </w:r>
      <w:r w:rsidRPr="00C9559D">
        <w:rPr>
          <w:bCs/>
          <w:sz w:val="20"/>
          <w:szCs w:val="20"/>
        </w:rPr>
        <w:t>T,</w:t>
      </w:r>
      <w:r w:rsidR="00D51578" w:rsidRPr="00C9559D">
        <w:rPr>
          <w:bCs/>
          <w:sz w:val="20"/>
          <w:szCs w:val="20"/>
        </w:rPr>
        <w:t xml:space="preserve"> </w:t>
      </w:r>
      <w:proofErr w:type="spellStart"/>
      <w:r w:rsidRPr="00C9559D">
        <w:rPr>
          <w:bCs/>
          <w:sz w:val="20"/>
          <w:szCs w:val="20"/>
        </w:rPr>
        <w:t>Macnab</w:t>
      </w:r>
      <w:proofErr w:type="spellEnd"/>
      <w:r w:rsidR="00D51578" w:rsidRPr="00C9559D">
        <w:rPr>
          <w:bCs/>
          <w:sz w:val="20"/>
          <w:szCs w:val="20"/>
        </w:rPr>
        <w:t xml:space="preserve"> </w:t>
      </w:r>
      <w:r w:rsidRPr="00C9559D">
        <w:rPr>
          <w:bCs/>
          <w:sz w:val="20"/>
          <w:szCs w:val="20"/>
        </w:rPr>
        <w:t>I.</w:t>
      </w:r>
      <w:r w:rsidR="00D51578" w:rsidRPr="00C9559D">
        <w:rPr>
          <w:sz w:val="20"/>
          <w:szCs w:val="20"/>
        </w:rPr>
        <w:t xml:space="preserve"> </w:t>
      </w:r>
      <w:r w:rsidRPr="00C9559D">
        <w:rPr>
          <w:sz w:val="20"/>
          <w:szCs w:val="20"/>
        </w:rPr>
        <w:t>Nerve</w:t>
      </w:r>
      <w:r w:rsidR="00D51578" w:rsidRPr="00C9559D">
        <w:rPr>
          <w:sz w:val="20"/>
          <w:szCs w:val="20"/>
        </w:rPr>
        <w:t xml:space="preserve"> </w:t>
      </w:r>
      <w:r w:rsidRPr="00C9559D">
        <w:rPr>
          <w:sz w:val="20"/>
          <w:szCs w:val="20"/>
        </w:rPr>
        <w:t>root</w:t>
      </w:r>
      <w:r w:rsidR="00D51578" w:rsidRPr="00C9559D">
        <w:rPr>
          <w:sz w:val="20"/>
          <w:szCs w:val="20"/>
        </w:rPr>
        <w:t xml:space="preserve"> </w:t>
      </w:r>
      <w:r w:rsidRPr="00C9559D">
        <w:rPr>
          <w:sz w:val="20"/>
          <w:szCs w:val="20"/>
        </w:rPr>
        <w:t>infiltration</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diagnosis</w:t>
      </w:r>
      <w:r w:rsidR="00D51578" w:rsidRPr="00C9559D">
        <w:rPr>
          <w:sz w:val="20"/>
          <w:szCs w:val="20"/>
        </w:rPr>
        <w:t xml:space="preserve"> </w:t>
      </w:r>
      <w:r w:rsidRPr="00C9559D">
        <w:rPr>
          <w:sz w:val="20"/>
          <w:szCs w:val="20"/>
        </w:rPr>
        <w:t>of</w:t>
      </w:r>
      <w:r w:rsidR="00D51578" w:rsidRPr="00C9559D">
        <w:rPr>
          <w:sz w:val="20"/>
          <w:szCs w:val="20"/>
        </w:rPr>
        <w:t xml:space="preserve"> </w:t>
      </w:r>
      <w:proofErr w:type="spellStart"/>
      <w:r w:rsidRPr="00C9559D">
        <w:rPr>
          <w:sz w:val="20"/>
          <w:szCs w:val="20"/>
        </w:rPr>
        <w:t>radicular</w:t>
      </w:r>
      <w:proofErr w:type="spellEnd"/>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Spine,</w:t>
      </w:r>
      <w:r w:rsidR="00D51578" w:rsidRPr="00C9559D">
        <w:rPr>
          <w:sz w:val="20"/>
          <w:szCs w:val="20"/>
        </w:rPr>
        <w:t xml:space="preserve"> </w:t>
      </w:r>
      <w:r w:rsidRPr="00C9559D">
        <w:rPr>
          <w:sz w:val="20"/>
          <w:szCs w:val="20"/>
        </w:rPr>
        <w:t>1988;</w:t>
      </w:r>
      <w:r w:rsidR="00D51578" w:rsidRPr="00C9559D">
        <w:rPr>
          <w:sz w:val="20"/>
          <w:szCs w:val="20"/>
        </w:rPr>
        <w:t xml:space="preserve"> </w:t>
      </w:r>
      <w:r w:rsidRPr="00C9559D">
        <w:rPr>
          <w:sz w:val="20"/>
          <w:szCs w:val="20"/>
        </w:rPr>
        <w:t>13:</w:t>
      </w:r>
      <w:r w:rsidR="00D51578" w:rsidRPr="00C9559D">
        <w:rPr>
          <w:sz w:val="20"/>
          <w:szCs w:val="20"/>
        </w:rPr>
        <w:t xml:space="preserve"> </w:t>
      </w:r>
      <w:r w:rsidRPr="00C9559D">
        <w:rPr>
          <w:sz w:val="20"/>
          <w:szCs w:val="20"/>
        </w:rPr>
        <w:t>79-83.</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Ekedahl</w:t>
      </w:r>
      <w:proofErr w:type="spellEnd"/>
      <w:r w:rsidR="00D51578" w:rsidRPr="00C9559D">
        <w:rPr>
          <w:bCs/>
          <w:sz w:val="20"/>
          <w:szCs w:val="20"/>
        </w:rPr>
        <w:t xml:space="preserve"> </w:t>
      </w:r>
      <w:r w:rsidRPr="00C9559D">
        <w:rPr>
          <w:bCs/>
          <w:sz w:val="20"/>
          <w:szCs w:val="20"/>
        </w:rPr>
        <w:t>H,</w:t>
      </w:r>
      <w:r w:rsidR="00D51578" w:rsidRPr="00C9559D">
        <w:rPr>
          <w:bCs/>
          <w:sz w:val="20"/>
          <w:szCs w:val="20"/>
        </w:rPr>
        <w:t xml:space="preserve"> </w:t>
      </w:r>
      <w:r w:rsidRPr="00C9559D">
        <w:rPr>
          <w:bCs/>
          <w:sz w:val="20"/>
          <w:szCs w:val="20"/>
        </w:rPr>
        <w:t>Bo</w:t>
      </w:r>
      <w:r w:rsidR="00D51578" w:rsidRPr="00C9559D">
        <w:rPr>
          <w:bCs/>
          <w:sz w:val="20"/>
          <w:szCs w:val="20"/>
        </w:rPr>
        <w:t xml:space="preserve"> </w:t>
      </w:r>
      <w:r w:rsidRPr="00C9559D">
        <w:rPr>
          <w:bCs/>
          <w:sz w:val="20"/>
          <w:szCs w:val="20"/>
        </w:rPr>
        <w:t>J,</w:t>
      </w:r>
      <w:r w:rsidR="00D51578" w:rsidRPr="00C9559D">
        <w:rPr>
          <w:bCs/>
          <w:sz w:val="20"/>
          <w:szCs w:val="20"/>
        </w:rPr>
        <w:t xml:space="preserve"> </w:t>
      </w:r>
      <w:r w:rsidRPr="00C9559D">
        <w:rPr>
          <w:bCs/>
          <w:sz w:val="20"/>
          <w:szCs w:val="20"/>
        </w:rPr>
        <w:t>Ma</w:t>
      </w:r>
      <w:r w:rsidR="00D51578" w:rsidRPr="00C9559D">
        <w:rPr>
          <w:bCs/>
          <w:sz w:val="20"/>
          <w:szCs w:val="20"/>
        </w:rPr>
        <w:t xml:space="preserve"> </w:t>
      </w:r>
      <w:proofErr w:type="spellStart"/>
      <w:r w:rsidRPr="00C9559D">
        <w:rPr>
          <w:bCs/>
          <w:sz w:val="20"/>
          <w:szCs w:val="20"/>
        </w:rPr>
        <w:t>arten</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r w:rsidRPr="00C9559D">
        <w:rPr>
          <w:bCs/>
          <w:sz w:val="20"/>
          <w:szCs w:val="20"/>
        </w:rPr>
        <w:t>and</w:t>
      </w:r>
      <w:r w:rsidR="00D51578" w:rsidRPr="00C9559D">
        <w:rPr>
          <w:bCs/>
          <w:sz w:val="20"/>
          <w:szCs w:val="20"/>
        </w:rPr>
        <w:t xml:space="preserve"> </w:t>
      </w:r>
      <w:r w:rsidRPr="00C9559D">
        <w:rPr>
          <w:bCs/>
          <w:sz w:val="20"/>
          <w:szCs w:val="20"/>
        </w:rPr>
        <w:t>Richard</w:t>
      </w:r>
      <w:r w:rsidR="00D51578" w:rsidRPr="00C9559D">
        <w:rPr>
          <w:bCs/>
          <w:sz w:val="20"/>
          <w:szCs w:val="20"/>
        </w:rPr>
        <w:t xml:space="preserve"> </w:t>
      </w:r>
      <w:r w:rsidRPr="00C9559D">
        <w:rPr>
          <w:bCs/>
          <w:sz w:val="20"/>
          <w:szCs w:val="20"/>
        </w:rPr>
        <w:t>BF</w:t>
      </w:r>
      <w:r w:rsidR="00D51578" w:rsidRPr="00C9559D">
        <w:rPr>
          <w:bCs/>
          <w:sz w:val="20"/>
          <w:szCs w:val="20"/>
        </w:rPr>
        <w:t xml:space="preserve"> </w:t>
      </w:r>
      <w:r w:rsidRPr="00C9559D">
        <w:rPr>
          <w:bCs/>
          <w:sz w:val="20"/>
          <w:szCs w:val="20"/>
        </w:rPr>
        <w:t>(2018):</w:t>
      </w:r>
      <w:r w:rsidR="00D51578" w:rsidRPr="00C9559D">
        <w:rPr>
          <w:sz w:val="20"/>
          <w:szCs w:val="20"/>
        </w:rPr>
        <w:t xml:space="preserve"> </w:t>
      </w:r>
      <w:r w:rsidRPr="00C9559D">
        <w:rPr>
          <w:sz w:val="20"/>
          <w:szCs w:val="20"/>
        </w:rPr>
        <w:t>Accuracy</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Clinical</w:t>
      </w:r>
      <w:r w:rsidR="00D51578" w:rsidRPr="00C9559D">
        <w:rPr>
          <w:sz w:val="20"/>
          <w:szCs w:val="20"/>
        </w:rPr>
        <w:t xml:space="preserve"> </w:t>
      </w:r>
      <w:r w:rsidRPr="00C9559D">
        <w:rPr>
          <w:sz w:val="20"/>
          <w:szCs w:val="20"/>
        </w:rPr>
        <w:t>Tests</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Detecting</w:t>
      </w:r>
      <w:r w:rsidR="00D51578" w:rsidRPr="00C9559D">
        <w:rPr>
          <w:sz w:val="20"/>
          <w:szCs w:val="20"/>
        </w:rPr>
        <w:t xml:space="preserve"> </w:t>
      </w:r>
      <w:r w:rsidRPr="00C9559D">
        <w:rPr>
          <w:sz w:val="20"/>
          <w:szCs w:val="20"/>
        </w:rPr>
        <w:t>Disk</w:t>
      </w:r>
      <w:r w:rsidR="00D51578" w:rsidRPr="00C9559D">
        <w:rPr>
          <w:sz w:val="20"/>
          <w:szCs w:val="20"/>
        </w:rPr>
        <w:t xml:space="preserve"> </w:t>
      </w:r>
      <w:proofErr w:type="spellStart"/>
      <w:r w:rsidRPr="00C9559D">
        <w:rPr>
          <w:sz w:val="20"/>
          <w:szCs w:val="20"/>
        </w:rPr>
        <w:t>Herniation</w:t>
      </w:r>
      <w:proofErr w:type="spellEnd"/>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Nerve</w:t>
      </w:r>
      <w:r w:rsidR="00D51578" w:rsidRPr="00C9559D">
        <w:rPr>
          <w:sz w:val="20"/>
          <w:szCs w:val="20"/>
        </w:rPr>
        <w:t xml:space="preserve"> </w:t>
      </w:r>
      <w:r w:rsidRPr="00C9559D">
        <w:rPr>
          <w:sz w:val="20"/>
          <w:szCs w:val="20"/>
        </w:rPr>
        <w:t>Root</w:t>
      </w:r>
      <w:r w:rsidR="00D51578" w:rsidRPr="00C9559D">
        <w:rPr>
          <w:sz w:val="20"/>
          <w:szCs w:val="20"/>
        </w:rPr>
        <w:t xml:space="preserve"> </w:t>
      </w:r>
      <w:r w:rsidRPr="00C9559D">
        <w:rPr>
          <w:sz w:val="20"/>
          <w:szCs w:val="20"/>
        </w:rPr>
        <w:t>Compression</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Subjects</w:t>
      </w:r>
      <w:r w:rsidR="00D51578" w:rsidRPr="00C9559D">
        <w:rPr>
          <w:sz w:val="20"/>
          <w:szCs w:val="20"/>
        </w:rPr>
        <w:t xml:space="preserve"> </w:t>
      </w:r>
      <w:r w:rsidRPr="00C9559D">
        <w:rPr>
          <w:sz w:val="20"/>
          <w:szCs w:val="20"/>
        </w:rPr>
        <w:t>With</w:t>
      </w:r>
      <w:r w:rsidR="00D51578" w:rsidRPr="00C9559D">
        <w:rPr>
          <w:sz w:val="20"/>
          <w:szCs w:val="20"/>
        </w:rPr>
        <w:t xml:space="preserve"> </w:t>
      </w:r>
      <w:r w:rsidRPr="00C9559D">
        <w:rPr>
          <w:sz w:val="20"/>
          <w:szCs w:val="20"/>
        </w:rPr>
        <w:t>Lumbar</w:t>
      </w:r>
      <w:r w:rsidR="00D51578" w:rsidRPr="00C9559D">
        <w:rPr>
          <w:sz w:val="20"/>
          <w:szCs w:val="20"/>
        </w:rPr>
        <w:t xml:space="preserve"> </w:t>
      </w:r>
      <w:proofErr w:type="spellStart"/>
      <w:r w:rsidRPr="00C9559D">
        <w:rPr>
          <w:sz w:val="20"/>
          <w:szCs w:val="20"/>
        </w:rPr>
        <w:t>Radicular</w:t>
      </w:r>
      <w:proofErr w:type="spellEnd"/>
      <w:r w:rsidR="00D51578" w:rsidRPr="00C9559D">
        <w:rPr>
          <w:sz w:val="20"/>
          <w:szCs w:val="20"/>
        </w:rPr>
        <w:t xml:space="preserve"> </w:t>
      </w:r>
      <w:r w:rsidRPr="00C9559D">
        <w:rPr>
          <w:sz w:val="20"/>
          <w:szCs w:val="20"/>
        </w:rPr>
        <w:t>Symptoms.</w:t>
      </w:r>
      <w:r w:rsidR="00D51578" w:rsidRPr="00C9559D">
        <w:rPr>
          <w:sz w:val="20"/>
          <w:szCs w:val="20"/>
        </w:rPr>
        <w:t xml:space="preserve"> </w:t>
      </w:r>
      <w:r w:rsidRPr="00C9559D">
        <w:rPr>
          <w:sz w:val="20"/>
          <w:szCs w:val="20"/>
        </w:rPr>
        <w:t>Archives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Physical</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Rehabilitation;</w:t>
      </w:r>
      <w:r w:rsidR="00D51578" w:rsidRPr="00C9559D">
        <w:rPr>
          <w:sz w:val="20"/>
          <w:szCs w:val="20"/>
        </w:rPr>
        <w:t xml:space="preserve"> </w:t>
      </w:r>
      <w:r w:rsidRPr="00C9559D">
        <w:rPr>
          <w:sz w:val="20"/>
          <w:szCs w:val="20"/>
        </w:rPr>
        <w:t>99(4):</w:t>
      </w:r>
      <w:r w:rsidR="00D51578" w:rsidRPr="00C9559D">
        <w:rPr>
          <w:sz w:val="20"/>
          <w:szCs w:val="20"/>
        </w:rPr>
        <w:t xml:space="preserve"> </w:t>
      </w:r>
      <w:r w:rsidRPr="00C9559D">
        <w:rPr>
          <w:sz w:val="20"/>
          <w:szCs w:val="20"/>
        </w:rPr>
        <w:t>726–735.</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El</w:t>
      </w:r>
      <w:r w:rsidR="00D51578" w:rsidRPr="00C9559D">
        <w:rPr>
          <w:bCs/>
          <w:sz w:val="20"/>
          <w:szCs w:val="20"/>
        </w:rPr>
        <w:t xml:space="preserve"> </w:t>
      </w:r>
      <w:proofErr w:type="spellStart"/>
      <w:r w:rsidRPr="00C9559D">
        <w:rPr>
          <w:bCs/>
          <w:sz w:val="20"/>
          <w:szCs w:val="20"/>
        </w:rPr>
        <w:t>Shafy</w:t>
      </w:r>
      <w:proofErr w:type="spellEnd"/>
      <w:r w:rsidR="00D51578" w:rsidRPr="00C9559D">
        <w:rPr>
          <w:bCs/>
          <w:sz w:val="20"/>
          <w:szCs w:val="20"/>
        </w:rPr>
        <w:t xml:space="preserve"> </w:t>
      </w:r>
      <w:r w:rsidRPr="00C9559D">
        <w:rPr>
          <w:bCs/>
          <w:sz w:val="20"/>
          <w:szCs w:val="20"/>
        </w:rPr>
        <w:t>AH,</w:t>
      </w:r>
      <w:r w:rsidR="00D51578" w:rsidRPr="00C9559D">
        <w:rPr>
          <w:bCs/>
          <w:sz w:val="20"/>
          <w:szCs w:val="20"/>
        </w:rPr>
        <w:t xml:space="preserve"> </w:t>
      </w:r>
      <w:proofErr w:type="spellStart"/>
      <w:r w:rsidRPr="00C9559D">
        <w:rPr>
          <w:bCs/>
          <w:sz w:val="20"/>
          <w:szCs w:val="20"/>
        </w:rPr>
        <w:t>Abd</w:t>
      </w:r>
      <w:proofErr w:type="spellEnd"/>
      <w:r w:rsidR="00D51578" w:rsidRPr="00C9559D">
        <w:rPr>
          <w:bCs/>
          <w:sz w:val="20"/>
          <w:szCs w:val="20"/>
        </w:rPr>
        <w:t xml:space="preserve"> </w:t>
      </w:r>
      <w:r w:rsidRPr="00C9559D">
        <w:rPr>
          <w:bCs/>
          <w:sz w:val="20"/>
          <w:szCs w:val="20"/>
        </w:rPr>
        <w:t>El</w:t>
      </w:r>
      <w:r w:rsidR="00D51578" w:rsidRPr="00C9559D">
        <w:rPr>
          <w:bCs/>
          <w:sz w:val="20"/>
          <w:szCs w:val="20"/>
        </w:rPr>
        <w:t xml:space="preserve"> </w:t>
      </w:r>
      <w:proofErr w:type="spellStart"/>
      <w:r w:rsidRPr="00C9559D">
        <w:rPr>
          <w:bCs/>
          <w:sz w:val="20"/>
          <w:szCs w:val="20"/>
        </w:rPr>
        <w:t>Hameed</w:t>
      </w:r>
      <w:proofErr w:type="spellEnd"/>
      <w:r w:rsidR="00D51578" w:rsidRPr="00C9559D">
        <w:rPr>
          <w:bCs/>
          <w:sz w:val="20"/>
          <w:szCs w:val="20"/>
        </w:rPr>
        <w:t xml:space="preserve"> </w:t>
      </w:r>
      <w:r w:rsidRPr="00C9559D">
        <w:rPr>
          <w:bCs/>
          <w:sz w:val="20"/>
          <w:szCs w:val="20"/>
        </w:rPr>
        <w:t>AH,</w:t>
      </w:r>
      <w:r w:rsidR="00D51578" w:rsidRPr="00C9559D">
        <w:rPr>
          <w:bCs/>
          <w:sz w:val="20"/>
          <w:szCs w:val="20"/>
        </w:rPr>
        <w:t xml:space="preserve"> </w:t>
      </w:r>
      <w:r w:rsidRPr="00C9559D">
        <w:rPr>
          <w:bCs/>
          <w:sz w:val="20"/>
          <w:szCs w:val="20"/>
        </w:rPr>
        <w:t>El</w:t>
      </w:r>
      <w:r w:rsidR="00D51578" w:rsidRPr="00C9559D">
        <w:rPr>
          <w:bCs/>
          <w:sz w:val="20"/>
          <w:szCs w:val="20"/>
        </w:rPr>
        <w:t xml:space="preserve"> </w:t>
      </w:r>
      <w:proofErr w:type="spellStart"/>
      <w:r w:rsidRPr="00C9559D">
        <w:rPr>
          <w:bCs/>
          <w:sz w:val="20"/>
          <w:szCs w:val="20"/>
        </w:rPr>
        <w:t>Moez</w:t>
      </w:r>
      <w:proofErr w:type="spellEnd"/>
      <w:r w:rsidR="00D51578" w:rsidRPr="00C9559D">
        <w:rPr>
          <w:bCs/>
          <w:sz w:val="20"/>
          <w:szCs w:val="20"/>
        </w:rPr>
        <w:t xml:space="preserve"> </w:t>
      </w:r>
      <w:r w:rsidRPr="00C9559D">
        <w:rPr>
          <w:bCs/>
          <w:sz w:val="20"/>
          <w:szCs w:val="20"/>
        </w:rPr>
        <w:t>KM,</w:t>
      </w:r>
      <w:r w:rsidR="00D51578" w:rsidRPr="00C9559D">
        <w:rPr>
          <w:bCs/>
          <w:sz w:val="20"/>
          <w:szCs w:val="20"/>
        </w:rPr>
        <w:t xml:space="preserve"> </w:t>
      </w:r>
      <w:proofErr w:type="spellStart"/>
      <w:r w:rsidRPr="00C9559D">
        <w:rPr>
          <w:bCs/>
          <w:sz w:val="20"/>
          <w:szCs w:val="20"/>
        </w:rPr>
        <w:t>Ashraf</w:t>
      </w:r>
      <w:proofErr w:type="spellEnd"/>
      <w:r w:rsidR="00D51578" w:rsidRPr="00C9559D">
        <w:rPr>
          <w:bCs/>
          <w:sz w:val="20"/>
          <w:szCs w:val="20"/>
        </w:rPr>
        <w:t xml:space="preserve"> </w:t>
      </w:r>
      <w:r w:rsidRPr="00C9559D">
        <w:rPr>
          <w:bCs/>
          <w:sz w:val="20"/>
          <w:szCs w:val="20"/>
        </w:rPr>
        <w:t>IM</w:t>
      </w:r>
      <w:r w:rsidR="00D51578" w:rsidRPr="00C9559D">
        <w:rPr>
          <w:bCs/>
          <w:sz w:val="20"/>
          <w:szCs w:val="20"/>
        </w:rPr>
        <w:t xml:space="preserve"> </w:t>
      </w:r>
      <w:r w:rsidRPr="00C9559D">
        <w:rPr>
          <w:bCs/>
          <w:sz w:val="20"/>
          <w:szCs w:val="20"/>
        </w:rPr>
        <w:t>and</w:t>
      </w:r>
      <w:r w:rsidR="00D51578" w:rsidRPr="00C9559D">
        <w:rPr>
          <w:bCs/>
          <w:sz w:val="20"/>
          <w:szCs w:val="20"/>
        </w:rPr>
        <w:t xml:space="preserve"> </w:t>
      </w:r>
      <w:r w:rsidRPr="00C9559D">
        <w:rPr>
          <w:bCs/>
          <w:sz w:val="20"/>
          <w:szCs w:val="20"/>
        </w:rPr>
        <w:t>Osama</w:t>
      </w:r>
      <w:r w:rsidR="00D51578" w:rsidRPr="00C9559D">
        <w:rPr>
          <w:bCs/>
          <w:sz w:val="20"/>
          <w:szCs w:val="20"/>
        </w:rPr>
        <w:t xml:space="preserve"> </w:t>
      </w:r>
      <w:r w:rsidRPr="00C9559D">
        <w:rPr>
          <w:bCs/>
          <w:sz w:val="20"/>
          <w:szCs w:val="20"/>
        </w:rPr>
        <w:t>EAA</w:t>
      </w:r>
      <w:r w:rsidR="00D51578" w:rsidRPr="00C9559D">
        <w:rPr>
          <w:bCs/>
          <w:sz w:val="20"/>
          <w:szCs w:val="20"/>
        </w:rPr>
        <w:t xml:space="preserve"> </w:t>
      </w:r>
      <w:r w:rsidRPr="00C9559D">
        <w:rPr>
          <w:bCs/>
          <w:sz w:val="20"/>
          <w:szCs w:val="20"/>
        </w:rPr>
        <w:t>(2019):</w:t>
      </w:r>
      <w:r w:rsidR="00D51578" w:rsidRPr="00C9559D">
        <w:rPr>
          <w:bCs/>
          <w:sz w:val="20"/>
          <w:szCs w:val="20"/>
        </w:rPr>
        <w:t xml:space="preserve"> </w:t>
      </w:r>
      <w:r w:rsidRPr="00C9559D">
        <w:rPr>
          <w:sz w:val="20"/>
          <w:szCs w:val="20"/>
        </w:rPr>
        <w:t>Comparative</w:t>
      </w:r>
      <w:r w:rsidR="00D51578" w:rsidRPr="00C9559D">
        <w:rPr>
          <w:sz w:val="20"/>
          <w:szCs w:val="20"/>
        </w:rPr>
        <w:t xml:space="preserve"> </w:t>
      </w:r>
      <w:r w:rsidRPr="00C9559D">
        <w:rPr>
          <w:sz w:val="20"/>
          <w:szCs w:val="20"/>
        </w:rPr>
        <w:t>Study</w:t>
      </w:r>
      <w:r w:rsidR="00D51578" w:rsidRPr="00C9559D">
        <w:rPr>
          <w:sz w:val="20"/>
          <w:szCs w:val="20"/>
        </w:rPr>
        <w:t xml:space="preserve"> </w:t>
      </w:r>
      <w:r w:rsidRPr="00C9559D">
        <w:rPr>
          <w:sz w:val="20"/>
          <w:szCs w:val="20"/>
        </w:rPr>
        <w:t>between</w:t>
      </w:r>
      <w:r w:rsidR="00D51578" w:rsidRPr="00C9559D">
        <w:rPr>
          <w:sz w:val="20"/>
          <w:szCs w:val="20"/>
        </w:rPr>
        <w:t xml:space="preserve"> </w:t>
      </w:r>
      <w:r w:rsidRPr="00C9559D">
        <w:rPr>
          <w:sz w:val="20"/>
          <w:szCs w:val="20"/>
        </w:rPr>
        <w:t>Treatment</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Lumbar</w:t>
      </w:r>
      <w:r w:rsidR="00D51578" w:rsidRPr="00C9559D">
        <w:rPr>
          <w:sz w:val="20"/>
          <w:szCs w:val="20"/>
        </w:rPr>
        <w:t xml:space="preserve"> </w:t>
      </w:r>
      <w:r w:rsidRPr="00C9559D">
        <w:rPr>
          <w:sz w:val="20"/>
          <w:szCs w:val="20"/>
        </w:rPr>
        <w:t>Disc</w:t>
      </w:r>
      <w:r w:rsidR="00D51578" w:rsidRPr="00C9559D">
        <w:rPr>
          <w:sz w:val="20"/>
          <w:szCs w:val="20"/>
        </w:rPr>
        <w:t xml:space="preserve"> </w:t>
      </w:r>
      <w:proofErr w:type="spellStart"/>
      <w:r w:rsidRPr="00C9559D">
        <w:rPr>
          <w:sz w:val="20"/>
          <w:szCs w:val="20"/>
        </w:rPr>
        <w:t>Herniation</w:t>
      </w:r>
      <w:proofErr w:type="spellEnd"/>
      <w:r w:rsidR="00D51578" w:rsidRPr="00C9559D">
        <w:rPr>
          <w:sz w:val="20"/>
          <w:szCs w:val="20"/>
        </w:rPr>
        <w:t xml:space="preserve"> </w:t>
      </w:r>
      <w:r w:rsidRPr="00C9559D">
        <w:rPr>
          <w:sz w:val="20"/>
          <w:szCs w:val="20"/>
        </w:rPr>
        <w:t>with</w:t>
      </w:r>
      <w:r w:rsidR="00D51578" w:rsidRPr="00C9559D">
        <w:rPr>
          <w:sz w:val="20"/>
          <w:szCs w:val="20"/>
        </w:rPr>
        <w:t xml:space="preserve"> </w:t>
      </w:r>
      <w:r w:rsidRPr="00C9559D">
        <w:rPr>
          <w:sz w:val="20"/>
          <w:szCs w:val="20"/>
        </w:rPr>
        <w:t>Intra</w:t>
      </w:r>
      <w:r w:rsidR="00D51578" w:rsidRPr="00C9559D">
        <w:rPr>
          <w:sz w:val="20"/>
          <w:szCs w:val="20"/>
        </w:rPr>
        <w:t xml:space="preserve"> </w:t>
      </w:r>
      <w:proofErr w:type="spellStart"/>
      <w:r w:rsidRPr="00C9559D">
        <w:rPr>
          <w:sz w:val="20"/>
          <w:szCs w:val="20"/>
        </w:rPr>
        <w:t>Discal</w:t>
      </w:r>
      <w:proofErr w:type="spellEnd"/>
      <w:r w:rsidR="00D51578" w:rsidRPr="00C9559D">
        <w:rPr>
          <w:sz w:val="20"/>
          <w:szCs w:val="20"/>
        </w:rPr>
        <w:t xml:space="preserve"> </w:t>
      </w:r>
      <w:r w:rsidRPr="00C9559D">
        <w:rPr>
          <w:sz w:val="20"/>
          <w:szCs w:val="20"/>
        </w:rPr>
        <w:t>Ozone</w:t>
      </w:r>
      <w:r w:rsidR="00D51578" w:rsidRPr="00C9559D">
        <w:rPr>
          <w:sz w:val="20"/>
          <w:szCs w:val="20"/>
        </w:rPr>
        <w:t xml:space="preserve"> </w:t>
      </w:r>
      <w:r w:rsidRPr="00C9559D">
        <w:rPr>
          <w:sz w:val="20"/>
          <w:szCs w:val="20"/>
        </w:rPr>
        <w:t>and</w:t>
      </w:r>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versus</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Only.</w:t>
      </w:r>
      <w:r w:rsidR="00D51578" w:rsidRPr="00C9559D">
        <w:rPr>
          <w:sz w:val="20"/>
          <w:szCs w:val="20"/>
        </w:rPr>
        <w:t xml:space="preserve"> </w:t>
      </w:r>
      <w:r w:rsidRPr="00C9559D">
        <w:rPr>
          <w:sz w:val="20"/>
          <w:szCs w:val="20"/>
        </w:rPr>
        <w:t>Egyptian</w:t>
      </w:r>
      <w:r w:rsidR="00D51578" w:rsidRPr="00C9559D">
        <w:rPr>
          <w:sz w:val="20"/>
          <w:szCs w:val="20"/>
        </w:rPr>
        <w:t xml:space="preserve"> </w:t>
      </w:r>
      <w:r w:rsidRPr="00C9559D">
        <w:rPr>
          <w:sz w:val="20"/>
          <w:szCs w:val="20"/>
        </w:rPr>
        <w:t>Journal</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Hospital</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74</w:t>
      </w:r>
      <w:r w:rsidR="00D51578" w:rsidRPr="00C9559D">
        <w:rPr>
          <w:sz w:val="20"/>
          <w:szCs w:val="20"/>
        </w:rPr>
        <w:t xml:space="preserve"> </w:t>
      </w:r>
      <w:r w:rsidRPr="00C9559D">
        <w:rPr>
          <w:sz w:val="20"/>
          <w:szCs w:val="20"/>
        </w:rPr>
        <w:t>(4).</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Fish</w:t>
      </w:r>
      <w:r w:rsidR="00D51578" w:rsidRPr="00C9559D">
        <w:rPr>
          <w:bCs/>
          <w:sz w:val="20"/>
          <w:szCs w:val="20"/>
        </w:rPr>
        <w:t xml:space="preserve"> </w:t>
      </w:r>
      <w:r w:rsidRPr="00C9559D">
        <w:rPr>
          <w:bCs/>
          <w:sz w:val="20"/>
          <w:szCs w:val="20"/>
        </w:rPr>
        <w:t>DE,</w:t>
      </w:r>
      <w:r w:rsidR="00D51578" w:rsidRPr="00C9559D">
        <w:rPr>
          <w:bCs/>
          <w:sz w:val="20"/>
          <w:szCs w:val="20"/>
        </w:rPr>
        <w:t xml:space="preserve"> </w:t>
      </w:r>
      <w:r w:rsidRPr="00C9559D">
        <w:rPr>
          <w:bCs/>
          <w:sz w:val="20"/>
          <w:szCs w:val="20"/>
        </w:rPr>
        <w:t>Eli</w:t>
      </w:r>
      <w:r w:rsidR="00D51578" w:rsidRPr="00C9559D">
        <w:rPr>
          <w:bCs/>
          <w:sz w:val="20"/>
          <w:szCs w:val="20"/>
        </w:rPr>
        <w:t xml:space="preserve"> </w:t>
      </w:r>
      <w:r w:rsidRPr="00C9559D">
        <w:rPr>
          <w:bCs/>
          <w:sz w:val="20"/>
          <w:szCs w:val="20"/>
        </w:rPr>
        <w:t>PS,</w:t>
      </w:r>
      <w:r w:rsidR="00D51578" w:rsidRPr="00C9559D">
        <w:rPr>
          <w:bCs/>
          <w:sz w:val="20"/>
          <w:szCs w:val="20"/>
        </w:rPr>
        <w:t xml:space="preserve"> </w:t>
      </w:r>
      <w:r w:rsidRPr="00C9559D">
        <w:rPr>
          <w:bCs/>
          <w:sz w:val="20"/>
          <w:szCs w:val="20"/>
        </w:rPr>
        <w:t>and</w:t>
      </w:r>
      <w:r w:rsidR="00D51578" w:rsidRPr="00C9559D">
        <w:rPr>
          <w:bCs/>
          <w:sz w:val="20"/>
          <w:szCs w:val="20"/>
        </w:rPr>
        <w:t xml:space="preserve"> </w:t>
      </w:r>
      <w:proofErr w:type="spellStart"/>
      <w:r w:rsidRPr="00C9559D">
        <w:rPr>
          <w:bCs/>
          <w:sz w:val="20"/>
          <w:szCs w:val="20"/>
        </w:rPr>
        <w:t>Quynh</w:t>
      </w:r>
      <w:proofErr w:type="spellEnd"/>
      <w:r w:rsidR="00D51578" w:rsidRPr="00C9559D">
        <w:rPr>
          <w:bCs/>
          <w:sz w:val="20"/>
          <w:szCs w:val="20"/>
        </w:rPr>
        <w:t xml:space="preserve"> </w:t>
      </w:r>
      <w:r w:rsidRPr="00C9559D">
        <w:rPr>
          <w:bCs/>
          <w:sz w:val="20"/>
          <w:szCs w:val="20"/>
        </w:rPr>
        <w:t>P</w:t>
      </w:r>
      <w:r w:rsidR="00D51578" w:rsidRPr="00C9559D">
        <w:rPr>
          <w:bCs/>
          <w:sz w:val="20"/>
          <w:szCs w:val="20"/>
        </w:rPr>
        <w:t xml:space="preserve"> </w:t>
      </w:r>
      <w:r w:rsidRPr="00C9559D">
        <w:rPr>
          <w:bCs/>
          <w:sz w:val="20"/>
          <w:szCs w:val="20"/>
        </w:rPr>
        <w:t>(2008):</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Use</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Electromyography</w:t>
      </w:r>
      <w:r w:rsidR="00D51578" w:rsidRPr="00C9559D">
        <w:rPr>
          <w:sz w:val="20"/>
          <w:szCs w:val="20"/>
        </w:rPr>
        <w:t xml:space="preserve"> </w:t>
      </w:r>
      <w:r w:rsidRPr="00C9559D">
        <w:rPr>
          <w:sz w:val="20"/>
          <w:szCs w:val="20"/>
        </w:rPr>
        <w:t>to</w:t>
      </w:r>
      <w:r w:rsidR="00D51578" w:rsidRPr="00C9559D">
        <w:rPr>
          <w:sz w:val="20"/>
          <w:szCs w:val="20"/>
        </w:rPr>
        <w:t xml:space="preserve"> </w:t>
      </w:r>
      <w:r w:rsidRPr="00C9559D">
        <w:rPr>
          <w:sz w:val="20"/>
          <w:szCs w:val="20"/>
        </w:rPr>
        <w:t>Predict</w:t>
      </w:r>
      <w:r w:rsidR="00D51578" w:rsidRPr="00C9559D">
        <w:rPr>
          <w:sz w:val="20"/>
          <w:szCs w:val="20"/>
        </w:rPr>
        <w:t xml:space="preserve"> </w:t>
      </w:r>
      <w:r w:rsidRPr="00C9559D">
        <w:rPr>
          <w:sz w:val="20"/>
          <w:szCs w:val="20"/>
        </w:rPr>
        <w:t>Functional</w:t>
      </w:r>
      <w:r w:rsidR="00D51578" w:rsidRPr="00C9559D">
        <w:rPr>
          <w:sz w:val="20"/>
          <w:szCs w:val="20"/>
        </w:rPr>
        <w:t xml:space="preserve"> </w:t>
      </w:r>
      <w:r w:rsidRPr="00C9559D">
        <w:rPr>
          <w:sz w:val="20"/>
          <w:szCs w:val="20"/>
        </w:rPr>
        <w:t>Outcome</w:t>
      </w:r>
      <w:r w:rsidR="00D51578" w:rsidRPr="00C9559D">
        <w:rPr>
          <w:sz w:val="20"/>
          <w:szCs w:val="20"/>
        </w:rPr>
        <w:t xml:space="preserve"> </w:t>
      </w:r>
      <w:r w:rsidRPr="00C9559D">
        <w:rPr>
          <w:sz w:val="20"/>
          <w:szCs w:val="20"/>
        </w:rPr>
        <w:t>Following</w:t>
      </w:r>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Spinal</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Lumbar</w:t>
      </w:r>
      <w:r w:rsidR="00D51578" w:rsidRPr="00C9559D">
        <w:rPr>
          <w:sz w:val="20"/>
          <w:szCs w:val="20"/>
        </w:rPr>
        <w:t xml:space="preserve"> </w:t>
      </w:r>
      <w:proofErr w:type="spellStart"/>
      <w:r w:rsidRPr="00C9559D">
        <w:rPr>
          <w:sz w:val="20"/>
          <w:szCs w:val="20"/>
        </w:rPr>
        <w:t>Radiculopathy</w:t>
      </w:r>
      <w:proofErr w:type="spellEnd"/>
      <w:r w:rsidRPr="00C9559D">
        <w:rPr>
          <w:sz w:val="20"/>
          <w:szCs w:val="20"/>
        </w:rPr>
        <w:t>.”</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Journal</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9</w:t>
      </w:r>
      <w:r w:rsidR="00D51578" w:rsidRPr="00C9559D">
        <w:rPr>
          <w:sz w:val="20"/>
          <w:szCs w:val="20"/>
        </w:rPr>
        <w:t xml:space="preserve"> </w:t>
      </w:r>
      <w:r w:rsidRPr="00C9559D">
        <w:rPr>
          <w:sz w:val="20"/>
          <w:szCs w:val="20"/>
        </w:rPr>
        <w:t>(1):</w:t>
      </w:r>
      <w:r w:rsidR="00D51578" w:rsidRPr="00C9559D">
        <w:rPr>
          <w:sz w:val="20"/>
          <w:szCs w:val="20"/>
        </w:rPr>
        <w:t xml:space="preserve"> </w:t>
      </w:r>
      <w:r w:rsidRPr="00C9559D">
        <w:rPr>
          <w:sz w:val="20"/>
          <w:szCs w:val="20"/>
        </w:rPr>
        <w:t>64–70.</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Fredman</w:t>
      </w:r>
      <w:proofErr w:type="spellEnd"/>
      <w:r w:rsidR="00D51578" w:rsidRPr="00C9559D">
        <w:rPr>
          <w:bCs/>
          <w:sz w:val="20"/>
          <w:szCs w:val="20"/>
        </w:rPr>
        <w:t xml:space="preserve"> </w:t>
      </w:r>
      <w:r w:rsidRPr="00C9559D">
        <w:rPr>
          <w:bCs/>
          <w:sz w:val="20"/>
          <w:szCs w:val="20"/>
        </w:rPr>
        <w:t>B,</w:t>
      </w:r>
      <w:r w:rsidR="00D51578" w:rsidRPr="00C9559D">
        <w:rPr>
          <w:bCs/>
          <w:sz w:val="20"/>
          <w:szCs w:val="20"/>
        </w:rPr>
        <w:t xml:space="preserve"> </w:t>
      </w:r>
      <w:r w:rsidRPr="00C9559D">
        <w:rPr>
          <w:bCs/>
          <w:sz w:val="20"/>
          <w:szCs w:val="20"/>
        </w:rPr>
        <w:t>Nun</w:t>
      </w:r>
      <w:r w:rsidR="00D51578" w:rsidRPr="00C9559D">
        <w:rPr>
          <w:bCs/>
          <w:sz w:val="20"/>
          <w:szCs w:val="20"/>
        </w:rPr>
        <w:t xml:space="preserve"> </w:t>
      </w:r>
      <w:r w:rsidRPr="00C9559D">
        <w:rPr>
          <w:bCs/>
          <w:sz w:val="20"/>
          <w:szCs w:val="20"/>
        </w:rPr>
        <w:t>MB,</w:t>
      </w:r>
      <w:r w:rsidR="00D51578" w:rsidRPr="00C9559D">
        <w:rPr>
          <w:bCs/>
          <w:sz w:val="20"/>
          <w:szCs w:val="20"/>
        </w:rPr>
        <w:t xml:space="preserve"> </w:t>
      </w:r>
      <w:proofErr w:type="spellStart"/>
      <w:r w:rsidRPr="00C9559D">
        <w:rPr>
          <w:bCs/>
          <w:sz w:val="20"/>
          <w:szCs w:val="20"/>
        </w:rPr>
        <w:t>Zohar</w:t>
      </w:r>
      <w:proofErr w:type="spellEnd"/>
      <w:r w:rsidR="00D51578" w:rsidRPr="00C9559D">
        <w:rPr>
          <w:bCs/>
          <w:sz w:val="20"/>
          <w:szCs w:val="20"/>
        </w:rPr>
        <w:t xml:space="preserve"> </w:t>
      </w:r>
      <w:r w:rsidRPr="00C9559D">
        <w:rPr>
          <w:bCs/>
          <w:sz w:val="20"/>
          <w:szCs w:val="20"/>
        </w:rPr>
        <w:t>E,</w:t>
      </w:r>
      <w:r w:rsidR="00D51578" w:rsidRPr="00C9559D">
        <w:rPr>
          <w:bCs/>
          <w:sz w:val="20"/>
          <w:szCs w:val="20"/>
        </w:rPr>
        <w:t xml:space="preserve"> </w:t>
      </w:r>
      <w:r w:rsidRPr="00C9559D">
        <w:rPr>
          <w:bCs/>
          <w:sz w:val="20"/>
          <w:szCs w:val="20"/>
        </w:rPr>
        <w:t>Iraqi</w:t>
      </w:r>
      <w:r w:rsidR="00D51578" w:rsidRPr="00C9559D">
        <w:rPr>
          <w:bCs/>
          <w:sz w:val="20"/>
          <w:szCs w:val="20"/>
        </w:rPr>
        <w:t xml:space="preserve"> </w:t>
      </w:r>
      <w:r w:rsidRPr="00C9559D">
        <w:rPr>
          <w:bCs/>
          <w:sz w:val="20"/>
          <w:szCs w:val="20"/>
        </w:rPr>
        <w:t>G,</w:t>
      </w:r>
      <w:r w:rsidR="00D51578" w:rsidRPr="00C9559D">
        <w:rPr>
          <w:bCs/>
          <w:sz w:val="20"/>
          <w:szCs w:val="20"/>
        </w:rPr>
        <w:t xml:space="preserve"> </w:t>
      </w:r>
      <w:r w:rsidRPr="00C9559D">
        <w:rPr>
          <w:bCs/>
          <w:sz w:val="20"/>
          <w:szCs w:val="20"/>
        </w:rPr>
        <w:t>Shapiro</w:t>
      </w:r>
      <w:r w:rsidR="00D51578" w:rsidRPr="00C9559D">
        <w:rPr>
          <w:bCs/>
          <w:sz w:val="20"/>
          <w:szCs w:val="20"/>
        </w:rPr>
        <w:t xml:space="preserve"> </w:t>
      </w:r>
      <w:r w:rsidRPr="00C9559D">
        <w:rPr>
          <w:bCs/>
          <w:sz w:val="20"/>
          <w:szCs w:val="20"/>
        </w:rPr>
        <w:t>M,</w:t>
      </w:r>
      <w:r w:rsidR="00D51578" w:rsidRPr="00C9559D">
        <w:rPr>
          <w:bCs/>
          <w:sz w:val="20"/>
          <w:szCs w:val="20"/>
        </w:rPr>
        <w:t xml:space="preserve"> </w:t>
      </w:r>
      <w:proofErr w:type="spellStart"/>
      <w:r w:rsidRPr="00C9559D">
        <w:rPr>
          <w:bCs/>
          <w:sz w:val="20"/>
          <w:szCs w:val="20"/>
        </w:rPr>
        <w:t>Gepstein</w:t>
      </w:r>
      <w:proofErr w:type="spellEnd"/>
      <w:r w:rsidR="00D51578" w:rsidRPr="00C9559D">
        <w:rPr>
          <w:bCs/>
          <w:sz w:val="20"/>
          <w:szCs w:val="20"/>
        </w:rPr>
        <w:t xml:space="preserve"> </w:t>
      </w:r>
      <w:r w:rsidRPr="00C9559D">
        <w:rPr>
          <w:bCs/>
          <w:sz w:val="20"/>
          <w:szCs w:val="20"/>
        </w:rPr>
        <w:t>R,</w:t>
      </w:r>
      <w:r w:rsidR="00D51578" w:rsidRPr="00C9559D">
        <w:rPr>
          <w:bCs/>
          <w:sz w:val="20"/>
          <w:szCs w:val="20"/>
        </w:rPr>
        <w:t xml:space="preserve"> </w:t>
      </w:r>
      <w:proofErr w:type="spellStart"/>
      <w:r w:rsidRPr="00C9559D">
        <w:rPr>
          <w:bCs/>
          <w:sz w:val="20"/>
          <w:szCs w:val="20"/>
        </w:rPr>
        <w:t>Jedeikin</w:t>
      </w:r>
      <w:proofErr w:type="spellEnd"/>
      <w:r w:rsidR="00D51578" w:rsidRPr="00C9559D">
        <w:rPr>
          <w:bCs/>
          <w:sz w:val="20"/>
          <w:szCs w:val="20"/>
        </w:rPr>
        <w:t xml:space="preserve"> </w:t>
      </w:r>
      <w:r w:rsidRPr="00C9559D">
        <w:rPr>
          <w:bCs/>
          <w:sz w:val="20"/>
          <w:szCs w:val="20"/>
        </w:rPr>
        <w:t>R.</w:t>
      </w:r>
      <w:r w:rsidR="00D51578" w:rsidRPr="00C9559D">
        <w:rPr>
          <w:bCs/>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steroids</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treating</w:t>
      </w:r>
      <w:r w:rsidR="00D51578" w:rsidRPr="00C9559D">
        <w:rPr>
          <w:sz w:val="20"/>
          <w:szCs w:val="20"/>
        </w:rPr>
        <w:t xml:space="preserve"> </w:t>
      </w:r>
      <w:r w:rsidRPr="00C9559D">
        <w:rPr>
          <w:sz w:val="20"/>
          <w:szCs w:val="20"/>
        </w:rPr>
        <w:t>"failed</w:t>
      </w:r>
      <w:r w:rsidR="00D51578" w:rsidRPr="00C9559D">
        <w:rPr>
          <w:sz w:val="20"/>
          <w:szCs w:val="20"/>
        </w:rPr>
        <w:t xml:space="preserve"> </w:t>
      </w:r>
      <w:r w:rsidRPr="00C9559D">
        <w:rPr>
          <w:sz w:val="20"/>
          <w:szCs w:val="20"/>
        </w:rPr>
        <w:t>back</w:t>
      </w:r>
      <w:r w:rsidR="00D51578" w:rsidRPr="00C9559D">
        <w:rPr>
          <w:sz w:val="20"/>
          <w:szCs w:val="20"/>
        </w:rPr>
        <w:t xml:space="preserve"> </w:t>
      </w:r>
      <w:r w:rsidRPr="00C9559D">
        <w:rPr>
          <w:sz w:val="20"/>
          <w:szCs w:val="20"/>
        </w:rPr>
        <w:t>surgery</w:t>
      </w:r>
      <w:r w:rsidR="00D51578" w:rsidRPr="00C9559D">
        <w:rPr>
          <w:sz w:val="20"/>
          <w:szCs w:val="20"/>
        </w:rPr>
        <w:t xml:space="preserve"> </w:t>
      </w:r>
      <w:r w:rsidRPr="00C9559D">
        <w:rPr>
          <w:sz w:val="20"/>
          <w:szCs w:val="20"/>
        </w:rPr>
        <w:t>syndrome",</w:t>
      </w:r>
      <w:r w:rsidR="00D51578" w:rsidRPr="00C9559D">
        <w:rPr>
          <w:sz w:val="20"/>
          <w:szCs w:val="20"/>
        </w:rPr>
        <w:t xml:space="preserve"> </w:t>
      </w:r>
      <w:r w:rsidRPr="00C9559D">
        <w:rPr>
          <w:sz w:val="20"/>
          <w:szCs w:val="20"/>
        </w:rPr>
        <w:t>is</w:t>
      </w:r>
      <w:r w:rsidR="00D51578" w:rsidRPr="00C9559D">
        <w:rPr>
          <w:sz w:val="20"/>
          <w:szCs w:val="20"/>
        </w:rPr>
        <w:t xml:space="preserve"> </w:t>
      </w:r>
      <w:r w:rsidRPr="00C9559D">
        <w:rPr>
          <w:sz w:val="20"/>
          <w:szCs w:val="20"/>
        </w:rPr>
        <w:t>fluoroscopy</w:t>
      </w:r>
      <w:r w:rsidR="00D51578" w:rsidRPr="00C9559D">
        <w:rPr>
          <w:sz w:val="20"/>
          <w:szCs w:val="20"/>
        </w:rPr>
        <w:t xml:space="preserve"> </w:t>
      </w:r>
      <w:r w:rsidRPr="00C9559D">
        <w:rPr>
          <w:sz w:val="20"/>
          <w:szCs w:val="20"/>
        </w:rPr>
        <w:t>really</w:t>
      </w:r>
      <w:r w:rsidR="00D51578" w:rsidRPr="00C9559D">
        <w:rPr>
          <w:sz w:val="20"/>
          <w:szCs w:val="20"/>
        </w:rPr>
        <w:t xml:space="preserve"> </w:t>
      </w:r>
      <w:r w:rsidRPr="00C9559D">
        <w:rPr>
          <w:sz w:val="20"/>
          <w:szCs w:val="20"/>
        </w:rPr>
        <w:t>necessary?</w:t>
      </w:r>
      <w:r w:rsidR="00D51578" w:rsidRPr="00C9559D">
        <w:rPr>
          <w:sz w:val="20"/>
          <w:szCs w:val="20"/>
        </w:rPr>
        <w:t xml:space="preserve"> </w:t>
      </w:r>
      <w:r w:rsidRPr="00C9559D">
        <w:rPr>
          <w:sz w:val="20"/>
          <w:szCs w:val="20"/>
        </w:rPr>
        <w:t>Anesthesia</w:t>
      </w:r>
      <w:r w:rsidR="00D51578" w:rsidRPr="00C9559D">
        <w:rPr>
          <w:sz w:val="20"/>
          <w:szCs w:val="20"/>
        </w:rPr>
        <w:t xml:space="preserve"> </w:t>
      </w:r>
      <w:r w:rsidRPr="00C9559D">
        <w:rPr>
          <w:sz w:val="20"/>
          <w:szCs w:val="20"/>
        </w:rPr>
        <w:t>Analgesia,</w:t>
      </w:r>
      <w:r w:rsidR="00D51578" w:rsidRPr="00C9559D">
        <w:rPr>
          <w:sz w:val="20"/>
          <w:szCs w:val="20"/>
        </w:rPr>
        <w:t xml:space="preserve"> </w:t>
      </w:r>
      <w:r w:rsidRPr="00C9559D">
        <w:rPr>
          <w:sz w:val="20"/>
          <w:szCs w:val="20"/>
        </w:rPr>
        <w:t>1999;</w:t>
      </w:r>
      <w:r w:rsidR="00D51578" w:rsidRPr="00C9559D">
        <w:rPr>
          <w:sz w:val="20"/>
          <w:szCs w:val="20"/>
        </w:rPr>
        <w:t xml:space="preserve"> </w:t>
      </w:r>
      <w:r w:rsidRPr="00C9559D">
        <w:rPr>
          <w:sz w:val="20"/>
          <w:szCs w:val="20"/>
        </w:rPr>
        <w:t>88:</w:t>
      </w:r>
      <w:r w:rsidR="00D51578" w:rsidRPr="00C9559D">
        <w:rPr>
          <w:sz w:val="20"/>
          <w:szCs w:val="20"/>
        </w:rPr>
        <w:t xml:space="preserve"> </w:t>
      </w:r>
      <w:r w:rsidRPr="00C9559D">
        <w:rPr>
          <w:sz w:val="20"/>
          <w:szCs w:val="20"/>
        </w:rPr>
        <w:t>367-372.</w:t>
      </w:r>
    </w:p>
    <w:bookmarkEnd w:id="1"/>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Frew</w:t>
      </w:r>
      <w:proofErr w:type="spellEnd"/>
      <w:r w:rsidR="00D51578" w:rsidRPr="00C9559D">
        <w:rPr>
          <w:bCs/>
          <w:sz w:val="20"/>
          <w:szCs w:val="20"/>
        </w:rPr>
        <w:t xml:space="preserve"> </w:t>
      </w:r>
      <w:r w:rsidRPr="00C9559D">
        <w:rPr>
          <w:bCs/>
          <w:sz w:val="20"/>
          <w:szCs w:val="20"/>
        </w:rPr>
        <w:t>AJ</w:t>
      </w:r>
      <w:r w:rsidR="00D51578" w:rsidRPr="00C9559D">
        <w:rPr>
          <w:bCs/>
          <w:sz w:val="20"/>
          <w:szCs w:val="20"/>
        </w:rPr>
        <w:t xml:space="preserve"> </w:t>
      </w:r>
      <w:r w:rsidRPr="00C9559D">
        <w:rPr>
          <w:bCs/>
          <w:sz w:val="20"/>
          <w:szCs w:val="20"/>
        </w:rPr>
        <w:t>(2019):</w:t>
      </w:r>
      <w:r w:rsidR="00D51578" w:rsidRPr="00C9559D">
        <w:rPr>
          <w:sz w:val="20"/>
          <w:szCs w:val="20"/>
        </w:rPr>
        <w:t xml:space="preserve"> </w:t>
      </w:r>
      <w:r w:rsidRPr="00C9559D">
        <w:rPr>
          <w:sz w:val="20"/>
          <w:szCs w:val="20"/>
        </w:rPr>
        <w:t>“</w:t>
      </w:r>
      <w:proofErr w:type="spellStart"/>
      <w:r w:rsidRPr="00C9559D">
        <w:rPr>
          <w:sz w:val="20"/>
          <w:szCs w:val="20"/>
        </w:rPr>
        <w:t>Glucocorticoids</w:t>
      </w:r>
      <w:proofErr w:type="spellEnd"/>
      <w:r w:rsidRPr="00C9559D">
        <w:rPr>
          <w:sz w:val="20"/>
          <w:szCs w:val="20"/>
        </w:rPr>
        <w:t>.”</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Clinical</w:t>
      </w:r>
      <w:r w:rsidR="00D51578" w:rsidRPr="00C9559D">
        <w:rPr>
          <w:sz w:val="20"/>
          <w:szCs w:val="20"/>
        </w:rPr>
        <w:t xml:space="preserve"> </w:t>
      </w:r>
      <w:r w:rsidRPr="00C9559D">
        <w:rPr>
          <w:sz w:val="20"/>
          <w:szCs w:val="20"/>
        </w:rPr>
        <w:t>Immunology,</w:t>
      </w:r>
      <w:r w:rsidR="00D51578" w:rsidRPr="00C9559D">
        <w:rPr>
          <w:sz w:val="20"/>
          <w:szCs w:val="20"/>
        </w:rPr>
        <w:t xml:space="preserve"> </w:t>
      </w:r>
      <w:r w:rsidRPr="00C9559D">
        <w:rPr>
          <w:sz w:val="20"/>
          <w:szCs w:val="20"/>
        </w:rPr>
        <w:t>1165–1175.</w:t>
      </w:r>
      <w:r w:rsidR="00D51578" w:rsidRPr="00C9559D">
        <w:rPr>
          <w:sz w:val="20"/>
          <w:szCs w:val="20"/>
        </w:rPr>
        <w:t xml:space="preserve"> </w:t>
      </w:r>
      <w:r w:rsidRPr="00C9559D">
        <w:rPr>
          <w:sz w:val="20"/>
          <w:szCs w:val="20"/>
        </w:rPr>
        <w:t>Elsevier.</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Hammerich</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r w:rsidRPr="00C9559D">
        <w:rPr>
          <w:bCs/>
          <w:sz w:val="20"/>
          <w:szCs w:val="20"/>
        </w:rPr>
        <w:t>Julie</w:t>
      </w:r>
      <w:r w:rsidR="00D51578" w:rsidRPr="00C9559D">
        <w:rPr>
          <w:bCs/>
          <w:sz w:val="20"/>
          <w:szCs w:val="20"/>
        </w:rPr>
        <w:t xml:space="preserve"> </w:t>
      </w:r>
      <w:r w:rsidRPr="00C9559D">
        <w:rPr>
          <w:bCs/>
          <w:sz w:val="20"/>
          <w:szCs w:val="20"/>
        </w:rPr>
        <w:t>W,</w:t>
      </w:r>
      <w:r w:rsidR="00D51578" w:rsidRPr="00C9559D">
        <w:rPr>
          <w:bCs/>
          <w:sz w:val="20"/>
          <w:szCs w:val="20"/>
        </w:rPr>
        <w:t xml:space="preserve"> </w:t>
      </w:r>
      <w:r w:rsidRPr="00C9559D">
        <w:rPr>
          <w:bCs/>
          <w:sz w:val="20"/>
          <w:szCs w:val="20"/>
        </w:rPr>
        <w:t>Paul</w:t>
      </w:r>
      <w:r w:rsidR="00D51578" w:rsidRPr="00C9559D">
        <w:rPr>
          <w:bCs/>
          <w:sz w:val="20"/>
          <w:szCs w:val="20"/>
        </w:rPr>
        <w:t xml:space="preserve"> </w:t>
      </w:r>
      <w:r w:rsidRPr="00C9559D">
        <w:rPr>
          <w:bCs/>
          <w:sz w:val="20"/>
          <w:szCs w:val="20"/>
        </w:rPr>
        <w:t>M,</w:t>
      </w:r>
      <w:r w:rsidR="00D51578" w:rsidRPr="00C9559D">
        <w:rPr>
          <w:bCs/>
          <w:sz w:val="20"/>
          <w:szCs w:val="20"/>
        </w:rPr>
        <w:t xml:space="preserve"> </w:t>
      </w:r>
      <w:r w:rsidRPr="00C9559D">
        <w:rPr>
          <w:bCs/>
          <w:sz w:val="20"/>
          <w:szCs w:val="20"/>
        </w:rPr>
        <w:t>Thomas</w:t>
      </w:r>
      <w:r w:rsidR="00D51578" w:rsidRPr="00C9559D">
        <w:rPr>
          <w:bCs/>
          <w:sz w:val="20"/>
          <w:szCs w:val="20"/>
        </w:rPr>
        <w:t xml:space="preserve"> </w:t>
      </w:r>
      <w:r w:rsidRPr="00C9559D">
        <w:rPr>
          <w:bCs/>
          <w:sz w:val="20"/>
          <w:szCs w:val="20"/>
        </w:rPr>
        <w:t>D,</w:t>
      </w:r>
      <w:r w:rsidR="00D51578" w:rsidRPr="00C9559D">
        <w:rPr>
          <w:bCs/>
          <w:sz w:val="20"/>
          <w:szCs w:val="20"/>
        </w:rPr>
        <w:t xml:space="preserve"> </w:t>
      </w:r>
      <w:proofErr w:type="spellStart"/>
      <w:r w:rsidRPr="00C9559D">
        <w:rPr>
          <w:bCs/>
          <w:sz w:val="20"/>
          <w:szCs w:val="20"/>
        </w:rPr>
        <w:t>Venu</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r w:rsidRPr="00C9559D">
        <w:rPr>
          <w:bCs/>
          <w:sz w:val="20"/>
          <w:szCs w:val="20"/>
        </w:rPr>
        <w:t>Eric</w:t>
      </w:r>
      <w:r w:rsidR="00D51578" w:rsidRPr="00C9559D">
        <w:rPr>
          <w:bCs/>
          <w:sz w:val="20"/>
          <w:szCs w:val="20"/>
        </w:rPr>
        <w:t xml:space="preserve"> </w:t>
      </w:r>
      <w:r w:rsidRPr="00C9559D">
        <w:rPr>
          <w:bCs/>
          <w:sz w:val="20"/>
          <w:szCs w:val="20"/>
        </w:rPr>
        <w:t>ES,</w:t>
      </w:r>
      <w:r w:rsidR="00D51578" w:rsidRPr="00C9559D">
        <w:rPr>
          <w:bCs/>
          <w:sz w:val="20"/>
          <w:szCs w:val="20"/>
        </w:rPr>
        <w:t xml:space="preserve"> </w:t>
      </w:r>
      <w:r w:rsidRPr="00C9559D">
        <w:rPr>
          <w:bCs/>
          <w:sz w:val="20"/>
          <w:szCs w:val="20"/>
        </w:rPr>
        <w:t>Melissa</w:t>
      </w:r>
      <w:r w:rsidR="00D51578" w:rsidRPr="00C9559D">
        <w:rPr>
          <w:bCs/>
          <w:sz w:val="20"/>
          <w:szCs w:val="20"/>
        </w:rPr>
        <w:t xml:space="preserve"> </w:t>
      </w:r>
      <w:r w:rsidRPr="00C9559D">
        <w:rPr>
          <w:bCs/>
          <w:sz w:val="20"/>
          <w:szCs w:val="20"/>
        </w:rPr>
        <w:t>H,</w:t>
      </w:r>
      <w:r w:rsidR="00D51578" w:rsidRPr="00C9559D">
        <w:rPr>
          <w:bCs/>
          <w:sz w:val="20"/>
          <w:szCs w:val="20"/>
        </w:rPr>
        <w:t xml:space="preserve"> </w:t>
      </w:r>
      <w:r w:rsidRPr="00C9559D">
        <w:rPr>
          <w:bCs/>
          <w:sz w:val="20"/>
          <w:szCs w:val="20"/>
        </w:rPr>
        <w:t>John</w:t>
      </w:r>
      <w:r w:rsidR="00D51578" w:rsidRPr="00C9559D">
        <w:rPr>
          <w:bCs/>
          <w:sz w:val="20"/>
          <w:szCs w:val="20"/>
        </w:rPr>
        <w:t xml:space="preserve"> </w:t>
      </w:r>
      <w:r w:rsidRPr="00C9559D">
        <w:rPr>
          <w:bCs/>
          <w:sz w:val="20"/>
          <w:szCs w:val="20"/>
        </w:rPr>
        <w:t>DC</w:t>
      </w:r>
      <w:r w:rsidR="00D51578" w:rsidRPr="00C9559D">
        <w:rPr>
          <w:bCs/>
          <w:sz w:val="20"/>
          <w:szCs w:val="20"/>
        </w:rPr>
        <w:t xml:space="preserve"> </w:t>
      </w:r>
      <w:r w:rsidRPr="00C9559D">
        <w:rPr>
          <w:bCs/>
          <w:sz w:val="20"/>
          <w:szCs w:val="20"/>
        </w:rPr>
        <w:t>and</w:t>
      </w:r>
      <w:r w:rsidR="00D51578" w:rsidRPr="00C9559D">
        <w:rPr>
          <w:bCs/>
          <w:sz w:val="20"/>
          <w:szCs w:val="20"/>
        </w:rPr>
        <w:t xml:space="preserve"> </w:t>
      </w:r>
      <w:r w:rsidRPr="00C9559D">
        <w:rPr>
          <w:bCs/>
          <w:sz w:val="20"/>
          <w:szCs w:val="20"/>
        </w:rPr>
        <w:t>Joshua</w:t>
      </w:r>
      <w:r w:rsidR="00D51578" w:rsidRPr="00C9559D">
        <w:rPr>
          <w:bCs/>
          <w:sz w:val="20"/>
          <w:szCs w:val="20"/>
        </w:rPr>
        <w:t xml:space="preserve"> </w:t>
      </w:r>
      <w:r w:rsidRPr="00C9559D">
        <w:rPr>
          <w:bCs/>
          <w:sz w:val="20"/>
          <w:szCs w:val="20"/>
        </w:rPr>
        <w:t>C</w:t>
      </w:r>
      <w:r w:rsidR="00D51578" w:rsidRPr="00C9559D">
        <w:rPr>
          <w:bCs/>
          <w:sz w:val="20"/>
          <w:szCs w:val="20"/>
        </w:rPr>
        <w:t xml:space="preserve"> </w:t>
      </w:r>
      <w:r w:rsidRPr="00C9559D">
        <w:rPr>
          <w:bCs/>
          <w:sz w:val="20"/>
          <w:szCs w:val="20"/>
        </w:rPr>
        <w:t>(2019):</w:t>
      </w:r>
      <w:r w:rsidR="00D51578" w:rsidRPr="00C9559D">
        <w:rPr>
          <w:bCs/>
          <w:sz w:val="20"/>
          <w:szCs w:val="20"/>
        </w:rPr>
        <w:t xml:space="preserve"> </w:t>
      </w:r>
      <w:r w:rsidRPr="00C9559D">
        <w:rPr>
          <w:sz w:val="20"/>
          <w:szCs w:val="20"/>
        </w:rPr>
        <w:t>Effectiveness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Physical</w:t>
      </w:r>
      <w:r w:rsidR="00D51578" w:rsidRPr="00C9559D">
        <w:rPr>
          <w:sz w:val="20"/>
          <w:szCs w:val="20"/>
        </w:rPr>
        <w:t xml:space="preserve"> </w:t>
      </w:r>
      <w:r w:rsidRPr="00C9559D">
        <w:rPr>
          <w:sz w:val="20"/>
          <w:szCs w:val="20"/>
        </w:rPr>
        <w:t>Therapy</w:t>
      </w:r>
      <w:r w:rsidR="00D51578" w:rsidRPr="00C9559D">
        <w:rPr>
          <w:sz w:val="20"/>
          <w:szCs w:val="20"/>
        </w:rPr>
        <w:t xml:space="preserve"> </w:t>
      </w:r>
      <w:r w:rsidRPr="00C9559D">
        <w:rPr>
          <w:sz w:val="20"/>
          <w:szCs w:val="20"/>
        </w:rPr>
        <w:t>Combined</w:t>
      </w:r>
      <w:r w:rsidR="00D51578" w:rsidRPr="00C9559D">
        <w:rPr>
          <w:sz w:val="20"/>
          <w:szCs w:val="20"/>
        </w:rPr>
        <w:t xml:space="preserve"> </w:t>
      </w:r>
      <w:r w:rsidRPr="00C9559D">
        <w:rPr>
          <w:sz w:val="20"/>
          <w:szCs w:val="20"/>
        </w:rPr>
        <w:t>with</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Patients</w:t>
      </w:r>
      <w:r w:rsidR="00D51578" w:rsidRPr="00C9559D">
        <w:rPr>
          <w:sz w:val="20"/>
          <w:szCs w:val="20"/>
        </w:rPr>
        <w:t xml:space="preserve"> </w:t>
      </w:r>
      <w:r w:rsidRPr="00C9559D">
        <w:rPr>
          <w:sz w:val="20"/>
          <w:szCs w:val="20"/>
        </w:rPr>
        <w:t>with</w:t>
      </w:r>
      <w:r w:rsidR="00D51578" w:rsidRPr="00C9559D">
        <w:rPr>
          <w:sz w:val="20"/>
          <w:szCs w:val="20"/>
        </w:rPr>
        <w:t xml:space="preserve"> </w:t>
      </w:r>
      <w:r w:rsidRPr="00C9559D">
        <w:rPr>
          <w:sz w:val="20"/>
          <w:szCs w:val="20"/>
        </w:rPr>
        <w:t>Lumbar</w:t>
      </w:r>
      <w:r w:rsidR="00D51578" w:rsidRPr="00C9559D">
        <w:rPr>
          <w:sz w:val="20"/>
          <w:szCs w:val="20"/>
        </w:rPr>
        <w:t xml:space="preserve"> </w:t>
      </w:r>
      <w:r w:rsidRPr="00C9559D">
        <w:rPr>
          <w:sz w:val="20"/>
          <w:szCs w:val="20"/>
        </w:rPr>
        <w:t>Spinal</w:t>
      </w:r>
      <w:r w:rsidR="00D51578" w:rsidRPr="00C9559D">
        <w:rPr>
          <w:sz w:val="20"/>
          <w:szCs w:val="20"/>
        </w:rPr>
        <w:t xml:space="preserve"> </w:t>
      </w:r>
      <w:proofErr w:type="spellStart"/>
      <w:r w:rsidRPr="00C9559D">
        <w:rPr>
          <w:sz w:val="20"/>
          <w:szCs w:val="20"/>
        </w:rPr>
        <w:t>Stenosis</w:t>
      </w:r>
      <w:proofErr w:type="spellEnd"/>
      <w:r w:rsidRPr="00C9559D">
        <w:rPr>
          <w:sz w:val="20"/>
          <w:szCs w:val="20"/>
        </w:rPr>
        <w:t>:</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Randomized</w:t>
      </w:r>
      <w:r w:rsidR="00D51578" w:rsidRPr="00C9559D">
        <w:rPr>
          <w:sz w:val="20"/>
          <w:szCs w:val="20"/>
        </w:rPr>
        <w:t xml:space="preserve"> </w:t>
      </w:r>
      <w:r w:rsidRPr="00C9559D">
        <w:rPr>
          <w:sz w:val="20"/>
          <w:szCs w:val="20"/>
        </w:rPr>
        <w:t>Parallel-Group</w:t>
      </w:r>
      <w:r w:rsidR="00D51578" w:rsidRPr="00C9559D">
        <w:rPr>
          <w:sz w:val="20"/>
          <w:szCs w:val="20"/>
        </w:rPr>
        <w:t xml:space="preserve"> </w:t>
      </w:r>
      <w:r w:rsidRPr="00C9559D">
        <w:rPr>
          <w:sz w:val="20"/>
          <w:szCs w:val="20"/>
        </w:rPr>
        <w:t>Trial.</w:t>
      </w:r>
      <w:r w:rsidR="00D51578" w:rsidRPr="00C9559D">
        <w:rPr>
          <w:sz w:val="20"/>
          <w:szCs w:val="20"/>
        </w:rPr>
        <w:t xml:space="preserve"> </w:t>
      </w:r>
      <w:r w:rsidRPr="00C9559D">
        <w:rPr>
          <w:sz w:val="20"/>
          <w:szCs w:val="20"/>
        </w:rPr>
        <w:t>Archives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Physical</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Rehabilitation.</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Haseeb</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r w:rsidRPr="00C9559D">
        <w:rPr>
          <w:bCs/>
          <w:sz w:val="20"/>
          <w:szCs w:val="20"/>
        </w:rPr>
        <w:t>Freeman</w:t>
      </w:r>
      <w:r w:rsidR="00D51578" w:rsidRPr="00C9559D">
        <w:rPr>
          <w:bCs/>
          <w:sz w:val="20"/>
          <w:szCs w:val="20"/>
        </w:rPr>
        <w:t xml:space="preserve"> </w:t>
      </w:r>
      <w:r w:rsidRPr="00C9559D">
        <w:rPr>
          <w:bCs/>
          <w:sz w:val="20"/>
          <w:szCs w:val="20"/>
        </w:rPr>
        <w:t>ML,</w:t>
      </w:r>
      <w:r w:rsidR="00D51578" w:rsidRPr="00C9559D">
        <w:rPr>
          <w:bCs/>
          <w:sz w:val="20"/>
          <w:szCs w:val="20"/>
        </w:rPr>
        <w:t xml:space="preserve"> </w:t>
      </w:r>
      <w:proofErr w:type="spellStart"/>
      <w:r w:rsidRPr="00C9559D">
        <w:rPr>
          <w:bCs/>
          <w:sz w:val="20"/>
          <w:szCs w:val="20"/>
        </w:rPr>
        <w:t>Amateau</w:t>
      </w:r>
      <w:proofErr w:type="spellEnd"/>
      <w:r w:rsidR="00D51578" w:rsidRPr="00C9559D">
        <w:rPr>
          <w:bCs/>
          <w:sz w:val="20"/>
          <w:szCs w:val="20"/>
        </w:rPr>
        <w:t xml:space="preserve"> </w:t>
      </w:r>
      <w:r w:rsidRPr="00C9559D">
        <w:rPr>
          <w:bCs/>
          <w:sz w:val="20"/>
          <w:szCs w:val="20"/>
        </w:rPr>
        <w:t>SK.</w:t>
      </w:r>
      <w:r w:rsidR="00D51578" w:rsidRPr="00C9559D">
        <w:rPr>
          <w:bCs/>
          <w:sz w:val="20"/>
          <w:szCs w:val="20"/>
        </w:rPr>
        <w:t xml:space="preserve"> </w:t>
      </w:r>
      <w:r w:rsidRPr="00C9559D">
        <w:rPr>
          <w:sz w:val="20"/>
          <w:szCs w:val="20"/>
        </w:rPr>
        <w:t>Alternative</w:t>
      </w:r>
      <w:r w:rsidR="00D51578" w:rsidRPr="00C9559D">
        <w:rPr>
          <w:sz w:val="20"/>
          <w:szCs w:val="20"/>
        </w:rPr>
        <w:t xml:space="preserve"> </w:t>
      </w:r>
      <w:r w:rsidRPr="00C9559D">
        <w:rPr>
          <w:sz w:val="20"/>
          <w:szCs w:val="20"/>
        </w:rPr>
        <w:t>approach</w:t>
      </w:r>
      <w:r w:rsidR="00D51578" w:rsidRPr="00C9559D">
        <w:rPr>
          <w:sz w:val="20"/>
          <w:szCs w:val="20"/>
        </w:rPr>
        <w:t xml:space="preserve"> </w:t>
      </w:r>
      <w:r w:rsidRPr="00C9559D">
        <w:rPr>
          <w:sz w:val="20"/>
          <w:szCs w:val="20"/>
        </w:rPr>
        <w:t>to</w:t>
      </w:r>
      <w:r w:rsidR="00D51578" w:rsidRPr="00C9559D">
        <w:rPr>
          <w:sz w:val="20"/>
          <w:szCs w:val="20"/>
        </w:rPr>
        <w:t xml:space="preserve"> </w:t>
      </w:r>
      <w:proofErr w:type="spellStart"/>
      <w:r w:rsidRPr="00C9559D">
        <w:rPr>
          <w:sz w:val="20"/>
          <w:szCs w:val="20"/>
        </w:rPr>
        <w:t>hemostatic</w:t>
      </w:r>
      <w:proofErr w:type="spellEnd"/>
      <w:r w:rsidR="00D51578" w:rsidRPr="00C9559D">
        <w:rPr>
          <w:sz w:val="20"/>
          <w:szCs w:val="20"/>
        </w:rPr>
        <w:t xml:space="preserve"> </w:t>
      </w:r>
      <w:r w:rsidRPr="00C9559D">
        <w:rPr>
          <w:sz w:val="20"/>
          <w:szCs w:val="20"/>
        </w:rPr>
        <w:t>particle</w:t>
      </w:r>
      <w:r w:rsidR="00D51578" w:rsidRPr="00C9559D">
        <w:rPr>
          <w:sz w:val="20"/>
          <w:szCs w:val="20"/>
        </w:rPr>
        <w:t xml:space="preserve"> </w:t>
      </w:r>
      <w:r w:rsidRPr="00C9559D">
        <w:rPr>
          <w:sz w:val="20"/>
          <w:szCs w:val="20"/>
        </w:rPr>
        <w:t>spraying</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treatment</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GI</w:t>
      </w:r>
      <w:r w:rsidR="00D51578" w:rsidRPr="00C9559D">
        <w:rPr>
          <w:sz w:val="20"/>
          <w:szCs w:val="20"/>
        </w:rPr>
        <w:t xml:space="preserve"> </w:t>
      </w:r>
      <w:r w:rsidRPr="00C9559D">
        <w:rPr>
          <w:sz w:val="20"/>
          <w:szCs w:val="20"/>
        </w:rPr>
        <w:t>bleeding</w:t>
      </w:r>
      <w:r w:rsidR="00D51578" w:rsidRPr="00C9559D">
        <w:rPr>
          <w:sz w:val="20"/>
          <w:szCs w:val="20"/>
        </w:rPr>
        <w:t xml:space="preserve"> </w:t>
      </w:r>
      <w:r w:rsidRPr="00C9559D">
        <w:rPr>
          <w:sz w:val="20"/>
          <w:szCs w:val="20"/>
        </w:rPr>
        <w:t>by</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use</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cross-platform</w:t>
      </w:r>
      <w:r w:rsidR="00D51578" w:rsidRPr="00C9559D">
        <w:rPr>
          <w:sz w:val="20"/>
          <w:szCs w:val="20"/>
        </w:rPr>
        <w:t xml:space="preserve"> </w:t>
      </w:r>
      <w:r w:rsidRPr="00C9559D">
        <w:rPr>
          <w:sz w:val="20"/>
          <w:szCs w:val="20"/>
        </w:rPr>
        <w:t>devices.</w:t>
      </w:r>
      <w:r w:rsidR="00D51578" w:rsidRPr="00C9559D">
        <w:rPr>
          <w:sz w:val="20"/>
          <w:szCs w:val="20"/>
        </w:rPr>
        <w:t xml:space="preserve"> </w:t>
      </w:r>
      <w:proofErr w:type="spellStart"/>
      <w:r w:rsidRPr="00C9559D">
        <w:rPr>
          <w:sz w:val="20"/>
          <w:szCs w:val="20"/>
        </w:rPr>
        <w:t>VideoGIE</w:t>
      </w:r>
      <w:proofErr w:type="spellEnd"/>
      <w:r w:rsidRPr="00C9559D">
        <w:rPr>
          <w:sz w:val="20"/>
          <w:szCs w:val="20"/>
        </w:rPr>
        <w:t>.</w:t>
      </w:r>
      <w:r w:rsidR="00D51578" w:rsidRPr="00C9559D">
        <w:rPr>
          <w:sz w:val="20"/>
          <w:szCs w:val="20"/>
        </w:rPr>
        <w:t xml:space="preserve"> </w:t>
      </w:r>
      <w:r w:rsidRPr="00C9559D">
        <w:rPr>
          <w:sz w:val="20"/>
          <w:szCs w:val="20"/>
        </w:rPr>
        <w:t>2019.</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Hofmeister</w:t>
      </w:r>
      <w:proofErr w:type="spellEnd"/>
      <w:r w:rsidR="00D51578" w:rsidRPr="00C9559D">
        <w:rPr>
          <w:bCs/>
          <w:sz w:val="20"/>
          <w:szCs w:val="20"/>
        </w:rPr>
        <w:t xml:space="preserve"> </w:t>
      </w:r>
      <w:r w:rsidRPr="00C9559D">
        <w:rPr>
          <w:bCs/>
          <w:sz w:val="20"/>
          <w:szCs w:val="20"/>
        </w:rPr>
        <w:t>M,</w:t>
      </w:r>
      <w:r w:rsidR="00D51578" w:rsidRPr="00C9559D">
        <w:rPr>
          <w:bCs/>
          <w:sz w:val="20"/>
          <w:szCs w:val="20"/>
        </w:rPr>
        <w:t xml:space="preserve"> </w:t>
      </w:r>
      <w:r w:rsidRPr="00C9559D">
        <w:rPr>
          <w:bCs/>
          <w:sz w:val="20"/>
          <w:szCs w:val="20"/>
        </w:rPr>
        <w:t>Laura</w:t>
      </w:r>
      <w:r w:rsidR="00D51578" w:rsidRPr="00C9559D">
        <w:rPr>
          <w:bCs/>
          <w:sz w:val="20"/>
          <w:szCs w:val="20"/>
        </w:rPr>
        <w:t xml:space="preserve"> </w:t>
      </w:r>
      <w:r w:rsidRPr="00C9559D">
        <w:rPr>
          <w:bCs/>
          <w:sz w:val="20"/>
          <w:szCs w:val="20"/>
        </w:rPr>
        <w:t>ED,</w:t>
      </w:r>
      <w:r w:rsidR="00D51578" w:rsidRPr="00C9559D">
        <w:rPr>
          <w:bCs/>
          <w:sz w:val="20"/>
          <w:szCs w:val="20"/>
        </w:rPr>
        <w:t xml:space="preserve"> </w:t>
      </w:r>
      <w:r w:rsidRPr="00C9559D">
        <w:rPr>
          <w:bCs/>
          <w:sz w:val="20"/>
          <w:szCs w:val="20"/>
        </w:rPr>
        <w:t>Diane</w:t>
      </w:r>
      <w:r w:rsidR="00D51578" w:rsidRPr="00C9559D">
        <w:rPr>
          <w:bCs/>
          <w:sz w:val="20"/>
          <w:szCs w:val="20"/>
        </w:rPr>
        <w:t xml:space="preserve"> </w:t>
      </w:r>
      <w:r w:rsidRPr="00C9559D">
        <w:rPr>
          <w:bCs/>
          <w:sz w:val="20"/>
          <w:szCs w:val="20"/>
        </w:rPr>
        <w:t>LL,</w:t>
      </w:r>
      <w:r w:rsidR="00D51578" w:rsidRPr="00C9559D">
        <w:rPr>
          <w:bCs/>
          <w:sz w:val="20"/>
          <w:szCs w:val="20"/>
        </w:rPr>
        <w:t xml:space="preserve"> </w:t>
      </w:r>
      <w:r w:rsidRPr="00C9559D">
        <w:rPr>
          <w:bCs/>
          <w:sz w:val="20"/>
          <w:szCs w:val="20"/>
        </w:rPr>
        <w:t>and</w:t>
      </w:r>
      <w:r w:rsidR="00D51578" w:rsidRPr="00C9559D">
        <w:rPr>
          <w:bCs/>
          <w:sz w:val="20"/>
          <w:szCs w:val="20"/>
        </w:rPr>
        <w:t xml:space="preserve"> </w:t>
      </w:r>
      <w:r w:rsidRPr="00C9559D">
        <w:rPr>
          <w:bCs/>
          <w:sz w:val="20"/>
          <w:szCs w:val="20"/>
        </w:rPr>
        <w:t>Fiona</w:t>
      </w:r>
      <w:r w:rsidR="00D51578" w:rsidRPr="00C9559D">
        <w:rPr>
          <w:bCs/>
          <w:sz w:val="20"/>
          <w:szCs w:val="20"/>
        </w:rPr>
        <w:t xml:space="preserve"> </w:t>
      </w:r>
      <w:r w:rsidRPr="00C9559D">
        <w:rPr>
          <w:bCs/>
          <w:sz w:val="20"/>
          <w:szCs w:val="20"/>
        </w:rPr>
        <w:t>C</w:t>
      </w:r>
      <w:r w:rsidR="00D51578" w:rsidRPr="00C9559D">
        <w:rPr>
          <w:bCs/>
          <w:sz w:val="20"/>
          <w:szCs w:val="20"/>
        </w:rPr>
        <w:t xml:space="preserve"> </w:t>
      </w:r>
      <w:r w:rsidRPr="00C9559D">
        <w:rPr>
          <w:bCs/>
          <w:sz w:val="20"/>
          <w:szCs w:val="20"/>
        </w:rPr>
        <w:t>(2019):</w:t>
      </w:r>
      <w:r w:rsidR="00D51578" w:rsidRPr="00C9559D">
        <w:rPr>
          <w:sz w:val="20"/>
          <w:szCs w:val="20"/>
        </w:rPr>
        <w:t xml:space="preserve"> </w:t>
      </w:r>
      <w:r w:rsidRPr="00C9559D">
        <w:rPr>
          <w:sz w:val="20"/>
          <w:szCs w:val="20"/>
        </w:rPr>
        <w:t>Ultrasound-versus</w:t>
      </w:r>
      <w:r w:rsidR="00D51578" w:rsidRPr="00C9559D">
        <w:rPr>
          <w:sz w:val="20"/>
          <w:szCs w:val="20"/>
        </w:rPr>
        <w:t xml:space="preserve"> </w:t>
      </w:r>
      <w:r w:rsidRPr="00C9559D">
        <w:rPr>
          <w:sz w:val="20"/>
          <w:szCs w:val="20"/>
        </w:rPr>
        <w:t>Fluoroscopy-Guided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Lower</w:t>
      </w:r>
      <w:r w:rsidR="00D51578" w:rsidRPr="00C9559D">
        <w:rPr>
          <w:sz w:val="20"/>
          <w:szCs w:val="20"/>
        </w:rPr>
        <w:t xml:space="preserve"> </w:t>
      </w:r>
      <w:r w:rsidRPr="00C9559D">
        <w:rPr>
          <w:sz w:val="20"/>
          <w:szCs w:val="20"/>
        </w:rPr>
        <w:t>Back</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Management</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Systematic</w:t>
      </w:r>
      <w:r w:rsidR="00D51578" w:rsidRPr="00C9559D">
        <w:rPr>
          <w:sz w:val="20"/>
          <w:szCs w:val="20"/>
        </w:rPr>
        <w:t xml:space="preserve"> </w:t>
      </w:r>
      <w:r w:rsidRPr="00C9559D">
        <w:rPr>
          <w:sz w:val="20"/>
          <w:szCs w:val="20"/>
        </w:rPr>
        <w:t>Review.</w:t>
      </w:r>
      <w:r w:rsidR="00D51578" w:rsidRPr="00C9559D">
        <w:rPr>
          <w:sz w:val="20"/>
          <w:szCs w:val="20"/>
        </w:rPr>
        <w:t xml:space="preserve"> </w:t>
      </w:r>
      <w:r w:rsidRPr="00C9559D">
        <w:rPr>
          <w:sz w:val="20"/>
          <w:szCs w:val="20"/>
        </w:rPr>
        <w:t>European</w:t>
      </w:r>
      <w:r w:rsidR="00D51578" w:rsidRPr="00C9559D">
        <w:rPr>
          <w:sz w:val="20"/>
          <w:szCs w:val="20"/>
        </w:rPr>
        <w:t xml:space="preserve"> </w:t>
      </w:r>
      <w:r w:rsidRPr="00C9559D">
        <w:rPr>
          <w:sz w:val="20"/>
          <w:szCs w:val="20"/>
        </w:rPr>
        <w:t>Radiology,</w:t>
      </w:r>
      <w:r w:rsidR="00D51578" w:rsidRPr="00C9559D">
        <w:rPr>
          <w:sz w:val="20"/>
          <w:szCs w:val="20"/>
        </w:rPr>
        <w:t xml:space="preserve"> </w:t>
      </w:r>
      <w:r w:rsidRPr="00C9559D">
        <w:rPr>
          <w:sz w:val="20"/>
          <w:szCs w:val="20"/>
        </w:rPr>
        <w:t>1–9.</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Kaufmann</w:t>
      </w:r>
      <w:r w:rsidR="00D51578" w:rsidRPr="00C9559D">
        <w:rPr>
          <w:bCs/>
          <w:sz w:val="20"/>
          <w:szCs w:val="20"/>
        </w:rPr>
        <w:t xml:space="preserve"> </w:t>
      </w:r>
      <w:r w:rsidRPr="00C9559D">
        <w:rPr>
          <w:bCs/>
          <w:sz w:val="20"/>
          <w:szCs w:val="20"/>
        </w:rPr>
        <w:t>T,</w:t>
      </w:r>
      <w:r w:rsidR="00D51578" w:rsidRPr="00C9559D">
        <w:rPr>
          <w:bCs/>
          <w:sz w:val="20"/>
          <w:szCs w:val="20"/>
        </w:rPr>
        <w:t xml:space="preserve"> </w:t>
      </w:r>
      <w:proofErr w:type="spellStart"/>
      <w:r w:rsidRPr="00C9559D">
        <w:rPr>
          <w:bCs/>
          <w:sz w:val="20"/>
          <w:szCs w:val="20"/>
        </w:rPr>
        <w:t>Geske</w:t>
      </w:r>
      <w:proofErr w:type="spellEnd"/>
      <w:r w:rsidR="00D51578" w:rsidRPr="00C9559D">
        <w:rPr>
          <w:bCs/>
          <w:sz w:val="20"/>
          <w:szCs w:val="20"/>
        </w:rPr>
        <w:t xml:space="preserve"> </w:t>
      </w:r>
      <w:r w:rsidRPr="00C9559D">
        <w:rPr>
          <w:bCs/>
          <w:sz w:val="20"/>
          <w:szCs w:val="20"/>
        </w:rPr>
        <w:t>JR,</w:t>
      </w:r>
      <w:r w:rsidR="00D51578" w:rsidRPr="00C9559D">
        <w:rPr>
          <w:bCs/>
          <w:sz w:val="20"/>
          <w:szCs w:val="20"/>
        </w:rPr>
        <w:t xml:space="preserve"> </w:t>
      </w:r>
      <w:r w:rsidRPr="00C9559D">
        <w:rPr>
          <w:bCs/>
          <w:sz w:val="20"/>
          <w:szCs w:val="20"/>
        </w:rPr>
        <w:t>Murthy</w:t>
      </w:r>
      <w:r w:rsidR="00D51578" w:rsidRPr="00C9559D">
        <w:rPr>
          <w:bCs/>
          <w:sz w:val="20"/>
          <w:szCs w:val="20"/>
        </w:rPr>
        <w:t xml:space="preserve"> </w:t>
      </w:r>
      <w:r w:rsidRPr="00C9559D">
        <w:rPr>
          <w:bCs/>
          <w:sz w:val="20"/>
          <w:szCs w:val="20"/>
        </w:rPr>
        <w:t>NS,</w:t>
      </w:r>
      <w:r w:rsidR="00D51578" w:rsidRPr="00C9559D">
        <w:rPr>
          <w:bCs/>
          <w:sz w:val="20"/>
          <w:szCs w:val="20"/>
        </w:rPr>
        <w:t xml:space="preserve"> </w:t>
      </w:r>
      <w:proofErr w:type="spellStart"/>
      <w:r w:rsidRPr="00C9559D">
        <w:rPr>
          <w:bCs/>
          <w:sz w:val="20"/>
          <w:szCs w:val="20"/>
        </w:rPr>
        <w:t>Thielen</w:t>
      </w:r>
      <w:proofErr w:type="spellEnd"/>
      <w:r w:rsidR="00D51578" w:rsidRPr="00C9559D">
        <w:rPr>
          <w:bCs/>
          <w:sz w:val="20"/>
          <w:szCs w:val="20"/>
        </w:rPr>
        <w:t xml:space="preserve"> </w:t>
      </w:r>
      <w:r w:rsidRPr="00C9559D">
        <w:rPr>
          <w:bCs/>
          <w:sz w:val="20"/>
          <w:szCs w:val="20"/>
        </w:rPr>
        <w:t>KR,</w:t>
      </w:r>
      <w:r w:rsidR="00D51578" w:rsidRPr="00C9559D">
        <w:rPr>
          <w:bCs/>
          <w:sz w:val="20"/>
          <w:szCs w:val="20"/>
        </w:rPr>
        <w:t xml:space="preserve"> </w:t>
      </w:r>
      <w:r w:rsidRPr="00C9559D">
        <w:rPr>
          <w:bCs/>
          <w:sz w:val="20"/>
          <w:szCs w:val="20"/>
        </w:rPr>
        <w:t>Morris</w:t>
      </w:r>
      <w:r w:rsidR="00D51578" w:rsidRPr="00C9559D">
        <w:rPr>
          <w:bCs/>
          <w:sz w:val="20"/>
          <w:szCs w:val="20"/>
        </w:rPr>
        <w:t xml:space="preserve"> </w:t>
      </w:r>
      <w:r w:rsidRPr="00C9559D">
        <w:rPr>
          <w:bCs/>
          <w:sz w:val="20"/>
          <w:szCs w:val="20"/>
        </w:rPr>
        <w:t>JM,</w:t>
      </w:r>
      <w:r w:rsidR="00D51578" w:rsidRPr="00C9559D">
        <w:rPr>
          <w:bCs/>
          <w:sz w:val="20"/>
          <w:szCs w:val="20"/>
        </w:rPr>
        <w:t xml:space="preserve"> </w:t>
      </w:r>
      <w:r w:rsidRPr="00C9559D">
        <w:rPr>
          <w:bCs/>
          <w:sz w:val="20"/>
          <w:szCs w:val="20"/>
        </w:rPr>
        <w:t>Wald</w:t>
      </w:r>
      <w:r w:rsidR="00D51578" w:rsidRPr="00C9559D">
        <w:rPr>
          <w:bCs/>
          <w:sz w:val="20"/>
          <w:szCs w:val="20"/>
        </w:rPr>
        <w:t xml:space="preserve"> </w:t>
      </w:r>
      <w:r w:rsidRPr="00C9559D">
        <w:rPr>
          <w:bCs/>
          <w:sz w:val="20"/>
          <w:szCs w:val="20"/>
        </w:rPr>
        <w:t>JT,</w:t>
      </w:r>
      <w:r w:rsidR="00D51578" w:rsidRPr="00C9559D">
        <w:rPr>
          <w:bCs/>
          <w:sz w:val="20"/>
          <w:szCs w:val="20"/>
        </w:rPr>
        <w:t xml:space="preserve"> </w:t>
      </w:r>
      <w:proofErr w:type="spellStart"/>
      <w:r w:rsidRPr="00C9559D">
        <w:rPr>
          <w:bCs/>
          <w:sz w:val="20"/>
          <w:szCs w:val="20"/>
        </w:rPr>
        <w:t>Diehn</w:t>
      </w:r>
      <w:proofErr w:type="spellEnd"/>
      <w:r w:rsidR="00D51578" w:rsidRPr="00C9559D">
        <w:rPr>
          <w:bCs/>
          <w:sz w:val="20"/>
          <w:szCs w:val="20"/>
        </w:rPr>
        <w:t xml:space="preserve"> </w:t>
      </w:r>
      <w:r w:rsidRPr="00C9559D">
        <w:rPr>
          <w:bCs/>
          <w:sz w:val="20"/>
          <w:szCs w:val="20"/>
        </w:rPr>
        <w:t>FE,</w:t>
      </w:r>
      <w:r w:rsidR="00D51578" w:rsidRPr="00C9559D">
        <w:rPr>
          <w:bCs/>
          <w:sz w:val="20"/>
          <w:szCs w:val="20"/>
        </w:rPr>
        <w:t xml:space="preserve"> </w:t>
      </w:r>
      <w:proofErr w:type="spellStart"/>
      <w:r w:rsidRPr="00C9559D">
        <w:rPr>
          <w:bCs/>
          <w:sz w:val="20"/>
          <w:szCs w:val="20"/>
        </w:rPr>
        <w:t>Amrami</w:t>
      </w:r>
      <w:proofErr w:type="spellEnd"/>
      <w:r w:rsidR="00D51578" w:rsidRPr="00C9559D">
        <w:rPr>
          <w:bCs/>
          <w:sz w:val="20"/>
          <w:szCs w:val="20"/>
        </w:rPr>
        <w:t xml:space="preserve"> </w:t>
      </w:r>
      <w:r w:rsidRPr="00C9559D">
        <w:rPr>
          <w:bCs/>
          <w:sz w:val="20"/>
          <w:szCs w:val="20"/>
        </w:rPr>
        <w:t>KK,</w:t>
      </w:r>
      <w:r w:rsidR="00D51578" w:rsidRPr="00C9559D">
        <w:rPr>
          <w:bCs/>
          <w:sz w:val="20"/>
          <w:szCs w:val="20"/>
        </w:rPr>
        <w:t xml:space="preserve"> </w:t>
      </w:r>
      <w:r w:rsidRPr="00C9559D">
        <w:rPr>
          <w:bCs/>
          <w:sz w:val="20"/>
          <w:szCs w:val="20"/>
        </w:rPr>
        <w:t>Carter</w:t>
      </w:r>
      <w:r w:rsidR="00D51578" w:rsidRPr="00C9559D">
        <w:rPr>
          <w:bCs/>
          <w:sz w:val="20"/>
          <w:szCs w:val="20"/>
        </w:rPr>
        <w:t xml:space="preserve"> </w:t>
      </w:r>
      <w:r w:rsidRPr="00C9559D">
        <w:rPr>
          <w:bCs/>
          <w:sz w:val="20"/>
          <w:szCs w:val="20"/>
        </w:rPr>
        <w:t>RE,</w:t>
      </w:r>
      <w:r w:rsidR="00D51578" w:rsidRPr="00C9559D">
        <w:rPr>
          <w:bCs/>
          <w:sz w:val="20"/>
          <w:szCs w:val="20"/>
        </w:rPr>
        <w:t xml:space="preserve"> </w:t>
      </w:r>
      <w:proofErr w:type="spellStart"/>
      <w:r w:rsidRPr="00C9559D">
        <w:rPr>
          <w:bCs/>
          <w:sz w:val="20"/>
          <w:szCs w:val="20"/>
        </w:rPr>
        <w:t>Schelewd</w:t>
      </w:r>
      <w:proofErr w:type="spellEnd"/>
      <w:r w:rsidR="00D51578" w:rsidRPr="00C9559D">
        <w:rPr>
          <w:bCs/>
          <w:sz w:val="20"/>
          <w:szCs w:val="20"/>
        </w:rPr>
        <w:t xml:space="preserve"> </w:t>
      </w:r>
      <w:r w:rsidRPr="00C9559D">
        <w:rPr>
          <w:bCs/>
          <w:sz w:val="20"/>
          <w:szCs w:val="20"/>
        </w:rPr>
        <w:t>RA,</w:t>
      </w:r>
      <w:r w:rsidR="00D51578" w:rsidRPr="00C9559D">
        <w:rPr>
          <w:bCs/>
          <w:sz w:val="20"/>
          <w:szCs w:val="20"/>
        </w:rPr>
        <w:t xml:space="preserve"> </w:t>
      </w:r>
      <w:r w:rsidRPr="00C9559D">
        <w:rPr>
          <w:bCs/>
          <w:sz w:val="20"/>
          <w:szCs w:val="20"/>
        </w:rPr>
        <w:t>Gay</w:t>
      </w:r>
      <w:r w:rsidR="00D51578" w:rsidRPr="00C9559D">
        <w:rPr>
          <w:bCs/>
          <w:sz w:val="20"/>
          <w:szCs w:val="20"/>
        </w:rPr>
        <w:t xml:space="preserve"> </w:t>
      </w:r>
      <w:r w:rsidRPr="00C9559D">
        <w:rPr>
          <w:bCs/>
          <w:sz w:val="20"/>
          <w:szCs w:val="20"/>
        </w:rPr>
        <w:t>RE,</w:t>
      </w:r>
      <w:r w:rsidR="00D51578" w:rsidRPr="00C9559D">
        <w:rPr>
          <w:bCs/>
          <w:sz w:val="20"/>
          <w:szCs w:val="20"/>
        </w:rPr>
        <w:t xml:space="preserve"> </w:t>
      </w:r>
      <w:proofErr w:type="spellStart"/>
      <w:r w:rsidRPr="00C9559D">
        <w:rPr>
          <w:bCs/>
          <w:sz w:val="20"/>
          <w:szCs w:val="20"/>
        </w:rPr>
        <w:t>Maus</w:t>
      </w:r>
      <w:proofErr w:type="spellEnd"/>
      <w:r w:rsidR="00D51578" w:rsidRPr="00C9559D">
        <w:rPr>
          <w:bCs/>
          <w:sz w:val="20"/>
          <w:szCs w:val="20"/>
        </w:rPr>
        <w:t xml:space="preserve"> </w:t>
      </w:r>
      <w:r w:rsidRPr="00C9559D">
        <w:rPr>
          <w:bCs/>
          <w:sz w:val="20"/>
          <w:szCs w:val="20"/>
        </w:rPr>
        <w:t>TP.</w:t>
      </w:r>
      <w:r w:rsidR="00D51578" w:rsidRPr="00C9559D">
        <w:rPr>
          <w:bCs/>
          <w:sz w:val="20"/>
          <w:szCs w:val="20"/>
        </w:rPr>
        <w:t xml:space="preserve"> </w:t>
      </w:r>
      <w:r w:rsidRPr="00C9559D">
        <w:rPr>
          <w:sz w:val="20"/>
          <w:szCs w:val="20"/>
        </w:rPr>
        <w:t>Clinical</w:t>
      </w:r>
      <w:r w:rsidR="00D51578" w:rsidRPr="00C9559D">
        <w:rPr>
          <w:sz w:val="20"/>
          <w:szCs w:val="20"/>
        </w:rPr>
        <w:t xml:space="preserve"> </w:t>
      </w:r>
      <w:r w:rsidRPr="00C9559D">
        <w:rPr>
          <w:sz w:val="20"/>
          <w:szCs w:val="20"/>
        </w:rPr>
        <w:t>effectiveness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single</w:t>
      </w:r>
      <w:r w:rsidR="00D51578" w:rsidRPr="00C9559D">
        <w:rPr>
          <w:sz w:val="20"/>
          <w:szCs w:val="20"/>
        </w:rPr>
        <w:t xml:space="preserve"> </w:t>
      </w:r>
      <w:r w:rsidRPr="00C9559D">
        <w:rPr>
          <w:sz w:val="20"/>
          <w:szCs w:val="20"/>
        </w:rPr>
        <w:t>lumbar</w:t>
      </w:r>
      <w:r w:rsidR="00D51578" w:rsidRPr="00C9559D">
        <w:rPr>
          <w:sz w:val="20"/>
          <w:szCs w:val="20"/>
        </w:rPr>
        <w:t xml:space="preserve"> </w:t>
      </w:r>
      <w:proofErr w:type="spellStart"/>
      <w:r w:rsidRPr="00C9559D">
        <w:rPr>
          <w:sz w:val="20"/>
          <w:szCs w:val="20"/>
        </w:rPr>
        <w:lastRenderedPageBreak/>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2013;</w:t>
      </w:r>
      <w:r w:rsidR="00D51578" w:rsidRPr="00C9559D">
        <w:rPr>
          <w:sz w:val="20"/>
          <w:szCs w:val="20"/>
        </w:rPr>
        <w:t xml:space="preserve"> </w:t>
      </w:r>
      <w:r w:rsidRPr="00C9559D">
        <w:rPr>
          <w:sz w:val="20"/>
          <w:szCs w:val="20"/>
        </w:rPr>
        <w:t>14:</w:t>
      </w:r>
      <w:r w:rsidR="00D51578" w:rsidRPr="00C9559D">
        <w:rPr>
          <w:sz w:val="20"/>
          <w:szCs w:val="20"/>
        </w:rPr>
        <w:t xml:space="preserve"> </w:t>
      </w:r>
      <w:r w:rsidRPr="00C9559D">
        <w:rPr>
          <w:sz w:val="20"/>
          <w:szCs w:val="20"/>
        </w:rPr>
        <w:t>1126–1133.</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Konstantinou</w:t>
      </w:r>
      <w:proofErr w:type="spellEnd"/>
      <w:r w:rsidR="00D51578" w:rsidRPr="00C9559D">
        <w:rPr>
          <w:bCs/>
          <w:sz w:val="20"/>
          <w:szCs w:val="20"/>
        </w:rPr>
        <w:t xml:space="preserve"> </w:t>
      </w:r>
      <w:r w:rsidRPr="00C9559D">
        <w:rPr>
          <w:bCs/>
          <w:sz w:val="20"/>
          <w:szCs w:val="20"/>
        </w:rPr>
        <w:t>K,</w:t>
      </w:r>
      <w:r w:rsidR="00D51578" w:rsidRPr="00C9559D">
        <w:rPr>
          <w:bCs/>
          <w:sz w:val="20"/>
          <w:szCs w:val="20"/>
        </w:rPr>
        <w:t xml:space="preserve"> </w:t>
      </w:r>
      <w:r w:rsidRPr="00C9559D">
        <w:rPr>
          <w:bCs/>
          <w:sz w:val="20"/>
          <w:szCs w:val="20"/>
        </w:rPr>
        <w:t>Dunn</w:t>
      </w:r>
      <w:r w:rsidR="00D51578" w:rsidRPr="00C9559D">
        <w:rPr>
          <w:bCs/>
          <w:sz w:val="20"/>
          <w:szCs w:val="20"/>
        </w:rPr>
        <w:t xml:space="preserve"> </w:t>
      </w:r>
      <w:r w:rsidRPr="00C9559D">
        <w:rPr>
          <w:bCs/>
          <w:sz w:val="20"/>
          <w:szCs w:val="20"/>
        </w:rPr>
        <w:t>KM.</w:t>
      </w:r>
      <w:r w:rsidR="00D51578" w:rsidRPr="00C9559D">
        <w:rPr>
          <w:bCs/>
          <w:sz w:val="20"/>
          <w:szCs w:val="20"/>
        </w:rPr>
        <w:t xml:space="preserve"> </w:t>
      </w:r>
      <w:r w:rsidRPr="00C9559D">
        <w:rPr>
          <w:sz w:val="20"/>
          <w:szCs w:val="20"/>
        </w:rPr>
        <w:t>Sciatica:</w:t>
      </w:r>
      <w:r w:rsidR="00D51578" w:rsidRPr="00C9559D">
        <w:rPr>
          <w:sz w:val="20"/>
          <w:szCs w:val="20"/>
        </w:rPr>
        <w:t xml:space="preserve"> </w:t>
      </w:r>
      <w:r w:rsidRPr="00C9559D">
        <w:rPr>
          <w:sz w:val="20"/>
          <w:szCs w:val="20"/>
        </w:rPr>
        <w:t>review</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epidemiological</w:t>
      </w:r>
      <w:r w:rsidR="00D51578" w:rsidRPr="00C9559D">
        <w:rPr>
          <w:sz w:val="20"/>
          <w:szCs w:val="20"/>
        </w:rPr>
        <w:t xml:space="preserve"> </w:t>
      </w:r>
      <w:r w:rsidRPr="00C9559D">
        <w:rPr>
          <w:sz w:val="20"/>
          <w:szCs w:val="20"/>
        </w:rPr>
        <w:t>studies</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prevalence</w:t>
      </w:r>
      <w:r w:rsidR="00D51578" w:rsidRPr="00C9559D">
        <w:rPr>
          <w:sz w:val="20"/>
          <w:szCs w:val="20"/>
        </w:rPr>
        <w:t xml:space="preserve"> </w:t>
      </w:r>
      <w:r w:rsidRPr="00C9559D">
        <w:rPr>
          <w:sz w:val="20"/>
          <w:szCs w:val="20"/>
        </w:rPr>
        <w:t>estimates.</w:t>
      </w:r>
      <w:r w:rsidR="00D51578" w:rsidRPr="00C9559D">
        <w:rPr>
          <w:sz w:val="20"/>
          <w:szCs w:val="20"/>
        </w:rPr>
        <w:t xml:space="preserve"> </w:t>
      </w:r>
      <w:r w:rsidRPr="00C9559D">
        <w:rPr>
          <w:sz w:val="20"/>
          <w:szCs w:val="20"/>
        </w:rPr>
        <w:t>Spine</w:t>
      </w:r>
      <w:r w:rsidR="00D51578" w:rsidRPr="00C9559D">
        <w:rPr>
          <w:sz w:val="20"/>
          <w:szCs w:val="20"/>
        </w:rPr>
        <w:t xml:space="preserve"> </w:t>
      </w:r>
      <w:r w:rsidRPr="00C9559D">
        <w:rPr>
          <w:sz w:val="20"/>
          <w:szCs w:val="20"/>
        </w:rPr>
        <w:t>(</w:t>
      </w:r>
      <w:proofErr w:type="spellStart"/>
      <w:r w:rsidRPr="00C9559D">
        <w:rPr>
          <w:sz w:val="20"/>
          <w:szCs w:val="20"/>
        </w:rPr>
        <w:t>Phila</w:t>
      </w:r>
      <w:proofErr w:type="spellEnd"/>
      <w:r w:rsidR="00D51578" w:rsidRPr="00C9559D">
        <w:rPr>
          <w:sz w:val="20"/>
          <w:szCs w:val="20"/>
        </w:rPr>
        <w:t xml:space="preserve"> </w:t>
      </w:r>
      <w:r w:rsidRPr="00C9559D">
        <w:rPr>
          <w:sz w:val="20"/>
          <w:szCs w:val="20"/>
        </w:rPr>
        <w:t>Pa</w:t>
      </w:r>
      <w:r w:rsidR="00D51578" w:rsidRPr="00C9559D">
        <w:rPr>
          <w:sz w:val="20"/>
          <w:szCs w:val="20"/>
        </w:rPr>
        <w:t xml:space="preserve"> </w:t>
      </w:r>
      <w:r w:rsidRPr="00C9559D">
        <w:rPr>
          <w:sz w:val="20"/>
          <w:szCs w:val="20"/>
        </w:rPr>
        <w:t>1976)</w:t>
      </w:r>
      <w:r w:rsidR="00D51578" w:rsidRPr="00C9559D">
        <w:rPr>
          <w:sz w:val="20"/>
          <w:szCs w:val="20"/>
        </w:rPr>
        <w:t xml:space="preserve"> </w:t>
      </w:r>
      <w:r w:rsidRPr="00C9559D">
        <w:rPr>
          <w:sz w:val="20"/>
          <w:szCs w:val="20"/>
        </w:rPr>
        <w:t>2008;</w:t>
      </w:r>
      <w:r w:rsidR="00D51578" w:rsidRPr="00C9559D">
        <w:rPr>
          <w:sz w:val="20"/>
          <w:szCs w:val="20"/>
        </w:rPr>
        <w:t xml:space="preserve"> </w:t>
      </w:r>
      <w:r w:rsidRPr="00C9559D">
        <w:rPr>
          <w:sz w:val="20"/>
          <w:szCs w:val="20"/>
        </w:rPr>
        <w:t>33:</w:t>
      </w:r>
      <w:r w:rsidR="00D51578" w:rsidRPr="00C9559D">
        <w:rPr>
          <w:sz w:val="20"/>
          <w:szCs w:val="20"/>
        </w:rPr>
        <w:t xml:space="preserve"> </w:t>
      </w:r>
      <w:r w:rsidRPr="00C9559D">
        <w:rPr>
          <w:sz w:val="20"/>
          <w:szCs w:val="20"/>
        </w:rPr>
        <w:t>2464–2472.</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Kotb</w:t>
      </w:r>
      <w:proofErr w:type="spellEnd"/>
      <w:r w:rsidR="00D51578" w:rsidRPr="00C9559D">
        <w:rPr>
          <w:bCs/>
          <w:sz w:val="20"/>
          <w:szCs w:val="20"/>
        </w:rPr>
        <w:t xml:space="preserve"> </w:t>
      </w:r>
      <w:r w:rsidRPr="00C9559D">
        <w:rPr>
          <w:bCs/>
          <w:sz w:val="20"/>
          <w:szCs w:val="20"/>
        </w:rPr>
        <w:t>HA,</w:t>
      </w:r>
      <w:r w:rsidR="00D51578" w:rsidRPr="00C9559D">
        <w:rPr>
          <w:bCs/>
          <w:sz w:val="20"/>
          <w:szCs w:val="20"/>
        </w:rPr>
        <w:t xml:space="preserve"> </w:t>
      </w:r>
      <w:r w:rsidRPr="00C9559D">
        <w:rPr>
          <w:bCs/>
          <w:sz w:val="20"/>
          <w:szCs w:val="20"/>
        </w:rPr>
        <w:t>Dina</w:t>
      </w:r>
      <w:r w:rsidR="00D51578" w:rsidRPr="00C9559D">
        <w:rPr>
          <w:bCs/>
          <w:sz w:val="20"/>
          <w:szCs w:val="20"/>
        </w:rPr>
        <w:t xml:space="preserve"> </w:t>
      </w:r>
      <w:r w:rsidRPr="00C9559D">
        <w:rPr>
          <w:bCs/>
          <w:sz w:val="20"/>
          <w:szCs w:val="20"/>
        </w:rPr>
        <w:t>AE,</w:t>
      </w:r>
      <w:r w:rsidR="00D51578" w:rsidRPr="00C9559D">
        <w:rPr>
          <w:bCs/>
          <w:sz w:val="20"/>
          <w:szCs w:val="20"/>
        </w:rPr>
        <w:t xml:space="preserve"> </w:t>
      </w:r>
      <w:r w:rsidRPr="00C9559D">
        <w:rPr>
          <w:bCs/>
          <w:sz w:val="20"/>
          <w:szCs w:val="20"/>
        </w:rPr>
        <w:t>Mohamed</w:t>
      </w:r>
      <w:r w:rsidR="00D51578" w:rsidRPr="00C9559D">
        <w:rPr>
          <w:bCs/>
          <w:sz w:val="20"/>
          <w:szCs w:val="20"/>
        </w:rPr>
        <w:t xml:space="preserve"> </w:t>
      </w:r>
      <w:r w:rsidRPr="00C9559D">
        <w:rPr>
          <w:bCs/>
          <w:sz w:val="20"/>
          <w:szCs w:val="20"/>
        </w:rPr>
        <w:t>RA</w:t>
      </w:r>
      <w:r w:rsidR="00D51578" w:rsidRPr="00C9559D">
        <w:rPr>
          <w:bCs/>
          <w:sz w:val="20"/>
          <w:szCs w:val="20"/>
        </w:rPr>
        <w:t xml:space="preserve"> </w:t>
      </w:r>
      <w:r w:rsidRPr="00C9559D">
        <w:rPr>
          <w:bCs/>
          <w:sz w:val="20"/>
          <w:szCs w:val="20"/>
        </w:rPr>
        <w:t>and</w:t>
      </w:r>
      <w:r w:rsidR="00D51578" w:rsidRPr="00C9559D">
        <w:rPr>
          <w:bCs/>
          <w:sz w:val="20"/>
          <w:szCs w:val="20"/>
        </w:rPr>
        <w:t xml:space="preserve"> </w:t>
      </w:r>
      <w:proofErr w:type="spellStart"/>
      <w:r w:rsidRPr="00C9559D">
        <w:rPr>
          <w:bCs/>
          <w:sz w:val="20"/>
          <w:szCs w:val="20"/>
        </w:rPr>
        <w:t>Shereen</w:t>
      </w:r>
      <w:proofErr w:type="spellEnd"/>
      <w:r w:rsidR="00D51578" w:rsidRPr="00C9559D">
        <w:rPr>
          <w:bCs/>
          <w:sz w:val="20"/>
          <w:szCs w:val="20"/>
        </w:rPr>
        <w:t xml:space="preserve"> </w:t>
      </w:r>
      <w:r w:rsidRPr="00C9559D">
        <w:rPr>
          <w:bCs/>
          <w:sz w:val="20"/>
          <w:szCs w:val="20"/>
        </w:rPr>
        <w:t>HD</w:t>
      </w:r>
      <w:r w:rsidR="00D51578" w:rsidRPr="00C9559D">
        <w:rPr>
          <w:bCs/>
          <w:sz w:val="20"/>
          <w:szCs w:val="20"/>
        </w:rPr>
        <w:t xml:space="preserve"> </w:t>
      </w:r>
      <w:r w:rsidRPr="00C9559D">
        <w:rPr>
          <w:bCs/>
          <w:sz w:val="20"/>
          <w:szCs w:val="20"/>
        </w:rPr>
        <w:t>(2018):</w:t>
      </w:r>
      <w:r w:rsidR="00D51578" w:rsidRPr="00C9559D">
        <w:rPr>
          <w:sz w:val="20"/>
          <w:szCs w:val="20"/>
        </w:rPr>
        <w:t xml:space="preserve"> </w:t>
      </w:r>
      <w:r w:rsidRPr="00C9559D">
        <w:rPr>
          <w:sz w:val="20"/>
          <w:szCs w:val="20"/>
        </w:rPr>
        <w:t>CT-Guided</w:t>
      </w:r>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Vertebral</w:t>
      </w:r>
      <w:r w:rsidR="00D51578" w:rsidRPr="00C9559D">
        <w:rPr>
          <w:sz w:val="20"/>
          <w:szCs w:val="20"/>
        </w:rPr>
        <w:t xml:space="preserve"> </w:t>
      </w:r>
      <w:r w:rsidRPr="00C9559D">
        <w:rPr>
          <w:sz w:val="20"/>
          <w:szCs w:val="20"/>
        </w:rPr>
        <w:t>Axial</w:t>
      </w:r>
      <w:r w:rsidR="00D51578" w:rsidRPr="00C9559D">
        <w:rPr>
          <w:sz w:val="20"/>
          <w:szCs w:val="20"/>
        </w:rPr>
        <w:t xml:space="preserve"> </w:t>
      </w:r>
      <w:r w:rsidRPr="00C9559D">
        <w:rPr>
          <w:sz w:val="20"/>
          <w:szCs w:val="20"/>
        </w:rPr>
        <w:t>Decompression</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Management</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Acute</w:t>
      </w:r>
      <w:r w:rsidR="00D51578" w:rsidRPr="00C9559D">
        <w:rPr>
          <w:sz w:val="20"/>
          <w:szCs w:val="20"/>
        </w:rPr>
        <w:t xml:space="preserve"> </w:t>
      </w:r>
      <w:r w:rsidRPr="00C9559D">
        <w:rPr>
          <w:sz w:val="20"/>
          <w:szCs w:val="20"/>
        </w:rPr>
        <w:t>Lumbar</w:t>
      </w:r>
      <w:r w:rsidR="00D51578" w:rsidRPr="00C9559D">
        <w:rPr>
          <w:sz w:val="20"/>
          <w:szCs w:val="20"/>
        </w:rPr>
        <w:t xml:space="preserve"> </w:t>
      </w:r>
      <w:r w:rsidRPr="00C9559D">
        <w:rPr>
          <w:sz w:val="20"/>
          <w:szCs w:val="20"/>
        </w:rPr>
        <w:t>Disc</w:t>
      </w:r>
      <w:r w:rsidR="00D51578" w:rsidRPr="00C9559D">
        <w:rPr>
          <w:sz w:val="20"/>
          <w:szCs w:val="20"/>
        </w:rPr>
        <w:t xml:space="preserve"> </w:t>
      </w:r>
      <w:proofErr w:type="spellStart"/>
      <w:r w:rsidRPr="00C9559D">
        <w:rPr>
          <w:sz w:val="20"/>
          <w:szCs w:val="20"/>
        </w:rPr>
        <w:t>Herniation</w:t>
      </w:r>
      <w:proofErr w:type="spellEnd"/>
      <w:r w:rsidRPr="00C9559D">
        <w:rPr>
          <w:sz w:val="20"/>
          <w:szCs w:val="20"/>
        </w:rPr>
        <w:t>.</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Egyptian</w:t>
      </w:r>
      <w:r w:rsidR="00D51578" w:rsidRPr="00C9559D">
        <w:rPr>
          <w:sz w:val="20"/>
          <w:szCs w:val="20"/>
        </w:rPr>
        <w:t xml:space="preserve"> </w:t>
      </w:r>
      <w:r w:rsidRPr="00C9559D">
        <w:rPr>
          <w:sz w:val="20"/>
          <w:szCs w:val="20"/>
        </w:rPr>
        <w:t>Rheumatologist;</w:t>
      </w:r>
      <w:r w:rsidR="00D51578" w:rsidRPr="00C9559D">
        <w:rPr>
          <w:sz w:val="20"/>
          <w:szCs w:val="20"/>
        </w:rPr>
        <w:t xml:space="preserve"> </w:t>
      </w:r>
      <w:r w:rsidRPr="00C9559D">
        <w:rPr>
          <w:sz w:val="20"/>
          <w:szCs w:val="20"/>
        </w:rPr>
        <w:t>40</w:t>
      </w:r>
      <w:r w:rsidR="00D51578" w:rsidRPr="00C9559D">
        <w:rPr>
          <w:sz w:val="20"/>
          <w:szCs w:val="20"/>
        </w:rPr>
        <w:t xml:space="preserve"> </w:t>
      </w:r>
      <w:r w:rsidRPr="00C9559D">
        <w:rPr>
          <w:sz w:val="20"/>
          <w:szCs w:val="20"/>
        </w:rPr>
        <w:t>(1):</w:t>
      </w:r>
      <w:r w:rsidR="00D51578" w:rsidRPr="00C9559D">
        <w:rPr>
          <w:sz w:val="20"/>
          <w:szCs w:val="20"/>
        </w:rPr>
        <w:t xml:space="preserve"> </w:t>
      </w:r>
      <w:r w:rsidRPr="00C9559D">
        <w:rPr>
          <w:sz w:val="20"/>
          <w:szCs w:val="20"/>
        </w:rPr>
        <w:t>67–72.</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Lievre</w:t>
      </w:r>
      <w:r w:rsidR="00D51578" w:rsidRPr="00C9559D">
        <w:rPr>
          <w:bCs/>
          <w:sz w:val="20"/>
          <w:szCs w:val="20"/>
        </w:rPr>
        <w:t xml:space="preserve"> </w:t>
      </w:r>
      <w:r w:rsidRPr="00C9559D">
        <w:rPr>
          <w:bCs/>
          <w:sz w:val="20"/>
          <w:szCs w:val="20"/>
        </w:rPr>
        <w:t>JA,</w:t>
      </w:r>
      <w:r w:rsidR="00D51578" w:rsidRPr="00C9559D">
        <w:rPr>
          <w:bCs/>
          <w:sz w:val="20"/>
          <w:szCs w:val="20"/>
        </w:rPr>
        <w:t xml:space="preserve"> </w:t>
      </w:r>
      <w:r w:rsidRPr="00C9559D">
        <w:rPr>
          <w:bCs/>
          <w:sz w:val="20"/>
          <w:szCs w:val="20"/>
        </w:rPr>
        <w:t>Block</w:t>
      </w:r>
      <w:r w:rsidR="00D51578" w:rsidRPr="00C9559D">
        <w:rPr>
          <w:bCs/>
          <w:sz w:val="20"/>
          <w:szCs w:val="20"/>
        </w:rPr>
        <w:t xml:space="preserve"> </w:t>
      </w:r>
      <w:proofErr w:type="spellStart"/>
      <w:r w:rsidRPr="00C9559D">
        <w:rPr>
          <w:bCs/>
          <w:sz w:val="20"/>
          <w:szCs w:val="20"/>
        </w:rPr>
        <w:t>Meshel</w:t>
      </w:r>
      <w:proofErr w:type="spellEnd"/>
      <w:r w:rsidR="00D51578" w:rsidRPr="00C9559D">
        <w:rPr>
          <w:bCs/>
          <w:sz w:val="20"/>
          <w:szCs w:val="20"/>
        </w:rPr>
        <w:t xml:space="preserve"> </w:t>
      </w:r>
      <w:r w:rsidRPr="00C9559D">
        <w:rPr>
          <w:bCs/>
          <w:sz w:val="20"/>
          <w:szCs w:val="20"/>
        </w:rPr>
        <w:t>H,</w:t>
      </w:r>
      <w:r w:rsidR="00D51578" w:rsidRPr="00C9559D">
        <w:rPr>
          <w:bCs/>
          <w:sz w:val="20"/>
          <w:szCs w:val="20"/>
        </w:rPr>
        <w:t xml:space="preserve"> </w:t>
      </w:r>
      <w:proofErr w:type="spellStart"/>
      <w:r w:rsidRPr="00C9559D">
        <w:rPr>
          <w:bCs/>
          <w:sz w:val="20"/>
          <w:szCs w:val="20"/>
        </w:rPr>
        <w:t>Pean</w:t>
      </w:r>
      <w:proofErr w:type="spellEnd"/>
      <w:r w:rsidR="00D51578" w:rsidRPr="00C9559D">
        <w:rPr>
          <w:bCs/>
          <w:sz w:val="20"/>
          <w:szCs w:val="20"/>
        </w:rPr>
        <w:t xml:space="preserve"> </w:t>
      </w:r>
      <w:r w:rsidRPr="00C9559D">
        <w:rPr>
          <w:bCs/>
          <w:sz w:val="20"/>
          <w:szCs w:val="20"/>
        </w:rPr>
        <w:t>G,</w:t>
      </w:r>
      <w:r w:rsidR="00D51578" w:rsidRPr="00C9559D">
        <w:rPr>
          <w:bCs/>
          <w:sz w:val="20"/>
          <w:szCs w:val="20"/>
        </w:rPr>
        <w:t xml:space="preserve"> </w:t>
      </w:r>
      <w:r w:rsidRPr="00C9559D">
        <w:rPr>
          <w:bCs/>
          <w:sz w:val="20"/>
          <w:szCs w:val="20"/>
        </w:rPr>
        <w:t>et</w:t>
      </w:r>
      <w:r w:rsidR="00D51578" w:rsidRPr="00C9559D">
        <w:rPr>
          <w:bCs/>
          <w:sz w:val="20"/>
          <w:szCs w:val="20"/>
        </w:rPr>
        <w:t xml:space="preserve"> </w:t>
      </w:r>
      <w:r w:rsidRPr="00C9559D">
        <w:rPr>
          <w:bCs/>
          <w:sz w:val="20"/>
          <w:szCs w:val="20"/>
        </w:rPr>
        <w:t>al.</w:t>
      </w:r>
      <w:r w:rsidR="00D51578" w:rsidRPr="00C9559D">
        <w:rPr>
          <w:bCs/>
          <w:sz w:val="20"/>
          <w:szCs w:val="20"/>
        </w:rPr>
        <w:t xml:space="preserve"> </w:t>
      </w:r>
      <w:proofErr w:type="spellStart"/>
      <w:r w:rsidRPr="00C9559D">
        <w:rPr>
          <w:sz w:val="20"/>
          <w:szCs w:val="20"/>
        </w:rPr>
        <w:t>L'hydrocortisone</w:t>
      </w:r>
      <w:proofErr w:type="spellEnd"/>
      <w:r w:rsidR="00D51578" w:rsidRPr="00C9559D">
        <w:rPr>
          <w:sz w:val="20"/>
          <w:szCs w:val="20"/>
        </w:rPr>
        <w:t xml:space="preserve"> </w:t>
      </w:r>
      <w:r w:rsidRPr="00C9559D">
        <w:rPr>
          <w:sz w:val="20"/>
          <w:szCs w:val="20"/>
        </w:rPr>
        <w:t>en</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locale.</w:t>
      </w:r>
      <w:r w:rsidR="00D51578" w:rsidRPr="00C9559D">
        <w:rPr>
          <w:sz w:val="20"/>
          <w:szCs w:val="20"/>
        </w:rPr>
        <w:t xml:space="preserve"> </w:t>
      </w:r>
      <w:r w:rsidRPr="00C9559D">
        <w:rPr>
          <w:sz w:val="20"/>
          <w:szCs w:val="20"/>
        </w:rPr>
        <w:t>Rev</w:t>
      </w:r>
      <w:r w:rsidR="00D51578" w:rsidRPr="00C9559D">
        <w:rPr>
          <w:sz w:val="20"/>
          <w:szCs w:val="20"/>
        </w:rPr>
        <w:t xml:space="preserve"> </w:t>
      </w:r>
      <w:proofErr w:type="spellStart"/>
      <w:r w:rsidRPr="00C9559D">
        <w:rPr>
          <w:sz w:val="20"/>
          <w:szCs w:val="20"/>
        </w:rPr>
        <w:t>Rhum</w:t>
      </w:r>
      <w:proofErr w:type="spellEnd"/>
      <w:r w:rsidRPr="00C9559D">
        <w:rPr>
          <w:sz w:val="20"/>
          <w:szCs w:val="20"/>
        </w:rPr>
        <w:t>,</w:t>
      </w:r>
      <w:r w:rsidR="00D51578" w:rsidRPr="00C9559D">
        <w:rPr>
          <w:sz w:val="20"/>
          <w:szCs w:val="20"/>
        </w:rPr>
        <w:t xml:space="preserve"> </w:t>
      </w:r>
      <w:r w:rsidRPr="00C9559D">
        <w:rPr>
          <w:sz w:val="20"/>
          <w:szCs w:val="20"/>
        </w:rPr>
        <w:t>1953;</w:t>
      </w:r>
      <w:r w:rsidR="00D51578" w:rsidRPr="00C9559D">
        <w:rPr>
          <w:sz w:val="20"/>
          <w:szCs w:val="20"/>
        </w:rPr>
        <w:t xml:space="preserve"> </w:t>
      </w:r>
      <w:r w:rsidRPr="00C9559D">
        <w:rPr>
          <w:sz w:val="20"/>
          <w:szCs w:val="20"/>
        </w:rPr>
        <w:t>20:</w:t>
      </w:r>
      <w:r w:rsidR="00D51578" w:rsidRPr="00C9559D">
        <w:rPr>
          <w:sz w:val="20"/>
          <w:szCs w:val="20"/>
        </w:rPr>
        <w:t xml:space="preserve"> </w:t>
      </w:r>
      <w:r w:rsidRPr="00C9559D">
        <w:rPr>
          <w:sz w:val="20"/>
          <w:szCs w:val="20"/>
        </w:rPr>
        <w:t>310-311.</w:t>
      </w:r>
      <w:r w:rsidR="00D51578" w:rsidRPr="00C9559D">
        <w:rPr>
          <w:sz w:val="20"/>
          <w:szCs w:val="20"/>
        </w:rPr>
        <w:t xml:space="preserve"> </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Manchikanti</w:t>
      </w:r>
      <w:proofErr w:type="spellEnd"/>
      <w:r w:rsidR="00D51578" w:rsidRPr="00C9559D">
        <w:rPr>
          <w:bCs/>
          <w:sz w:val="20"/>
          <w:szCs w:val="20"/>
        </w:rPr>
        <w:t xml:space="preserve"> </w:t>
      </w:r>
      <w:r w:rsidRPr="00C9559D">
        <w:rPr>
          <w:bCs/>
          <w:sz w:val="20"/>
          <w:szCs w:val="20"/>
        </w:rPr>
        <w:t>L,</w:t>
      </w:r>
      <w:r w:rsidR="00D51578" w:rsidRPr="00C9559D">
        <w:rPr>
          <w:bCs/>
          <w:sz w:val="20"/>
          <w:szCs w:val="20"/>
        </w:rPr>
        <w:t xml:space="preserve"> </w:t>
      </w:r>
      <w:proofErr w:type="spellStart"/>
      <w:r w:rsidRPr="00C9559D">
        <w:rPr>
          <w:bCs/>
          <w:sz w:val="20"/>
          <w:szCs w:val="20"/>
        </w:rPr>
        <w:t>Rajgopal</w:t>
      </w:r>
      <w:proofErr w:type="spellEnd"/>
      <w:r w:rsidR="00D51578" w:rsidRPr="00C9559D">
        <w:rPr>
          <w:bCs/>
          <w:sz w:val="20"/>
          <w:szCs w:val="20"/>
        </w:rPr>
        <w:t xml:space="preserve"> </w:t>
      </w:r>
      <w:r w:rsidRPr="00C9559D">
        <w:rPr>
          <w:bCs/>
          <w:sz w:val="20"/>
          <w:szCs w:val="20"/>
        </w:rPr>
        <w:t>RP,</w:t>
      </w:r>
      <w:r w:rsidR="00D51578" w:rsidRPr="00C9559D">
        <w:rPr>
          <w:bCs/>
          <w:sz w:val="20"/>
          <w:szCs w:val="20"/>
        </w:rPr>
        <w:t xml:space="preserve"> </w:t>
      </w:r>
      <w:proofErr w:type="spellStart"/>
      <w:r w:rsidRPr="00C9559D">
        <w:rPr>
          <w:bCs/>
          <w:sz w:val="20"/>
          <w:szCs w:val="20"/>
        </w:rPr>
        <w:t>Pampati</w:t>
      </w:r>
      <w:proofErr w:type="spellEnd"/>
      <w:r w:rsidR="00D51578" w:rsidRPr="00C9559D">
        <w:rPr>
          <w:bCs/>
          <w:sz w:val="20"/>
          <w:szCs w:val="20"/>
        </w:rPr>
        <w:t xml:space="preserve"> </w:t>
      </w:r>
      <w:r w:rsidRPr="00C9559D">
        <w:rPr>
          <w:bCs/>
          <w:sz w:val="20"/>
          <w:szCs w:val="20"/>
        </w:rPr>
        <w:t>V.</w:t>
      </w:r>
      <w:r w:rsidR="00D51578" w:rsidRPr="00C9559D">
        <w:rPr>
          <w:bCs/>
          <w:sz w:val="20"/>
          <w:szCs w:val="20"/>
        </w:rPr>
        <w:t xml:space="preserve"> </w:t>
      </w:r>
      <w:r w:rsidRPr="00C9559D">
        <w:rPr>
          <w:sz w:val="20"/>
          <w:szCs w:val="20"/>
        </w:rPr>
        <w:t>Comparison</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three</w:t>
      </w:r>
      <w:r w:rsidR="00D51578" w:rsidRPr="00C9559D">
        <w:rPr>
          <w:sz w:val="20"/>
          <w:szCs w:val="20"/>
        </w:rPr>
        <w:t xml:space="preserve"> </w:t>
      </w:r>
      <w:r w:rsidRPr="00C9559D">
        <w:rPr>
          <w:sz w:val="20"/>
          <w:szCs w:val="20"/>
        </w:rPr>
        <w:t>routes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low</w:t>
      </w:r>
      <w:r w:rsidR="00D51578" w:rsidRPr="00C9559D">
        <w:rPr>
          <w:sz w:val="20"/>
          <w:szCs w:val="20"/>
        </w:rPr>
        <w:t xml:space="preserve"> </w:t>
      </w:r>
      <w:r w:rsidRPr="00C9559D">
        <w:rPr>
          <w:sz w:val="20"/>
          <w:szCs w:val="20"/>
        </w:rPr>
        <w:t>back</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Digest</w:t>
      </w:r>
      <w:r w:rsidR="00D51578" w:rsidRPr="00C9559D">
        <w:rPr>
          <w:sz w:val="20"/>
          <w:szCs w:val="20"/>
        </w:rPr>
        <w:t xml:space="preserve"> </w:t>
      </w:r>
      <w:r w:rsidRPr="00C9559D">
        <w:rPr>
          <w:sz w:val="20"/>
          <w:szCs w:val="20"/>
        </w:rPr>
        <w:t>1999;</w:t>
      </w:r>
      <w:r w:rsidR="00D51578" w:rsidRPr="00C9559D">
        <w:rPr>
          <w:sz w:val="20"/>
          <w:szCs w:val="20"/>
        </w:rPr>
        <w:t xml:space="preserve"> </w:t>
      </w:r>
      <w:r w:rsidRPr="00C9559D">
        <w:rPr>
          <w:sz w:val="20"/>
          <w:szCs w:val="20"/>
        </w:rPr>
        <w:t>9:</w:t>
      </w:r>
      <w:r w:rsidR="00D51578" w:rsidRPr="00C9559D">
        <w:rPr>
          <w:sz w:val="20"/>
          <w:szCs w:val="20"/>
        </w:rPr>
        <w:t xml:space="preserve"> </w:t>
      </w:r>
      <w:r w:rsidRPr="00C9559D">
        <w:rPr>
          <w:sz w:val="20"/>
          <w:szCs w:val="20"/>
        </w:rPr>
        <w:t>277–285.</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Manchikanti</w:t>
      </w:r>
      <w:proofErr w:type="spellEnd"/>
      <w:r w:rsidR="00D51578" w:rsidRPr="00C9559D">
        <w:rPr>
          <w:bCs/>
          <w:sz w:val="20"/>
          <w:szCs w:val="20"/>
        </w:rPr>
        <w:t xml:space="preserve"> </w:t>
      </w:r>
      <w:r w:rsidRPr="00C9559D">
        <w:rPr>
          <w:bCs/>
          <w:sz w:val="20"/>
          <w:szCs w:val="20"/>
        </w:rPr>
        <w:t>L,</w:t>
      </w:r>
      <w:r w:rsidR="00D51578" w:rsidRPr="00C9559D">
        <w:rPr>
          <w:bCs/>
          <w:sz w:val="20"/>
          <w:szCs w:val="20"/>
        </w:rPr>
        <w:t xml:space="preserve"> </w:t>
      </w:r>
      <w:r w:rsidRPr="00C9559D">
        <w:rPr>
          <w:bCs/>
          <w:sz w:val="20"/>
          <w:szCs w:val="20"/>
        </w:rPr>
        <w:t>Singh</w:t>
      </w:r>
      <w:r w:rsidR="00D51578" w:rsidRPr="00C9559D">
        <w:rPr>
          <w:bCs/>
          <w:sz w:val="20"/>
          <w:szCs w:val="20"/>
        </w:rPr>
        <w:t xml:space="preserve"> </w:t>
      </w:r>
      <w:r w:rsidRPr="00C9559D">
        <w:rPr>
          <w:bCs/>
          <w:sz w:val="20"/>
          <w:szCs w:val="20"/>
        </w:rPr>
        <w:t>V,</w:t>
      </w:r>
      <w:r w:rsidR="00D51578" w:rsidRPr="00C9559D">
        <w:rPr>
          <w:bCs/>
          <w:sz w:val="20"/>
          <w:szCs w:val="20"/>
        </w:rPr>
        <w:t xml:space="preserve"> </w:t>
      </w:r>
      <w:proofErr w:type="spellStart"/>
      <w:r w:rsidRPr="00C9559D">
        <w:rPr>
          <w:bCs/>
          <w:sz w:val="20"/>
          <w:szCs w:val="20"/>
        </w:rPr>
        <w:t>Falco</w:t>
      </w:r>
      <w:proofErr w:type="spellEnd"/>
      <w:r w:rsidR="00D51578" w:rsidRPr="00C9559D">
        <w:rPr>
          <w:bCs/>
          <w:sz w:val="20"/>
          <w:szCs w:val="20"/>
        </w:rPr>
        <w:t xml:space="preserve"> </w:t>
      </w:r>
      <w:r w:rsidRPr="00C9559D">
        <w:rPr>
          <w:bCs/>
          <w:sz w:val="20"/>
          <w:szCs w:val="20"/>
        </w:rPr>
        <w:t>FJ,</w:t>
      </w:r>
      <w:r w:rsidR="00D51578" w:rsidRPr="00C9559D">
        <w:rPr>
          <w:bCs/>
          <w:sz w:val="20"/>
          <w:szCs w:val="20"/>
        </w:rPr>
        <w:t xml:space="preserve"> </w:t>
      </w:r>
      <w:r w:rsidRPr="00C9559D">
        <w:rPr>
          <w:bCs/>
          <w:sz w:val="20"/>
          <w:szCs w:val="20"/>
        </w:rPr>
        <w:t>Cash</w:t>
      </w:r>
      <w:r w:rsidR="00D51578" w:rsidRPr="00C9559D">
        <w:rPr>
          <w:bCs/>
          <w:sz w:val="20"/>
          <w:szCs w:val="20"/>
        </w:rPr>
        <w:t xml:space="preserve"> </w:t>
      </w:r>
      <w:r w:rsidRPr="00C9559D">
        <w:rPr>
          <w:bCs/>
          <w:sz w:val="20"/>
          <w:szCs w:val="20"/>
        </w:rPr>
        <w:t>KA,</w:t>
      </w:r>
      <w:r w:rsidR="00D51578" w:rsidRPr="00C9559D">
        <w:rPr>
          <w:bCs/>
          <w:sz w:val="20"/>
          <w:szCs w:val="20"/>
        </w:rPr>
        <w:t xml:space="preserve"> </w:t>
      </w:r>
      <w:proofErr w:type="spellStart"/>
      <w:r w:rsidRPr="00C9559D">
        <w:rPr>
          <w:bCs/>
          <w:sz w:val="20"/>
          <w:szCs w:val="20"/>
        </w:rPr>
        <w:t>Pampati</w:t>
      </w:r>
      <w:proofErr w:type="spellEnd"/>
      <w:r w:rsidR="00D51578" w:rsidRPr="00C9559D">
        <w:rPr>
          <w:bCs/>
          <w:sz w:val="20"/>
          <w:szCs w:val="20"/>
        </w:rPr>
        <w:t xml:space="preserve"> </w:t>
      </w:r>
      <w:r w:rsidRPr="00C9559D">
        <w:rPr>
          <w:bCs/>
          <w:sz w:val="20"/>
          <w:szCs w:val="20"/>
        </w:rPr>
        <w:t>V.</w:t>
      </w:r>
      <w:r w:rsidR="00D51578" w:rsidRPr="00C9559D">
        <w:rPr>
          <w:sz w:val="20"/>
          <w:szCs w:val="20"/>
        </w:rPr>
        <w:t xml:space="preserve"> </w:t>
      </w:r>
      <w:r w:rsidRPr="00C9559D">
        <w:rPr>
          <w:sz w:val="20"/>
          <w:szCs w:val="20"/>
        </w:rPr>
        <w:t>Evaluation</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effectiveness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lumbar</w:t>
      </w:r>
      <w:r w:rsidR="00D51578" w:rsidRPr="00C9559D">
        <w:rPr>
          <w:sz w:val="20"/>
          <w:szCs w:val="20"/>
        </w:rPr>
        <w:t xml:space="preserve"> </w:t>
      </w:r>
      <w:proofErr w:type="spellStart"/>
      <w:r w:rsidRPr="00C9559D">
        <w:rPr>
          <w:sz w:val="20"/>
          <w:szCs w:val="20"/>
        </w:rPr>
        <w:t>Interlaminar</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managing</w:t>
      </w:r>
      <w:r w:rsidR="00D51578" w:rsidRPr="00C9559D">
        <w:rPr>
          <w:sz w:val="20"/>
          <w:szCs w:val="20"/>
        </w:rPr>
        <w:t xml:space="preserve"> </w:t>
      </w:r>
      <w:r w:rsidRPr="00C9559D">
        <w:rPr>
          <w:sz w:val="20"/>
          <w:szCs w:val="20"/>
        </w:rPr>
        <w:t>chronic</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lumbar</w:t>
      </w:r>
      <w:r w:rsidR="00D51578" w:rsidRPr="00C9559D">
        <w:rPr>
          <w:sz w:val="20"/>
          <w:szCs w:val="20"/>
        </w:rPr>
        <w:t xml:space="preserve"> </w:t>
      </w:r>
      <w:r w:rsidRPr="00C9559D">
        <w:rPr>
          <w:sz w:val="20"/>
          <w:szCs w:val="20"/>
        </w:rPr>
        <w:t>disc</w:t>
      </w:r>
      <w:r w:rsidR="00D51578" w:rsidRPr="00C9559D">
        <w:rPr>
          <w:sz w:val="20"/>
          <w:szCs w:val="20"/>
        </w:rPr>
        <w:t xml:space="preserve"> </w:t>
      </w:r>
      <w:proofErr w:type="spellStart"/>
      <w:r w:rsidRPr="00C9559D">
        <w:rPr>
          <w:sz w:val="20"/>
          <w:szCs w:val="20"/>
        </w:rPr>
        <w:t>herniation</w:t>
      </w:r>
      <w:proofErr w:type="spellEnd"/>
      <w:r w:rsidR="00D51578" w:rsidRPr="00C9559D">
        <w:rPr>
          <w:sz w:val="20"/>
          <w:szCs w:val="20"/>
        </w:rPr>
        <w:t xml:space="preserve"> </w:t>
      </w:r>
      <w:r w:rsidRPr="00C9559D">
        <w:rPr>
          <w:sz w:val="20"/>
          <w:szCs w:val="20"/>
        </w:rPr>
        <w:t>or</w:t>
      </w:r>
      <w:r w:rsidR="00D51578" w:rsidRPr="00C9559D">
        <w:rPr>
          <w:sz w:val="20"/>
          <w:szCs w:val="20"/>
        </w:rPr>
        <w:t xml:space="preserve"> </w:t>
      </w:r>
      <w:proofErr w:type="spellStart"/>
      <w:r w:rsidRPr="00C9559D">
        <w:rPr>
          <w:sz w:val="20"/>
          <w:szCs w:val="20"/>
        </w:rPr>
        <w:t>radiculitis</w:t>
      </w:r>
      <w:proofErr w:type="spellEnd"/>
      <w:r w:rsidRPr="00C9559D">
        <w:rPr>
          <w:sz w:val="20"/>
          <w:szCs w:val="20"/>
        </w:rPr>
        <w:t>:</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randomized,</w:t>
      </w:r>
      <w:r w:rsidR="00D51578" w:rsidRPr="00C9559D">
        <w:rPr>
          <w:sz w:val="20"/>
          <w:szCs w:val="20"/>
        </w:rPr>
        <w:t xml:space="preserve"> </w:t>
      </w:r>
      <w:r w:rsidRPr="00C9559D">
        <w:rPr>
          <w:sz w:val="20"/>
          <w:szCs w:val="20"/>
        </w:rPr>
        <w:t>double-blind,</w:t>
      </w:r>
      <w:r w:rsidR="00D51578" w:rsidRPr="00C9559D">
        <w:rPr>
          <w:sz w:val="20"/>
          <w:szCs w:val="20"/>
        </w:rPr>
        <w:t xml:space="preserve"> </w:t>
      </w:r>
      <w:r w:rsidRPr="00C9559D">
        <w:rPr>
          <w:sz w:val="20"/>
          <w:szCs w:val="20"/>
        </w:rPr>
        <w:t>controlled</w:t>
      </w:r>
      <w:r w:rsidR="00D51578" w:rsidRPr="00C9559D">
        <w:rPr>
          <w:sz w:val="20"/>
          <w:szCs w:val="20"/>
        </w:rPr>
        <w:t xml:space="preserve"> </w:t>
      </w:r>
      <w:r w:rsidRPr="00C9559D">
        <w:rPr>
          <w:sz w:val="20"/>
          <w:szCs w:val="20"/>
        </w:rPr>
        <w:t>trial.</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Physician.</w:t>
      </w:r>
      <w:r w:rsidR="00D51578" w:rsidRPr="00C9559D">
        <w:rPr>
          <w:sz w:val="20"/>
          <w:szCs w:val="20"/>
        </w:rPr>
        <w:t xml:space="preserve"> </w:t>
      </w:r>
      <w:r w:rsidRPr="00C9559D">
        <w:rPr>
          <w:sz w:val="20"/>
          <w:szCs w:val="20"/>
        </w:rPr>
        <w:t>2010;</w:t>
      </w:r>
      <w:r w:rsidR="00D51578" w:rsidRPr="00C9559D">
        <w:rPr>
          <w:sz w:val="20"/>
          <w:szCs w:val="20"/>
        </w:rPr>
        <w:t xml:space="preserve"> </w:t>
      </w:r>
      <w:r w:rsidRPr="00C9559D">
        <w:rPr>
          <w:sz w:val="20"/>
          <w:szCs w:val="20"/>
        </w:rPr>
        <w:t>13:</w:t>
      </w:r>
      <w:r w:rsidR="00D51578" w:rsidRPr="00C9559D">
        <w:rPr>
          <w:sz w:val="20"/>
          <w:szCs w:val="20"/>
        </w:rPr>
        <w:t xml:space="preserve"> </w:t>
      </w:r>
      <w:r w:rsidRPr="00C9559D">
        <w:rPr>
          <w:sz w:val="20"/>
          <w:szCs w:val="20"/>
        </w:rPr>
        <w:t>343-355.</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Miskin</w:t>
      </w:r>
      <w:proofErr w:type="spellEnd"/>
      <w:r w:rsidR="00D51578" w:rsidRPr="00C9559D">
        <w:rPr>
          <w:bCs/>
          <w:sz w:val="20"/>
          <w:szCs w:val="20"/>
        </w:rPr>
        <w:t xml:space="preserve"> </w:t>
      </w:r>
      <w:r w:rsidRPr="00C9559D">
        <w:rPr>
          <w:bCs/>
          <w:sz w:val="20"/>
          <w:szCs w:val="20"/>
        </w:rPr>
        <w:t>N,</w:t>
      </w:r>
      <w:r w:rsidR="00D51578" w:rsidRPr="00C9559D">
        <w:rPr>
          <w:bCs/>
          <w:sz w:val="20"/>
          <w:szCs w:val="20"/>
        </w:rPr>
        <w:t xml:space="preserve"> </w:t>
      </w:r>
      <w:r w:rsidRPr="00C9559D">
        <w:rPr>
          <w:bCs/>
          <w:sz w:val="20"/>
          <w:szCs w:val="20"/>
        </w:rPr>
        <w:t>Glenn</w:t>
      </w:r>
      <w:r w:rsidR="00D51578" w:rsidRPr="00C9559D">
        <w:rPr>
          <w:bCs/>
          <w:sz w:val="20"/>
          <w:szCs w:val="20"/>
        </w:rPr>
        <w:t xml:space="preserve"> </w:t>
      </w:r>
      <w:r w:rsidRPr="00C9559D">
        <w:rPr>
          <w:bCs/>
          <w:sz w:val="20"/>
          <w:szCs w:val="20"/>
        </w:rPr>
        <w:t>CG,</w:t>
      </w:r>
      <w:r w:rsidR="00D51578" w:rsidRPr="00C9559D">
        <w:rPr>
          <w:bCs/>
          <w:sz w:val="20"/>
          <w:szCs w:val="20"/>
        </w:rPr>
        <w:t xml:space="preserve"> </w:t>
      </w:r>
      <w:proofErr w:type="spellStart"/>
      <w:r w:rsidRPr="00C9559D">
        <w:rPr>
          <w:bCs/>
          <w:sz w:val="20"/>
          <w:szCs w:val="20"/>
        </w:rPr>
        <w:t>Varand</w:t>
      </w:r>
      <w:proofErr w:type="spellEnd"/>
      <w:r w:rsidR="00D51578" w:rsidRPr="00C9559D">
        <w:rPr>
          <w:bCs/>
          <w:sz w:val="20"/>
          <w:szCs w:val="20"/>
        </w:rPr>
        <w:t xml:space="preserve"> </w:t>
      </w:r>
      <w:r w:rsidRPr="00C9559D">
        <w:rPr>
          <w:bCs/>
          <w:sz w:val="20"/>
          <w:szCs w:val="20"/>
        </w:rPr>
        <w:t>G</w:t>
      </w:r>
      <w:r w:rsidR="00D51578" w:rsidRPr="00C9559D">
        <w:rPr>
          <w:bCs/>
          <w:sz w:val="20"/>
          <w:szCs w:val="20"/>
        </w:rPr>
        <w:t xml:space="preserve"> </w:t>
      </w:r>
      <w:r w:rsidRPr="00C9559D">
        <w:rPr>
          <w:bCs/>
          <w:sz w:val="20"/>
          <w:szCs w:val="20"/>
        </w:rPr>
        <w:t>and</w:t>
      </w:r>
      <w:r w:rsidR="00D51578" w:rsidRPr="00C9559D">
        <w:rPr>
          <w:bCs/>
          <w:sz w:val="20"/>
          <w:szCs w:val="20"/>
        </w:rPr>
        <w:t xml:space="preserve"> </w:t>
      </w:r>
      <w:r w:rsidRPr="00C9559D">
        <w:rPr>
          <w:bCs/>
          <w:sz w:val="20"/>
          <w:szCs w:val="20"/>
        </w:rPr>
        <w:t>Jacob</w:t>
      </w:r>
      <w:r w:rsidR="00D51578" w:rsidRPr="00C9559D">
        <w:rPr>
          <w:bCs/>
          <w:sz w:val="20"/>
          <w:szCs w:val="20"/>
        </w:rPr>
        <w:t xml:space="preserve"> </w:t>
      </w:r>
      <w:r w:rsidRPr="00C9559D">
        <w:rPr>
          <w:bCs/>
          <w:sz w:val="20"/>
          <w:szCs w:val="20"/>
        </w:rPr>
        <w:t>CM</w:t>
      </w:r>
      <w:r w:rsidR="00D51578" w:rsidRPr="00C9559D">
        <w:rPr>
          <w:bCs/>
          <w:sz w:val="20"/>
          <w:szCs w:val="20"/>
        </w:rPr>
        <w:t xml:space="preserve"> </w:t>
      </w:r>
      <w:r w:rsidRPr="00C9559D">
        <w:rPr>
          <w:bCs/>
          <w:sz w:val="20"/>
          <w:szCs w:val="20"/>
        </w:rPr>
        <w:t>(2018):</w:t>
      </w:r>
      <w:r w:rsidR="00D51578" w:rsidRPr="00C9559D">
        <w:rPr>
          <w:sz w:val="20"/>
          <w:szCs w:val="20"/>
        </w:rPr>
        <w:t xml:space="preserve"> </w:t>
      </w:r>
      <w:r w:rsidRPr="00C9559D">
        <w:rPr>
          <w:sz w:val="20"/>
          <w:szCs w:val="20"/>
        </w:rPr>
        <w:t>“CT-Guided</w:t>
      </w:r>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Do</w:t>
      </w:r>
      <w:r w:rsidR="00D51578" w:rsidRPr="00C9559D">
        <w:rPr>
          <w:sz w:val="20"/>
          <w:szCs w:val="20"/>
        </w:rPr>
        <w:t xml:space="preserve"> </w:t>
      </w:r>
      <w:r w:rsidRPr="00C9559D">
        <w:rPr>
          <w:sz w:val="20"/>
          <w:szCs w:val="20"/>
        </w:rPr>
        <w:t>Needle</w:t>
      </w:r>
      <w:r w:rsidR="00D51578" w:rsidRPr="00C9559D">
        <w:rPr>
          <w:sz w:val="20"/>
          <w:szCs w:val="20"/>
        </w:rPr>
        <w:t xml:space="preserve"> </w:t>
      </w:r>
      <w:r w:rsidRPr="00C9559D">
        <w:rPr>
          <w:sz w:val="20"/>
          <w:szCs w:val="20"/>
        </w:rPr>
        <w:t>Position</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Degree</w:t>
      </w:r>
      <w:r w:rsidR="00D51578" w:rsidRPr="00C9559D">
        <w:rPr>
          <w:sz w:val="20"/>
          <w:szCs w:val="20"/>
        </w:rPr>
        <w:t xml:space="preserve"> </w:t>
      </w:r>
      <w:r w:rsidRPr="00C9559D">
        <w:rPr>
          <w:sz w:val="20"/>
          <w:szCs w:val="20"/>
        </w:rPr>
        <w:t>of</w:t>
      </w:r>
      <w:r w:rsidR="00D51578" w:rsidRPr="00C9559D">
        <w:rPr>
          <w:sz w:val="20"/>
          <w:szCs w:val="20"/>
        </w:rPr>
        <w:t xml:space="preserve"> </w:t>
      </w:r>
      <w:proofErr w:type="spellStart"/>
      <w:r w:rsidRPr="00C9559D">
        <w:rPr>
          <w:sz w:val="20"/>
          <w:szCs w:val="20"/>
        </w:rPr>
        <w:t>Foraminal</w:t>
      </w:r>
      <w:proofErr w:type="spellEnd"/>
      <w:r w:rsidR="00D51578" w:rsidRPr="00C9559D">
        <w:rPr>
          <w:sz w:val="20"/>
          <w:szCs w:val="20"/>
        </w:rPr>
        <w:t xml:space="preserve"> </w:t>
      </w:r>
      <w:proofErr w:type="spellStart"/>
      <w:r w:rsidRPr="00C9559D">
        <w:rPr>
          <w:sz w:val="20"/>
          <w:szCs w:val="20"/>
        </w:rPr>
        <w:t>Stenosis</w:t>
      </w:r>
      <w:proofErr w:type="spellEnd"/>
      <w:r w:rsidR="00D51578" w:rsidRPr="00C9559D">
        <w:rPr>
          <w:sz w:val="20"/>
          <w:szCs w:val="20"/>
        </w:rPr>
        <w:t xml:space="preserve"> </w:t>
      </w:r>
      <w:r w:rsidRPr="00C9559D">
        <w:rPr>
          <w:sz w:val="20"/>
          <w:szCs w:val="20"/>
        </w:rPr>
        <w:t>Affect</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Pattern</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Flow?”</w:t>
      </w:r>
      <w:r w:rsidR="00D51578" w:rsidRPr="00C9559D">
        <w:rPr>
          <w:sz w:val="20"/>
          <w:szCs w:val="20"/>
        </w:rPr>
        <w:t xml:space="preserve"> </w:t>
      </w:r>
      <w:r w:rsidRPr="00C9559D">
        <w:rPr>
          <w:sz w:val="20"/>
          <w:szCs w:val="20"/>
        </w:rPr>
        <w:t>Skeletal</w:t>
      </w:r>
      <w:r w:rsidR="00D51578" w:rsidRPr="00C9559D">
        <w:rPr>
          <w:sz w:val="20"/>
          <w:szCs w:val="20"/>
        </w:rPr>
        <w:t xml:space="preserve"> </w:t>
      </w:r>
      <w:r w:rsidRPr="00C9559D">
        <w:rPr>
          <w:sz w:val="20"/>
          <w:szCs w:val="20"/>
        </w:rPr>
        <w:t>Radiology</w:t>
      </w:r>
      <w:r w:rsidR="00D51578" w:rsidRPr="00C9559D">
        <w:rPr>
          <w:sz w:val="20"/>
          <w:szCs w:val="20"/>
        </w:rPr>
        <w:t xml:space="preserve"> </w:t>
      </w:r>
      <w:r w:rsidRPr="00C9559D">
        <w:rPr>
          <w:sz w:val="20"/>
          <w:szCs w:val="20"/>
        </w:rPr>
        <w:t>47</w:t>
      </w:r>
      <w:r w:rsidR="00D51578" w:rsidRPr="00C9559D">
        <w:rPr>
          <w:sz w:val="20"/>
          <w:szCs w:val="20"/>
        </w:rPr>
        <w:t xml:space="preserve"> </w:t>
      </w:r>
      <w:r w:rsidRPr="00C9559D">
        <w:rPr>
          <w:sz w:val="20"/>
          <w:szCs w:val="20"/>
        </w:rPr>
        <w:t>(12):</w:t>
      </w:r>
      <w:r w:rsidR="00D51578" w:rsidRPr="00C9559D">
        <w:rPr>
          <w:sz w:val="20"/>
          <w:szCs w:val="20"/>
        </w:rPr>
        <w:t xml:space="preserve"> </w:t>
      </w:r>
      <w:r w:rsidRPr="00C9559D">
        <w:rPr>
          <w:sz w:val="20"/>
          <w:szCs w:val="20"/>
        </w:rPr>
        <w:t>1615–1623.</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Mulleman</w:t>
      </w:r>
      <w:proofErr w:type="spellEnd"/>
      <w:r w:rsidR="00D51578" w:rsidRPr="00C9559D">
        <w:rPr>
          <w:bCs/>
          <w:sz w:val="20"/>
          <w:szCs w:val="20"/>
        </w:rPr>
        <w:t xml:space="preserve"> </w:t>
      </w:r>
      <w:r w:rsidRPr="00C9559D">
        <w:rPr>
          <w:bCs/>
          <w:sz w:val="20"/>
          <w:szCs w:val="20"/>
        </w:rPr>
        <w:t>D,</w:t>
      </w:r>
      <w:r w:rsidR="00D51578" w:rsidRPr="00C9559D">
        <w:rPr>
          <w:bCs/>
          <w:sz w:val="20"/>
          <w:szCs w:val="20"/>
        </w:rPr>
        <w:t xml:space="preserve"> </w:t>
      </w:r>
      <w:proofErr w:type="spellStart"/>
      <w:r w:rsidRPr="00C9559D">
        <w:rPr>
          <w:bCs/>
          <w:sz w:val="20"/>
          <w:szCs w:val="20"/>
        </w:rPr>
        <w:t>Mammou</w:t>
      </w:r>
      <w:proofErr w:type="spellEnd"/>
      <w:r w:rsidR="00D51578" w:rsidRPr="00C9559D">
        <w:rPr>
          <w:bCs/>
          <w:sz w:val="20"/>
          <w:szCs w:val="20"/>
        </w:rPr>
        <w:t xml:space="preserve"> </w:t>
      </w:r>
      <w:r w:rsidRPr="00C9559D">
        <w:rPr>
          <w:bCs/>
          <w:sz w:val="20"/>
          <w:szCs w:val="20"/>
        </w:rPr>
        <w:t>S,</w:t>
      </w:r>
      <w:r w:rsidR="00D51578" w:rsidRPr="00C9559D">
        <w:rPr>
          <w:bCs/>
          <w:sz w:val="20"/>
          <w:szCs w:val="20"/>
        </w:rPr>
        <w:t xml:space="preserve"> </w:t>
      </w:r>
      <w:proofErr w:type="spellStart"/>
      <w:r w:rsidRPr="00C9559D">
        <w:rPr>
          <w:bCs/>
          <w:sz w:val="20"/>
          <w:szCs w:val="20"/>
        </w:rPr>
        <w:t>Griffoul</w:t>
      </w:r>
      <w:proofErr w:type="spellEnd"/>
      <w:r w:rsidR="00D51578" w:rsidRPr="00C9559D">
        <w:rPr>
          <w:bCs/>
          <w:sz w:val="20"/>
          <w:szCs w:val="20"/>
        </w:rPr>
        <w:t xml:space="preserve"> </w:t>
      </w:r>
      <w:r w:rsidRPr="00C9559D">
        <w:rPr>
          <w:bCs/>
          <w:sz w:val="20"/>
          <w:szCs w:val="20"/>
        </w:rPr>
        <w:t>I,</w:t>
      </w:r>
      <w:r w:rsidR="00D51578" w:rsidRPr="00C9559D">
        <w:rPr>
          <w:bCs/>
          <w:sz w:val="20"/>
          <w:szCs w:val="20"/>
        </w:rPr>
        <w:t xml:space="preserve"> </w:t>
      </w:r>
      <w:proofErr w:type="spellStart"/>
      <w:r w:rsidRPr="00C9559D">
        <w:rPr>
          <w:bCs/>
          <w:sz w:val="20"/>
          <w:szCs w:val="20"/>
        </w:rPr>
        <w:t>Watier</w:t>
      </w:r>
      <w:proofErr w:type="spellEnd"/>
      <w:r w:rsidR="00D51578" w:rsidRPr="00C9559D">
        <w:rPr>
          <w:bCs/>
          <w:sz w:val="20"/>
          <w:szCs w:val="20"/>
        </w:rPr>
        <w:t xml:space="preserve"> </w:t>
      </w:r>
      <w:r w:rsidRPr="00C9559D">
        <w:rPr>
          <w:bCs/>
          <w:sz w:val="20"/>
          <w:szCs w:val="20"/>
        </w:rPr>
        <w:t>H,</w:t>
      </w:r>
      <w:r w:rsidR="00D51578" w:rsidRPr="00C9559D">
        <w:rPr>
          <w:bCs/>
          <w:sz w:val="20"/>
          <w:szCs w:val="20"/>
        </w:rPr>
        <w:t xml:space="preserve"> </w:t>
      </w:r>
      <w:proofErr w:type="spellStart"/>
      <w:r w:rsidRPr="00C9559D">
        <w:rPr>
          <w:bCs/>
          <w:sz w:val="20"/>
          <w:szCs w:val="20"/>
        </w:rPr>
        <w:t>Goupille</w:t>
      </w:r>
      <w:proofErr w:type="spellEnd"/>
      <w:r w:rsidR="00D51578" w:rsidRPr="00C9559D">
        <w:rPr>
          <w:bCs/>
          <w:sz w:val="20"/>
          <w:szCs w:val="20"/>
        </w:rPr>
        <w:t xml:space="preserve"> </w:t>
      </w:r>
      <w:r w:rsidRPr="00C9559D">
        <w:rPr>
          <w:bCs/>
          <w:sz w:val="20"/>
          <w:szCs w:val="20"/>
        </w:rPr>
        <w:t>P.</w:t>
      </w:r>
      <w:r w:rsidR="00D51578" w:rsidRPr="00C9559D">
        <w:rPr>
          <w:sz w:val="20"/>
          <w:szCs w:val="20"/>
        </w:rPr>
        <w:t xml:space="preserve"> </w:t>
      </w:r>
      <w:proofErr w:type="spellStart"/>
      <w:r w:rsidRPr="00C9559D">
        <w:rPr>
          <w:sz w:val="20"/>
          <w:szCs w:val="20"/>
        </w:rPr>
        <w:t>Pathophysiology</w:t>
      </w:r>
      <w:proofErr w:type="spellEnd"/>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disk-related</w:t>
      </w:r>
      <w:r w:rsidR="00D51578" w:rsidRPr="00C9559D">
        <w:rPr>
          <w:sz w:val="20"/>
          <w:szCs w:val="20"/>
        </w:rPr>
        <w:t xml:space="preserve"> </w:t>
      </w:r>
      <w:r w:rsidRPr="00C9559D">
        <w:rPr>
          <w:sz w:val="20"/>
          <w:szCs w:val="20"/>
        </w:rPr>
        <w:t>sciatica.</w:t>
      </w:r>
      <w:r w:rsidR="00D51578" w:rsidRPr="00C9559D">
        <w:rPr>
          <w:sz w:val="20"/>
          <w:szCs w:val="20"/>
        </w:rPr>
        <w:t xml:space="preserve"> </w:t>
      </w:r>
      <w:r w:rsidRPr="00C9559D">
        <w:rPr>
          <w:sz w:val="20"/>
          <w:szCs w:val="20"/>
        </w:rPr>
        <w:t>Joint</w:t>
      </w:r>
      <w:r w:rsidR="00D51578" w:rsidRPr="00C9559D">
        <w:rPr>
          <w:sz w:val="20"/>
          <w:szCs w:val="20"/>
        </w:rPr>
        <w:t xml:space="preserve"> </w:t>
      </w:r>
      <w:r w:rsidRPr="00C9559D">
        <w:rPr>
          <w:sz w:val="20"/>
          <w:szCs w:val="20"/>
        </w:rPr>
        <w:t>Bone</w:t>
      </w:r>
      <w:r w:rsidR="00D51578" w:rsidRPr="00C9559D">
        <w:rPr>
          <w:sz w:val="20"/>
          <w:szCs w:val="20"/>
        </w:rPr>
        <w:t xml:space="preserve"> </w:t>
      </w:r>
      <w:r w:rsidRPr="00C9559D">
        <w:rPr>
          <w:sz w:val="20"/>
          <w:szCs w:val="20"/>
        </w:rPr>
        <w:t>Spine</w:t>
      </w:r>
      <w:r w:rsidR="00D51578" w:rsidRPr="00C9559D">
        <w:rPr>
          <w:sz w:val="20"/>
          <w:szCs w:val="20"/>
        </w:rPr>
        <w:t xml:space="preserve"> </w:t>
      </w:r>
      <w:r w:rsidRPr="00C9559D">
        <w:rPr>
          <w:sz w:val="20"/>
          <w:szCs w:val="20"/>
        </w:rPr>
        <w:t>2006;</w:t>
      </w:r>
      <w:r w:rsidR="00D51578" w:rsidRPr="00C9559D">
        <w:rPr>
          <w:sz w:val="20"/>
          <w:szCs w:val="20"/>
        </w:rPr>
        <w:t xml:space="preserve"> </w:t>
      </w:r>
      <w:r w:rsidRPr="00C9559D">
        <w:rPr>
          <w:sz w:val="20"/>
          <w:szCs w:val="20"/>
        </w:rPr>
        <w:t>73:</w:t>
      </w:r>
      <w:r w:rsidR="00D51578" w:rsidRPr="00C9559D">
        <w:rPr>
          <w:sz w:val="20"/>
          <w:szCs w:val="20"/>
        </w:rPr>
        <w:t xml:space="preserve"> </w:t>
      </w:r>
      <w:r w:rsidRPr="00C9559D">
        <w:rPr>
          <w:sz w:val="20"/>
          <w:szCs w:val="20"/>
        </w:rPr>
        <w:t>151–158.</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Nelson</w:t>
      </w:r>
      <w:r w:rsidR="00D51578" w:rsidRPr="00C9559D">
        <w:rPr>
          <w:bCs/>
          <w:sz w:val="20"/>
          <w:szCs w:val="20"/>
        </w:rPr>
        <w:t xml:space="preserve"> </w:t>
      </w:r>
      <w:r w:rsidRPr="00C9559D">
        <w:rPr>
          <w:bCs/>
          <w:sz w:val="20"/>
          <w:szCs w:val="20"/>
        </w:rPr>
        <w:t>DA,</w:t>
      </w:r>
      <w:r w:rsidR="00D51578" w:rsidRPr="00C9559D">
        <w:rPr>
          <w:bCs/>
          <w:sz w:val="20"/>
          <w:szCs w:val="20"/>
        </w:rPr>
        <w:t xml:space="preserve"> </w:t>
      </w:r>
      <w:r w:rsidRPr="00C9559D">
        <w:rPr>
          <w:bCs/>
          <w:sz w:val="20"/>
          <w:szCs w:val="20"/>
        </w:rPr>
        <w:t>Landau</w:t>
      </w:r>
      <w:r w:rsidR="00D51578" w:rsidRPr="00C9559D">
        <w:rPr>
          <w:bCs/>
          <w:sz w:val="20"/>
          <w:szCs w:val="20"/>
        </w:rPr>
        <w:t xml:space="preserve"> </w:t>
      </w:r>
      <w:r w:rsidRPr="00C9559D">
        <w:rPr>
          <w:bCs/>
          <w:sz w:val="20"/>
          <w:szCs w:val="20"/>
        </w:rPr>
        <w:t>WM.</w:t>
      </w:r>
      <w:r w:rsidR="00D51578" w:rsidRPr="00C9559D">
        <w:rPr>
          <w:sz w:val="20"/>
          <w:szCs w:val="20"/>
        </w:rPr>
        <w:t xml:space="preserve"> </w:t>
      </w:r>
      <w:proofErr w:type="spellStart"/>
      <w:r w:rsidRPr="00C9559D">
        <w:rPr>
          <w:sz w:val="20"/>
          <w:szCs w:val="20"/>
        </w:rPr>
        <w:t>Intraspinal</w:t>
      </w:r>
      <w:proofErr w:type="spellEnd"/>
      <w:r w:rsidR="00D51578" w:rsidRPr="00C9559D">
        <w:rPr>
          <w:sz w:val="20"/>
          <w:szCs w:val="20"/>
        </w:rPr>
        <w:t xml:space="preserve"> </w:t>
      </w:r>
      <w:r w:rsidRPr="00C9559D">
        <w:rPr>
          <w:sz w:val="20"/>
          <w:szCs w:val="20"/>
        </w:rPr>
        <w:t>steroids:</w:t>
      </w:r>
      <w:r w:rsidR="00D51578" w:rsidRPr="00C9559D">
        <w:rPr>
          <w:sz w:val="20"/>
          <w:szCs w:val="20"/>
        </w:rPr>
        <w:t xml:space="preserve"> </w:t>
      </w:r>
      <w:r w:rsidRPr="00C9559D">
        <w:rPr>
          <w:sz w:val="20"/>
          <w:szCs w:val="20"/>
        </w:rPr>
        <w:t>history,</w:t>
      </w:r>
      <w:r w:rsidR="00D51578" w:rsidRPr="00C9559D">
        <w:rPr>
          <w:sz w:val="20"/>
          <w:szCs w:val="20"/>
        </w:rPr>
        <w:t xml:space="preserve"> </w:t>
      </w:r>
      <w:r w:rsidRPr="00C9559D">
        <w:rPr>
          <w:sz w:val="20"/>
          <w:szCs w:val="20"/>
        </w:rPr>
        <w:t>efficacy,</w:t>
      </w:r>
      <w:r w:rsidR="00D51578" w:rsidRPr="00C9559D">
        <w:rPr>
          <w:sz w:val="20"/>
          <w:szCs w:val="20"/>
        </w:rPr>
        <w:t xml:space="preserve"> </w:t>
      </w:r>
      <w:proofErr w:type="spellStart"/>
      <w:r w:rsidRPr="00C9559D">
        <w:rPr>
          <w:sz w:val="20"/>
          <w:szCs w:val="20"/>
        </w:rPr>
        <w:t>accidentality</w:t>
      </w:r>
      <w:proofErr w:type="spellEnd"/>
      <w:r w:rsidRPr="00C9559D">
        <w:rPr>
          <w:sz w:val="20"/>
          <w:szCs w:val="20"/>
        </w:rPr>
        <w:t>,</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controversy</w:t>
      </w:r>
      <w:r w:rsidR="00D51578" w:rsidRPr="00C9559D">
        <w:rPr>
          <w:sz w:val="20"/>
          <w:szCs w:val="20"/>
        </w:rPr>
        <w:t xml:space="preserve"> </w:t>
      </w:r>
      <w:r w:rsidRPr="00C9559D">
        <w:rPr>
          <w:sz w:val="20"/>
          <w:szCs w:val="20"/>
        </w:rPr>
        <w:t>with</w:t>
      </w:r>
      <w:r w:rsidR="00D51578" w:rsidRPr="00C9559D">
        <w:rPr>
          <w:sz w:val="20"/>
          <w:szCs w:val="20"/>
        </w:rPr>
        <w:t xml:space="preserve"> </w:t>
      </w:r>
      <w:r w:rsidRPr="00C9559D">
        <w:rPr>
          <w:sz w:val="20"/>
          <w:szCs w:val="20"/>
        </w:rPr>
        <w:t>review</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United</w:t>
      </w:r>
      <w:r w:rsidR="00D51578" w:rsidRPr="00C9559D">
        <w:rPr>
          <w:sz w:val="20"/>
          <w:szCs w:val="20"/>
        </w:rPr>
        <w:t xml:space="preserve"> </w:t>
      </w:r>
      <w:r w:rsidRPr="00C9559D">
        <w:rPr>
          <w:sz w:val="20"/>
          <w:szCs w:val="20"/>
        </w:rPr>
        <w:t>States</w:t>
      </w:r>
      <w:r w:rsidR="00D51578" w:rsidRPr="00C9559D">
        <w:rPr>
          <w:sz w:val="20"/>
          <w:szCs w:val="20"/>
        </w:rPr>
        <w:t xml:space="preserve"> </w:t>
      </w:r>
      <w:r w:rsidRPr="00C9559D">
        <w:rPr>
          <w:sz w:val="20"/>
          <w:szCs w:val="20"/>
        </w:rPr>
        <w:t>Food</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Drug</w:t>
      </w:r>
      <w:r w:rsidR="00D51578" w:rsidRPr="00C9559D">
        <w:rPr>
          <w:sz w:val="20"/>
          <w:szCs w:val="20"/>
        </w:rPr>
        <w:t xml:space="preserve"> </w:t>
      </w:r>
      <w:r w:rsidRPr="00C9559D">
        <w:rPr>
          <w:sz w:val="20"/>
          <w:szCs w:val="20"/>
        </w:rPr>
        <w:t>Administration</w:t>
      </w:r>
      <w:r w:rsidR="00D51578" w:rsidRPr="00C9559D">
        <w:rPr>
          <w:sz w:val="20"/>
          <w:szCs w:val="20"/>
        </w:rPr>
        <w:t xml:space="preserve"> </w:t>
      </w:r>
      <w:r w:rsidRPr="00C9559D">
        <w:rPr>
          <w:sz w:val="20"/>
          <w:szCs w:val="20"/>
        </w:rPr>
        <w:t>reports.</w:t>
      </w:r>
      <w:r w:rsidR="00D51578" w:rsidRPr="00C9559D">
        <w:rPr>
          <w:sz w:val="20"/>
          <w:szCs w:val="20"/>
        </w:rPr>
        <w:t xml:space="preserve"> </w:t>
      </w:r>
      <w:r w:rsidRPr="00C9559D">
        <w:rPr>
          <w:sz w:val="20"/>
          <w:szCs w:val="20"/>
        </w:rPr>
        <w:t>J</w:t>
      </w:r>
      <w:r w:rsidR="00D51578" w:rsidRPr="00C9559D">
        <w:rPr>
          <w:sz w:val="20"/>
          <w:szCs w:val="20"/>
        </w:rPr>
        <w:t xml:space="preserve"> </w:t>
      </w:r>
      <w:proofErr w:type="spellStart"/>
      <w:r w:rsidRPr="00C9559D">
        <w:rPr>
          <w:sz w:val="20"/>
          <w:szCs w:val="20"/>
        </w:rPr>
        <w:t>Neurol</w:t>
      </w:r>
      <w:proofErr w:type="spellEnd"/>
      <w:r w:rsidR="00D51578" w:rsidRPr="00C9559D">
        <w:rPr>
          <w:sz w:val="20"/>
          <w:szCs w:val="20"/>
        </w:rPr>
        <w:t xml:space="preserve"> </w:t>
      </w:r>
      <w:proofErr w:type="spellStart"/>
      <w:r w:rsidRPr="00C9559D">
        <w:rPr>
          <w:sz w:val="20"/>
          <w:szCs w:val="20"/>
        </w:rPr>
        <w:t>Neurosurg</w:t>
      </w:r>
      <w:proofErr w:type="spellEnd"/>
      <w:r w:rsidR="00D51578" w:rsidRPr="00C9559D">
        <w:rPr>
          <w:sz w:val="20"/>
          <w:szCs w:val="20"/>
        </w:rPr>
        <w:t xml:space="preserve"> </w:t>
      </w:r>
      <w:r w:rsidRPr="00C9559D">
        <w:rPr>
          <w:sz w:val="20"/>
          <w:szCs w:val="20"/>
        </w:rPr>
        <w:t>Psychiatry.</w:t>
      </w:r>
      <w:r w:rsidR="00D51578" w:rsidRPr="00C9559D">
        <w:rPr>
          <w:sz w:val="20"/>
          <w:szCs w:val="20"/>
        </w:rPr>
        <w:t xml:space="preserve"> </w:t>
      </w:r>
      <w:r w:rsidRPr="00C9559D">
        <w:rPr>
          <w:sz w:val="20"/>
          <w:szCs w:val="20"/>
        </w:rPr>
        <w:t>2001;</w:t>
      </w:r>
      <w:r w:rsidR="00D51578" w:rsidRPr="00C9559D">
        <w:rPr>
          <w:sz w:val="20"/>
          <w:szCs w:val="20"/>
        </w:rPr>
        <w:t xml:space="preserve"> </w:t>
      </w:r>
      <w:r w:rsidRPr="00C9559D">
        <w:rPr>
          <w:sz w:val="20"/>
          <w:szCs w:val="20"/>
        </w:rPr>
        <w:t>70</w:t>
      </w:r>
      <w:r w:rsidR="00D51578" w:rsidRPr="00C9559D">
        <w:rPr>
          <w:sz w:val="20"/>
          <w:szCs w:val="20"/>
        </w:rPr>
        <w:t xml:space="preserve"> </w:t>
      </w:r>
      <w:r w:rsidRPr="00C9559D">
        <w:rPr>
          <w:sz w:val="20"/>
          <w:szCs w:val="20"/>
        </w:rPr>
        <w:t>(4):</w:t>
      </w:r>
      <w:r w:rsidR="00D51578" w:rsidRPr="00C9559D">
        <w:rPr>
          <w:sz w:val="20"/>
          <w:szCs w:val="20"/>
        </w:rPr>
        <w:t xml:space="preserve"> </w:t>
      </w:r>
      <w:r w:rsidRPr="00C9559D">
        <w:rPr>
          <w:sz w:val="20"/>
          <w:szCs w:val="20"/>
        </w:rPr>
        <w:t>433-43.</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Nouri</w:t>
      </w:r>
      <w:proofErr w:type="spellEnd"/>
      <w:r w:rsidR="00D51578" w:rsidRPr="00C9559D">
        <w:rPr>
          <w:bCs/>
          <w:sz w:val="20"/>
          <w:szCs w:val="20"/>
        </w:rPr>
        <w:t xml:space="preserve"> </w:t>
      </w:r>
      <w:r w:rsidRPr="00C9559D">
        <w:rPr>
          <w:bCs/>
          <w:sz w:val="20"/>
          <w:szCs w:val="20"/>
        </w:rPr>
        <w:t>KH</w:t>
      </w:r>
      <w:r w:rsidR="00D51578" w:rsidRPr="00C9559D">
        <w:rPr>
          <w:bCs/>
          <w:sz w:val="20"/>
          <w:szCs w:val="20"/>
        </w:rPr>
        <w:t xml:space="preserve"> </w:t>
      </w:r>
      <w:r w:rsidRPr="00C9559D">
        <w:rPr>
          <w:bCs/>
          <w:sz w:val="20"/>
          <w:szCs w:val="20"/>
        </w:rPr>
        <w:t>and</w:t>
      </w:r>
      <w:r w:rsidR="00D51578" w:rsidRPr="00C9559D">
        <w:rPr>
          <w:bCs/>
          <w:sz w:val="20"/>
          <w:szCs w:val="20"/>
        </w:rPr>
        <w:t xml:space="preserve"> </w:t>
      </w:r>
      <w:proofErr w:type="spellStart"/>
      <w:r w:rsidRPr="00C9559D">
        <w:rPr>
          <w:bCs/>
          <w:sz w:val="20"/>
          <w:szCs w:val="20"/>
        </w:rPr>
        <w:t>Salahadin</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r w:rsidRPr="00C9559D">
        <w:rPr>
          <w:bCs/>
          <w:sz w:val="20"/>
          <w:szCs w:val="20"/>
        </w:rPr>
        <w:t>(2018):</w:t>
      </w:r>
      <w:r w:rsidR="00D51578" w:rsidRPr="00C9559D">
        <w:rPr>
          <w:sz w:val="20"/>
          <w:szCs w:val="20"/>
        </w:rPr>
        <w:t xml:space="preserve"> </w:t>
      </w:r>
      <w:r w:rsidRPr="00C9559D">
        <w:rPr>
          <w:sz w:val="20"/>
          <w:szCs w:val="20"/>
        </w:rPr>
        <w:t>“</w:t>
      </w:r>
      <w:proofErr w:type="spellStart"/>
      <w:r w:rsidRPr="00C9559D">
        <w:rPr>
          <w:sz w:val="20"/>
          <w:szCs w:val="20"/>
        </w:rPr>
        <w:t>Lumbosacral</w:t>
      </w:r>
      <w:proofErr w:type="spellEnd"/>
      <w:r w:rsidR="00D51578" w:rsidRPr="00C9559D">
        <w:rPr>
          <w:sz w:val="20"/>
          <w:szCs w:val="20"/>
        </w:rPr>
        <w:t xml:space="preserve"> </w:t>
      </w:r>
      <w:proofErr w:type="spellStart"/>
      <w:r w:rsidRPr="00C9559D">
        <w:rPr>
          <w:sz w:val="20"/>
          <w:szCs w:val="20"/>
        </w:rPr>
        <w:t>Radicular</w:t>
      </w:r>
      <w:proofErr w:type="spellEnd"/>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Fundamentals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203–208.</w:t>
      </w:r>
      <w:r w:rsidR="00D51578" w:rsidRPr="00C9559D">
        <w:rPr>
          <w:sz w:val="20"/>
          <w:szCs w:val="20"/>
        </w:rPr>
        <w:t xml:space="preserve"> </w:t>
      </w:r>
      <w:r w:rsidRPr="00C9559D">
        <w:rPr>
          <w:sz w:val="20"/>
          <w:szCs w:val="20"/>
        </w:rPr>
        <w:t>Springer.</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Ogoke</w:t>
      </w:r>
      <w:proofErr w:type="spellEnd"/>
      <w:r w:rsidR="00D51578" w:rsidRPr="00C9559D">
        <w:rPr>
          <w:bCs/>
          <w:sz w:val="20"/>
          <w:szCs w:val="20"/>
        </w:rPr>
        <w:t xml:space="preserve"> </w:t>
      </w:r>
      <w:r w:rsidRPr="00C9559D">
        <w:rPr>
          <w:bCs/>
          <w:sz w:val="20"/>
          <w:szCs w:val="20"/>
        </w:rPr>
        <w:t>BA.</w:t>
      </w:r>
      <w:r w:rsidR="00D51578" w:rsidRPr="00C9559D">
        <w:rPr>
          <w:bCs/>
          <w:sz w:val="20"/>
          <w:szCs w:val="20"/>
        </w:rPr>
        <w:t xml:space="preserve"> </w:t>
      </w:r>
      <w:r w:rsidRPr="00C9559D">
        <w:rPr>
          <w:sz w:val="20"/>
          <w:szCs w:val="20"/>
        </w:rPr>
        <w:t>Caudal</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Physician,</w:t>
      </w:r>
      <w:r w:rsidR="00D51578" w:rsidRPr="00C9559D">
        <w:rPr>
          <w:sz w:val="20"/>
          <w:szCs w:val="20"/>
        </w:rPr>
        <w:t xml:space="preserve"> </w:t>
      </w:r>
      <w:r w:rsidRPr="00C9559D">
        <w:rPr>
          <w:sz w:val="20"/>
          <w:szCs w:val="20"/>
        </w:rPr>
        <w:t>2000;</w:t>
      </w:r>
      <w:r w:rsidR="00D51578" w:rsidRPr="00C9559D">
        <w:rPr>
          <w:sz w:val="20"/>
          <w:szCs w:val="20"/>
        </w:rPr>
        <w:t xml:space="preserve"> </w:t>
      </w:r>
      <w:r w:rsidRPr="00C9559D">
        <w:rPr>
          <w:sz w:val="20"/>
          <w:szCs w:val="20"/>
        </w:rPr>
        <w:t>3:</w:t>
      </w:r>
      <w:r w:rsidR="00D51578" w:rsidRPr="00C9559D">
        <w:rPr>
          <w:sz w:val="20"/>
          <w:szCs w:val="20"/>
        </w:rPr>
        <w:t xml:space="preserve"> </w:t>
      </w:r>
      <w:r w:rsidRPr="00C9559D">
        <w:rPr>
          <w:sz w:val="20"/>
          <w:szCs w:val="20"/>
        </w:rPr>
        <w:t>305-312.</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lang w:val="en-GB"/>
        </w:rPr>
        <w:t>Pasqualucci</w:t>
      </w:r>
      <w:proofErr w:type="spellEnd"/>
      <w:r w:rsidR="00D51578" w:rsidRPr="00C9559D">
        <w:rPr>
          <w:bCs/>
          <w:sz w:val="20"/>
          <w:szCs w:val="20"/>
          <w:lang w:val="en-GB"/>
        </w:rPr>
        <w:t xml:space="preserve"> </w:t>
      </w:r>
      <w:r w:rsidRPr="00C9559D">
        <w:rPr>
          <w:bCs/>
          <w:sz w:val="20"/>
          <w:szCs w:val="20"/>
          <w:lang w:val="en-GB"/>
        </w:rPr>
        <w:t>A,</w:t>
      </w:r>
      <w:r w:rsidR="00D51578" w:rsidRPr="00C9559D">
        <w:rPr>
          <w:bCs/>
          <w:sz w:val="20"/>
          <w:szCs w:val="20"/>
          <w:lang w:val="en-GB"/>
        </w:rPr>
        <w:t xml:space="preserve"> </w:t>
      </w:r>
      <w:proofErr w:type="spellStart"/>
      <w:r w:rsidRPr="00C9559D">
        <w:rPr>
          <w:bCs/>
          <w:sz w:val="20"/>
          <w:szCs w:val="20"/>
          <w:lang w:val="en-GB"/>
        </w:rPr>
        <w:t>Varrassi</w:t>
      </w:r>
      <w:proofErr w:type="spellEnd"/>
      <w:r w:rsidR="00D51578" w:rsidRPr="00C9559D">
        <w:rPr>
          <w:bCs/>
          <w:sz w:val="20"/>
          <w:szCs w:val="20"/>
          <w:lang w:val="en-GB"/>
        </w:rPr>
        <w:t xml:space="preserve"> </w:t>
      </w:r>
      <w:r w:rsidRPr="00C9559D">
        <w:rPr>
          <w:bCs/>
          <w:sz w:val="20"/>
          <w:szCs w:val="20"/>
          <w:lang w:val="en-GB"/>
        </w:rPr>
        <w:t>G,</w:t>
      </w:r>
      <w:r w:rsidR="00D51578" w:rsidRPr="00C9559D">
        <w:rPr>
          <w:bCs/>
          <w:sz w:val="20"/>
          <w:szCs w:val="20"/>
          <w:lang w:val="en-GB"/>
        </w:rPr>
        <w:t xml:space="preserve"> </w:t>
      </w:r>
      <w:proofErr w:type="spellStart"/>
      <w:r w:rsidRPr="00C9559D">
        <w:rPr>
          <w:bCs/>
          <w:sz w:val="20"/>
          <w:szCs w:val="20"/>
          <w:lang w:val="en-GB"/>
        </w:rPr>
        <w:t>Braschi</w:t>
      </w:r>
      <w:proofErr w:type="spellEnd"/>
      <w:r w:rsidR="00D51578" w:rsidRPr="00C9559D">
        <w:rPr>
          <w:bCs/>
          <w:sz w:val="20"/>
          <w:szCs w:val="20"/>
          <w:lang w:val="en-GB"/>
        </w:rPr>
        <w:t xml:space="preserve"> </w:t>
      </w:r>
      <w:r w:rsidRPr="00C9559D">
        <w:rPr>
          <w:bCs/>
          <w:sz w:val="20"/>
          <w:szCs w:val="20"/>
          <w:lang w:val="en-GB"/>
        </w:rPr>
        <w:t>A,</w:t>
      </w:r>
      <w:r w:rsidR="00D51578" w:rsidRPr="00C9559D">
        <w:rPr>
          <w:bCs/>
          <w:sz w:val="20"/>
          <w:szCs w:val="20"/>
          <w:lang w:val="en-GB"/>
        </w:rPr>
        <w:t xml:space="preserve"> </w:t>
      </w:r>
      <w:proofErr w:type="spellStart"/>
      <w:r w:rsidRPr="00C9559D">
        <w:rPr>
          <w:bCs/>
          <w:sz w:val="20"/>
          <w:szCs w:val="20"/>
          <w:lang w:val="en-GB"/>
        </w:rPr>
        <w:t>Peduto</w:t>
      </w:r>
      <w:proofErr w:type="spellEnd"/>
      <w:r w:rsidR="00D51578" w:rsidRPr="00C9559D">
        <w:rPr>
          <w:bCs/>
          <w:sz w:val="20"/>
          <w:szCs w:val="20"/>
          <w:lang w:val="en-GB"/>
        </w:rPr>
        <w:t xml:space="preserve"> </w:t>
      </w:r>
      <w:r w:rsidRPr="00C9559D">
        <w:rPr>
          <w:bCs/>
          <w:sz w:val="20"/>
          <w:szCs w:val="20"/>
          <w:lang w:val="en-GB"/>
        </w:rPr>
        <w:t>VA,</w:t>
      </w:r>
      <w:r w:rsidR="00D51578" w:rsidRPr="00C9559D">
        <w:rPr>
          <w:bCs/>
          <w:sz w:val="20"/>
          <w:szCs w:val="20"/>
          <w:lang w:val="en-GB"/>
        </w:rPr>
        <w:t xml:space="preserve"> </w:t>
      </w:r>
      <w:proofErr w:type="spellStart"/>
      <w:r w:rsidRPr="00C9559D">
        <w:rPr>
          <w:bCs/>
          <w:sz w:val="20"/>
          <w:szCs w:val="20"/>
          <w:lang w:val="en-GB"/>
        </w:rPr>
        <w:t>Brunelli</w:t>
      </w:r>
      <w:proofErr w:type="spellEnd"/>
      <w:r w:rsidR="00D51578" w:rsidRPr="00C9559D">
        <w:rPr>
          <w:bCs/>
          <w:sz w:val="20"/>
          <w:szCs w:val="20"/>
          <w:lang w:val="en-GB"/>
        </w:rPr>
        <w:t xml:space="preserve"> </w:t>
      </w:r>
      <w:r w:rsidRPr="00C9559D">
        <w:rPr>
          <w:bCs/>
          <w:sz w:val="20"/>
          <w:szCs w:val="20"/>
          <w:lang w:val="en-GB"/>
        </w:rPr>
        <w:t>A,</w:t>
      </w:r>
      <w:r w:rsidR="00D51578" w:rsidRPr="00C9559D">
        <w:rPr>
          <w:bCs/>
          <w:sz w:val="20"/>
          <w:szCs w:val="20"/>
          <w:lang w:val="en-GB"/>
        </w:rPr>
        <w:t xml:space="preserve"> </w:t>
      </w:r>
      <w:proofErr w:type="spellStart"/>
      <w:r w:rsidRPr="00C9559D">
        <w:rPr>
          <w:bCs/>
          <w:sz w:val="20"/>
          <w:szCs w:val="20"/>
          <w:lang w:val="en-GB"/>
        </w:rPr>
        <w:t>Marinangeli</w:t>
      </w:r>
      <w:proofErr w:type="spellEnd"/>
      <w:r w:rsidR="00D51578" w:rsidRPr="00C9559D">
        <w:rPr>
          <w:bCs/>
          <w:sz w:val="20"/>
          <w:szCs w:val="20"/>
          <w:lang w:val="en-GB"/>
        </w:rPr>
        <w:t xml:space="preserve"> </w:t>
      </w:r>
      <w:r w:rsidRPr="00C9559D">
        <w:rPr>
          <w:bCs/>
          <w:sz w:val="20"/>
          <w:szCs w:val="20"/>
          <w:lang w:val="en-GB"/>
        </w:rPr>
        <w:t>F,</w:t>
      </w:r>
      <w:r w:rsidR="00D51578" w:rsidRPr="00C9559D">
        <w:rPr>
          <w:bCs/>
          <w:sz w:val="20"/>
          <w:szCs w:val="20"/>
          <w:lang w:val="en-GB"/>
        </w:rPr>
        <w:t xml:space="preserve"> </w:t>
      </w:r>
      <w:proofErr w:type="spellStart"/>
      <w:r w:rsidRPr="00C9559D">
        <w:rPr>
          <w:bCs/>
          <w:sz w:val="20"/>
          <w:szCs w:val="20"/>
          <w:lang w:val="en-GB"/>
        </w:rPr>
        <w:t>Gori</w:t>
      </w:r>
      <w:proofErr w:type="spellEnd"/>
      <w:r w:rsidR="00D51578" w:rsidRPr="00C9559D">
        <w:rPr>
          <w:bCs/>
          <w:sz w:val="20"/>
          <w:szCs w:val="20"/>
          <w:lang w:val="en-GB"/>
        </w:rPr>
        <w:t xml:space="preserve"> </w:t>
      </w:r>
      <w:r w:rsidRPr="00C9559D">
        <w:rPr>
          <w:bCs/>
          <w:sz w:val="20"/>
          <w:szCs w:val="20"/>
          <w:lang w:val="en-GB"/>
        </w:rPr>
        <w:t>F,</w:t>
      </w:r>
      <w:r w:rsidR="00D51578" w:rsidRPr="00C9559D">
        <w:rPr>
          <w:bCs/>
          <w:sz w:val="20"/>
          <w:szCs w:val="20"/>
          <w:lang w:val="en-GB"/>
        </w:rPr>
        <w:t xml:space="preserve"> </w:t>
      </w:r>
      <w:proofErr w:type="spellStart"/>
      <w:r w:rsidRPr="00C9559D">
        <w:rPr>
          <w:bCs/>
          <w:sz w:val="20"/>
          <w:szCs w:val="20"/>
          <w:lang w:val="en-GB"/>
        </w:rPr>
        <w:t>Colo</w:t>
      </w:r>
      <w:proofErr w:type="spellEnd"/>
      <w:r w:rsidR="00D51578" w:rsidRPr="00C9559D">
        <w:rPr>
          <w:bCs/>
          <w:sz w:val="20"/>
          <w:szCs w:val="20"/>
          <w:lang w:val="en-GB"/>
        </w:rPr>
        <w:t xml:space="preserve"> </w:t>
      </w:r>
      <w:r w:rsidRPr="00C9559D">
        <w:rPr>
          <w:bCs/>
          <w:sz w:val="20"/>
          <w:szCs w:val="20"/>
          <w:lang w:val="en-GB"/>
        </w:rPr>
        <w:t>F,</w:t>
      </w:r>
      <w:r w:rsidR="00D51578" w:rsidRPr="00C9559D">
        <w:rPr>
          <w:bCs/>
          <w:sz w:val="20"/>
          <w:szCs w:val="20"/>
          <w:lang w:val="en-GB"/>
        </w:rPr>
        <w:t xml:space="preserve"> </w:t>
      </w:r>
      <w:proofErr w:type="spellStart"/>
      <w:r w:rsidRPr="00C9559D">
        <w:rPr>
          <w:bCs/>
          <w:sz w:val="20"/>
          <w:szCs w:val="20"/>
          <w:lang w:val="en-GB"/>
        </w:rPr>
        <w:t>Paladini</w:t>
      </w:r>
      <w:proofErr w:type="spellEnd"/>
      <w:r w:rsidR="00D51578" w:rsidRPr="00C9559D">
        <w:rPr>
          <w:bCs/>
          <w:sz w:val="20"/>
          <w:szCs w:val="20"/>
          <w:lang w:val="en-GB"/>
        </w:rPr>
        <w:t xml:space="preserve"> </w:t>
      </w:r>
      <w:r w:rsidRPr="00C9559D">
        <w:rPr>
          <w:bCs/>
          <w:sz w:val="20"/>
          <w:szCs w:val="20"/>
          <w:lang w:val="en-GB"/>
        </w:rPr>
        <w:t>A,</w:t>
      </w:r>
      <w:r w:rsidR="00D51578" w:rsidRPr="00C9559D">
        <w:rPr>
          <w:bCs/>
          <w:sz w:val="20"/>
          <w:szCs w:val="20"/>
          <w:lang w:val="en-GB"/>
        </w:rPr>
        <w:t xml:space="preserve"> </w:t>
      </w:r>
      <w:proofErr w:type="spellStart"/>
      <w:r w:rsidRPr="00C9559D">
        <w:rPr>
          <w:bCs/>
          <w:sz w:val="20"/>
          <w:szCs w:val="20"/>
          <w:lang w:val="en-GB"/>
        </w:rPr>
        <w:t>Mojoli</w:t>
      </w:r>
      <w:proofErr w:type="spellEnd"/>
      <w:r w:rsidR="00D51578" w:rsidRPr="00C9559D">
        <w:rPr>
          <w:bCs/>
          <w:sz w:val="20"/>
          <w:szCs w:val="20"/>
          <w:lang w:val="en-GB"/>
        </w:rPr>
        <w:t xml:space="preserve"> </w:t>
      </w:r>
      <w:r w:rsidRPr="00C9559D">
        <w:rPr>
          <w:bCs/>
          <w:sz w:val="20"/>
          <w:szCs w:val="20"/>
          <w:lang w:val="en-GB"/>
        </w:rPr>
        <w:t>F.</w:t>
      </w:r>
      <w:r w:rsidR="00D51578" w:rsidRPr="00C9559D">
        <w:rPr>
          <w:sz w:val="20"/>
          <w:szCs w:val="20"/>
          <w:lang w:val="en-GB"/>
        </w:rPr>
        <w:t xml:space="preserve"> </w:t>
      </w:r>
      <w:r w:rsidRPr="00C9559D">
        <w:rPr>
          <w:sz w:val="20"/>
          <w:szCs w:val="20"/>
          <w:lang w:val="en-GB"/>
        </w:rPr>
        <w:t>Epidural</w:t>
      </w:r>
      <w:r w:rsidR="00D51578" w:rsidRPr="00C9559D">
        <w:rPr>
          <w:sz w:val="20"/>
          <w:szCs w:val="20"/>
          <w:lang w:val="en-GB"/>
        </w:rPr>
        <w:t xml:space="preserve"> </w:t>
      </w:r>
      <w:r w:rsidRPr="00C9559D">
        <w:rPr>
          <w:sz w:val="20"/>
          <w:szCs w:val="20"/>
          <w:lang w:val="en-GB"/>
        </w:rPr>
        <w:t>local</w:t>
      </w:r>
      <w:r w:rsidR="00D51578" w:rsidRPr="00C9559D">
        <w:rPr>
          <w:sz w:val="20"/>
          <w:szCs w:val="20"/>
          <w:lang w:val="en-GB"/>
        </w:rPr>
        <w:t xml:space="preserve"> </w:t>
      </w:r>
      <w:proofErr w:type="spellStart"/>
      <w:r w:rsidRPr="00C9559D">
        <w:rPr>
          <w:sz w:val="20"/>
          <w:szCs w:val="20"/>
          <w:lang w:val="en-GB"/>
        </w:rPr>
        <w:t>anesthetic</w:t>
      </w:r>
      <w:proofErr w:type="spellEnd"/>
      <w:r w:rsidR="00D51578" w:rsidRPr="00C9559D">
        <w:rPr>
          <w:sz w:val="20"/>
          <w:szCs w:val="20"/>
          <w:lang w:val="en-GB"/>
        </w:rPr>
        <w:t xml:space="preserve"> </w:t>
      </w:r>
      <w:r w:rsidRPr="00C9559D">
        <w:rPr>
          <w:sz w:val="20"/>
          <w:szCs w:val="20"/>
          <w:lang w:val="en-GB"/>
        </w:rPr>
        <w:t>plus</w:t>
      </w:r>
      <w:r w:rsidR="00D51578" w:rsidRPr="00C9559D">
        <w:rPr>
          <w:sz w:val="20"/>
          <w:szCs w:val="20"/>
          <w:lang w:val="en-GB"/>
        </w:rPr>
        <w:t xml:space="preserve"> </w:t>
      </w:r>
      <w:r w:rsidRPr="00C9559D">
        <w:rPr>
          <w:sz w:val="20"/>
          <w:szCs w:val="20"/>
          <w:lang w:val="en-GB"/>
        </w:rPr>
        <w:t>corticosteroid</w:t>
      </w:r>
      <w:r w:rsidR="00D51578" w:rsidRPr="00C9559D">
        <w:rPr>
          <w:sz w:val="20"/>
          <w:szCs w:val="20"/>
          <w:lang w:val="en-GB"/>
        </w:rPr>
        <w:t xml:space="preserve"> </w:t>
      </w:r>
      <w:r w:rsidRPr="00C9559D">
        <w:rPr>
          <w:sz w:val="20"/>
          <w:szCs w:val="20"/>
          <w:lang w:val="en-GB"/>
        </w:rPr>
        <w:t>for</w:t>
      </w:r>
      <w:r w:rsidR="00D51578" w:rsidRPr="00C9559D">
        <w:rPr>
          <w:sz w:val="20"/>
          <w:szCs w:val="20"/>
          <w:lang w:val="en-GB"/>
        </w:rPr>
        <w:t xml:space="preserve"> </w:t>
      </w:r>
      <w:r w:rsidRPr="00C9559D">
        <w:rPr>
          <w:sz w:val="20"/>
          <w:szCs w:val="20"/>
          <w:lang w:val="en-GB"/>
        </w:rPr>
        <w:t>the</w:t>
      </w:r>
      <w:r w:rsidR="00D51578" w:rsidRPr="00C9559D">
        <w:rPr>
          <w:sz w:val="20"/>
          <w:szCs w:val="20"/>
          <w:lang w:val="en-GB"/>
        </w:rPr>
        <w:t xml:space="preserve"> </w:t>
      </w:r>
      <w:r w:rsidRPr="00C9559D">
        <w:rPr>
          <w:sz w:val="20"/>
          <w:szCs w:val="20"/>
          <w:lang w:val="en-GB"/>
        </w:rPr>
        <w:t>treatment</w:t>
      </w:r>
      <w:r w:rsidR="00D51578" w:rsidRPr="00C9559D">
        <w:rPr>
          <w:sz w:val="20"/>
          <w:szCs w:val="20"/>
          <w:lang w:val="en-GB"/>
        </w:rPr>
        <w:t xml:space="preserve"> </w:t>
      </w:r>
      <w:r w:rsidRPr="00C9559D">
        <w:rPr>
          <w:sz w:val="20"/>
          <w:szCs w:val="20"/>
          <w:lang w:val="en-GB"/>
        </w:rPr>
        <w:t>of</w:t>
      </w:r>
      <w:r w:rsidR="00D51578" w:rsidRPr="00C9559D">
        <w:rPr>
          <w:sz w:val="20"/>
          <w:szCs w:val="20"/>
          <w:lang w:val="en-GB"/>
        </w:rPr>
        <w:t xml:space="preserve"> </w:t>
      </w:r>
      <w:r w:rsidRPr="00C9559D">
        <w:rPr>
          <w:sz w:val="20"/>
          <w:szCs w:val="20"/>
          <w:lang w:val="en-GB"/>
        </w:rPr>
        <w:t>cervical</w:t>
      </w:r>
      <w:r w:rsidR="00D51578" w:rsidRPr="00C9559D">
        <w:rPr>
          <w:sz w:val="20"/>
          <w:szCs w:val="20"/>
          <w:lang w:val="en-GB"/>
        </w:rPr>
        <w:t xml:space="preserve"> </w:t>
      </w:r>
      <w:r w:rsidRPr="00C9559D">
        <w:rPr>
          <w:sz w:val="20"/>
          <w:szCs w:val="20"/>
          <w:lang w:val="en-GB"/>
        </w:rPr>
        <w:t>brachial</w:t>
      </w:r>
      <w:r w:rsidR="00D51578" w:rsidRPr="00C9559D">
        <w:rPr>
          <w:sz w:val="20"/>
          <w:szCs w:val="20"/>
          <w:lang w:val="en-GB"/>
        </w:rPr>
        <w:t xml:space="preserve"> </w:t>
      </w:r>
      <w:proofErr w:type="spellStart"/>
      <w:r w:rsidRPr="00C9559D">
        <w:rPr>
          <w:sz w:val="20"/>
          <w:szCs w:val="20"/>
          <w:lang w:val="en-GB"/>
        </w:rPr>
        <w:t>radicular</w:t>
      </w:r>
      <w:proofErr w:type="spellEnd"/>
      <w:r w:rsidR="00D51578" w:rsidRPr="00C9559D">
        <w:rPr>
          <w:sz w:val="20"/>
          <w:szCs w:val="20"/>
          <w:lang w:val="en-GB"/>
        </w:rPr>
        <w:t xml:space="preserve"> </w:t>
      </w:r>
      <w:r w:rsidRPr="00C9559D">
        <w:rPr>
          <w:sz w:val="20"/>
          <w:szCs w:val="20"/>
          <w:lang w:val="en-GB"/>
        </w:rPr>
        <w:t>pain,</w:t>
      </w:r>
      <w:r w:rsidR="00D51578" w:rsidRPr="00C9559D">
        <w:rPr>
          <w:sz w:val="20"/>
          <w:szCs w:val="20"/>
          <w:lang w:val="en-GB"/>
        </w:rPr>
        <w:t xml:space="preserve"> </w:t>
      </w:r>
      <w:r w:rsidRPr="00C9559D">
        <w:rPr>
          <w:sz w:val="20"/>
          <w:szCs w:val="20"/>
          <w:lang w:val="en-GB"/>
        </w:rPr>
        <w:t>Single</w:t>
      </w:r>
      <w:r w:rsidR="00D51578" w:rsidRPr="00C9559D">
        <w:rPr>
          <w:sz w:val="20"/>
          <w:szCs w:val="20"/>
          <w:lang w:val="en-GB"/>
        </w:rPr>
        <w:t xml:space="preserve"> </w:t>
      </w:r>
      <w:r w:rsidRPr="00C9559D">
        <w:rPr>
          <w:sz w:val="20"/>
          <w:szCs w:val="20"/>
          <w:lang w:val="en-GB"/>
        </w:rPr>
        <w:t>injection</w:t>
      </w:r>
      <w:r w:rsidR="00D51578" w:rsidRPr="00C9559D">
        <w:rPr>
          <w:sz w:val="20"/>
          <w:szCs w:val="20"/>
          <w:lang w:val="en-GB"/>
        </w:rPr>
        <w:t xml:space="preserve"> </w:t>
      </w:r>
      <w:proofErr w:type="spellStart"/>
      <w:r w:rsidRPr="00C9559D">
        <w:rPr>
          <w:sz w:val="20"/>
          <w:szCs w:val="20"/>
          <w:lang w:val="en-GB"/>
        </w:rPr>
        <w:t>verus</w:t>
      </w:r>
      <w:proofErr w:type="spellEnd"/>
      <w:r w:rsidR="00D51578" w:rsidRPr="00C9559D">
        <w:rPr>
          <w:sz w:val="20"/>
          <w:szCs w:val="20"/>
          <w:lang w:val="en-GB"/>
        </w:rPr>
        <w:t xml:space="preserve"> </w:t>
      </w:r>
      <w:r w:rsidRPr="00C9559D">
        <w:rPr>
          <w:sz w:val="20"/>
          <w:szCs w:val="20"/>
          <w:lang w:val="en-GB"/>
        </w:rPr>
        <w:t>continuous</w:t>
      </w:r>
      <w:r w:rsidR="00D51578" w:rsidRPr="00C9559D">
        <w:rPr>
          <w:sz w:val="20"/>
          <w:szCs w:val="20"/>
          <w:lang w:val="en-GB"/>
        </w:rPr>
        <w:t xml:space="preserve"> </w:t>
      </w:r>
      <w:r w:rsidRPr="00C9559D">
        <w:rPr>
          <w:sz w:val="20"/>
          <w:szCs w:val="20"/>
          <w:lang w:val="en-GB"/>
        </w:rPr>
        <w:t>infusion.</w:t>
      </w:r>
      <w:r w:rsidR="00D51578" w:rsidRPr="00C9559D">
        <w:rPr>
          <w:sz w:val="20"/>
          <w:szCs w:val="20"/>
          <w:lang w:val="en-GB"/>
        </w:rPr>
        <w:t xml:space="preserve"> </w:t>
      </w:r>
      <w:proofErr w:type="spellStart"/>
      <w:r w:rsidRPr="00C9559D">
        <w:rPr>
          <w:sz w:val="20"/>
          <w:szCs w:val="20"/>
          <w:lang w:val="en-GB"/>
        </w:rPr>
        <w:t>Clin</w:t>
      </w:r>
      <w:proofErr w:type="spellEnd"/>
      <w:r w:rsidR="00D51578" w:rsidRPr="00C9559D">
        <w:rPr>
          <w:sz w:val="20"/>
          <w:szCs w:val="20"/>
          <w:lang w:val="en-GB"/>
        </w:rPr>
        <w:t xml:space="preserve"> </w:t>
      </w:r>
      <w:r w:rsidRPr="00C9559D">
        <w:rPr>
          <w:sz w:val="20"/>
          <w:szCs w:val="20"/>
          <w:lang w:val="en-GB"/>
        </w:rPr>
        <w:t>J</w:t>
      </w:r>
      <w:r w:rsidR="00D51578" w:rsidRPr="00C9559D">
        <w:rPr>
          <w:sz w:val="20"/>
          <w:szCs w:val="20"/>
          <w:lang w:val="en-GB"/>
        </w:rPr>
        <w:t xml:space="preserve"> </w:t>
      </w:r>
      <w:r w:rsidRPr="00C9559D">
        <w:rPr>
          <w:sz w:val="20"/>
          <w:szCs w:val="20"/>
          <w:lang w:val="en-GB"/>
        </w:rPr>
        <w:t>Pain</w:t>
      </w:r>
      <w:r w:rsidR="00D51578" w:rsidRPr="00C9559D">
        <w:rPr>
          <w:sz w:val="20"/>
          <w:szCs w:val="20"/>
          <w:lang w:val="en-GB"/>
        </w:rPr>
        <w:t xml:space="preserve"> </w:t>
      </w:r>
      <w:r w:rsidRPr="00C9559D">
        <w:rPr>
          <w:sz w:val="20"/>
          <w:szCs w:val="20"/>
          <w:lang w:val="en-GB"/>
        </w:rPr>
        <w:t>2007;</w:t>
      </w:r>
      <w:r w:rsidR="00D51578" w:rsidRPr="00C9559D">
        <w:rPr>
          <w:sz w:val="20"/>
          <w:szCs w:val="20"/>
          <w:lang w:val="en-GB"/>
        </w:rPr>
        <w:t xml:space="preserve"> </w:t>
      </w:r>
      <w:r w:rsidRPr="00C9559D">
        <w:rPr>
          <w:sz w:val="20"/>
          <w:szCs w:val="20"/>
          <w:lang w:val="en-GB"/>
        </w:rPr>
        <w:t>23:</w:t>
      </w:r>
      <w:r w:rsidR="00D51578" w:rsidRPr="00C9559D">
        <w:rPr>
          <w:sz w:val="20"/>
          <w:szCs w:val="20"/>
          <w:lang w:val="en-GB"/>
        </w:rPr>
        <w:t xml:space="preserve"> </w:t>
      </w:r>
      <w:r w:rsidRPr="00C9559D">
        <w:rPr>
          <w:sz w:val="20"/>
          <w:szCs w:val="20"/>
          <w:lang w:val="en-GB"/>
        </w:rPr>
        <w:t>551-557</w:t>
      </w:r>
      <w:r w:rsidRPr="00C9559D">
        <w:rPr>
          <w:sz w:val="20"/>
          <w:szCs w:val="20"/>
        </w:rPr>
        <w:t>.</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lastRenderedPageBreak/>
        <w:t>Pasquier</w:t>
      </w:r>
      <w:proofErr w:type="spellEnd"/>
      <w:r w:rsidR="00D51578" w:rsidRPr="00C9559D">
        <w:rPr>
          <w:bCs/>
          <w:sz w:val="20"/>
          <w:szCs w:val="20"/>
        </w:rPr>
        <w:t xml:space="preserve"> </w:t>
      </w:r>
      <w:r w:rsidRPr="00C9559D">
        <w:rPr>
          <w:bCs/>
          <w:sz w:val="20"/>
          <w:szCs w:val="20"/>
        </w:rPr>
        <w:t>MM,</w:t>
      </w:r>
      <w:r w:rsidR="00D51578" w:rsidRPr="00C9559D">
        <w:rPr>
          <w:bCs/>
          <w:sz w:val="20"/>
          <w:szCs w:val="20"/>
        </w:rPr>
        <w:t xml:space="preserve"> </w:t>
      </w:r>
      <w:proofErr w:type="spellStart"/>
      <w:r w:rsidRPr="00C9559D">
        <w:rPr>
          <w:bCs/>
          <w:sz w:val="20"/>
          <w:szCs w:val="20"/>
        </w:rPr>
        <w:t>Leri</w:t>
      </w:r>
      <w:proofErr w:type="spellEnd"/>
      <w:r w:rsidR="00D51578" w:rsidRPr="00C9559D">
        <w:rPr>
          <w:bCs/>
          <w:sz w:val="20"/>
          <w:szCs w:val="20"/>
        </w:rPr>
        <w:t xml:space="preserve"> </w:t>
      </w:r>
      <w:r w:rsidRPr="00C9559D">
        <w:rPr>
          <w:bCs/>
          <w:sz w:val="20"/>
          <w:szCs w:val="20"/>
        </w:rPr>
        <w:t>D.</w:t>
      </w:r>
      <w:r w:rsidR="00D51578" w:rsidRPr="00C9559D">
        <w:rPr>
          <w:bCs/>
          <w:sz w:val="20"/>
          <w:szCs w:val="20"/>
        </w:rPr>
        <w:t xml:space="preserve"> </w:t>
      </w:r>
      <w:r w:rsidRPr="00C9559D">
        <w:rPr>
          <w:sz w:val="20"/>
          <w:szCs w:val="20"/>
        </w:rPr>
        <w:t>Injection</w:t>
      </w:r>
      <w:r w:rsidR="00D51578" w:rsidRPr="00C9559D">
        <w:rPr>
          <w:sz w:val="20"/>
          <w:szCs w:val="20"/>
        </w:rPr>
        <w:t xml:space="preserve"> </w:t>
      </w:r>
      <w:r w:rsidRPr="00C9559D">
        <w:rPr>
          <w:sz w:val="20"/>
          <w:szCs w:val="20"/>
        </w:rPr>
        <w:t>intra-</w:t>
      </w:r>
      <w:r w:rsidR="00D51578" w:rsidRPr="00C9559D">
        <w:rPr>
          <w:sz w:val="20"/>
          <w:szCs w:val="20"/>
        </w:rPr>
        <w:t xml:space="preserve"> </w:t>
      </w:r>
      <w:r w:rsidRPr="00C9559D">
        <w:rPr>
          <w:sz w:val="20"/>
          <w:szCs w:val="20"/>
        </w:rPr>
        <w:t>et</w:t>
      </w:r>
      <w:r w:rsidR="00D51578" w:rsidRPr="00C9559D">
        <w:rPr>
          <w:sz w:val="20"/>
          <w:szCs w:val="20"/>
        </w:rPr>
        <w:t xml:space="preserve"> </w:t>
      </w:r>
      <w:proofErr w:type="spellStart"/>
      <w:r w:rsidRPr="00C9559D">
        <w:rPr>
          <w:sz w:val="20"/>
          <w:szCs w:val="20"/>
        </w:rPr>
        <w:t>extradurales</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r w:rsidRPr="00C9559D">
        <w:rPr>
          <w:sz w:val="20"/>
          <w:szCs w:val="20"/>
        </w:rPr>
        <w:t>cocaine</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dose</w:t>
      </w:r>
      <w:r w:rsidR="00D51578" w:rsidRPr="00C9559D">
        <w:rPr>
          <w:sz w:val="20"/>
          <w:szCs w:val="20"/>
        </w:rPr>
        <w:t xml:space="preserve"> </w:t>
      </w:r>
      <w:proofErr w:type="spellStart"/>
      <w:r w:rsidRPr="00C9559D">
        <w:rPr>
          <w:sz w:val="20"/>
          <w:szCs w:val="20"/>
        </w:rPr>
        <w:t>minime</w:t>
      </w:r>
      <w:proofErr w:type="spellEnd"/>
      <w:r w:rsidR="00D51578" w:rsidRPr="00C9559D">
        <w:rPr>
          <w:sz w:val="20"/>
          <w:szCs w:val="20"/>
        </w:rPr>
        <w:t xml:space="preserve"> </w:t>
      </w:r>
      <w:proofErr w:type="spellStart"/>
      <w:r w:rsidRPr="00C9559D">
        <w:rPr>
          <w:sz w:val="20"/>
          <w:szCs w:val="20"/>
        </w:rPr>
        <w:t>dans</w:t>
      </w:r>
      <w:proofErr w:type="spellEnd"/>
      <w:r w:rsidR="00D51578" w:rsidRPr="00C9559D">
        <w:rPr>
          <w:sz w:val="20"/>
          <w:szCs w:val="20"/>
        </w:rPr>
        <w:t xml:space="preserve"> </w:t>
      </w:r>
      <w:r w:rsidRPr="00C9559D">
        <w:rPr>
          <w:sz w:val="20"/>
          <w:szCs w:val="20"/>
        </w:rPr>
        <w:t>le</w:t>
      </w:r>
      <w:r w:rsidR="00D51578" w:rsidRPr="00C9559D">
        <w:rPr>
          <w:sz w:val="20"/>
          <w:szCs w:val="20"/>
        </w:rPr>
        <w:t xml:space="preserve"> </w:t>
      </w:r>
      <w:proofErr w:type="spellStart"/>
      <w:r w:rsidRPr="00C9559D">
        <w:rPr>
          <w:sz w:val="20"/>
          <w:szCs w:val="20"/>
        </w:rPr>
        <w:t>traitments</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r w:rsidRPr="00C9559D">
        <w:rPr>
          <w:sz w:val="20"/>
          <w:szCs w:val="20"/>
        </w:rPr>
        <w:t>la</w:t>
      </w:r>
      <w:r w:rsidR="00D51578" w:rsidRPr="00C9559D">
        <w:rPr>
          <w:sz w:val="20"/>
          <w:szCs w:val="20"/>
        </w:rPr>
        <w:t xml:space="preserve"> </w:t>
      </w:r>
      <w:proofErr w:type="spellStart"/>
      <w:r w:rsidRPr="00C9559D">
        <w:rPr>
          <w:sz w:val="20"/>
          <w:szCs w:val="20"/>
        </w:rPr>
        <w:t>sciatique</w:t>
      </w:r>
      <w:proofErr w:type="spellEnd"/>
      <w:r w:rsidRPr="00C9559D">
        <w:rPr>
          <w:sz w:val="20"/>
          <w:szCs w:val="20"/>
        </w:rPr>
        <w:t>.</w:t>
      </w:r>
      <w:r w:rsidR="00D51578" w:rsidRPr="00C9559D">
        <w:rPr>
          <w:sz w:val="20"/>
          <w:szCs w:val="20"/>
        </w:rPr>
        <w:t xml:space="preserve"> </w:t>
      </w:r>
      <w:r w:rsidRPr="00C9559D">
        <w:rPr>
          <w:sz w:val="20"/>
          <w:szCs w:val="20"/>
        </w:rPr>
        <w:t>Bull</w:t>
      </w:r>
      <w:r w:rsidR="00D51578" w:rsidRPr="00C9559D">
        <w:rPr>
          <w:sz w:val="20"/>
          <w:szCs w:val="20"/>
        </w:rPr>
        <w:t xml:space="preserve"> </w:t>
      </w:r>
      <w:r w:rsidRPr="00C9559D">
        <w:rPr>
          <w:sz w:val="20"/>
          <w:szCs w:val="20"/>
        </w:rPr>
        <w:t>Gen</w:t>
      </w:r>
      <w:r w:rsidR="00D51578" w:rsidRPr="00C9559D">
        <w:rPr>
          <w:sz w:val="20"/>
          <w:szCs w:val="20"/>
        </w:rPr>
        <w:t xml:space="preserve"> </w:t>
      </w:r>
      <w:proofErr w:type="spellStart"/>
      <w:r w:rsidRPr="00C9559D">
        <w:rPr>
          <w:sz w:val="20"/>
          <w:szCs w:val="20"/>
        </w:rPr>
        <w:t>Ther</w:t>
      </w:r>
      <w:proofErr w:type="spellEnd"/>
      <w:r w:rsidR="00D51578" w:rsidRPr="00C9559D">
        <w:rPr>
          <w:sz w:val="20"/>
          <w:szCs w:val="20"/>
        </w:rPr>
        <w:t xml:space="preserve"> </w:t>
      </w:r>
      <w:r w:rsidRPr="00C9559D">
        <w:rPr>
          <w:sz w:val="20"/>
          <w:szCs w:val="20"/>
        </w:rPr>
        <w:t>1901;</w:t>
      </w:r>
      <w:r w:rsidR="00D51578" w:rsidRPr="00C9559D">
        <w:rPr>
          <w:sz w:val="20"/>
          <w:szCs w:val="20"/>
        </w:rPr>
        <w:t xml:space="preserve"> </w:t>
      </w:r>
      <w:r w:rsidRPr="00C9559D">
        <w:rPr>
          <w:sz w:val="20"/>
          <w:szCs w:val="20"/>
        </w:rPr>
        <w:t>142:196.</w:t>
      </w:r>
      <w:r w:rsidR="00D51578" w:rsidRPr="00C9559D">
        <w:rPr>
          <w:sz w:val="20"/>
          <w:szCs w:val="20"/>
        </w:rPr>
        <w:t xml:space="preserve"> </w:t>
      </w:r>
      <w:r w:rsidRPr="00C9559D">
        <w:rPr>
          <w:sz w:val="20"/>
          <w:szCs w:val="20"/>
        </w:rPr>
        <w:t>Quoted</w:t>
      </w:r>
      <w:r w:rsidR="00D51578" w:rsidRPr="00C9559D">
        <w:rPr>
          <w:sz w:val="20"/>
          <w:szCs w:val="20"/>
        </w:rPr>
        <w:t xml:space="preserve"> </w:t>
      </w:r>
      <w:r w:rsidRPr="00C9559D">
        <w:rPr>
          <w:sz w:val="20"/>
          <w:szCs w:val="20"/>
        </w:rPr>
        <w:t>from:</w:t>
      </w:r>
      <w:r w:rsidR="00D51578" w:rsidRPr="00C9559D">
        <w:rPr>
          <w:sz w:val="20"/>
          <w:szCs w:val="20"/>
        </w:rPr>
        <w:t xml:space="preserve"> </w:t>
      </w:r>
      <w:proofErr w:type="spellStart"/>
      <w:r w:rsidRPr="00C9559D">
        <w:rPr>
          <w:sz w:val="20"/>
          <w:szCs w:val="20"/>
        </w:rPr>
        <w:t>Ogoke</w:t>
      </w:r>
      <w:proofErr w:type="spellEnd"/>
      <w:r w:rsidR="00D51578" w:rsidRPr="00C9559D">
        <w:rPr>
          <w:sz w:val="20"/>
          <w:szCs w:val="20"/>
        </w:rPr>
        <w:t xml:space="preserve"> </w:t>
      </w:r>
      <w:r w:rsidRPr="00C9559D">
        <w:rPr>
          <w:sz w:val="20"/>
          <w:szCs w:val="20"/>
        </w:rPr>
        <w:t>BA.</w:t>
      </w:r>
      <w:r w:rsidR="00D51578" w:rsidRPr="00C9559D">
        <w:rPr>
          <w:sz w:val="20"/>
          <w:szCs w:val="20"/>
        </w:rPr>
        <w:t xml:space="preserve"> </w:t>
      </w:r>
      <w:r w:rsidRPr="00C9559D">
        <w:rPr>
          <w:sz w:val="20"/>
          <w:szCs w:val="20"/>
        </w:rPr>
        <w:t>Caudal</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Physician,</w:t>
      </w:r>
      <w:r w:rsidR="00D51578" w:rsidRPr="00C9559D">
        <w:rPr>
          <w:sz w:val="20"/>
          <w:szCs w:val="20"/>
        </w:rPr>
        <w:t xml:space="preserve"> </w:t>
      </w:r>
      <w:r w:rsidRPr="00C9559D">
        <w:rPr>
          <w:sz w:val="20"/>
          <w:szCs w:val="20"/>
        </w:rPr>
        <w:t>2000;</w:t>
      </w:r>
      <w:r w:rsidR="00D51578" w:rsidRPr="00C9559D">
        <w:rPr>
          <w:sz w:val="20"/>
          <w:szCs w:val="20"/>
        </w:rPr>
        <w:t xml:space="preserve"> </w:t>
      </w:r>
      <w:r w:rsidRPr="00C9559D">
        <w:rPr>
          <w:sz w:val="20"/>
          <w:szCs w:val="20"/>
        </w:rPr>
        <w:t>3:</w:t>
      </w:r>
      <w:r w:rsidR="00D51578" w:rsidRPr="00C9559D">
        <w:rPr>
          <w:sz w:val="20"/>
          <w:szCs w:val="20"/>
        </w:rPr>
        <w:t xml:space="preserve"> </w:t>
      </w:r>
      <w:r w:rsidRPr="00C9559D">
        <w:rPr>
          <w:sz w:val="20"/>
          <w:szCs w:val="20"/>
        </w:rPr>
        <w:t>305-312.</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Rados</w:t>
      </w:r>
      <w:proofErr w:type="spellEnd"/>
      <w:r w:rsidR="00D51578" w:rsidRPr="00C9559D">
        <w:rPr>
          <w:bCs/>
          <w:sz w:val="20"/>
          <w:szCs w:val="20"/>
        </w:rPr>
        <w:t xml:space="preserve"> </w:t>
      </w:r>
      <w:r w:rsidRPr="00C9559D">
        <w:rPr>
          <w:bCs/>
          <w:sz w:val="20"/>
          <w:szCs w:val="20"/>
        </w:rPr>
        <w:t>I,</w:t>
      </w:r>
      <w:r w:rsidR="00D51578" w:rsidRPr="00C9559D">
        <w:rPr>
          <w:bCs/>
          <w:sz w:val="20"/>
          <w:szCs w:val="20"/>
        </w:rPr>
        <w:t xml:space="preserve"> </w:t>
      </w:r>
      <w:proofErr w:type="spellStart"/>
      <w:r w:rsidRPr="00C9559D">
        <w:rPr>
          <w:bCs/>
          <w:sz w:val="20"/>
          <w:szCs w:val="20"/>
        </w:rPr>
        <w:t>Sakic</w:t>
      </w:r>
      <w:proofErr w:type="spellEnd"/>
      <w:r w:rsidR="00D51578" w:rsidRPr="00C9559D">
        <w:rPr>
          <w:bCs/>
          <w:sz w:val="20"/>
          <w:szCs w:val="20"/>
        </w:rPr>
        <w:t xml:space="preserve"> </w:t>
      </w:r>
      <w:r w:rsidRPr="00C9559D">
        <w:rPr>
          <w:bCs/>
          <w:sz w:val="20"/>
          <w:szCs w:val="20"/>
        </w:rPr>
        <w:t>K,</w:t>
      </w:r>
      <w:r w:rsidR="00D51578" w:rsidRPr="00C9559D">
        <w:rPr>
          <w:bCs/>
          <w:sz w:val="20"/>
          <w:szCs w:val="20"/>
        </w:rPr>
        <w:t xml:space="preserve"> </w:t>
      </w:r>
      <w:proofErr w:type="spellStart"/>
      <w:r w:rsidRPr="00C9559D">
        <w:rPr>
          <w:bCs/>
          <w:sz w:val="20"/>
          <w:szCs w:val="20"/>
        </w:rPr>
        <w:t>Fingler</w:t>
      </w:r>
      <w:proofErr w:type="spellEnd"/>
      <w:r w:rsidR="00D51578" w:rsidRPr="00C9559D">
        <w:rPr>
          <w:bCs/>
          <w:sz w:val="20"/>
          <w:szCs w:val="20"/>
        </w:rPr>
        <w:t xml:space="preserve"> </w:t>
      </w:r>
      <w:r w:rsidRPr="00C9559D">
        <w:rPr>
          <w:bCs/>
          <w:sz w:val="20"/>
          <w:szCs w:val="20"/>
        </w:rPr>
        <w:t>M,</w:t>
      </w:r>
      <w:r w:rsidR="00D51578" w:rsidRPr="00C9559D">
        <w:rPr>
          <w:bCs/>
          <w:sz w:val="20"/>
          <w:szCs w:val="20"/>
        </w:rPr>
        <w:t xml:space="preserve"> </w:t>
      </w:r>
      <w:proofErr w:type="spellStart"/>
      <w:r w:rsidRPr="00C9559D">
        <w:rPr>
          <w:bCs/>
          <w:sz w:val="20"/>
          <w:szCs w:val="20"/>
        </w:rPr>
        <w:t>Kapural</w:t>
      </w:r>
      <w:proofErr w:type="spellEnd"/>
      <w:r w:rsidR="00D51578" w:rsidRPr="00C9559D">
        <w:rPr>
          <w:bCs/>
          <w:sz w:val="20"/>
          <w:szCs w:val="20"/>
        </w:rPr>
        <w:t xml:space="preserve"> </w:t>
      </w:r>
      <w:r w:rsidRPr="00C9559D">
        <w:rPr>
          <w:bCs/>
          <w:sz w:val="20"/>
          <w:szCs w:val="20"/>
        </w:rPr>
        <w:t>L.</w:t>
      </w:r>
      <w:r w:rsidR="00D51578" w:rsidRPr="00C9559D">
        <w:rPr>
          <w:bCs/>
          <w:sz w:val="20"/>
          <w:szCs w:val="20"/>
        </w:rPr>
        <w:t xml:space="preserve"> </w:t>
      </w:r>
      <w:r w:rsidRPr="00C9559D">
        <w:rPr>
          <w:sz w:val="20"/>
          <w:szCs w:val="20"/>
        </w:rPr>
        <w:t>Efficacy</w:t>
      </w:r>
      <w:r w:rsidR="00D51578" w:rsidRPr="00C9559D">
        <w:rPr>
          <w:sz w:val="20"/>
          <w:szCs w:val="20"/>
        </w:rPr>
        <w:t xml:space="preserve"> </w:t>
      </w:r>
      <w:r w:rsidRPr="00C9559D">
        <w:rPr>
          <w:sz w:val="20"/>
          <w:szCs w:val="20"/>
        </w:rPr>
        <w:t>of</w:t>
      </w:r>
      <w:r w:rsidR="00D51578" w:rsidRPr="00C9559D">
        <w:rPr>
          <w:sz w:val="20"/>
          <w:szCs w:val="20"/>
        </w:rPr>
        <w:t xml:space="preserve"> </w:t>
      </w:r>
      <w:proofErr w:type="spellStart"/>
      <w:r w:rsidRPr="00C9559D">
        <w:rPr>
          <w:sz w:val="20"/>
          <w:szCs w:val="20"/>
        </w:rPr>
        <w:t>interlaminar</w:t>
      </w:r>
      <w:proofErr w:type="spellEnd"/>
      <w:r w:rsidR="00D51578" w:rsidRPr="00C9559D">
        <w:rPr>
          <w:sz w:val="20"/>
          <w:szCs w:val="20"/>
        </w:rPr>
        <w:t xml:space="preserve"> </w:t>
      </w:r>
      <w:proofErr w:type="spellStart"/>
      <w:r w:rsidRPr="00C9559D">
        <w:rPr>
          <w:sz w:val="20"/>
          <w:szCs w:val="20"/>
        </w:rPr>
        <w:t>vs</w:t>
      </w:r>
      <w:proofErr w:type="spellEnd"/>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treatment</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chronic</w:t>
      </w:r>
      <w:r w:rsidR="00D51578" w:rsidRPr="00C9559D">
        <w:rPr>
          <w:sz w:val="20"/>
          <w:szCs w:val="20"/>
        </w:rPr>
        <w:t xml:space="preserve"> </w:t>
      </w:r>
      <w:r w:rsidRPr="00C9559D">
        <w:rPr>
          <w:sz w:val="20"/>
          <w:szCs w:val="20"/>
        </w:rPr>
        <w:t>unilateral</w:t>
      </w:r>
      <w:r w:rsidR="00D51578" w:rsidRPr="00C9559D">
        <w:rPr>
          <w:sz w:val="20"/>
          <w:szCs w:val="20"/>
        </w:rPr>
        <w:t xml:space="preserve"> </w:t>
      </w:r>
      <w:proofErr w:type="spellStart"/>
      <w:r w:rsidRPr="00C9559D">
        <w:rPr>
          <w:sz w:val="20"/>
          <w:szCs w:val="20"/>
        </w:rPr>
        <w:t>radicular</w:t>
      </w:r>
      <w:proofErr w:type="spellEnd"/>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prospective,</w:t>
      </w:r>
      <w:r w:rsidR="00D51578" w:rsidRPr="00C9559D">
        <w:rPr>
          <w:sz w:val="20"/>
          <w:szCs w:val="20"/>
        </w:rPr>
        <w:t xml:space="preserve"> </w:t>
      </w:r>
      <w:r w:rsidRPr="00C9559D">
        <w:rPr>
          <w:sz w:val="20"/>
          <w:szCs w:val="20"/>
        </w:rPr>
        <w:t>randomized</w:t>
      </w:r>
      <w:r w:rsidR="00D51578" w:rsidRPr="00C9559D">
        <w:rPr>
          <w:sz w:val="20"/>
          <w:szCs w:val="20"/>
        </w:rPr>
        <w:t xml:space="preserve"> </w:t>
      </w:r>
      <w:r w:rsidRPr="00C9559D">
        <w:rPr>
          <w:sz w:val="20"/>
          <w:szCs w:val="20"/>
        </w:rPr>
        <w:t>study.</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Medicine,</w:t>
      </w:r>
      <w:r w:rsidR="00D51578" w:rsidRPr="00C9559D">
        <w:rPr>
          <w:sz w:val="20"/>
          <w:szCs w:val="20"/>
        </w:rPr>
        <w:t xml:space="preserve"> </w:t>
      </w:r>
      <w:r w:rsidRPr="00C9559D">
        <w:rPr>
          <w:sz w:val="20"/>
          <w:szCs w:val="20"/>
        </w:rPr>
        <w:t>2011;</w:t>
      </w:r>
      <w:r w:rsidR="00D51578" w:rsidRPr="00C9559D">
        <w:rPr>
          <w:sz w:val="20"/>
          <w:szCs w:val="20"/>
        </w:rPr>
        <w:t xml:space="preserve"> </w:t>
      </w:r>
      <w:r w:rsidRPr="00C9559D">
        <w:rPr>
          <w:sz w:val="20"/>
          <w:szCs w:val="20"/>
        </w:rPr>
        <w:t>12:</w:t>
      </w:r>
      <w:r w:rsidR="00D51578" w:rsidRPr="00C9559D">
        <w:rPr>
          <w:sz w:val="20"/>
          <w:szCs w:val="20"/>
        </w:rPr>
        <w:t xml:space="preserve"> </w:t>
      </w:r>
      <w:r w:rsidRPr="00C9559D">
        <w:rPr>
          <w:sz w:val="20"/>
          <w:szCs w:val="20"/>
        </w:rPr>
        <w:t>1316–1321.</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Robbecchi</w:t>
      </w:r>
      <w:proofErr w:type="spellEnd"/>
      <w:r w:rsidR="00D51578" w:rsidRPr="00C9559D">
        <w:rPr>
          <w:bCs/>
          <w:sz w:val="20"/>
          <w:szCs w:val="20"/>
        </w:rPr>
        <w:t xml:space="preserve"> </w:t>
      </w:r>
      <w:r w:rsidRPr="00C9559D">
        <w:rPr>
          <w:bCs/>
          <w:sz w:val="20"/>
          <w:szCs w:val="20"/>
        </w:rPr>
        <w:t>A,</w:t>
      </w:r>
      <w:r w:rsidR="00D51578" w:rsidRPr="00C9559D">
        <w:rPr>
          <w:bCs/>
          <w:sz w:val="20"/>
          <w:szCs w:val="20"/>
        </w:rPr>
        <w:t xml:space="preserve"> </w:t>
      </w:r>
      <w:r w:rsidRPr="00C9559D">
        <w:rPr>
          <w:bCs/>
          <w:sz w:val="20"/>
          <w:szCs w:val="20"/>
        </w:rPr>
        <w:t>Capra</w:t>
      </w:r>
      <w:r w:rsidR="00D51578" w:rsidRPr="00C9559D">
        <w:rPr>
          <w:bCs/>
          <w:sz w:val="20"/>
          <w:szCs w:val="20"/>
        </w:rPr>
        <w:t xml:space="preserve"> </w:t>
      </w:r>
      <w:r w:rsidRPr="00C9559D">
        <w:rPr>
          <w:bCs/>
          <w:sz w:val="20"/>
          <w:szCs w:val="20"/>
        </w:rPr>
        <w:t>R.</w:t>
      </w:r>
      <w:r w:rsidR="00D51578" w:rsidRPr="00C9559D">
        <w:rPr>
          <w:bCs/>
          <w:sz w:val="20"/>
          <w:szCs w:val="20"/>
        </w:rPr>
        <w:t xml:space="preserve"> </w:t>
      </w:r>
      <w:proofErr w:type="spellStart"/>
      <w:r w:rsidRPr="00C9559D">
        <w:rPr>
          <w:sz w:val="20"/>
          <w:szCs w:val="20"/>
        </w:rPr>
        <w:t>L'hidrocortisone</w:t>
      </w:r>
      <w:proofErr w:type="spellEnd"/>
      <w:r w:rsidR="00D51578" w:rsidRPr="00C9559D">
        <w:rPr>
          <w:sz w:val="20"/>
          <w:szCs w:val="20"/>
        </w:rPr>
        <w:t xml:space="preserve"> </w:t>
      </w:r>
      <w:r w:rsidRPr="00C9559D">
        <w:rPr>
          <w:sz w:val="20"/>
          <w:szCs w:val="20"/>
        </w:rPr>
        <w:t>(</w:t>
      </w:r>
      <w:proofErr w:type="spellStart"/>
      <w:r w:rsidRPr="00C9559D">
        <w:rPr>
          <w:sz w:val="20"/>
          <w:szCs w:val="20"/>
        </w:rPr>
        <w:t>composto</w:t>
      </w:r>
      <w:proofErr w:type="spellEnd"/>
      <w:r w:rsidR="00D51578" w:rsidRPr="00C9559D">
        <w:rPr>
          <w:sz w:val="20"/>
          <w:szCs w:val="20"/>
        </w:rPr>
        <w:t xml:space="preserve"> </w:t>
      </w:r>
      <w:r w:rsidRPr="00C9559D">
        <w:rPr>
          <w:sz w:val="20"/>
          <w:szCs w:val="20"/>
        </w:rPr>
        <w:t>F),</w:t>
      </w:r>
      <w:r w:rsidR="00D51578" w:rsidRPr="00C9559D">
        <w:rPr>
          <w:sz w:val="20"/>
          <w:szCs w:val="20"/>
        </w:rPr>
        <w:t xml:space="preserve"> </w:t>
      </w:r>
      <w:r w:rsidRPr="00C9559D">
        <w:rPr>
          <w:sz w:val="20"/>
          <w:szCs w:val="20"/>
        </w:rPr>
        <w:t>Prime</w:t>
      </w:r>
      <w:r w:rsidR="00D51578" w:rsidRPr="00C9559D">
        <w:rPr>
          <w:sz w:val="20"/>
          <w:szCs w:val="20"/>
        </w:rPr>
        <w:t xml:space="preserve"> </w:t>
      </w:r>
      <w:proofErr w:type="spellStart"/>
      <w:r w:rsidRPr="00C9559D">
        <w:rPr>
          <w:sz w:val="20"/>
          <w:szCs w:val="20"/>
        </w:rPr>
        <w:t>esperienze</w:t>
      </w:r>
      <w:proofErr w:type="spellEnd"/>
      <w:r w:rsidR="00D51578" w:rsidRPr="00C9559D">
        <w:rPr>
          <w:sz w:val="20"/>
          <w:szCs w:val="20"/>
        </w:rPr>
        <w:t xml:space="preserve"> </w:t>
      </w:r>
      <w:proofErr w:type="spellStart"/>
      <w:r w:rsidRPr="00C9559D">
        <w:rPr>
          <w:sz w:val="20"/>
          <w:szCs w:val="20"/>
        </w:rPr>
        <w:t>cliniche</w:t>
      </w:r>
      <w:proofErr w:type="spellEnd"/>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campo</w:t>
      </w:r>
      <w:r w:rsidR="00D51578" w:rsidRPr="00C9559D">
        <w:rPr>
          <w:sz w:val="20"/>
          <w:szCs w:val="20"/>
        </w:rPr>
        <w:t xml:space="preserve"> </w:t>
      </w:r>
      <w:proofErr w:type="spellStart"/>
      <w:r w:rsidRPr="00C9559D">
        <w:rPr>
          <w:sz w:val="20"/>
          <w:szCs w:val="20"/>
        </w:rPr>
        <w:t>reumatologico</w:t>
      </w:r>
      <w:proofErr w:type="spellEnd"/>
      <w:r w:rsidRPr="00C9559D">
        <w:rPr>
          <w:sz w:val="20"/>
          <w:szCs w:val="20"/>
        </w:rPr>
        <w:t>.</w:t>
      </w:r>
      <w:r w:rsidR="00D51578" w:rsidRPr="00C9559D">
        <w:rPr>
          <w:sz w:val="20"/>
          <w:szCs w:val="20"/>
        </w:rPr>
        <w:t xml:space="preserve"> </w:t>
      </w:r>
      <w:r w:rsidRPr="00C9559D">
        <w:rPr>
          <w:sz w:val="20"/>
          <w:szCs w:val="20"/>
        </w:rPr>
        <w:t>Minerva</w:t>
      </w:r>
      <w:r w:rsidR="00D51578" w:rsidRPr="00C9559D">
        <w:rPr>
          <w:sz w:val="20"/>
          <w:szCs w:val="20"/>
        </w:rPr>
        <w:t xml:space="preserve"> </w:t>
      </w:r>
      <w:r w:rsidRPr="00C9559D">
        <w:rPr>
          <w:sz w:val="20"/>
          <w:szCs w:val="20"/>
        </w:rPr>
        <w:t>Med,</w:t>
      </w:r>
      <w:r w:rsidR="00D51578" w:rsidRPr="00C9559D">
        <w:rPr>
          <w:sz w:val="20"/>
          <w:szCs w:val="20"/>
        </w:rPr>
        <w:t xml:space="preserve"> </w:t>
      </w:r>
      <w:r w:rsidRPr="00C9559D">
        <w:rPr>
          <w:sz w:val="20"/>
          <w:szCs w:val="20"/>
        </w:rPr>
        <w:t>1952;</w:t>
      </w:r>
      <w:r w:rsidR="00D51578" w:rsidRPr="00C9559D">
        <w:rPr>
          <w:sz w:val="20"/>
          <w:szCs w:val="20"/>
        </w:rPr>
        <w:t xml:space="preserve"> </w:t>
      </w:r>
      <w:r w:rsidRPr="00C9559D">
        <w:rPr>
          <w:sz w:val="20"/>
          <w:szCs w:val="20"/>
        </w:rPr>
        <w:t>98:</w:t>
      </w:r>
      <w:r w:rsidR="00D51578" w:rsidRPr="00C9559D">
        <w:rPr>
          <w:sz w:val="20"/>
          <w:szCs w:val="20"/>
        </w:rPr>
        <w:t xml:space="preserve"> </w:t>
      </w:r>
      <w:r w:rsidRPr="00C9559D">
        <w:rPr>
          <w:sz w:val="20"/>
          <w:szCs w:val="20"/>
        </w:rPr>
        <w:t>1259-1263.</w:t>
      </w:r>
      <w:r w:rsidR="00D51578" w:rsidRPr="00C9559D">
        <w:rPr>
          <w:sz w:val="20"/>
          <w:szCs w:val="20"/>
        </w:rPr>
        <w:t xml:space="preserve"> </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Roberts</w:t>
      </w:r>
      <w:r w:rsidR="00D51578" w:rsidRPr="00C9559D">
        <w:rPr>
          <w:bCs/>
          <w:sz w:val="20"/>
          <w:szCs w:val="20"/>
        </w:rPr>
        <w:t xml:space="preserve"> </w:t>
      </w:r>
      <w:r w:rsidRPr="00C9559D">
        <w:rPr>
          <w:bCs/>
          <w:sz w:val="20"/>
          <w:szCs w:val="20"/>
        </w:rPr>
        <w:t>ST,</w:t>
      </w:r>
      <w:r w:rsidR="00D51578" w:rsidRPr="00C9559D">
        <w:rPr>
          <w:bCs/>
          <w:sz w:val="20"/>
          <w:szCs w:val="20"/>
        </w:rPr>
        <w:t xml:space="preserve"> </w:t>
      </w:r>
      <w:proofErr w:type="spellStart"/>
      <w:r w:rsidRPr="00C9559D">
        <w:rPr>
          <w:bCs/>
          <w:sz w:val="20"/>
          <w:szCs w:val="20"/>
        </w:rPr>
        <w:t>Willick</w:t>
      </w:r>
      <w:proofErr w:type="spellEnd"/>
      <w:r w:rsidR="00D51578" w:rsidRPr="00C9559D">
        <w:rPr>
          <w:bCs/>
          <w:sz w:val="20"/>
          <w:szCs w:val="20"/>
        </w:rPr>
        <w:t xml:space="preserve"> </w:t>
      </w:r>
      <w:r w:rsidRPr="00C9559D">
        <w:rPr>
          <w:bCs/>
          <w:sz w:val="20"/>
          <w:szCs w:val="20"/>
        </w:rPr>
        <w:t>SE,</w:t>
      </w:r>
      <w:r w:rsidR="00D51578" w:rsidRPr="00C9559D">
        <w:rPr>
          <w:bCs/>
          <w:sz w:val="20"/>
          <w:szCs w:val="20"/>
        </w:rPr>
        <w:t xml:space="preserve"> </w:t>
      </w:r>
      <w:r w:rsidRPr="00C9559D">
        <w:rPr>
          <w:bCs/>
          <w:sz w:val="20"/>
          <w:szCs w:val="20"/>
        </w:rPr>
        <w:t>Rho</w:t>
      </w:r>
      <w:r w:rsidR="00D51578" w:rsidRPr="00C9559D">
        <w:rPr>
          <w:bCs/>
          <w:sz w:val="20"/>
          <w:szCs w:val="20"/>
        </w:rPr>
        <w:t xml:space="preserve"> </w:t>
      </w:r>
      <w:r w:rsidRPr="00C9559D">
        <w:rPr>
          <w:bCs/>
          <w:sz w:val="20"/>
          <w:szCs w:val="20"/>
        </w:rPr>
        <w:t>ME,</w:t>
      </w:r>
      <w:r w:rsidR="00D51578" w:rsidRPr="00C9559D">
        <w:rPr>
          <w:bCs/>
          <w:sz w:val="20"/>
          <w:szCs w:val="20"/>
        </w:rPr>
        <w:t xml:space="preserve"> </w:t>
      </w:r>
      <w:proofErr w:type="spellStart"/>
      <w:r w:rsidRPr="00C9559D">
        <w:rPr>
          <w:bCs/>
          <w:sz w:val="20"/>
          <w:szCs w:val="20"/>
        </w:rPr>
        <w:t>Rittenberg</w:t>
      </w:r>
      <w:proofErr w:type="spellEnd"/>
      <w:r w:rsidR="00D51578" w:rsidRPr="00C9559D">
        <w:rPr>
          <w:bCs/>
          <w:sz w:val="20"/>
          <w:szCs w:val="20"/>
        </w:rPr>
        <w:t xml:space="preserve"> </w:t>
      </w:r>
      <w:r w:rsidRPr="00C9559D">
        <w:rPr>
          <w:bCs/>
          <w:sz w:val="20"/>
          <w:szCs w:val="20"/>
        </w:rPr>
        <w:t>JD.</w:t>
      </w:r>
      <w:r w:rsidR="00D51578" w:rsidRPr="00C9559D">
        <w:rPr>
          <w:bCs/>
          <w:sz w:val="20"/>
          <w:szCs w:val="20"/>
        </w:rPr>
        <w:t xml:space="preserve"> </w:t>
      </w:r>
      <w:r w:rsidRPr="00C9559D">
        <w:rPr>
          <w:sz w:val="20"/>
          <w:szCs w:val="20"/>
        </w:rPr>
        <w:t>Efficacy</w:t>
      </w:r>
      <w:r w:rsidR="00D51578" w:rsidRPr="00C9559D">
        <w:rPr>
          <w:sz w:val="20"/>
          <w:szCs w:val="20"/>
        </w:rPr>
        <w:t xml:space="preserve"> </w:t>
      </w:r>
      <w:r w:rsidRPr="00C9559D">
        <w:rPr>
          <w:sz w:val="20"/>
          <w:szCs w:val="20"/>
        </w:rPr>
        <w:t>of</w:t>
      </w:r>
      <w:r w:rsidR="00D51578" w:rsidRPr="00C9559D">
        <w:rPr>
          <w:sz w:val="20"/>
          <w:szCs w:val="20"/>
        </w:rPr>
        <w:t xml:space="preserve"> </w:t>
      </w:r>
      <w:proofErr w:type="spellStart"/>
      <w:r w:rsidRPr="00C9559D">
        <w:rPr>
          <w:sz w:val="20"/>
          <w:szCs w:val="20"/>
        </w:rPr>
        <w:t>Lumbosacral</w:t>
      </w:r>
      <w:proofErr w:type="spellEnd"/>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PM</w:t>
      </w:r>
      <w:r w:rsidR="00D51578" w:rsidRPr="00C9559D">
        <w:rPr>
          <w:sz w:val="20"/>
          <w:szCs w:val="20"/>
        </w:rPr>
        <w:t xml:space="preserve"> </w:t>
      </w:r>
      <w:r w:rsidRPr="00C9559D">
        <w:rPr>
          <w:sz w:val="20"/>
          <w:szCs w:val="20"/>
        </w:rPr>
        <w:t>R,</w:t>
      </w:r>
      <w:r w:rsidR="00D51578" w:rsidRPr="00C9559D">
        <w:rPr>
          <w:sz w:val="20"/>
          <w:szCs w:val="20"/>
        </w:rPr>
        <w:t xml:space="preserve"> </w:t>
      </w:r>
      <w:r w:rsidRPr="00C9559D">
        <w:rPr>
          <w:sz w:val="20"/>
          <w:szCs w:val="20"/>
        </w:rPr>
        <w:t>2009;</w:t>
      </w:r>
      <w:r w:rsidR="00D51578" w:rsidRPr="00C9559D">
        <w:rPr>
          <w:sz w:val="20"/>
          <w:szCs w:val="20"/>
        </w:rPr>
        <w:t xml:space="preserve"> </w:t>
      </w:r>
      <w:r w:rsidRPr="00C9559D">
        <w:rPr>
          <w:sz w:val="20"/>
          <w:szCs w:val="20"/>
        </w:rPr>
        <w:t>1:</w:t>
      </w:r>
      <w:r w:rsidR="00D51578" w:rsidRPr="00C9559D">
        <w:rPr>
          <w:sz w:val="20"/>
          <w:szCs w:val="20"/>
        </w:rPr>
        <w:t xml:space="preserve"> </w:t>
      </w:r>
      <w:r w:rsidRPr="00C9559D">
        <w:rPr>
          <w:sz w:val="20"/>
          <w:szCs w:val="20"/>
        </w:rPr>
        <w:t>657-668.</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Seo</w:t>
      </w:r>
      <w:proofErr w:type="spellEnd"/>
      <w:r w:rsidR="00D51578" w:rsidRPr="00C9559D">
        <w:rPr>
          <w:bCs/>
          <w:sz w:val="20"/>
          <w:szCs w:val="20"/>
        </w:rPr>
        <w:t xml:space="preserve"> </w:t>
      </w:r>
      <w:r w:rsidRPr="00C9559D">
        <w:rPr>
          <w:bCs/>
          <w:sz w:val="20"/>
          <w:szCs w:val="20"/>
        </w:rPr>
        <w:t>J,</w:t>
      </w:r>
      <w:r w:rsidR="00D51578" w:rsidRPr="00C9559D">
        <w:rPr>
          <w:bCs/>
          <w:sz w:val="20"/>
          <w:szCs w:val="20"/>
        </w:rPr>
        <w:t xml:space="preserve"> </w:t>
      </w:r>
      <w:r w:rsidRPr="00C9559D">
        <w:rPr>
          <w:bCs/>
          <w:sz w:val="20"/>
          <w:szCs w:val="20"/>
        </w:rPr>
        <w:t>Lee</w:t>
      </w:r>
      <w:r w:rsidR="00D51578" w:rsidRPr="00C9559D">
        <w:rPr>
          <w:bCs/>
          <w:sz w:val="20"/>
          <w:szCs w:val="20"/>
        </w:rPr>
        <w:t xml:space="preserve"> </w:t>
      </w:r>
      <w:r w:rsidRPr="00C9559D">
        <w:rPr>
          <w:bCs/>
          <w:sz w:val="20"/>
          <w:szCs w:val="20"/>
        </w:rPr>
        <w:t>JW,</w:t>
      </w:r>
      <w:r w:rsidR="00D51578" w:rsidRPr="00C9559D">
        <w:rPr>
          <w:bCs/>
          <w:sz w:val="20"/>
          <w:szCs w:val="20"/>
        </w:rPr>
        <w:t xml:space="preserve"> </w:t>
      </w:r>
      <w:r w:rsidRPr="00C9559D">
        <w:rPr>
          <w:bCs/>
          <w:sz w:val="20"/>
          <w:szCs w:val="20"/>
        </w:rPr>
        <w:t>Kang</w:t>
      </w:r>
      <w:r w:rsidR="00D51578" w:rsidRPr="00C9559D">
        <w:rPr>
          <w:bCs/>
          <w:sz w:val="20"/>
          <w:szCs w:val="20"/>
        </w:rPr>
        <w:t xml:space="preserve"> </w:t>
      </w:r>
      <w:r w:rsidRPr="00C9559D">
        <w:rPr>
          <w:bCs/>
          <w:sz w:val="20"/>
          <w:szCs w:val="20"/>
        </w:rPr>
        <w:t>Y,</w:t>
      </w:r>
      <w:r w:rsidR="00D51578" w:rsidRPr="00C9559D">
        <w:rPr>
          <w:bCs/>
          <w:sz w:val="20"/>
          <w:szCs w:val="20"/>
        </w:rPr>
        <w:t xml:space="preserve"> </w:t>
      </w:r>
      <w:r w:rsidRPr="00C9559D">
        <w:rPr>
          <w:bCs/>
          <w:sz w:val="20"/>
          <w:szCs w:val="20"/>
        </w:rPr>
        <w:t>Lee</w:t>
      </w:r>
      <w:r w:rsidR="00D51578" w:rsidRPr="00C9559D">
        <w:rPr>
          <w:bCs/>
          <w:sz w:val="20"/>
          <w:szCs w:val="20"/>
        </w:rPr>
        <w:t xml:space="preserve"> </w:t>
      </w:r>
      <w:r w:rsidRPr="00C9559D">
        <w:rPr>
          <w:bCs/>
          <w:sz w:val="20"/>
          <w:szCs w:val="20"/>
        </w:rPr>
        <w:t>E,</w:t>
      </w:r>
      <w:r w:rsidR="00D51578" w:rsidRPr="00C9559D">
        <w:rPr>
          <w:bCs/>
          <w:sz w:val="20"/>
          <w:szCs w:val="20"/>
        </w:rPr>
        <w:t xml:space="preserve"> </w:t>
      </w:r>
      <w:proofErr w:type="spellStart"/>
      <w:r w:rsidRPr="00C9559D">
        <w:rPr>
          <w:bCs/>
          <w:sz w:val="20"/>
          <w:szCs w:val="20"/>
        </w:rPr>
        <w:t>Ahn</w:t>
      </w:r>
      <w:proofErr w:type="spellEnd"/>
      <w:r w:rsidR="00D51578" w:rsidRPr="00C9559D">
        <w:rPr>
          <w:bCs/>
          <w:sz w:val="20"/>
          <w:szCs w:val="20"/>
        </w:rPr>
        <w:t xml:space="preserve"> </w:t>
      </w:r>
      <w:r w:rsidRPr="00C9559D">
        <w:rPr>
          <w:bCs/>
          <w:sz w:val="20"/>
          <w:szCs w:val="20"/>
        </w:rPr>
        <w:t>JM,</w:t>
      </w:r>
      <w:r w:rsidR="00D51578" w:rsidRPr="00C9559D">
        <w:rPr>
          <w:bCs/>
          <w:sz w:val="20"/>
          <w:szCs w:val="20"/>
        </w:rPr>
        <w:t xml:space="preserve"> </w:t>
      </w:r>
      <w:r w:rsidRPr="00C9559D">
        <w:rPr>
          <w:bCs/>
          <w:sz w:val="20"/>
          <w:szCs w:val="20"/>
        </w:rPr>
        <w:t>Kim</w:t>
      </w:r>
      <w:r w:rsidR="00D51578" w:rsidRPr="00C9559D">
        <w:rPr>
          <w:bCs/>
          <w:sz w:val="20"/>
          <w:szCs w:val="20"/>
        </w:rPr>
        <w:t xml:space="preserve"> </w:t>
      </w:r>
      <w:r w:rsidRPr="00C9559D">
        <w:rPr>
          <w:bCs/>
          <w:sz w:val="20"/>
          <w:szCs w:val="20"/>
        </w:rPr>
        <w:t>DH</w:t>
      </w:r>
      <w:r w:rsidR="00D51578" w:rsidRPr="00C9559D">
        <w:rPr>
          <w:bCs/>
          <w:sz w:val="20"/>
          <w:szCs w:val="20"/>
        </w:rPr>
        <w:t xml:space="preserve"> </w:t>
      </w:r>
      <w:r w:rsidRPr="00C9559D">
        <w:rPr>
          <w:bCs/>
          <w:sz w:val="20"/>
          <w:szCs w:val="20"/>
        </w:rPr>
        <w:t>and</w:t>
      </w:r>
      <w:r w:rsidR="00D51578" w:rsidRPr="00C9559D">
        <w:rPr>
          <w:bCs/>
          <w:sz w:val="20"/>
          <w:szCs w:val="20"/>
        </w:rPr>
        <w:t xml:space="preserve"> </w:t>
      </w:r>
      <w:r w:rsidRPr="00C9559D">
        <w:rPr>
          <w:bCs/>
          <w:sz w:val="20"/>
          <w:szCs w:val="20"/>
        </w:rPr>
        <w:t>Kang</w:t>
      </w:r>
      <w:r w:rsidR="00D51578" w:rsidRPr="00C9559D">
        <w:rPr>
          <w:bCs/>
          <w:sz w:val="20"/>
          <w:szCs w:val="20"/>
        </w:rPr>
        <w:t xml:space="preserve"> </w:t>
      </w:r>
      <w:r w:rsidRPr="00C9559D">
        <w:rPr>
          <w:bCs/>
          <w:sz w:val="20"/>
          <w:szCs w:val="20"/>
        </w:rPr>
        <w:t>HS</w:t>
      </w:r>
      <w:r w:rsidR="00D51578" w:rsidRPr="00C9559D">
        <w:rPr>
          <w:bCs/>
          <w:sz w:val="20"/>
          <w:szCs w:val="20"/>
        </w:rPr>
        <w:t xml:space="preserve"> </w:t>
      </w:r>
      <w:r w:rsidRPr="00C9559D">
        <w:rPr>
          <w:bCs/>
          <w:sz w:val="20"/>
          <w:szCs w:val="20"/>
        </w:rPr>
        <w:t>(2019):</w:t>
      </w:r>
      <w:r w:rsidR="00D51578" w:rsidRPr="00C9559D">
        <w:rPr>
          <w:sz w:val="20"/>
          <w:szCs w:val="20"/>
        </w:rPr>
        <w:t xml:space="preserve"> </w:t>
      </w:r>
      <w:r w:rsidRPr="00C9559D">
        <w:rPr>
          <w:sz w:val="20"/>
          <w:szCs w:val="20"/>
        </w:rPr>
        <w:t>Evaluation</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responsiveness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outcome</w:t>
      </w:r>
      <w:r w:rsidR="00D51578" w:rsidRPr="00C9559D">
        <w:rPr>
          <w:sz w:val="20"/>
          <w:szCs w:val="20"/>
        </w:rPr>
        <w:t xml:space="preserve"> </w:t>
      </w:r>
      <w:r w:rsidRPr="00C9559D">
        <w:rPr>
          <w:sz w:val="20"/>
          <w:szCs w:val="20"/>
        </w:rPr>
        <w:t>measures</w:t>
      </w:r>
      <w:r w:rsidR="00D51578" w:rsidRPr="00C9559D">
        <w:rPr>
          <w:sz w:val="20"/>
          <w:szCs w:val="20"/>
        </w:rPr>
        <w:t xml:space="preserve"> </w:t>
      </w:r>
      <w:r w:rsidRPr="00C9559D">
        <w:rPr>
          <w:sz w:val="20"/>
          <w:szCs w:val="20"/>
        </w:rPr>
        <w:t>after</w:t>
      </w:r>
      <w:r w:rsidR="00D51578" w:rsidRPr="00C9559D">
        <w:rPr>
          <w:sz w:val="20"/>
          <w:szCs w:val="20"/>
        </w:rPr>
        <w:t xml:space="preserve"> </w:t>
      </w:r>
      <w:r w:rsidRPr="00C9559D">
        <w:rPr>
          <w:sz w:val="20"/>
          <w:szCs w:val="20"/>
        </w:rPr>
        <w:t>spine</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retrospective</w:t>
      </w:r>
      <w:r w:rsidR="00D51578" w:rsidRPr="00C9559D">
        <w:rPr>
          <w:sz w:val="20"/>
          <w:szCs w:val="20"/>
        </w:rPr>
        <w:t xml:space="preserve"> </w:t>
      </w:r>
      <w:r w:rsidRPr="00C9559D">
        <w:rPr>
          <w:sz w:val="20"/>
          <w:szCs w:val="20"/>
        </w:rPr>
        <w:t>study.</w:t>
      </w:r>
      <w:r w:rsidR="00D51578" w:rsidRPr="00C9559D">
        <w:rPr>
          <w:sz w:val="20"/>
          <w:szCs w:val="20"/>
        </w:rPr>
        <w:t xml:space="preserve"> </w:t>
      </w:r>
      <w:proofErr w:type="spellStart"/>
      <w:r w:rsidRPr="00C9559D">
        <w:rPr>
          <w:sz w:val="20"/>
          <w:szCs w:val="20"/>
        </w:rPr>
        <w:t>PloS</w:t>
      </w:r>
      <w:proofErr w:type="spellEnd"/>
      <w:r w:rsidR="00D51578" w:rsidRPr="00C9559D">
        <w:rPr>
          <w:sz w:val="20"/>
          <w:szCs w:val="20"/>
        </w:rPr>
        <w:t xml:space="preserve"> </w:t>
      </w:r>
      <w:r w:rsidRPr="00C9559D">
        <w:rPr>
          <w:sz w:val="20"/>
          <w:szCs w:val="20"/>
        </w:rPr>
        <w:t>one,</w:t>
      </w:r>
      <w:r w:rsidR="00D51578" w:rsidRPr="00C9559D">
        <w:rPr>
          <w:sz w:val="20"/>
          <w:szCs w:val="20"/>
        </w:rPr>
        <w:t xml:space="preserve"> </w:t>
      </w:r>
      <w:r w:rsidRPr="00C9559D">
        <w:rPr>
          <w:sz w:val="20"/>
          <w:szCs w:val="20"/>
        </w:rPr>
        <w:t>14(2):</w:t>
      </w:r>
      <w:r w:rsidR="00D51578" w:rsidRPr="00C9559D">
        <w:rPr>
          <w:sz w:val="20"/>
          <w:szCs w:val="20"/>
        </w:rPr>
        <w:t xml:space="preserve"> </w:t>
      </w:r>
      <w:r w:rsidRPr="00C9559D">
        <w:rPr>
          <w:sz w:val="20"/>
          <w:szCs w:val="20"/>
        </w:rPr>
        <w:t>e0211763.</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Sicard</w:t>
      </w:r>
      <w:proofErr w:type="spellEnd"/>
      <w:r w:rsidR="00D51578" w:rsidRPr="00C9559D">
        <w:rPr>
          <w:bCs/>
          <w:sz w:val="20"/>
          <w:szCs w:val="20"/>
        </w:rPr>
        <w:t xml:space="preserve"> </w:t>
      </w:r>
      <w:r w:rsidRPr="00C9559D">
        <w:rPr>
          <w:bCs/>
          <w:sz w:val="20"/>
          <w:szCs w:val="20"/>
        </w:rPr>
        <w:t>MA.</w:t>
      </w:r>
      <w:r w:rsidR="00D51578" w:rsidRPr="00C9559D">
        <w:rPr>
          <w:sz w:val="20"/>
          <w:szCs w:val="20"/>
        </w:rPr>
        <w:t xml:space="preserve"> </w:t>
      </w:r>
      <w:r w:rsidRPr="00C9559D">
        <w:rPr>
          <w:sz w:val="20"/>
          <w:szCs w:val="20"/>
        </w:rPr>
        <w:t>Les</w:t>
      </w:r>
      <w:r w:rsidR="00D51578" w:rsidRPr="00C9559D">
        <w:rPr>
          <w:sz w:val="20"/>
          <w:szCs w:val="20"/>
        </w:rPr>
        <w:t xml:space="preserve"> </w:t>
      </w:r>
      <w:r w:rsidRPr="00C9559D">
        <w:rPr>
          <w:sz w:val="20"/>
          <w:szCs w:val="20"/>
        </w:rPr>
        <w:t>injections</w:t>
      </w:r>
      <w:r w:rsidR="00D51578" w:rsidRPr="00C9559D">
        <w:rPr>
          <w:sz w:val="20"/>
          <w:szCs w:val="20"/>
        </w:rPr>
        <w:t xml:space="preserve"> </w:t>
      </w:r>
      <w:proofErr w:type="spellStart"/>
      <w:r w:rsidRPr="00C9559D">
        <w:rPr>
          <w:sz w:val="20"/>
          <w:szCs w:val="20"/>
        </w:rPr>
        <w:t>medicamenteuse</w:t>
      </w:r>
      <w:proofErr w:type="spellEnd"/>
      <w:r w:rsidR="00D51578" w:rsidRPr="00C9559D">
        <w:rPr>
          <w:sz w:val="20"/>
          <w:szCs w:val="20"/>
        </w:rPr>
        <w:t xml:space="preserve"> </w:t>
      </w:r>
      <w:proofErr w:type="spellStart"/>
      <w:r w:rsidRPr="00C9559D">
        <w:rPr>
          <w:sz w:val="20"/>
          <w:szCs w:val="20"/>
        </w:rPr>
        <w:t>extradurales</w:t>
      </w:r>
      <w:proofErr w:type="spellEnd"/>
      <w:r w:rsidR="00D51578" w:rsidRPr="00C9559D">
        <w:rPr>
          <w:sz w:val="20"/>
          <w:szCs w:val="20"/>
        </w:rPr>
        <w:t xml:space="preserve"> </w:t>
      </w:r>
      <w:r w:rsidRPr="00C9559D">
        <w:rPr>
          <w:sz w:val="20"/>
          <w:szCs w:val="20"/>
        </w:rPr>
        <w:t>par</w:t>
      </w:r>
      <w:r w:rsidR="00D51578" w:rsidRPr="00C9559D">
        <w:rPr>
          <w:sz w:val="20"/>
          <w:szCs w:val="20"/>
        </w:rPr>
        <w:t xml:space="preserve"> </w:t>
      </w:r>
      <w:proofErr w:type="spellStart"/>
      <w:r w:rsidRPr="00C9559D">
        <w:rPr>
          <w:sz w:val="20"/>
          <w:szCs w:val="20"/>
        </w:rPr>
        <w:t>voie</w:t>
      </w:r>
      <w:proofErr w:type="spellEnd"/>
      <w:r w:rsidR="00D51578" w:rsidRPr="00C9559D">
        <w:rPr>
          <w:sz w:val="20"/>
          <w:szCs w:val="20"/>
        </w:rPr>
        <w:t xml:space="preserve"> </w:t>
      </w:r>
      <w:proofErr w:type="spellStart"/>
      <w:r w:rsidRPr="00C9559D">
        <w:rPr>
          <w:sz w:val="20"/>
          <w:szCs w:val="20"/>
        </w:rPr>
        <w:t>saracoccygiene</w:t>
      </w:r>
      <w:proofErr w:type="spellEnd"/>
      <w:r w:rsidRPr="00C9559D">
        <w:rPr>
          <w:sz w:val="20"/>
          <w:szCs w:val="20"/>
        </w:rPr>
        <w:t>.</w:t>
      </w:r>
      <w:r w:rsidR="00D51578" w:rsidRPr="00C9559D">
        <w:rPr>
          <w:sz w:val="20"/>
          <w:szCs w:val="20"/>
        </w:rPr>
        <w:t xml:space="preserve"> </w:t>
      </w:r>
      <w:proofErr w:type="spellStart"/>
      <w:r w:rsidRPr="00C9559D">
        <w:rPr>
          <w:sz w:val="20"/>
          <w:szCs w:val="20"/>
        </w:rPr>
        <w:t>Comptes</w:t>
      </w:r>
      <w:proofErr w:type="spellEnd"/>
      <w:r w:rsidR="00D51578" w:rsidRPr="00C9559D">
        <w:rPr>
          <w:sz w:val="20"/>
          <w:szCs w:val="20"/>
        </w:rPr>
        <w:t xml:space="preserve"> </w:t>
      </w:r>
      <w:proofErr w:type="spellStart"/>
      <w:r w:rsidRPr="00C9559D">
        <w:rPr>
          <w:sz w:val="20"/>
          <w:szCs w:val="20"/>
        </w:rPr>
        <w:t>Renues</w:t>
      </w:r>
      <w:proofErr w:type="spellEnd"/>
      <w:r w:rsidR="00D51578" w:rsidRPr="00C9559D">
        <w:rPr>
          <w:sz w:val="20"/>
          <w:szCs w:val="20"/>
        </w:rPr>
        <w:t xml:space="preserve"> </w:t>
      </w:r>
      <w:r w:rsidRPr="00C9559D">
        <w:rPr>
          <w:sz w:val="20"/>
          <w:szCs w:val="20"/>
        </w:rPr>
        <w:t>des</w:t>
      </w:r>
      <w:r w:rsidR="00D51578" w:rsidRPr="00C9559D">
        <w:rPr>
          <w:sz w:val="20"/>
          <w:szCs w:val="20"/>
        </w:rPr>
        <w:t xml:space="preserve"> </w:t>
      </w:r>
      <w:proofErr w:type="spellStart"/>
      <w:r w:rsidRPr="00C9559D">
        <w:rPr>
          <w:sz w:val="20"/>
          <w:szCs w:val="20"/>
        </w:rPr>
        <w:t>Seances</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r w:rsidRPr="00C9559D">
        <w:rPr>
          <w:sz w:val="20"/>
          <w:szCs w:val="20"/>
        </w:rPr>
        <w:t>la</w:t>
      </w:r>
      <w:r w:rsidR="00D51578" w:rsidRPr="00C9559D">
        <w:rPr>
          <w:sz w:val="20"/>
          <w:szCs w:val="20"/>
        </w:rPr>
        <w:t xml:space="preserve"> </w:t>
      </w:r>
      <w:proofErr w:type="spellStart"/>
      <w:r w:rsidRPr="00C9559D">
        <w:rPr>
          <w:sz w:val="20"/>
          <w:szCs w:val="20"/>
        </w:rPr>
        <w:t>Societe</w:t>
      </w:r>
      <w:proofErr w:type="spellEnd"/>
      <w:r w:rsidR="00D51578" w:rsidRPr="00C9559D">
        <w:rPr>
          <w:sz w:val="20"/>
          <w:szCs w:val="20"/>
        </w:rPr>
        <w:t xml:space="preserve"> </w:t>
      </w:r>
      <w:r w:rsidRPr="00C9559D">
        <w:rPr>
          <w:sz w:val="20"/>
          <w:szCs w:val="20"/>
        </w:rPr>
        <w:t>de</w:t>
      </w:r>
      <w:r w:rsidR="00D51578" w:rsidRPr="00C9559D">
        <w:rPr>
          <w:sz w:val="20"/>
          <w:szCs w:val="20"/>
        </w:rPr>
        <w:t xml:space="preserve"> </w:t>
      </w:r>
      <w:proofErr w:type="spellStart"/>
      <w:r w:rsidRPr="00C9559D">
        <w:rPr>
          <w:sz w:val="20"/>
          <w:szCs w:val="20"/>
        </w:rPr>
        <w:t>Biologie</w:t>
      </w:r>
      <w:proofErr w:type="spellEnd"/>
      <w:r w:rsidR="00D51578" w:rsidRPr="00C9559D">
        <w:rPr>
          <w:sz w:val="20"/>
          <w:szCs w:val="20"/>
        </w:rPr>
        <w:t xml:space="preserve"> </w:t>
      </w:r>
      <w:r w:rsidRPr="00C9559D">
        <w:rPr>
          <w:sz w:val="20"/>
          <w:szCs w:val="20"/>
        </w:rPr>
        <w:t>ET</w:t>
      </w:r>
      <w:r w:rsidR="00D51578" w:rsidRPr="00C9559D">
        <w:rPr>
          <w:sz w:val="20"/>
          <w:szCs w:val="20"/>
        </w:rPr>
        <w:t xml:space="preserve"> </w:t>
      </w:r>
      <w:r w:rsidRPr="00C9559D">
        <w:rPr>
          <w:sz w:val="20"/>
          <w:szCs w:val="20"/>
        </w:rPr>
        <w:t>de</w:t>
      </w:r>
      <w:r w:rsidR="00D51578" w:rsidRPr="00C9559D">
        <w:rPr>
          <w:sz w:val="20"/>
          <w:szCs w:val="20"/>
        </w:rPr>
        <w:t xml:space="preserve"> </w:t>
      </w:r>
      <w:proofErr w:type="spellStart"/>
      <w:r w:rsidRPr="00C9559D">
        <w:rPr>
          <w:sz w:val="20"/>
          <w:szCs w:val="20"/>
        </w:rPr>
        <w:t>ses</w:t>
      </w:r>
      <w:proofErr w:type="spellEnd"/>
      <w:r w:rsidR="00D51578" w:rsidRPr="00C9559D">
        <w:rPr>
          <w:sz w:val="20"/>
          <w:szCs w:val="20"/>
        </w:rPr>
        <w:t xml:space="preserve"> </w:t>
      </w:r>
      <w:proofErr w:type="spellStart"/>
      <w:r w:rsidRPr="00C9559D">
        <w:rPr>
          <w:sz w:val="20"/>
          <w:szCs w:val="20"/>
        </w:rPr>
        <w:t>Filliales</w:t>
      </w:r>
      <w:proofErr w:type="spellEnd"/>
      <w:r w:rsidR="00D51578" w:rsidRPr="00C9559D">
        <w:rPr>
          <w:sz w:val="20"/>
          <w:szCs w:val="20"/>
        </w:rPr>
        <w:t xml:space="preserve"> </w:t>
      </w:r>
      <w:r w:rsidRPr="00C9559D">
        <w:rPr>
          <w:sz w:val="20"/>
          <w:szCs w:val="20"/>
        </w:rPr>
        <w:t>(Paris)</w:t>
      </w:r>
      <w:r w:rsidR="00D51578" w:rsidRPr="00C9559D">
        <w:rPr>
          <w:sz w:val="20"/>
          <w:szCs w:val="20"/>
        </w:rPr>
        <w:t xml:space="preserve"> </w:t>
      </w:r>
      <w:r w:rsidRPr="00C9559D">
        <w:rPr>
          <w:sz w:val="20"/>
          <w:szCs w:val="20"/>
        </w:rPr>
        <w:t>1901;</w:t>
      </w:r>
      <w:r w:rsidR="00D51578" w:rsidRPr="00C9559D">
        <w:rPr>
          <w:sz w:val="20"/>
          <w:szCs w:val="20"/>
        </w:rPr>
        <w:t xml:space="preserve"> </w:t>
      </w:r>
      <w:r w:rsidRPr="00C9559D">
        <w:rPr>
          <w:sz w:val="20"/>
          <w:szCs w:val="20"/>
        </w:rPr>
        <w:t>53:396.</w:t>
      </w:r>
      <w:r w:rsidR="00D51578" w:rsidRPr="00C9559D">
        <w:rPr>
          <w:sz w:val="20"/>
          <w:szCs w:val="20"/>
        </w:rPr>
        <w:t xml:space="preserve"> </w:t>
      </w:r>
      <w:r w:rsidRPr="00C9559D">
        <w:rPr>
          <w:sz w:val="20"/>
          <w:szCs w:val="20"/>
        </w:rPr>
        <w:t>Quoted</w:t>
      </w:r>
      <w:r w:rsidR="00D51578" w:rsidRPr="00C9559D">
        <w:rPr>
          <w:sz w:val="20"/>
          <w:szCs w:val="20"/>
        </w:rPr>
        <w:t xml:space="preserve"> </w:t>
      </w:r>
      <w:r w:rsidRPr="00C9559D">
        <w:rPr>
          <w:sz w:val="20"/>
          <w:szCs w:val="20"/>
        </w:rPr>
        <w:t>from:</w:t>
      </w:r>
      <w:r w:rsidR="00D51578" w:rsidRPr="00C9559D">
        <w:rPr>
          <w:sz w:val="20"/>
          <w:szCs w:val="20"/>
        </w:rPr>
        <w:t xml:space="preserve"> </w:t>
      </w:r>
      <w:proofErr w:type="spellStart"/>
      <w:r w:rsidRPr="00C9559D">
        <w:rPr>
          <w:sz w:val="20"/>
          <w:szCs w:val="20"/>
        </w:rPr>
        <w:t>Ogoke</w:t>
      </w:r>
      <w:proofErr w:type="spellEnd"/>
      <w:r w:rsidR="00D51578" w:rsidRPr="00C9559D">
        <w:rPr>
          <w:sz w:val="20"/>
          <w:szCs w:val="20"/>
        </w:rPr>
        <w:t xml:space="preserve"> </w:t>
      </w:r>
      <w:r w:rsidRPr="00C9559D">
        <w:rPr>
          <w:sz w:val="20"/>
          <w:szCs w:val="20"/>
        </w:rPr>
        <w:t>BA.</w:t>
      </w:r>
      <w:r w:rsidR="00D51578" w:rsidRPr="00C9559D">
        <w:rPr>
          <w:sz w:val="20"/>
          <w:szCs w:val="20"/>
        </w:rPr>
        <w:t xml:space="preserve"> </w:t>
      </w:r>
      <w:r w:rsidRPr="00C9559D">
        <w:rPr>
          <w:sz w:val="20"/>
          <w:szCs w:val="20"/>
        </w:rPr>
        <w:t>Caudal</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Physician,</w:t>
      </w:r>
      <w:r w:rsidR="00D51578" w:rsidRPr="00C9559D">
        <w:rPr>
          <w:sz w:val="20"/>
          <w:szCs w:val="20"/>
        </w:rPr>
        <w:t xml:space="preserve"> </w:t>
      </w:r>
      <w:r w:rsidRPr="00C9559D">
        <w:rPr>
          <w:sz w:val="20"/>
          <w:szCs w:val="20"/>
        </w:rPr>
        <w:t>2000;</w:t>
      </w:r>
      <w:r w:rsidR="00D51578" w:rsidRPr="00C9559D">
        <w:rPr>
          <w:sz w:val="20"/>
          <w:szCs w:val="20"/>
        </w:rPr>
        <w:t xml:space="preserve"> </w:t>
      </w:r>
      <w:r w:rsidRPr="00C9559D">
        <w:rPr>
          <w:sz w:val="20"/>
          <w:szCs w:val="20"/>
        </w:rPr>
        <w:t>3:</w:t>
      </w:r>
      <w:r w:rsidR="00D51578" w:rsidRPr="00C9559D">
        <w:rPr>
          <w:sz w:val="20"/>
          <w:szCs w:val="20"/>
        </w:rPr>
        <w:t xml:space="preserve"> </w:t>
      </w:r>
      <w:r w:rsidRPr="00C9559D">
        <w:rPr>
          <w:sz w:val="20"/>
          <w:szCs w:val="20"/>
        </w:rPr>
        <w:t>305-312.</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Stanley</w:t>
      </w:r>
      <w:r w:rsidR="00D51578" w:rsidRPr="00C9559D">
        <w:rPr>
          <w:bCs/>
          <w:sz w:val="20"/>
          <w:szCs w:val="20"/>
        </w:rPr>
        <w:t xml:space="preserve"> </w:t>
      </w:r>
      <w:r w:rsidRPr="00C9559D">
        <w:rPr>
          <w:bCs/>
          <w:sz w:val="20"/>
          <w:szCs w:val="20"/>
        </w:rPr>
        <w:t>D,</w:t>
      </w:r>
      <w:r w:rsidR="00D51578" w:rsidRPr="00C9559D">
        <w:rPr>
          <w:bCs/>
          <w:sz w:val="20"/>
          <w:szCs w:val="20"/>
        </w:rPr>
        <w:t xml:space="preserve"> </w:t>
      </w:r>
      <w:r w:rsidRPr="00C9559D">
        <w:rPr>
          <w:bCs/>
          <w:sz w:val="20"/>
          <w:szCs w:val="20"/>
        </w:rPr>
        <w:t>McLaren</w:t>
      </w:r>
      <w:r w:rsidR="00D51578" w:rsidRPr="00C9559D">
        <w:rPr>
          <w:bCs/>
          <w:sz w:val="20"/>
          <w:szCs w:val="20"/>
        </w:rPr>
        <w:t xml:space="preserve"> </w:t>
      </w:r>
      <w:r w:rsidRPr="00C9559D">
        <w:rPr>
          <w:bCs/>
          <w:sz w:val="20"/>
          <w:szCs w:val="20"/>
        </w:rPr>
        <w:t>M,</w:t>
      </w:r>
      <w:r w:rsidR="00D51578" w:rsidRPr="00C9559D">
        <w:rPr>
          <w:bCs/>
          <w:sz w:val="20"/>
          <w:szCs w:val="20"/>
        </w:rPr>
        <w:t xml:space="preserve"> </w:t>
      </w:r>
      <w:proofErr w:type="spellStart"/>
      <w:r w:rsidRPr="00C9559D">
        <w:rPr>
          <w:bCs/>
          <w:sz w:val="20"/>
          <w:szCs w:val="20"/>
        </w:rPr>
        <w:t>Euinton</w:t>
      </w:r>
      <w:proofErr w:type="spellEnd"/>
      <w:r w:rsidR="00D51578" w:rsidRPr="00C9559D">
        <w:rPr>
          <w:bCs/>
          <w:sz w:val="20"/>
          <w:szCs w:val="20"/>
        </w:rPr>
        <w:t xml:space="preserve"> </w:t>
      </w:r>
      <w:r w:rsidRPr="00C9559D">
        <w:rPr>
          <w:bCs/>
          <w:sz w:val="20"/>
          <w:szCs w:val="20"/>
        </w:rPr>
        <w:t>H,</w:t>
      </w:r>
      <w:r w:rsidR="00D51578" w:rsidRPr="00C9559D">
        <w:rPr>
          <w:bCs/>
          <w:sz w:val="20"/>
          <w:szCs w:val="20"/>
        </w:rPr>
        <w:t xml:space="preserve"> </w:t>
      </w:r>
      <w:r w:rsidRPr="00C9559D">
        <w:rPr>
          <w:bCs/>
          <w:sz w:val="20"/>
          <w:szCs w:val="20"/>
        </w:rPr>
        <w:t>Getty</w:t>
      </w:r>
      <w:r w:rsidR="00D51578" w:rsidRPr="00C9559D">
        <w:rPr>
          <w:bCs/>
          <w:sz w:val="20"/>
          <w:szCs w:val="20"/>
        </w:rPr>
        <w:t xml:space="preserve"> </w:t>
      </w:r>
      <w:r w:rsidRPr="00C9559D">
        <w:rPr>
          <w:bCs/>
          <w:sz w:val="20"/>
          <w:szCs w:val="20"/>
        </w:rPr>
        <w:t>CJ.</w:t>
      </w:r>
      <w:r w:rsidR="00D51578" w:rsidRPr="00C9559D">
        <w:rPr>
          <w:bCs/>
          <w:sz w:val="20"/>
          <w:szCs w:val="20"/>
        </w:rPr>
        <w:t xml:space="preserve"> </w:t>
      </w:r>
      <w:r w:rsidRPr="00C9559D">
        <w:rPr>
          <w:sz w:val="20"/>
          <w:szCs w:val="20"/>
        </w:rPr>
        <w:t>A</w:t>
      </w:r>
      <w:r w:rsidR="00D51578" w:rsidRPr="00C9559D">
        <w:rPr>
          <w:sz w:val="20"/>
          <w:szCs w:val="20"/>
        </w:rPr>
        <w:t xml:space="preserve"> </w:t>
      </w:r>
      <w:r w:rsidRPr="00C9559D">
        <w:rPr>
          <w:sz w:val="20"/>
          <w:szCs w:val="20"/>
        </w:rPr>
        <w:t>prospective</w:t>
      </w:r>
      <w:r w:rsidR="00D51578" w:rsidRPr="00C9559D">
        <w:rPr>
          <w:sz w:val="20"/>
          <w:szCs w:val="20"/>
        </w:rPr>
        <w:t xml:space="preserve"> </w:t>
      </w:r>
      <w:r w:rsidRPr="00C9559D">
        <w:rPr>
          <w:sz w:val="20"/>
          <w:szCs w:val="20"/>
        </w:rPr>
        <w:t>study</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nerve</w:t>
      </w:r>
      <w:r w:rsidR="00D51578" w:rsidRPr="00C9559D">
        <w:rPr>
          <w:sz w:val="20"/>
          <w:szCs w:val="20"/>
        </w:rPr>
        <w:t xml:space="preserve"> </w:t>
      </w:r>
      <w:r w:rsidRPr="00C9559D">
        <w:rPr>
          <w:sz w:val="20"/>
          <w:szCs w:val="20"/>
        </w:rPr>
        <w:t>root</w:t>
      </w:r>
      <w:r w:rsidR="00D51578" w:rsidRPr="00C9559D">
        <w:rPr>
          <w:sz w:val="20"/>
          <w:szCs w:val="20"/>
        </w:rPr>
        <w:t xml:space="preserve"> </w:t>
      </w:r>
      <w:r w:rsidRPr="00C9559D">
        <w:rPr>
          <w:sz w:val="20"/>
          <w:szCs w:val="20"/>
        </w:rPr>
        <w:t>infiltration</w:t>
      </w:r>
      <w:r w:rsidR="00D51578" w:rsidRPr="00C9559D">
        <w:rPr>
          <w:sz w:val="20"/>
          <w:szCs w:val="20"/>
        </w:rPr>
        <w:t xml:space="preserve"> </w:t>
      </w:r>
      <w:r w:rsidRPr="00C9559D">
        <w:rPr>
          <w:sz w:val="20"/>
          <w:szCs w:val="20"/>
        </w:rPr>
        <w:t>in</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diagnosis</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Sciatica,</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comparison</w:t>
      </w:r>
      <w:r w:rsidR="00D51578" w:rsidRPr="00C9559D">
        <w:rPr>
          <w:sz w:val="20"/>
          <w:szCs w:val="20"/>
        </w:rPr>
        <w:t xml:space="preserve"> </w:t>
      </w:r>
      <w:r w:rsidRPr="00C9559D">
        <w:rPr>
          <w:sz w:val="20"/>
          <w:szCs w:val="20"/>
        </w:rPr>
        <w:t>with</w:t>
      </w:r>
      <w:r w:rsidR="00D51578" w:rsidRPr="00C9559D">
        <w:rPr>
          <w:sz w:val="20"/>
          <w:szCs w:val="20"/>
        </w:rPr>
        <w:t xml:space="preserve"> </w:t>
      </w:r>
      <w:proofErr w:type="spellStart"/>
      <w:r w:rsidRPr="00C9559D">
        <w:rPr>
          <w:sz w:val="20"/>
          <w:szCs w:val="20"/>
        </w:rPr>
        <w:t>radiculopathy</w:t>
      </w:r>
      <w:proofErr w:type="spellEnd"/>
      <w:r w:rsidRPr="00C9559D">
        <w:rPr>
          <w:sz w:val="20"/>
          <w:szCs w:val="20"/>
        </w:rPr>
        <w:t>,</w:t>
      </w:r>
      <w:r w:rsidR="00D51578" w:rsidRPr="00C9559D">
        <w:rPr>
          <w:sz w:val="20"/>
          <w:szCs w:val="20"/>
        </w:rPr>
        <w:t xml:space="preserve"> </w:t>
      </w:r>
      <w:r w:rsidRPr="00C9559D">
        <w:rPr>
          <w:sz w:val="20"/>
          <w:szCs w:val="20"/>
        </w:rPr>
        <w:t>computed</w:t>
      </w:r>
      <w:r w:rsidR="00D51578" w:rsidRPr="00C9559D">
        <w:rPr>
          <w:sz w:val="20"/>
          <w:szCs w:val="20"/>
        </w:rPr>
        <w:t xml:space="preserve"> </w:t>
      </w:r>
      <w:r w:rsidRPr="00C9559D">
        <w:rPr>
          <w:sz w:val="20"/>
          <w:szCs w:val="20"/>
        </w:rPr>
        <w:t>tomography</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operative</w:t>
      </w:r>
      <w:r w:rsidR="00D51578" w:rsidRPr="00C9559D">
        <w:rPr>
          <w:sz w:val="20"/>
          <w:szCs w:val="20"/>
        </w:rPr>
        <w:t xml:space="preserve"> </w:t>
      </w:r>
      <w:r w:rsidRPr="00C9559D">
        <w:rPr>
          <w:sz w:val="20"/>
          <w:szCs w:val="20"/>
        </w:rPr>
        <w:t>findings.</w:t>
      </w:r>
      <w:r w:rsidR="00D51578" w:rsidRPr="00C9559D">
        <w:rPr>
          <w:sz w:val="20"/>
          <w:szCs w:val="20"/>
        </w:rPr>
        <w:t xml:space="preserve"> </w:t>
      </w:r>
      <w:r w:rsidRPr="00C9559D">
        <w:rPr>
          <w:sz w:val="20"/>
          <w:szCs w:val="20"/>
        </w:rPr>
        <w:t>Spine,</w:t>
      </w:r>
      <w:r w:rsidR="00D51578" w:rsidRPr="00C9559D">
        <w:rPr>
          <w:sz w:val="20"/>
          <w:szCs w:val="20"/>
        </w:rPr>
        <w:t xml:space="preserve"> </w:t>
      </w:r>
      <w:r w:rsidRPr="00C9559D">
        <w:rPr>
          <w:sz w:val="20"/>
          <w:szCs w:val="20"/>
        </w:rPr>
        <w:t>1990;</w:t>
      </w:r>
      <w:r w:rsidR="00D51578" w:rsidRPr="00C9559D">
        <w:rPr>
          <w:sz w:val="20"/>
          <w:szCs w:val="20"/>
        </w:rPr>
        <w:t xml:space="preserve"> </w:t>
      </w:r>
      <w:r w:rsidRPr="00C9559D">
        <w:rPr>
          <w:sz w:val="20"/>
          <w:szCs w:val="20"/>
        </w:rPr>
        <w:t>15:</w:t>
      </w:r>
      <w:r w:rsidR="00D51578" w:rsidRPr="00C9559D">
        <w:rPr>
          <w:sz w:val="20"/>
          <w:szCs w:val="20"/>
        </w:rPr>
        <w:t xml:space="preserve"> </w:t>
      </w:r>
      <w:r w:rsidRPr="00C9559D">
        <w:rPr>
          <w:sz w:val="20"/>
          <w:szCs w:val="20"/>
        </w:rPr>
        <w:t>540-543.</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Sultan</w:t>
      </w:r>
      <w:r w:rsidR="00D51578" w:rsidRPr="00C9559D">
        <w:rPr>
          <w:bCs/>
          <w:sz w:val="20"/>
          <w:szCs w:val="20"/>
        </w:rPr>
        <w:t xml:space="preserve"> </w:t>
      </w:r>
      <w:r w:rsidRPr="00C9559D">
        <w:rPr>
          <w:bCs/>
          <w:sz w:val="20"/>
          <w:szCs w:val="20"/>
        </w:rPr>
        <w:t>H,</w:t>
      </w:r>
      <w:r w:rsidR="00D51578" w:rsidRPr="00C9559D">
        <w:rPr>
          <w:bCs/>
          <w:sz w:val="20"/>
          <w:szCs w:val="20"/>
        </w:rPr>
        <w:t xml:space="preserve"> </w:t>
      </w:r>
      <w:r w:rsidRPr="00C9559D">
        <w:rPr>
          <w:bCs/>
          <w:sz w:val="20"/>
          <w:szCs w:val="20"/>
        </w:rPr>
        <w:t>Tamer</w:t>
      </w:r>
      <w:r w:rsidR="00D51578" w:rsidRPr="00C9559D">
        <w:rPr>
          <w:bCs/>
          <w:sz w:val="20"/>
          <w:szCs w:val="20"/>
        </w:rPr>
        <w:t xml:space="preserve"> </w:t>
      </w:r>
      <w:r w:rsidRPr="00C9559D">
        <w:rPr>
          <w:bCs/>
          <w:sz w:val="20"/>
          <w:szCs w:val="20"/>
        </w:rPr>
        <w:t>HS,</w:t>
      </w:r>
      <w:r w:rsidR="00D51578" w:rsidRPr="00C9559D">
        <w:rPr>
          <w:bCs/>
          <w:sz w:val="20"/>
          <w:szCs w:val="20"/>
        </w:rPr>
        <w:t xml:space="preserve"> </w:t>
      </w:r>
      <w:proofErr w:type="spellStart"/>
      <w:r w:rsidRPr="00C9559D">
        <w:rPr>
          <w:bCs/>
          <w:sz w:val="20"/>
          <w:szCs w:val="20"/>
        </w:rPr>
        <w:t>Wafaa</w:t>
      </w:r>
      <w:proofErr w:type="spellEnd"/>
      <w:r w:rsidR="00D51578" w:rsidRPr="00C9559D">
        <w:rPr>
          <w:bCs/>
          <w:sz w:val="20"/>
          <w:szCs w:val="20"/>
        </w:rPr>
        <w:t xml:space="preserve"> </w:t>
      </w:r>
      <w:r w:rsidRPr="00C9559D">
        <w:rPr>
          <w:bCs/>
          <w:sz w:val="20"/>
          <w:szCs w:val="20"/>
        </w:rPr>
        <w:t>SE</w:t>
      </w:r>
      <w:r w:rsidR="00D51578" w:rsidRPr="00C9559D">
        <w:rPr>
          <w:bCs/>
          <w:sz w:val="20"/>
          <w:szCs w:val="20"/>
        </w:rPr>
        <w:t xml:space="preserve"> </w:t>
      </w:r>
      <w:r w:rsidRPr="00C9559D">
        <w:rPr>
          <w:bCs/>
          <w:sz w:val="20"/>
          <w:szCs w:val="20"/>
        </w:rPr>
        <w:t>and</w:t>
      </w:r>
      <w:r w:rsidR="00D51578" w:rsidRPr="00C9559D">
        <w:rPr>
          <w:bCs/>
          <w:sz w:val="20"/>
          <w:szCs w:val="20"/>
        </w:rPr>
        <w:t xml:space="preserve"> </w:t>
      </w:r>
      <w:proofErr w:type="spellStart"/>
      <w:r w:rsidRPr="00C9559D">
        <w:rPr>
          <w:bCs/>
          <w:sz w:val="20"/>
          <w:szCs w:val="20"/>
        </w:rPr>
        <w:t>Shehad</w:t>
      </w:r>
      <w:proofErr w:type="spellEnd"/>
      <w:r w:rsidR="00D51578" w:rsidRPr="00C9559D">
        <w:rPr>
          <w:bCs/>
          <w:sz w:val="20"/>
          <w:szCs w:val="20"/>
        </w:rPr>
        <w:t xml:space="preserve"> </w:t>
      </w:r>
      <w:r w:rsidRPr="00C9559D">
        <w:rPr>
          <w:bCs/>
          <w:sz w:val="20"/>
          <w:szCs w:val="20"/>
        </w:rPr>
        <w:t>MF</w:t>
      </w:r>
      <w:r w:rsidR="00D51578" w:rsidRPr="00C9559D">
        <w:rPr>
          <w:bCs/>
          <w:sz w:val="20"/>
          <w:szCs w:val="20"/>
        </w:rPr>
        <w:t xml:space="preserve"> </w:t>
      </w:r>
      <w:r w:rsidRPr="00C9559D">
        <w:rPr>
          <w:bCs/>
          <w:sz w:val="20"/>
          <w:szCs w:val="20"/>
        </w:rPr>
        <w:t>(2019):</w:t>
      </w:r>
      <w:r w:rsidR="00D51578" w:rsidRPr="00C9559D">
        <w:rPr>
          <w:sz w:val="20"/>
          <w:szCs w:val="20"/>
        </w:rPr>
        <w:t xml:space="preserve"> </w:t>
      </w:r>
      <w:proofErr w:type="spellStart"/>
      <w:r w:rsidRPr="00C9559D">
        <w:rPr>
          <w:sz w:val="20"/>
          <w:szCs w:val="20"/>
        </w:rPr>
        <w:t>Electromyographic</w:t>
      </w:r>
      <w:proofErr w:type="spellEnd"/>
      <w:r w:rsidR="00D51578" w:rsidRPr="00C9559D">
        <w:rPr>
          <w:sz w:val="20"/>
          <w:szCs w:val="20"/>
        </w:rPr>
        <w:t xml:space="preserve"> </w:t>
      </w:r>
      <w:r w:rsidRPr="00C9559D">
        <w:rPr>
          <w:sz w:val="20"/>
          <w:szCs w:val="20"/>
        </w:rPr>
        <w:t>Study</w:t>
      </w:r>
      <w:r w:rsidR="00D51578" w:rsidRPr="00C9559D">
        <w:rPr>
          <w:sz w:val="20"/>
          <w:szCs w:val="20"/>
        </w:rPr>
        <w:t xml:space="preserve"> </w:t>
      </w:r>
      <w:r w:rsidRPr="00C9559D">
        <w:rPr>
          <w:sz w:val="20"/>
          <w:szCs w:val="20"/>
        </w:rPr>
        <w:t>to</w:t>
      </w:r>
      <w:r w:rsidR="00D51578" w:rsidRPr="00C9559D">
        <w:rPr>
          <w:sz w:val="20"/>
          <w:szCs w:val="20"/>
        </w:rPr>
        <w:t xml:space="preserve"> </w:t>
      </w:r>
      <w:r w:rsidRPr="00C9559D">
        <w:rPr>
          <w:sz w:val="20"/>
          <w:szCs w:val="20"/>
        </w:rPr>
        <w:t>Predict</w:t>
      </w:r>
      <w:r w:rsidR="00D51578" w:rsidRPr="00C9559D">
        <w:rPr>
          <w:sz w:val="20"/>
          <w:szCs w:val="20"/>
        </w:rPr>
        <w:t xml:space="preserve"> </w:t>
      </w:r>
      <w:r w:rsidRPr="00C9559D">
        <w:rPr>
          <w:sz w:val="20"/>
          <w:szCs w:val="20"/>
        </w:rPr>
        <w:t>Functional</w:t>
      </w:r>
      <w:r w:rsidR="00D51578" w:rsidRPr="00C9559D">
        <w:rPr>
          <w:sz w:val="20"/>
          <w:szCs w:val="20"/>
        </w:rPr>
        <w:t xml:space="preserve"> </w:t>
      </w:r>
      <w:r w:rsidRPr="00C9559D">
        <w:rPr>
          <w:sz w:val="20"/>
          <w:szCs w:val="20"/>
        </w:rPr>
        <w:t>Outcome</w:t>
      </w:r>
      <w:r w:rsidR="00D51578" w:rsidRPr="00C9559D">
        <w:rPr>
          <w:sz w:val="20"/>
          <w:szCs w:val="20"/>
        </w:rPr>
        <w:t xml:space="preserve"> </w:t>
      </w:r>
      <w:r w:rsidRPr="00C9559D">
        <w:rPr>
          <w:sz w:val="20"/>
          <w:szCs w:val="20"/>
        </w:rPr>
        <w:t>of</w:t>
      </w:r>
      <w:r w:rsidR="00D51578" w:rsidRPr="00C9559D">
        <w:rPr>
          <w:sz w:val="20"/>
          <w:szCs w:val="20"/>
        </w:rPr>
        <w:t xml:space="preserve"> </w:t>
      </w:r>
      <w:proofErr w:type="spellStart"/>
      <w:r w:rsidRPr="00C9559D">
        <w:rPr>
          <w:sz w:val="20"/>
          <w:szCs w:val="20"/>
        </w:rPr>
        <w:t>Transforaminal</w:t>
      </w:r>
      <w:proofErr w:type="spellEnd"/>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w:t>
      </w:r>
      <w:r w:rsidR="00D51578" w:rsidRPr="00C9559D">
        <w:rPr>
          <w:sz w:val="20"/>
          <w:szCs w:val="20"/>
        </w:rPr>
        <w:t xml:space="preserve"> </w:t>
      </w:r>
      <w:r w:rsidRPr="00C9559D">
        <w:rPr>
          <w:sz w:val="20"/>
          <w:szCs w:val="20"/>
        </w:rPr>
        <w:t>in</w:t>
      </w:r>
      <w:r w:rsidR="00D51578" w:rsidRPr="00C9559D">
        <w:rPr>
          <w:sz w:val="20"/>
          <w:szCs w:val="20"/>
        </w:rPr>
        <w:t xml:space="preserve"> </w:t>
      </w:r>
      <w:proofErr w:type="spellStart"/>
      <w:r w:rsidRPr="00C9559D">
        <w:rPr>
          <w:sz w:val="20"/>
          <w:szCs w:val="20"/>
        </w:rPr>
        <w:t>Lumbosacral</w:t>
      </w:r>
      <w:proofErr w:type="spellEnd"/>
      <w:r w:rsidR="00D51578" w:rsidRPr="00C9559D">
        <w:rPr>
          <w:sz w:val="20"/>
          <w:szCs w:val="20"/>
        </w:rPr>
        <w:t xml:space="preserve"> </w:t>
      </w:r>
      <w:proofErr w:type="spellStart"/>
      <w:r w:rsidRPr="00C9559D">
        <w:rPr>
          <w:sz w:val="20"/>
          <w:szCs w:val="20"/>
        </w:rPr>
        <w:t>Radiculopathy</w:t>
      </w:r>
      <w:proofErr w:type="spellEnd"/>
      <w:r w:rsidRPr="00C9559D">
        <w:rPr>
          <w:sz w:val="20"/>
          <w:szCs w:val="20"/>
        </w:rPr>
        <w:t>.</w:t>
      </w:r>
      <w:r w:rsidR="00D51578" w:rsidRPr="00C9559D">
        <w:rPr>
          <w:sz w:val="20"/>
          <w:szCs w:val="20"/>
        </w:rPr>
        <w:t xml:space="preserve"> </w:t>
      </w:r>
      <w:r w:rsidRPr="00C9559D">
        <w:rPr>
          <w:sz w:val="20"/>
          <w:szCs w:val="20"/>
        </w:rPr>
        <w:t>Egyptian</w:t>
      </w:r>
      <w:r w:rsidR="00D51578" w:rsidRPr="00C9559D">
        <w:rPr>
          <w:sz w:val="20"/>
          <w:szCs w:val="20"/>
        </w:rPr>
        <w:t xml:space="preserve"> </w:t>
      </w:r>
      <w:r w:rsidRPr="00C9559D">
        <w:rPr>
          <w:sz w:val="20"/>
          <w:szCs w:val="20"/>
        </w:rPr>
        <w:t>Rheumatology</w:t>
      </w:r>
      <w:r w:rsidR="00D51578" w:rsidRPr="00C9559D">
        <w:rPr>
          <w:sz w:val="20"/>
          <w:szCs w:val="20"/>
        </w:rPr>
        <w:t xml:space="preserve"> </w:t>
      </w:r>
      <w:r w:rsidRPr="00C9559D">
        <w:rPr>
          <w:sz w:val="20"/>
          <w:szCs w:val="20"/>
        </w:rPr>
        <w:t>and</w:t>
      </w:r>
      <w:r w:rsidR="00D51578" w:rsidRPr="00C9559D">
        <w:rPr>
          <w:sz w:val="20"/>
          <w:szCs w:val="20"/>
        </w:rPr>
        <w:t xml:space="preserve"> </w:t>
      </w:r>
      <w:r w:rsidRPr="00C9559D">
        <w:rPr>
          <w:sz w:val="20"/>
          <w:szCs w:val="20"/>
        </w:rPr>
        <w:t>Rehabilitation</w:t>
      </w:r>
      <w:r w:rsidR="00D51578" w:rsidRPr="00C9559D">
        <w:rPr>
          <w:sz w:val="20"/>
          <w:szCs w:val="20"/>
        </w:rPr>
        <w:t xml:space="preserve"> </w:t>
      </w:r>
      <w:r w:rsidRPr="00C9559D">
        <w:rPr>
          <w:sz w:val="20"/>
          <w:szCs w:val="20"/>
        </w:rPr>
        <w:t>46</w:t>
      </w:r>
      <w:r w:rsidR="00D51578" w:rsidRPr="00C9559D">
        <w:rPr>
          <w:sz w:val="20"/>
          <w:szCs w:val="20"/>
        </w:rPr>
        <w:t xml:space="preserve"> </w:t>
      </w:r>
      <w:r w:rsidRPr="00C9559D">
        <w:rPr>
          <w:sz w:val="20"/>
          <w:szCs w:val="20"/>
        </w:rPr>
        <w:t>(1):</w:t>
      </w:r>
      <w:r w:rsidR="00D51578" w:rsidRPr="00C9559D">
        <w:rPr>
          <w:sz w:val="20"/>
          <w:szCs w:val="20"/>
        </w:rPr>
        <w:t xml:space="preserve"> </w:t>
      </w:r>
      <w:r w:rsidRPr="00C9559D">
        <w:rPr>
          <w:sz w:val="20"/>
          <w:szCs w:val="20"/>
        </w:rPr>
        <w:t>27.</w:t>
      </w:r>
    </w:p>
    <w:p w:rsidR="001E2F0A" w:rsidRPr="00C9559D" w:rsidRDefault="001E2F0A" w:rsidP="00E616B2">
      <w:pPr>
        <w:pStyle w:val="ListParagraph"/>
        <w:numPr>
          <w:ilvl w:val="0"/>
          <w:numId w:val="10"/>
        </w:numPr>
        <w:snapToGrid w:val="0"/>
        <w:ind w:left="425" w:firstLineChars="0" w:hanging="425"/>
        <w:jc w:val="both"/>
        <w:rPr>
          <w:sz w:val="20"/>
          <w:szCs w:val="20"/>
        </w:rPr>
      </w:pPr>
      <w:proofErr w:type="spellStart"/>
      <w:r w:rsidRPr="00C9559D">
        <w:rPr>
          <w:bCs/>
          <w:sz w:val="20"/>
          <w:szCs w:val="20"/>
        </w:rPr>
        <w:t>Viner</w:t>
      </w:r>
      <w:proofErr w:type="spellEnd"/>
      <w:r w:rsidR="00D51578" w:rsidRPr="00C9559D">
        <w:rPr>
          <w:bCs/>
          <w:sz w:val="20"/>
          <w:szCs w:val="20"/>
        </w:rPr>
        <w:t xml:space="preserve"> </w:t>
      </w:r>
      <w:r w:rsidRPr="00C9559D">
        <w:rPr>
          <w:bCs/>
          <w:sz w:val="20"/>
          <w:szCs w:val="20"/>
        </w:rPr>
        <w:t>N.</w:t>
      </w:r>
      <w:r w:rsidR="00D51578" w:rsidRPr="00C9559D">
        <w:rPr>
          <w:sz w:val="20"/>
          <w:szCs w:val="20"/>
        </w:rPr>
        <w:t xml:space="preserve"> </w:t>
      </w:r>
      <w:r w:rsidRPr="00C9559D">
        <w:rPr>
          <w:sz w:val="20"/>
          <w:szCs w:val="20"/>
        </w:rPr>
        <w:t>Intractable</w:t>
      </w:r>
      <w:r w:rsidR="00D51578" w:rsidRPr="00C9559D">
        <w:rPr>
          <w:sz w:val="20"/>
          <w:szCs w:val="20"/>
        </w:rPr>
        <w:t xml:space="preserve"> </w:t>
      </w:r>
      <w:r w:rsidRPr="00C9559D">
        <w:rPr>
          <w:sz w:val="20"/>
          <w:szCs w:val="20"/>
        </w:rPr>
        <w:t>sciatica.</w:t>
      </w:r>
      <w:r w:rsidR="00D51578" w:rsidRPr="00C9559D">
        <w:rPr>
          <w:sz w:val="20"/>
          <w:szCs w:val="20"/>
        </w:rPr>
        <w:t xml:space="preserve"> </w:t>
      </w:r>
      <w:r w:rsidRPr="00C9559D">
        <w:rPr>
          <w:sz w:val="20"/>
          <w:szCs w:val="20"/>
        </w:rPr>
        <w:t>The</w:t>
      </w:r>
      <w:r w:rsidR="00D51578" w:rsidRPr="00C9559D">
        <w:rPr>
          <w:sz w:val="20"/>
          <w:szCs w:val="20"/>
        </w:rPr>
        <w:t xml:space="preserve"> </w:t>
      </w:r>
      <w:r w:rsidRPr="00C9559D">
        <w:rPr>
          <w:sz w:val="20"/>
          <w:szCs w:val="20"/>
        </w:rPr>
        <w:t>sacral</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injection</w:t>
      </w:r>
      <w:r w:rsidR="00E616B2" w:rsidRPr="00C9559D">
        <w:rPr>
          <w:sz w:val="20"/>
          <w:szCs w:val="20"/>
        </w:rPr>
        <w:t>. A</w:t>
      </w:r>
      <w:r w:rsidRPr="00C9559D">
        <w:rPr>
          <w:sz w:val="20"/>
          <w:szCs w:val="20"/>
        </w:rPr>
        <w:t>n</w:t>
      </w:r>
      <w:r w:rsidR="00D51578" w:rsidRPr="00C9559D">
        <w:rPr>
          <w:sz w:val="20"/>
          <w:szCs w:val="20"/>
        </w:rPr>
        <w:t xml:space="preserve"> </w:t>
      </w:r>
      <w:r w:rsidRPr="00C9559D">
        <w:rPr>
          <w:sz w:val="20"/>
          <w:szCs w:val="20"/>
        </w:rPr>
        <w:t>effective</w:t>
      </w:r>
      <w:r w:rsidR="00D51578" w:rsidRPr="00C9559D">
        <w:rPr>
          <w:sz w:val="20"/>
          <w:szCs w:val="20"/>
        </w:rPr>
        <w:t xml:space="preserve"> </w:t>
      </w:r>
      <w:r w:rsidRPr="00C9559D">
        <w:rPr>
          <w:sz w:val="20"/>
          <w:szCs w:val="20"/>
        </w:rPr>
        <w:t>method</w:t>
      </w:r>
      <w:r w:rsidR="00D51578" w:rsidRPr="00C9559D">
        <w:rPr>
          <w:sz w:val="20"/>
          <w:szCs w:val="20"/>
        </w:rPr>
        <w:t xml:space="preserve"> </w:t>
      </w:r>
      <w:r w:rsidRPr="00C9559D">
        <w:rPr>
          <w:sz w:val="20"/>
          <w:szCs w:val="20"/>
        </w:rPr>
        <w:t>of</w:t>
      </w:r>
      <w:r w:rsidR="00D51578" w:rsidRPr="00C9559D">
        <w:rPr>
          <w:sz w:val="20"/>
          <w:szCs w:val="20"/>
        </w:rPr>
        <w:t xml:space="preserve"> </w:t>
      </w:r>
      <w:r w:rsidRPr="00C9559D">
        <w:rPr>
          <w:sz w:val="20"/>
          <w:szCs w:val="20"/>
        </w:rPr>
        <w:t>giving</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relief</w:t>
      </w:r>
      <w:r w:rsidR="00E616B2" w:rsidRPr="00C9559D">
        <w:rPr>
          <w:sz w:val="20"/>
          <w:szCs w:val="20"/>
        </w:rPr>
        <w:t>. C</w:t>
      </w:r>
      <w:r w:rsidRPr="00C9559D">
        <w:rPr>
          <w:sz w:val="20"/>
          <w:szCs w:val="20"/>
        </w:rPr>
        <w:t>an</w:t>
      </w:r>
      <w:r w:rsidR="00D51578" w:rsidRPr="00C9559D">
        <w:rPr>
          <w:sz w:val="20"/>
          <w:szCs w:val="20"/>
        </w:rPr>
        <w:t xml:space="preserve"> </w:t>
      </w:r>
      <w:r w:rsidRPr="00C9559D">
        <w:rPr>
          <w:sz w:val="20"/>
          <w:szCs w:val="20"/>
        </w:rPr>
        <w:t>Med</w:t>
      </w:r>
      <w:r w:rsidR="00D51578" w:rsidRPr="00C9559D">
        <w:rPr>
          <w:sz w:val="20"/>
          <w:szCs w:val="20"/>
        </w:rPr>
        <w:t xml:space="preserve"> </w:t>
      </w:r>
      <w:proofErr w:type="spellStart"/>
      <w:r w:rsidRPr="00C9559D">
        <w:rPr>
          <w:sz w:val="20"/>
          <w:szCs w:val="20"/>
        </w:rPr>
        <w:t>Asso</w:t>
      </w:r>
      <w:proofErr w:type="spellEnd"/>
      <w:r w:rsidR="00D51578" w:rsidRPr="00C9559D">
        <w:rPr>
          <w:sz w:val="20"/>
          <w:szCs w:val="20"/>
        </w:rPr>
        <w:t xml:space="preserve"> </w:t>
      </w:r>
      <w:r w:rsidRPr="00C9559D">
        <w:rPr>
          <w:sz w:val="20"/>
          <w:szCs w:val="20"/>
        </w:rPr>
        <w:t>J</w:t>
      </w:r>
      <w:r w:rsidR="00D51578" w:rsidRPr="00C9559D">
        <w:rPr>
          <w:sz w:val="20"/>
          <w:szCs w:val="20"/>
        </w:rPr>
        <w:t xml:space="preserve"> </w:t>
      </w:r>
      <w:r w:rsidRPr="00C9559D">
        <w:rPr>
          <w:sz w:val="20"/>
          <w:szCs w:val="20"/>
        </w:rPr>
        <w:t>1925;</w:t>
      </w:r>
      <w:r w:rsidR="00D51578" w:rsidRPr="00C9559D">
        <w:rPr>
          <w:sz w:val="20"/>
          <w:szCs w:val="20"/>
        </w:rPr>
        <w:t xml:space="preserve"> </w:t>
      </w:r>
      <w:r w:rsidRPr="00C9559D">
        <w:rPr>
          <w:sz w:val="20"/>
          <w:szCs w:val="20"/>
        </w:rPr>
        <w:t>15:630-634.</w:t>
      </w:r>
      <w:r w:rsidR="00D51578" w:rsidRPr="00C9559D">
        <w:rPr>
          <w:sz w:val="20"/>
          <w:szCs w:val="20"/>
        </w:rPr>
        <w:t xml:space="preserve"> </w:t>
      </w:r>
      <w:r w:rsidRPr="00C9559D">
        <w:rPr>
          <w:sz w:val="20"/>
          <w:szCs w:val="20"/>
        </w:rPr>
        <w:t>Quoted</w:t>
      </w:r>
      <w:r w:rsidR="00D51578" w:rsidRPr="00C9559D">
        <w:rPr>
          <w:sz w:val="20"/>
          <w:szCs w:val="20"/>
        </w:rPr>
        <w:t xml:space="preserve"> </w:t>
      </w:r>
      <w:r w:rsidRPr="00C9559D">
        <w:rPr>
          <w:sz w:val="20"/>
          <w:szCs w:val="20"/>
        </w:rPr>
        <w:t>from:</w:t>
      </w:r>
      <w:r w:rsidR="00D51578" w:rsidRPr="00C9559D">
        <w:rPr>
          <w:sz w:val="20"/>
          <w:szCs w:val="20"/>
        </w:rPr>
        <w:t xml:space="preserve"> </w:t>
      </w:r>
      <w:proofErr w:type="spellStart"/>
      <w:r w:rsidRPr="00C9559D">
        <w:rPr>
          <w:sz w:val="20"/>
          <w:szCs w:val="20"/>
        </w:rPr>
        <w:t>Ogoke</w:t>
      </w:r>
      <w:proofErr w:type="spellEnd"/>
      <w:r w:rsidR="00D51578" w:rsidRPr="00C9559D">
        <w:rPr>
          <w:sz w:val="20"/>
          <w:szCs w:val="20"/>
        </w:rPr>
        <w:t xml:space="preserve"> </w:t>
      </w:r>
      <w:r w:rsidRPr="00C9559D">
        <w:rPr>
          <w:sz w:val="20"/>
          <w:szCs w:val="20"/>
        </w:rPr>
        <w:t>BA.</w:t>
      </w:r>
      <w:r w:rsidR="00D51578" w:rsidRPr="00C9559D">
        <w:rPr>
          <w:sz w:val="20"/>
          <w:szCs w:val="20"/>
        </w:rPr>
        <w:t xml:space="preserve"> </w:t>
      </w:r>
      <w:r w:rsidRPr="00C9559D">
        <w:rPr>
          <w:sz w:val="20"/>
          <w:szCs w:val="20"/>
        </w:rPr>
        <w:t>Caudal</w:t>
      </w:r>
      <w:r w:rsidR="00D51578" w:rsidRPr="00C9559D">
        <w:rPr>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w:t>
      </w:r>
      <w:r w:rsidR="00D51578" w:rsidRPr="00C9559D">
        <w:rPr>
          <w:sz w:val="20"/>
          <w:szCs w:val="20"/>
        </w:rPr>
        <w:t xml:space="preserve"> </w:t>
      </w:r>
      <w:r w:rsidRPr="00C9559D">
        <w:rPr>
          <w:sz w:val="20"/>
          <w:szCs w:val="20"/>
        </w:rPr>
        <w:t>injections.</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Physician,</w:t>
      </w:r>
      <w:r w:rsidR="00D51578" w:rsidRPr="00C9559D">
        <w:rPr>
          <w:sz w:val="20"/>
          <w:szCs w:val="20"/>
        </w:rPr>
        <w:t xml:space="preserve"> </w:t>
      </w:r>
      <w:r w:rsidRPr="00C9559D">
        <w:rPr>
          <w:sz w:val="20"/>
          <w:szCs w:val="20"/>
        </w:rPr>
        <w:t>2000;</w:t>
      </w:r>
      <w:r w:rsidR="00D51578" w:rsidRPr="00C9559D">
        <w:rPr>
          <w:sz w:val="20"/>
          <w:szCs w:val="20"/>
        </w:rPr>
        <w:t xml:space="preserve"> </w:t>
      </w:r>
      <w:r w:rsidRPr="00C9559D">
        <w:rPr>
          <w:sz w:val="20"/>
          <w:szCs w:val="20"/>
        </w:rPr>
        <w:t>3:</w:t>
      </w:r>
      <w:r w:rsidR="00D51578" w:rsidRPr="00C9559D">
        <w:rPr>
          <w:sz w:val="20"/>
          <w:szCs w:val="20"/>
        </w:rPr>
        <w:t xml:space="preserve"> </w:t>
      </w:r>
      <w:r w:rsidRPr="00C9559D">
        <w:rPr>
          <w:sz w:val="20"/>
          <w:szCs w:val="20"/>
        </w:rPr>
        <w:t>305-312.</w:t>
      </w:r>
    </w:p>
    <w:p w:rsidR="001E2F0A" w:rsidRPr="00C9559D" w:rsidRDefault="001E2F0A" w:rsidP="00E616B2">
      <w:pPr>
        <w:pStyle w:val="ListParagraph"/>
        <w:numPr>
          <w:ilvl w:val="0"/>
          <w:numId w:val="10"/>
        </w:numPr>
        <w:snapToGrid w:val="0"/>
        <w:ind w:left="425" w:firstLineChars="0" w:hanging="425"/>
        <w:jc w:val="both"/>
        <w:rPr>
          <w:sz w:val="20"/>
          <w:szCs w:val="20"/>
        </w:rPr>
      </w:pPr>
      <w:r w:rsidRPr="00C9559D">
        <w:rPr>
          <w:bCs/>
          <w:sz w:val="20"/>
          <w:szCs w:val="20"/>
        </w:rPr>
        <w:t>Wilkinson</w:t>
      </w:r>
      <w:r w:rsidR="00D51578" w:rsidRPr="00C9559D">
        <w:rPr>
          <w:bCs/>
          <w:sz w:val="20"/>
          <w:szCs w:val="20"/>
        </w:rPr>
        <w:t xml:space="preserve"> </w:t>
      </w:r>
      <w:r w:rsidRPr="00C9559D">
        <w:rPr>
          <w:bCs/>
          <w:sz w:val="20"/>
          <w:szCs w:val="20"/>
        </w:rPr>
        <w:t>I,</w:t>
      </w:r>
      <w:r w:rsidR="00D51578" w:rsidRPr="00C9559D">
        <w:rPr>
          <w:bCs/>
          <w:sz w:val="20"/>
          <w:szCs w:val="20"/>
        </w:rPr>
        <w:t xml:space="preserve"> </w:t>
      </w:r>
      <w:r w:rsidRPr="00C9559D">
        <w:rPr>
          <w:bCs/>
          <w:sz w:val="20"/>
          <w:szCs w:val="20"/>
        </w:rPr>
        <w:t>Cohen</w:t>
      </w:r>
      <w:r w:rsidR="00D51578" w:rsidRPr="00C9559D">
        <w:rPr>
          <w:bCs/>
          <w:sz w:val="20"/>
          <w:szCs w:val="20"/>
        </w:rPr>
        <w:t xml:space="preserve"> </w:t>
      </w:r>
      <w:r w:rsidRPr="00C9559D">
        <w:rPr>
          <w:bCs/>
          <w:sz w:val="20"/>
          <w:szCs w:val="20"/>
        </w:rPr>
        <w:t>S.</w:t>
      </w:r>
      <w:r w:rsidR="00D51578" w:rsidRPr="00C9559D">
        <w:rPr>
          <w:bCs/>
          <w:sz w:val="20"/>
          <w:szCs w:val="20"/>
        </w:rPr>
        <w:t xml:space="preserve"> </w:t>
      </w:r>
      <w:r w:rsidRPr="00C9559D">
        <w:rPr>
          <w:sz w:val="20"/>
          <w:szCs w:val="20"/>
        </w:rPr>
        <w:t>Epidural</w:t>
      </w:r>
      <w:r w:rsidR="00D51578" w:rsidRPr="00C9559D">
        <w:rPr>
          <w:sz w:val="20"/>
          <w:szCs w:val="20"/>
        </w:rPr>
        <w:t xml:space="preserve"> </w:t>
      </w:r>
      <w:r w:rsidRPr="00C9559D">
        <w:rPr>
          <w:sz w:val="20"/>
          <w:szCs w:val="20"/>
        </w:rPr>
        <w:t>steroids</w:t>
      </w:r>
      <w:r w:rsidR="00D51578" w:rsidRPr="00C9559D">
        <w:rPr>
          <w:sz w:val="20"/>
          <w:szCs w:val="20"/>
        </w:rPr>
        <w:t xml:space="preserve"> </w:t>
      </w:r>
      <w:r w:rsidRPr="00C9559D">
        <w:rPr>
          <w:sz w:val="20"/>
          <w:szCs w:val="20"/>
        </w:rPr>
        <w:t>for</w:t>
      </w:r>
      <w:r w:rsidR="00D51578" w:rsidRPr="00C9559D">
        <w:rPr>
          <w:sz w:val="20"/>
          <w:szCs w:val="20"/>
        </w:rPr>
        <w:t xml:space="preserve"> </w:t>
      </w:r>
      <w:r w:rsidRPr="00C9559D">
        <w:rPr>
          <w:sz w:val="20"/>
          <w:szCs w:val="20"/>
        </w:rPr>
        <w:t>spinal</w:t>
      </w:r>
      <w:r w:rsidR="00D51578" w:rsidRPr="00C9559D">
        <w:rPr>
          <w:sz w:val="20"/>
          <w:szCs w:val="20"/>
        </w:rPr>
        <w:t xml:space="preserve"> </w:t>
      </w:r>
      <w:r w:rsidRPr="00C9559D">
        <w:rPr>
          <w:sz w:val="20"/>
          <w:szCs w:val="20"/>
        </w:rPr>
        <w:t>pain</w:t>
      </w:r>
      <w:r w:rsidR="00D51578" w:rsidRPr="00C9559D">
        <w:rPr>
          <w:sz w:val="20"/>
          <w:szCs w:val="20"/>
        </w:rPr>
        <w:t xml:space="preserve"> </w:t>
      </w:r>
      <w:r w:rsidRPr="00C9559D">
        <w:rPr>
          <w:sz w:val="20"/>
          <w:szCs w:val="20"/>
        </w:rPr>
        <w:t>and</w:t>
      </w:r>
      <w:r w:rsidR="00D51578" w:rsidRPr="00C9559D">
        <w:rPr>
          <w:sz w:val="20"/>
          <w:szCs w:val="20"/>
        </w:rPr>
        <w:t xml:space="preserve"> </w:t>
      </w:r>
      <w:proofErr w:type="spellStart"/>
      <w:r w:rsidRPr="00C9559D">
        <w:rPr>
          <w:sz w:val="20"/>
          <w:szCs w:val="20"/>
        </w:rPr>
        <w:t>radiculopathy</w:t>
      </w:r>
      <w:proofErr w:type="spellEnd"/>
      <w:r w:rsidRPr="00C9559D">
        <w:rPr>
          <w:sz w:val="20"/>
          <w:szCs w:val="20"/>
        </w:rPr>
        <w:t>:</w:t>
      </w:r>
      <w:r w:rsidR="00D51578" w:rsidRPr="00C9559D">
        <w:rPr>
          <w:sz w:val="20"/>
          <w:szCs w:val="20"/>
        </w:rPr>
        <w:t xml:space="preserve"> </w:t>
      </w:r>
      <w:r w:rsidRPr="00C9559D">
        <w:rPr>
          <w:sz w:val="20"/>
          <w:szCs w:val="20"/>
        </w:rPr>
        <w:t>a</w:t>
      </w:r>
      <w:r w:rsidR="00D51578" w:rsidRPr="00C9559D">
        <w:rPr>
          <w:sz w:val="20"/>
          <w:szCs w:val="20"/>
        </w:rPr>
        <w:t xml:space="preserve"> </w:t>
      </w:r>
      <w:r w:rsidRPr="00C9559D">
        <w:rPr>
          <w:sz w:val="20"/>
          <w:szCs w:val="20"/>
        </w:rPr>
        <w:t>narrative,</w:t>
      </w:r>
      <w:r w:rsidR="00D51578" w:rsidRPr="00C9559D">
        <w:rPr>
          <w:sz w:val="20"/>
          <w:szCs w:val="20"/>
        </w:rPr>
        <w:t xml:space="preserve"> </w:t>
      </w:r>
      <w:r w:rsidRPr="00C9559D">
        <w:rPr>
          <w:sz w:val="20"/>
          <w:szCs w:val="20"/>
        </w:rPr>
        <w:t>evidence-based</w:t>
      </w:r>
      <w:r w:rsidR="00D51578" w:rsidRPr="00C9559D">
        <w:rPr>
          <w:sz w:val="20"/>
          <w:szCs w:val="20"/>
        </w:rPr>
        <w:t xml:space="preserve"> </w:t>
      </w:r>
      <w:r w:rsidRPr="00C9559D">
        <w:rPr>
          <w:sz w:val="20"/>
          <w:szCs w:val="20"/>
        </w:rPr>
        <w:t>review.</w:t>
      </w:r>
      <w:r w:rsidR="00D51578" w:rsidRPr="00C9559D">
        <w:rPr>
          <w:sz w:val="20"/>
          <w:szCs w:val="20"/>
        </w:rPr>
        <w:t xml:space="preserve"> </w:t>
      </w:r>
      <w:proofErr w:type="spellStart"/>
      <w:r w:rsidRPr="00C9559D">
        <w:rPr>
          <w:sz w:val="20"/>
          <w:szCs w:val="20"/>
        </w:rPr>
        <w:t>Curr</w:t>
      </w:r>
      <w:proofErr w:type="spellEnd"/>
      <w:r w:rsidR="00D51578" w:rsidRPr="00C9559D">
        <w:rPr>
          <w:sz w:val="20"/>
          <w:szCs w:val="20"/>
        </w:rPr>
        <w:t xml:space="preserve"> </w:t>
      </w:r>
      <w:proofErr w:type="spellStart"/>
      <w:r w:rsidRPr="00C9559D">
        <w:rPr>
          <w:sz w:val="20"/>
          <w:szCs w:val="20"/>
        </w:rPr>
        <w:t>Opin</w:t>
      </w:r>
      <w:proofErr w:type="spellEnd"/>
      <w:r w:rsidR="00D51578" w:rsidRPr="00C9559D">
        <w:rPr>
          <w:sz w:val="20"/>
          <w:szCs w:val="20"/>
        </w:rPr>
        <w:t xml:space="preserve"> </w:t>
      </w:r>
      <w:proofErr w:type="spellStart"/>
      <w:r w:rsidRPr="00C9559D">
        <w:rPr>
          <w:sz w:val="20"/>
          <w:szCs w:val="20"/>
        </w:rPr>
        <w:t>Anesthesiol</w:t>
      </w:r>
      <w:proofErr w:type="spellEnd"/>
      <w:r w:rsidRPr="00C9559D">
        <w:rPr>
          <w:sz w:val="20"/>
          <w:szCs w:val="20"/>
        </w:rPr>
        <w:t>,</w:t>
      </w:r>
      <w:r w:rsidR="00D51578" w:rsidRPr="00C9559D">
        <w:rPr>
          <w:sz w:val="20"/>
          <w:szCs w:val="20"/>
        </w:rPr>
        <w:t xml:space="preserve"> </w:t>
      </w:r>
      <w:r w:rsidRPr="00C9559D">
        <w:rPr>
          <w:sz w:val="20"/>
          <w:szCs w:val="20"/>
        </w:rPr>
        <w:t>2013;</w:t>
      </w:r>
      <w:r w:rsidR="00D51578" w:rsidRPr="00C9559D">
        <w:rPr>
          <w:sz w:val="20"/>
          <w:szCs w:val="20"/>
        </w:rPr>
        <w:t xml:space="preserve"> </w:t>
      </w:r>
      <w:r w:rsidRPr="00C9559D">
        <w:rPr>
          <w:sz w:val="20"/>
          <w:szCs w:val="20"/>
        </w:rPr>
        <w:t>26:</w:t>
      </w:r>
      <w:r w:rsidR="00D51578" w:rsidRPr="00C9559D">
        <w:rPr>
          <w:sz w:val="20"/>
          <w:szCs w:val="20"/>
        </w:rPr>
        <w:t xml:space="preserve"> </w:t>
      </w:r>
      <w:r w:rsidRPr="00C9559D">
        <w:rPr>
          <w:sz w:val="20"/>
          <w:szCs w:val="20"/>
        </w:rPr>
        <w:t>562–572.</w:t>
      </w:r>
    </w:p>
    <w:p w:rsidR="00E616B2" w:rsidRPr="00C9559D" w:rsidRDefault="00E616B2" w:rsidP="00E616B2">
      <w:pPr>
        <w:snapToGrid w:val="0"/>
        <w:ind w:left="425" w:hanging="425"/>
        <w:jc w:val="both"/>
        <w:rPr>
          <w:sz w:val="20"/>
          <w:szCs w:val="20"/>
        </w:rPr>
        <w:sectPr w:rsidR="00E616B2" w:rsidRPr="00C9559D" w:rsidSect="00E616B2">
          <w:type w:val="continuous"/>
          <w:pgSz w:w="12240" w:h="15840" w:code="9"/>
          <w:pgMar w:top="1440" w:right="1440" w:bottom="1440" w:left="1440" w:header="720" w:footer="720" w:gutter="0"/>
          <w:cols w:num="2" w:space="600"/>
          <w:docGrid w:linePitch="360"/>
        </w:sectPr>
      </w:pPr>
    </w:p>
    <w:p w:rsidR="00D51578" w:rsidRPr="00C9559D" w:rsidRDefault="00E616B2" w:rsidP="00E616B2">
      <w:pPr>
        <w:snapToGrid w:val="0"/>
        <w:ind w:left="425" w:hanging="425"/>
        <w:jc w:val="both"/>
        <w:rPr>
          <w:sz w:val="20"/>
          <w:szCs w:val="20"/>
          <w:lang w:eastAsia="zh-CN"/>
        </w:rPr>
      </w:pPr>
      <w:r w:rsidRPr="00C9559D">
        <w:rPr>
          <w:rFonts w:hint="eastAsia"/>
          <w:sz w:val="20"/>
          <w:szCs w:val="20"/>
          <w:lang w:eastAsia="zh-CN"/>
        </w:rPr>
        <w:lastRenderedPageBreak/>
        <w:t xml:space="preserve"> </w:t>
      </w:r>
    </w:p>
    <w:p w:rsidR="00A07C1E" w:rsidRPr="00C9559D" w:rsidRDefault="00D51578" w:rsidP="00E616B2">
      <w:pPr>
        <w:snapToGrid w:val="0"/>
        <w:jc w:val="both"/>
        <w:rPr>
          <w:sz w:val="20"/>
          <w:szCs w:val="20"/>
        </w:rPr>
      </w:pPr>
      <w:r w:rsidRPr="00C9559D">
        <w:rPr>
          <w:sz w:val="20"/>
          <w:szCs w:val="20"/>
        </w:rPr>
        <w:t>7/7/2019</w:t>
      </w:r>
    </w:p>
    <w:sectPr w:rsidR="00A07C1E" w:rsidRPr="00C9559D" w:rsidSect="00D51578">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D9" w:rsidRDefault="006858D9">
      <w:r>
        <w:separator/>
      </w:r>
    </w:p>
  </w:endnote>
  <w:endnote w:type="continuationSeparator" w:id="0">
    <w:p w:rsidR="006858D9" w:rsidRDefault="00685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0A" w:rsidRDefault="00FA4FCE" w:rsidP="002C67DB">
    <w:pPr>
      <w:pStyle w:val="Footer"/>
      <w:framePr w:wrap="around" w:vAnchor="text" w:hAnchor="margin" w:xAlign="center" w:y="1"/>
      <w:rPr>
        <w:rStyle w:val="PageNumber"/>
      </w:rPr>
    </w:pPr>
    <w:r>
      <w:rPr>
        <w:rStyle w:val="PageNumber"/>
      </w:rPr>
      <w:fldChar w:fldCharType="begin"/>
    </w:r>
    <w:r w:rsidR="001E2F0A">
      <w:rPr>
        <w:rStyle w:val="PageNumber"/>
      </w:rPr>
      <w:instrText xml:space="preserve">PAGE  </w:instrText>
    </w:r>
    <w:r>
      <w:rPr>
        <w:rStyle w:val="PageNumber"/>
      </w:rPr>
      <w:fldChar w:fldCharType="end"/>
    </w:r>
  </w:p>
  <w:p w:rsidR="001E2F0A" w:rsidRDefault="001E2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0A" w:rsidRPr="00EC06D7" w:rsidRDefault="00FA4FCE" w:rsidP="00EC06D7">
    <w:pPr>
      <w:jc w:val="center"/>
      <w:rPr>
        <w:sz w:val="20"/>
      </w:rPr>
    </w:pPr>
    <w:r w:rsidRPr="00EC06D7">
      <w:rPr>
        <w:sz w:val="20"/>
      </w:rPr>
      <w:fldChar w:fldCharType="begin"/>
    </w:r>
    <w:r w:rsidR="00EC06D7" w:rsidRPr="00EC06D7">
      <w:rPr>
        <w:sz w:val="20"/>
      </w:rPr>
      <w:instrText xml:space="preserve"> page </w:instrText>
    </w:r>
    <w:r w:rsidRPr="00EC06D7">
      <w:rPr>
        <w:sz w:val="20"/>
      </w:rPr>
      <w:fldChar w:fldCharType="separate"/>
    </w:r>
    <w:r w:rsidR="00C9559D">
      <w:rPr>
        <w:noProof/>
        <w:sz w:val="20"/>
      </w:rPr>
      <w:t>50</w:t>
    </w:r>
    <w:r w:rsidRPr="00EC06D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D9" w:rsidRDefault="006858D9">
      <w:r>
        <w:separator/>
      </w:r>
    </w:p>
  </w:footnote>
  <w:footnote w:type="continuationSeparator" w:id="0">
    <w:p w:rsidR="006858D9" w:rsidRDefault="00685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D7" w:rsidRPr="00EC06D7" w:rsidRDefault="00EC06D7" w:rsidP="00EC06D7">
    <w:pPr>
      <w:pBdr>
        <w:bottom w:val="thinThickMediumGap" w:sz="12" w:space="1" w:color="auto"/>
      </w:pBdr>
      <w:tabs>
        <w:tab w:val="left" w:pos="851"/>
        <w:tab w:val="right" w:pos="8364"/>
      </w:tabs>
      <w:adjustRightInd w:val="0"/>
      <w:snapToGrid w:val="0"/>
      <w:jc w:val="both"/>
      <w:rPr>
        <w:iCs/>
        <w:sz w:val="20"/>
        <w:szCs w:val="20"/>
      </w:rPr>
    </w:pPr>
    <w:r w:rsidRPr="00EC06D7">
      <w:rPr>
        <w:rFonts w:hint="eastAsia"/>
        <w:iCs/>
        <w:color w:val="000000"/>
        <w:sz w:val="20"/>
        <w:szCs w:val="20"/>
      </w:rPr>
      <w:tab/>
    </w:r>
    <w:r w:rsidRPr="00EC06D7">
      <w:rPr>
        <w:iCs/>
        <w:color w:val="000000"/>
        <w:sz w:val="20"/>
        <w:szCs w:val="20"/>
      </w:rPr>
      <w:t xml:space="preserve">Researcher </w:t>
    </w:r>
    <w:r w:rsidRPr="00EC06D7">
      <w:rPr>
        <w:iCs/>
        <w:sz w:val="20"/>
        <w:szCs w:val="20"/>
      </w:rPr>
      <w:t>201</w:t>
    </w:r>
    <w:r w:rsidRPr="00EC06D7">
      <w:rPr>
        <w:rFonts w:hint="eastAsia"/>
        <w:iCs/>
        <w:sz w:val="20"/>
        <w:szCs w:val="20"/>
      </w:rPr>
      <w:t>9</w:t>
    </w:r>
    <w:r w:rsidRPr="00EC06D7">
      <w:rPr>
        <w:iCs/>
        <w:sz w:val="20"/>
        <w:szCs w:val="20"/>
      </w:rPr>
      <w:t>;</w:t>
    </w:r>
    <w:r w:rsidRPr="00EC06D7">
      <w:rPr>
        <w:rFonts w:hint="eastAsia"/>
        <w:iCs/>
        <w:sz w:val="20"/>
        <w:szCs w:val="20"/>
      </w:rPr>
      <w:t>11</w:t>
    </w:r>
    <w:r w:rsidRPr="00EC06D7">
      <w:rPr>
        <w:iCs/>
        <w:sz w:val="20"/>
        <w:szCs w:val="20"/>
      </w:rPr>
      <w:t>(</w:t>
    </w:r>
    <w:r w:rsidRPr="00EC06D7">
      <w:rPr>
        <w:rFonts w:hint="eastAsia"/>
        <w:iCs/>
        <w:sz w:val="20"/>
        <w:szCs w:val="20"/>
      </w:rPr>
      <w:t>7</w:t>
    </w:r>
    <w:r w:rsidRPr="00EC06D7">
      <w:rPr>
        <w:iCs/>
        <w:sz w:val="20"/>
        <w:szCs w:val="20"/>
      </w:rPr>
      <w:t xml:space="preserve">)  </w:t>
    </w:r>
    <w:r w:rsidRPr="00EC06D7">
      <w:rPr>
        <w:rFonts w:hint="eastAsia"/>
        <w:iCs/>
        <w:sz w:val="20"/>
        <w:szCs w:val="20"/>
      </w:rPr>
      <w:t xml:space="preserve"> </w:t>
    </w:r>
    <w:r w:rsidRPr="00EC06D7">
      <w:rPr>
        <w:iCs/>
        <w:sz w:val="20"/>
        <w:szCs w:val="20"/>
      </w:rPr>
      <w:t xml:space="preserve"> </w:t>
    </w:r>
    <w:r w:rsidRPr="00EC06D7">
      <w:rPr>
        <w:rFonts w:hint="eastAsia"/>
        <w:iCs/>
        <w:sz w:val="20"/>
        <w:szCs w:val="20"/>
      </w:rPr>
      <w:tab/>
    </w:r>
    <w:r w:rsidRPr="00EC06D7">
      <w:rPr>
        <w:iCs/>
        <w:sz w:val="20"/>
        <w:szCs w:val="20"/>
      </w:rPr>
      <w:t xml:space="preserve">    </w:t>
    </w:r>
    <w:r w:rsidRPr="00EC06D7">
      <w:rPr>
        <w:sz w:val="20"/>
        <w:szCs w:val="20"/>
      </w:rPr>
      <w:t xml:space="preserve"> </w:t>
    </w:r>
    <w:hyperlink r:id="rId1" w:history="1">
      <w:r w:rsidRPr="00EC06D7">
        <w:rPr>
          <w:rStyle w:val="Hyperlink"/>
          <w:sz w:val="20"/>
          <w:szCs w:val="20"/>
        </w:rPr>
        <w:t>http://www.sciencepub.net/researcher</w:t>
      </w:r>
    </w:hyperlink>
    <w:r w:rsidRPr="00EC06D7">
      <w:rPr>
        <w:rFonts w:hint="eastAsia"/>
        <w:sz w:val="20"/>
      </w:rPr>
      <w:t xml:space="preserve">   </w:t>
    </w:r>
    <w:r w:rsidRPr="00EC06D7">
      <w:rPr>
        <w:rFonts w:hint="eastAsia"/>
        <w:b/>
        <w:i/>
        <w:color w:val="FF0000"/>
        <w:sz w:val="20"/>
        <w:szCs w:val="20"/>
        <w:bdr w:val="single" w:sz="4" w:space="0" w:color="FF0000"/>
      </w:rPr>
      <w:t>RSJ</w:t>
    </w:r>
  </w:p>
  <w:p w:rsidR="00EC06D7" w:rsidRPr="00EC06D7" w:rsidRDefault="00EC06D7" w:rsidP="00EC06D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4D01AEC"/>
    <w:lvl w:ilvl="0" w:tplc="4A7E4632">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1585F45"/>
    <w:multiLevelType w:val="hybridMultilevel"/>
    <w:tmpl w:val="2C308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466E1E"/>
    <w:multiLevelType w:val="hybridMultilevel"/>
    <w:tmpl w:val="09B0E1CA"/>
    <w:lvl w:ilvl="0" w:tplc="0409000F">
      <w:start w:val="1"/>
      <w:numFmt w:val="decimal"/>
      <w:lvlText w:val="%1."/>
      <w:lvlJc w:val="left"/>
      <w:pPr>
        <w:ind w:left="720" w:hanging="360"/>
      </w:pPr>
    </w:lvl>
    <w:lvl w:ilvl="1" w:tplc="8F22B6B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27DD4"/>
    <w:multiLevelType w:val="hybridMultilevel"/>
    <w:tmpl w:val="47747EE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E4C3132"/>
    <w:multiLevelType w:val="hybridMultilevel"/>
    <w:tmpl w:val="BBA2E31C"/>
    <w:lvl w:ilvl="0" w:tplc="915E5578">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72B0277"/>
    <w:multiLevelType w:val="hybridMultilevel"/>
    <w:tmpl w:val="6440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11F18"/>
    <w:multiLevelType w:val="hybridMultilevel"/>
    <w:tmpl w:val="75E2F7F6"/>
    <w:lvl w:ilvl="0" w:tplc="197279A6">
      <w:start w:val="1"/>
      <w:numFmt w:val="lowerRoman"/>
      <w:lvlText w:val="%1."/>
      <w:lvlJc w:val="left"/>
      <w:pPr>
        <w:ind w:left="360" w:hanging="360"/>
      </w:pPr>
      <w:rPr>
        <w:rFonts w:hint="default"/>
        <w:b w:val="0"/>
        <w:bCs/>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1DF5139"/>
    <w:multiLevelType w:val="hybridMultilevel"/>
    <w:tmpl w:val="25E4FAF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C0CA91EA">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BC41B7"/>
    <w:multiLevelType w:val="hybridMultilevel"/>
    <w:tmpl w:val="431281EA"/>
    <w:lvl w:ilvl="0" w:tplc="85A201CA">
      <w:start w:val="1"/>
      <w:numFmt w:val="decimal"/>
      <w:lvlText w:val="%1."/>
      <w:lvlJc w:val="left"/>
      <w:pPr>
        <w:ind w:left="360" w:hanging="360"/>
      </w:pPr>
      <w:rPr>
        <w:rFonts w:ascii="Times New Roman" w:hAnsi="Times New Roman" w:cs="Times New Roman" w:hint="default"/>
        <w:b w:val="0"/>
        <w:bCs/>
        <w:i w:val="0"/>
        <w:iCs w:val="0"/>
        <w:spacing w:val="0"/>
        <w:w w:val="100"/>
        <w:kern w:val="0"/>
        <w:position w:val="0"/>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7344C3"/>
    <w:rsid w:val="00001CFB"/>
    <w:rsid w:val="00022C5D"/>
    <w:rsid w:val="00023EB8"/>
    <w:rsid w:val="000332CB"/>
    <w:rsid w:val="00074109"/>
    <w:rsid w:val="00125369"/>
    <w:rsid w:val="001C2345"/>
    <w:rsid w:val="001E26DA"/>
    <w:rsid w:val="001E2F0A"/>
    <w:rsid w:val="00212940"/>
    <w:rsid w:val="00275348"/>
    <w:rsid w:val="002C67DB"/>
    <w:rsid w:val="003815F6"/>
    <w:rsid w:val="003E2BC3"/>
    <w:rsid w:val="004032B4"/>
    <w:rsid w:val="00414D55"/>
    <w:rsid w:val="00426DBC"/>
    <w:rsid w:val="00465094"/>
    <w:rsid w:val="00483D8A"/>
    <w:rsid w:val="004D52F3"/>
    <w:rsid w:val="005244F9"/>
    <w:rsid w:val="00553251"/>
    <w:rsid w:val="005C2415"/>
    <w:rsid w:val="005C6E5C"/>
    <w:rsid w:val="006858D9"/>
    <w:rsid w:val="00696747"/>
    <w:rsid w:val="006D2D71"/>
    <w:rsid w:val="00704D0A"/>
    <w:rsid w:val="007344C3"/>
    <w:rsid w:val="00745BFE"/>
    <w:rsid w:val="00764D93"/>
    <w:rsid w:val="007A2306"/>
    <w:rsid w:val="007B216D"/>
    <w:rsid w:val="00855C94"/>
    <w:rsid w:val="008D59A8"/>
    <w:rsid w:val="00905775"/>
    <w:rsid w:val="00914473"/>
    <w:rsid w:val="00926EC3"/>
    <w:rsid w:val="00961F1D"/>
    <w:rsid w:val="00996925"/>
    <w:rsid w:val="00A07C1E"/>
    <w:rsid w:val="00A10504"/>
    <w:rsid w:val="00A3451A"/>
    <w:rsid w:val="00A36E4A"/>
    <w:rsid w:val="00A51C25"/>
    <w:rsid w:val="00AF5077"/>
    <w:rsid w:val="00B005FB"/>
    <w:rsid w:val="00B05F02"/>
    <w:rsid w:val="00B45EB8"/>
    <w:rsid w:val="00B84556"/>
    <w:rsid w:val="00BA1454"/>
    <w:rsid w:val="00BA1DE4"/>
    <w:rsid w:val="00BA69DB"/>
    <w:rsid w:val="00BC272E"/>
    <w:rsid w:val="00BC349F"/>
    <w:rsid w:val="00BC7F1F"/>
    <w:rsid w:val="00BD7F25"/>
    <w:rsid w:val="00BE19B6"/>
    <w:rsid w:val="00BF587C"/>
    <w:rsid w:val="00C506F4"/>
    <w:rsid w:val="00C60E87"/>
    <w:rsid w:val="00C7442C"/>
    <w:rsid w:val="00C93B4D"/>
    <w:rsid w:val="00C9559D"/>
    <w:rsid w:val="00CB2CC9"/>
    <w:rsid w:val="00CB2EF2"/>
    <w:rsid w:val="00D16724"/>
    <w:rsid w:val="00D377CF"/>
    <w:rsid w:val="00D51578"/>
    <w:rsid w:val="00DB58E2"/>
    <w:rsid w:val="00DC26DB"/>
    <w:rsid w:val="00E437FA"/>
    <w:rsid w:val="00E438F0"/>
    <w:rsid w:val="00E616B2"/>
    <w:rsid w:val="00E6792C"/>
    <w:rsid w:val="00E84D52"/>
    <w:rsid w:val="00E956E3"/>
    <w:rsid w:val="00EA0D94"/>
    <w:rsid w:val="00EC06D7"/>
    <w:rsid w:val="00F017AB"/>
    <w:rsid w:val="00F131A5"/>
    <w:rsid w:val="00F275D5"/>
    <w:rsid w:val="00F32022"/>
    <w:rsid w:val="00F42EC1"/>
    <w:rsid w:val="00F606FC"/>
    <w:rsid w:val="00FA4FCE"/>
    <w:rsid w:val="00FC4EE8"/>
    <w:rsid w:val="00FD3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92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7F1F"/>
    <w:pPr>
      <w:tabs>
        <w:tab w:val="center" w:pos="4320"/>
        <w:tab w:val="right" w:pos="8640"/>
      </w:tabs>
    </w:pPr>
  </w:style>
  <w:style w:type="paragraph" w:styleId="Footer">
    <w:name w:val="footer"/>
    <w:basedOn w:val="Normal"/>
    <w:rsid w:val="00BC7F1F"/>
    <w:pPr>
      <w:tabs>
        <w:tab w:val="center" w:pos="4320"/>
        <w:tab w:val="right" w:pos="8640"/>
      </w:tabs>
    </w:pPr>
  </w:style>
  <w:style w:type="character" w:styleId="PageNumber">
    <w:name w:val="page number"/>
    <w:basedOn w:val="DefaultParagraphFont"/>
    <w:rsid w:val="00BC7F1F"/>
  </w:style>
  <w:style w:type="character" w:styleId="Hyperlink">
    <w:name w:val="Hyperlink"/>
    <w:basedOn w:val="DefaultParagraphFont"/>
    <w:uiPriority w:val="99"/>
    <w:rsid w:val="00BD7F25"/>
    <w:rPr>
      <w:color w:val="0000FF"/>
      <w:u w:val="single"/>
    </w:rPr>
  </w:style>
  <w:style w:type="paragraph" w:styleId="ListParagraph">
    <w:name w:val="List Paragraph"/>
    <w:basedOn w:val="Normal"/>
    <w:uiPriority w:val="34"/>
    <w:qFormat/>
    <w:rsid w:val="00E616B2"/>
    <w:pPr>
      <w:ind w:firstLineChars="200" w:firstLine="420"/>
    </w:pPr>
  </w:style>
</w:styles>
</file>

<file path=word/webSettings.xml><?xml version="1.0" encoding="utf-8"?>
<w:webSettings xmlns:r="http://schemas.openxmlformats.org/officeDocument/2006/relationships" xmlns:w="http://schemas.openxmlformats.org/wordprocessingml/2006/main">
  <w:divs>
    <w:div w:id="110330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jedalantably@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719.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Introduction</vt:lpstr>
    </vt:vector>
  </TitlesOfParts>
  <Company>Sky123.Org</Company>
  <LinksUpToDate>false</LinksUpToDate>
  <CharactersWithSpaces>40414</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917544</vt:i4>
      </vt:variant>
      <vt:variant>
        <vt:i4>0</vt:i4>
      </vt:variant>
      <vt:variant>
        <vt:i4>0</vt:i4>
      </vt:variant>
      <vt:variant>
        <vt:i4>5</vt:i4>
      </vt:variant>
      <vt:variant>
        <vt:lpwstr>mailto:hajedalantably@gmail.com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WAEL</dc:creator>
  <cp:lastModifiedBy>Administrator</cp:lastModifiedBy>
  <cp:revision>3</cp:revision>
  <cp:lastPrinted>2019-07-08T14:48:00Z</cp:lastPrinted>
  <dcterms:created xsi:type="dcterms:W3CDTF">2019-07-09T14:08:00Z</dcterms:created>
  <dcterms:modified xsi:type="dcterms:W3CDTF">2019-07-10T22:44:00Z</dcterms:modified>
</cp:coreProperties>
</file>