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BD" w:rsidRPr="00AD6CC7" w:rsidRDefault="002C0D7B" w:rsidP="00AD6CC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6CC7">
        <w:rPr>
          <w:rFonts w:ascii="Times New Roman" w:hAnsi="Times New Roman" w:cs="Times New Roman"/>
          <w:b/>
          <w:bCs/>
          <w:sz w:val="20"/>
          <w:szCs w:val="20"/>
        </w:rPr>
        <w:t>Nano antibodies</w:t>
      </w:r>
      <w:r w:rsidR="001A77C3" w:rsidRP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021C1" w:rsidRPr="00AD6CC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F351A7" w:rsidRPr="00AD6CC7">
        <w:rPr>
          <w:rFonts w:ascii="Times New Roman" w:hAnsi="Times New Roman" w:cs="Times New Roman"/>
          <w:b/>
          <w:bCs/>
          <w:sz w:val="20"/>
          <w:szCs w:val="20"/>
        </w:rPr>
        <w:t>Single-domain antibodies</w:t>
      </w:r>
      <w:r w:rsidR="007021C1" w:rsidRPr="00AD6CC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A77C3" w:rsidRPr="00AD6CC7">
        <w:rPr>
          <w:rFonts w:ascii="Times New Roman" w:hAnsi="Times New Roman" w:cs="Times New Roman"/>
          <w:b/>
          <w:bCs/>
          <w:sz w:val="20"/>
          <w:szCs w:val="20"/>
        </w:rPr>
        <w:t xml:space="preserve"> in</w:t>
      </w:r>
      <w:r w:rsidR="003F11EC" w:rsidRPr="00AD6CC7">
        <w:rPr>
          <w:rFonts w:ascii="Times New Roman" w:hAnsi="Times New Roman" w:cs="Times New Roman"/>
          <w:b/>
          <w:bCs/>
          <w:sz w:val="20"/>
          <w:szCs w:val="20"/>
        </w:rPr>
        <w:t xml:space="preserve"> Arabian camels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38F6" w:rsidRPr="00AD6CC7">
        <w:rPr>
          <w:rFonts w:ascii="Times New Roman" w:hAnsi="Times New Roman" w:cs="Times New Roman"/>
          <w:b/>
          <w:bCs/>
          <w:sz w:val="20"/>
          <w:szCs w:val="20"/>
        </w:rPr>
        <w:t>(S</w:t>
      </w:r>
      <w:r w:rsidR="003F11EC" w:rsidRPr="00AD6CC7">
        <w:rPr>
          <w:rFonts w:ascii="Times New Roman" w:hAnsi="Times New Roman" w:cs="Times New Roman"/>
          <w:b/>
          <w:bCs/>
          <w:sz w:val="20"/>
          <w:szCs w:val="20"/>
        </w:rPr>
        <w:t>ingle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11EC" w:rsidRPr="00AD6CC7">
        <w:rPr>
          <w:rFonts w:ascii="Times New Roman" w:hAnsi="Times New Roman" w:cs="Times New Roman"/>
          <w:b/>
          <w:bCs/>
          <w:sz w:val="20"/>
          <w:szCs w:val="20"/>
        </w:rPr>
        <w:t>hump)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0C1F" w:rsidRPr="00AD6CC7">
        <w:rPr>
          <w:rFonts w:ascii="Times New Roman" w:hAnsi="Times New Roman" w:cs="Times New Roman"/>
          <w:b/>
          <w:bCs/>
          <w:sz w:val="20"/>
          <w:szCs w:val="20"/>
        </w:rPr>
        <w:t>milk,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0C1F" w:rsidRPr="00AD6CC7">
        <w:rPr>
          <w:rFonts w:ascii="Times New Roman" w:hAnsi="Times New Roman" w:cs="Times New Roman"/>
          <w:b/>
          <w:bCs/>
          <w:sz w:val="20"/>
          <w:szCs w:val="20"/>
        </w:rPr>
        <w:t>diagnostic,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08E0" w:rsidRPr="00AD6CC7">
        <w:rPr>
          <w:rFonts w:ascii="Times New Roman" w:hAnsi="Times New Roman" w:cs="Times New Roman"/>
          <w:b/>
          <w:bCs/>
          <w:sz w:val="20"/>
          <w:szCs w:val="20"/>
        </w:rPr>
        <w:t>therapeutic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08E0" w:rsidRPr="00AD6CC7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08E0" w:rsidRPr="00AD6CC7">
        <w:rPr>
          <w:rFonts w:ascii="Times New Roman" w:hAnsi="Times New Roman" w:cs="Times New Roman"/>
          <w:b/>
          <w:bCs/>
          <w:sz w:val="20"/>
          <w:szCs w:val="20"/>
        </w:rPr>
        <w:t>medical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38F6" w:rsidRPr="00AD6CC7">
        <w:rPr>
          <w:rFonts w:ascii="Times New Roman" w:hAnsi="Times New Roman" w:cs="Times New Roman"/>
          <w:b/>
          <w:bCs/>
          <w:sz w:val="20"/>
          <w:szCs w:val="20"/>
        </w:rPr>
        <w:t>functions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63E1F" w:rsidRPr="00AD6CC7">
        <w:rPr>
          <w:rFonts w:ascii="Times New Roman" w:hAnsi="Times New Roman" w:cs="Times New Roman"/>
          <w:b/>
          <w:bCs/>
          <w:sz w:val="20"/>
          <w:szCs w:val="20"/>
        </w:rPr>
        <w:t>(Review</w:t>
      </w:r>
      <w:r w:rsidR="00373B94" w:rsidRPr="00AD6CC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9202BD" w:rsidRPr="00AD6CC7" w:rsidRDefault="009202BD" w:rsidP="00AD6CC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02BD" w:rsidRPr="00AD6CC7" w:rsidRDefault="00245D19" w:rsidP="00AD6CC7">
      <w:pPr>
        <w:pStyle w:val="Default"/>
        <w:snapToGrid w:val="0"/>
        <w:jc w:val="center"/>
        <w:rPr>
          <w:sz w:val="20"/>
          <w:szCs w:val="20"/>
          <w:vertAlign w:val="superscript"/>
          <w:lang w:eastAsia="zh-CN"/>
        </w:rPr>
      </w:pPr>
      <w:r w:rsidRPr="00AD6CC7">
        <w:rPr>
          <w:rFonts w:eastAsia="Times New Roman"/>
          <w:sz w:val="20"/>
          <w:szCs w:val="20"/>
        </w:rPr>
        <w:t>Hussien</w:t>
      </w:r>
      <w:r w:rsidR="00AD6CC7">
        <w:rPr>
          <w:rFonts w:eastAsia="Times New Roman"/>
          <w:sz w:val="20"/>
          <w:szCs w:val="20"/>
        </w:rPr>
        <w:t xml:space="preserve"> </w:t>
      </w:r>
      <w:r w:rsidRPr="00AD6CC7">
        <w:rPr>
          <w:rFonts w:eastAsia="Times New Roman"/>
          <w:sz w:val="20"/>
          <w:szCs w:val="20"/>
        </w:rPr>
        <w:t>Abd</w:t>
      </w:r>
      <w:r w:rsidR="00AD6CC7">
        <w:rPr>
          <w:rFonts w:eastAsia="Times New Roman"/>
          <w:sz w:val="20"/>
          <w:szCs w:val="20"/>
        </w:rPr>
        <w:t xml:space="preserve"> </w:t>
      </w:r>
      <w:r w:rsidRPr="00AD6CC7">
        <w:rPr>
          <w:rFonts w:eastAsia="Times New Roman"/>
          <w:sz w:val="20"/>
          <w:szCs w:val="20"/>
        </w:rPr>
        <w:t>El-Fattah</w:t>
      </w:r>
      <w:r w:rsidR="00AD6CC7">
        <w:rPr>
          <w:rFonts w:eastAsia="Times New Roman"/>
          <w:sz w:val="20"/>
          <w:szCs w:val="20"/>
        </w:rPr>
        <w:t xml:space="preserve"> </w:t>
      </w:r>
      <w:r w:rsidRPr="00AD6CC7">
        <w:rPr>
          <w:rFonts w:eastAsia="Times New Roman"/>
          <w:sz w:val="20"/>
          <w:szCs w:val="20"/>
        </w:rPr>
        <w:t>Osman</w:t>
      </w:r>
      <w:r w:rsidR="00C60C1F" w:rsidRPr="00AD6CC7">
        <w:rPr>
          <w:rFonts w:eastAsia="Times New Roman"/>
          <w:sz w:val="20"/>
          <w:szCs w:val="20"/>
          <w:vertAlign w:val="superscript"/>
        </w:rPr>
        <w:t>1</w:t>
      </w:r>
      <w:r w:rsidRPr="00AD6CC7">
        <w:rPr>
          <w:rFonts w:eastAsia="Times New Roman"/>
          <w:sz w:val="20"/>
          <w:szCs w:val="20"/>
        </w:rPr>
        <w:t>,</w:t>
      </w:r>
      <w:r w:rsidR="00AD6CC7">
        <w:rPr>
          <w:rFonts w:eastAsia="Times New Roman"/>
          <w:sz w:val="20"/>
          <w:szCs w:val="20"/>
        </w:rPr>
        <w:t xml:space="preserve"> </w:t>
      </w:r>
      <w:r w:rsidRPr="00AD6CC7">
        <w:rPr>
          <w:rFonts w:eastAsia="Times New Roman"/>
          <w:sz w:val="20"/>
          <w:szCs w:val="20"/>
        </w:rPr>
        <w:t>Mona</w:t>
      </w:r>
      <w:r w:rsidR="00AD6CC7">
        <w:rPr>
          <w:rFonts w:eastAsia="Times New Roman"/>
          <w:sz w:val="20"/>
          <w:szCs w:val="20"/>
        </w:rPr>
        <w:t xml:space="preserve"> </w:t>
      </w:r>
      <w:r w:rsidRPr="00AD6CC7">
        <w:rPr>
          <w:rFonts w:eastAsia="Times New Roman"/>
          <w:sz w:val="20"/>
          <w:szCs w:val="20"/>
        </w:rPr>
        <w:t>S</w:t>
      </w:r>
      <w:r w:rsidR="00F805CD" w:rsidRPr="00AD6CC7">
        <w:rPr>
          <w:rFonts w:eastAsia="Times New Roman"/>
          <w:sz w:val="20"/>
          <w:szCs w:val="20"/>
        </w:rPr>
        <w:t>.</w:t>
      </w:r>
      <w:r w:rsidR="00AD6CC7">
        <w:rPr>
          <w:rFonts w:eastAsia="Times New Roman"/>
          <w:sz w:val="20"/>
          <w:szCs w:val="20"/>
        </w:rPr>
        <w:t xml:space="preserve"> </w:t>
      </w:r>
      <w:r w:rsidRPr="00AD6CC7">
        <w:rPr>
          <w:rFonts w:eastAsia="Times New Roman"/>
          <w:sz w:val="20"/>
          <w:szCs w:val="20"/>
        </w:rPr>
        <w:t>Zaki</w:t>
      </w:r>
      <w:r w:rsidR="00C60C1F" w:rsidRPr="00AD6CC7">
        <w:rPr>
          <w:rFonts w:eastAsia="Times New Roman"/>
          <w:sz w:val="20"/>
          <w:szCs w:val="20"/>
          <w:vertAlign w:val="superscript"/>
        </w:rPr>
        <w:t>1</w:t>
      </w:r>
      <w:r w:rsidR="00C60C1F" w:rsidRPr="00AD6CC7">
        <w:rPr>
          <w:rFonts w:eastAsia="Times New Roman"/>
          <w:sz w:val="20"/>
          <w:szCs w:val="20"/>
        </w:rPr>
        <w:t>,</w:t>
      </w:r>
      <w:r w:rsidR="00AD6CC7">
        <w:rPr>
          <w:rFonts w:eastAsia="Times New Roman"/>
          <w:sz w:val="20"/>
          <w:szCs w:val="20"/>
        </w:rPr>
        <w:t xml:space="preserve"> </w:t>
      </w:r>
      <w:r w:rsidR="00F805CD" w:rsidRPr="00AD6CC7">
        <w:rPr>
          <w:rFonts w:eastAsia="Times New Roman"/>
          <w:sz w:val="20"/>
          <w:szCs w:val="20"/>
        </w:rPr>
        <w:t>Sami</w:t>
      </w:r>
      <w:r w:rsidR="00AD6CC7">
        <w:rPr>
          <w:rFonts w:eastAsia="Times New Roman"/>
          <w:sz w:val="20"/>
          <w:szCs w:val="20"/>
        </w:rPr>
        <w:t xml:space="preserve"> </w:t>
      </w:r>
      <w:r w:rsidR="00F805CD" w:rsidRPr="00AD6CC7">
        <w:rPr>
          <w:rFonts w:eastAsia="Times New Roman"/>
          <w:sz w:val="20"/>
          <w:szCs w:val="20"/>
        </w:rPr>
        <w:t>I</w:t>
      </w:r>
      <w:r w:rsidR="00AD6CC7">
        <w:rPr>
          <w:rFonts w:eastAsia="Times New Roman"/>
          <w:sz w:val="20"/>
          <w:szCs w:val="20"/>
        </w:rPr>
        <w:t xml:space="preserve"> </w:t>
      </w:r>
      <w:r w:rsidR="00F805CD" w:rsidRPr="00AD6CC7">
        <w:rPr>
          <w:rFonts w:eastAsia="Times New Roman"/>
          <w:sz w:val="20"/>
          <w:szCs w:val="20"/>
        </w:rPr>
        <w:t>Shalaby</w:t>
      </w:r>
      <w:r w:rsidR="00F805CD" w:rsidRPr="00AD6CC7">
        <w:rPr>
          <w:rFonts w:eastAsia="Times New Roman"/>
          <w:sz w:val="20"/>
          <w:szCs w:val="20"/>
          <w:vertAlign w:val="superscript"/>
        </w:rPr>
        <w:t>2</w:t>
      </w:r>
      <w:r w:rsidR="00F805CD" w:rsidRPr="00AD6CC7">
        <w:rPr>
          <w:rFonts w:eastAsia="Times New Roman"/>
          <w:sz w:val="20"/>
          <w:szCs w:val="20"/>
        </w:rPr>
        <w:t>,</w:t>
      </w:r>
      <w:r w:rsidR="00AD6CC7">
        <w:rPr>
          <w:rFonts w:eastAsia="Times New Roman"/>
          <w:sz w:val="20"/>
          <w:szCs w:val="20"/>
        </w:rPr>
        <w:t xml:space="preserve"> </w:t>
      </w:r>
      <w:r w:rsidR="00F805CD" w:rsidRPr="00AD6CC7">
        <w:rPr>
          <w:sz w:val="20"/>
          <w:szCs w:val="20"/>
        </w:rPr>
        <w:t>Olfat</w:t>
      </w:r>
      <w:r w:rsidR="00AD6CC7">
        <w:rPr>
          <w:sz w:val="20"/>
          <w:szCs w:val="20"/>
        </w:rPr>
        <w:t xml:space="preserve"> </w:t>
      </w:r>
      <w:r w:rsidR="00F805CD" w:rsidRPr="00AD6CC7">
        <w:rPr>
          <w:sz w:val="20"/>
          <w:szCs w:val="20"/>
        </w:rPr>
        <w:t>M.</w:t>
      </w:r>
      <w:r w:rsidR="00AD6CC7">
        <w:rPr>
          <w:sz w:val="20"/>
          <w:szCs w:val="20"/>
        </w:rPr>
        <w:t xml:space="preserve"> </w:t>
      </w:r>
      <w:r w:rsidR="00AB6B22" w:rsidRPr="00AD6CC7">
        <w:rPr>
          <w:sz w:val="20"/>
          <w:szCs w:val="20"/>
        </w:rPr>
        <w:t>Fawzi</w:t>
      </w:r>
      <w:r w:rsidR="00F805CD" w:rsidRPr="00AD6CC7">
        <w:rPr>
          <w:sz w:val="20"/>
          <w:szCs w:val="20"/>
          <w:vertAlign w:val="superscript"/>
        </w:rPr>
        <w:t>3</w:t>
      </w:r>
    </w:p>
    <w:p w:rsidR="009202BD" w:rsidRPr="00AD6CC7" w:rsidRDefault="009202BD" w:rsidP="00AD6CC7">
      <w:pPr>
        <w:pStyle w:val="Default"/>
        <w:snapToGrid w:val="0"/>
        <w:jc w:val="center"/>
        <w:rPr>
          <w:sz w:val="20"/>
          <w:szCs w:val="20"/>
          <w:vertAlign w:val="superscript"/>
          <w:lang w:eastAsia="zh-CN"/>
        </w:rPr>
      </w:pPr>
    </w:p>
    <w:p w:rsidR="00245D19" w:rsidRPr="00AD6CC7" w:rsidRDefault="00373B94" w:rsidP="00AD6CC7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D6CC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60C1F" w:rsidRPr="00AD6CC7">
        <w:rPr>
          <w:rFonts w:ascii="Times New Roman" w:hAnsi="Times New Roman" w:cs="Times New Roman"/>
          <w:sz w:val="20"/>
          <w:szCs w:val="20"/>
        </w:rPr>
        <w:t>Hydrobiology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60C1F" w:rsidRPr="00AD6CC7">
        <w:rPr>
          <w:rFonts w:ascii="Times New Roman" w:hAnsi="Times New Roman" w:cs="Times New Roman"/>
          <w:sz w:val="20"/>
          <w:szCs w:val="20"/>
        </w:rPr>
        <w:t>Department</w:t>
      </w:r>
      <w:r w:rsidR="00245D19" w:rsidRPr="00AD6CC7">
        <w:rPr>
          <w:rFonts w:ascii="Times New Roman" w:hAnsi="Times New Roman" w:cs="Times New Roman"/>
          <w:sz w:val="20"/>
          <w:szCs w:val="20"/>
        </w:rPr>
        <w:t>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245D19" w:rsidRPr="00AD6CC7">
        <w:rPr>
          <w:rFonts w:ascii="Times New Roman" w:hAnsi="Times New Roman" w:cs="Times New Roman"/>
          <w:sz w:val="20"/>
          <w:szCs w:val="20"/>
        </w:rPr>
        <w:t>National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245D19" w:rsidRPr="00AD6CC7">
        <w:rPr>
          <w:rFonts w:ascii="Times New Roman" w:hAnsi="Times New Roman" w:cs="Times New Roman"/>
          <w:sz w:val="20"/>
          <w:szCs w:val="20"/>
        </w:rPr>
        <w:t>Research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245D19" w:rsidRPr="00AD6CC7">
        <w:rPr>
          <w:rFonts w:ascii="Times New Roman" w:hAnsi="Times New Roman" w:cs="Times New Roman"/>
          <w:sz w:val="20"/>
          <w:szCs w:val="20"/>
        </w:rPr>
        <w:t>Centre,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245D19" w:rsidRPr="00AD6CC7">
        <w:rPr>
          <w:rFonts w:ascii="Times New Roman" w:hAnsi="Times New Roman" w:cs="Times New Roman"/>
          <w:sz w:val="20"/>
          <w:szCs w:val="20"/>
        </w:rPr>
        <w:t>Dokki,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245D19" w:rsidRPr="00AD6CC7">
        <w:rPr>
          <w:rFonts w:ascii="Times New Roman" w:hAnsi="Times New Roman" w:cs="Times New Roman"/>
          <w:sz w:val="20"/>
          <w:szCs w:val="20"/>
        </w:rPr>
        <w:t>Cairo,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245D19" w:rsidRPr="00AD6CC7">
        <w:rPr>
          <w:rFonts w:ascii="Times New Roman" w:hAnsi="Times New Roman" w:cs="Times New Roman"/>
          <w:sz w:val="20"/>
          <w:szCs w:val="20"/>
        </w:rPr>
        <w:t>Egypt</w:t>
      </w:r>
    </w:p>
    <w:p w:rsidR="00F805CD" w:rsidRPr="00AD6CC7" w:rsidRDefault="00F805CD" w:rsidP="00AD6CC7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D6CC7">
        <w:rPr>
          <w:rFonts w:ascii="Times New Roman" w:hAnsi="Times New Roman" w:cs="Times New Roman"/>
          <w:sz w:val="20"/>
          <w:szCs w:val="20"/>
        </w:rPr>
        <w:t>Animal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Reproduction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Department,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National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Research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Centre,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Egypt</w:t>
      </w:r>
    </w:p>
    <w:p w:rsidR="00F805CD" w:rsidRPr="00AD6CC7" w:rsidRDefault="00F805CD" w:rsidP="00AD6CC7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D6CC7">
        <w:rPr>
          <w:rFonts w:ascii="Times New Roman" w:hAnsi="Times New Roman" w:cs="Times New Roman"/>
          <w:sz w:val="20"/>
          <w:szCs w:val="20"/>
        </w:rPr>
        <w:t>Biochemistry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Department,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National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Research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Centre,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Dokki,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Giza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Egypt</w:t>
      </w:r>
    </w:p>
    <w:p w:rsidR="009202BD" w:rsidRPr="00AD6CC7" w:rsidRDefault="00324FD3" w:rsidP="00AD6CC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hyperlink r:id="rId8" w:history="1">
        <w:r w:rsidR="00373B94" w:rsidRPr="00AD6CC7">
          <w:rPr>
            <w:rStyle w:val="Hyperlink"/>
            <w:rFonts w:ascii="Times New Roman" w:hAnsi="Times New Roman" w:cs="Times New Roman"/>
            <w:sz w:val="20"/>
            <w:szCs w:val="20"/>
          </w:rPr>
          <w:t>drmonazaki@yahoo.con</w:t>
        </w:r>
      </w:hyperlink>
    </w:p>
    <w:p w:rsidR="009202BD" w:rsidRPr="00AD6CC7" w:rsidRDefault="009202BD" w:rsidP="00AD6CC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C774C8" w:rsidRPr="00AD6CC7" w:rsidRDefault="00E208A7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6CC7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Nano-Antibodies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"nAb"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VHH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derived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from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camelidae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(camels,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llamas,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alpacas,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etc.).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Compared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conventional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monoclonal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polyclonal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antibodies,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nAb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possess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many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superior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properties,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including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small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size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(~15kd),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high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affinity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(frequently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nanomolar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range),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high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specificity,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unsurpassed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stability.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Each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nAb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available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following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formats: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stable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purified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protein,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fluorescent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dye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conjugates,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conjugates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various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matrices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(including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agarose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resin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magnetic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sz w:val="20"/>
          <w:szCs w:val="20"/>
        </w:rPr>
        <w:t>beads).</w:t>
      </w:r>
      <w:r w:rsidR="00AD6CC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VHHs,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smallest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fully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active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antibody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fragments,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“coming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age”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medicine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biotechnology.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unique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features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small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size,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affinity,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ability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bind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epitopes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inaccessible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regular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fragments,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amazing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stability,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feasibility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expression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suggest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considered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magic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bullet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medicine.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addition,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employed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biotechnology,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therapy,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imaging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laboratory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74C8" w:rsidRPr="00AD6CC7">
        <w:rPr>
          <w:rFonts w:ascii="Times New Roman" w:hAnsi="Times New Roman" w:cs="Times New Roman"/>
          <w:color w:val="000000"/>
          <w:sz w:val="20"/>
          <w:szCs w:val="20"/>
        </w:rPr>
        <w:t>practice.</w:t>
      </w:r>
    </w:p>
    <w:p w:rsidR="00AD6CC7" w:rsidRPr="00AD6CC7" w:rsidRDefault="00AD6CC7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6CC7">
        <w:rPr>
          <w:rFonts w:ascii="Times New Roman" w:hAnsi="Times New Roman" w:cs="Times New Roman" w:hint="eastAsia"/>
          <w:sz w:val="20"/>
          <w:szCs w:val="20"/>
        </w:rPr>
        <w:t>[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Hussien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Abd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El-Fattah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Osman,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Mona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Zaki,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Sami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Shalaby,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Olfat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Fawzi.</w:t>
      </w:r>
      <w:r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Nano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antibodies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(Single-domain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antibodies)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Arabian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camels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(Single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hump)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milk,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diagnostic,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therapeutic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medical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functions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/>
          <w:bCs/>
          <w:sz w:val="20"/>
          <w:szCs w:val="20"/>
        </w:rPr>
        <w:t>(Review)</w:t>
      </w:r>
      <w:r w:rsidRPr="00AD6CC7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Cs/>
          <w:i/>
          <w:sz w:val="20"/>
          <w:szCs w:val="20"/>
        </w:rPr>
        <w:t>Researcher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bCs/>
          <w:sz w:val="20"/>
          <w:szCs w:val="20"/>
        </w:rPr>
        <w:t>201</w:t>
      </w:r>
      <w:r w:rsidRPr="00AD6CC7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Pr="00AD6CC7">
        <w:rPr>
          <w:rFonts w:ascii="Times New Roman" w:hAnsi="Times New Roman" w:cs="Times New Roman"/>
          <w:bCs/>
          <w:sz w:val="20"/>
          <w:szCs w:val="20"/>
        </w:rPr>
        <w:t>;</w:t>
      </w:r>
      <w:r w:rsidRPr="00AD6CC7">
        <w:rPr>
          <w:rFonts w:ascii="Times New Roman" w:hAnsi="Times New Roman" w:cs="Times New Roman" w:hint="eastAsia"/>
          <w:bCs/>
          <w:sz w:val="20"/>
          <w:szCs w:val="20"/>
        </w:rPr>
        <w:t>11</w:t>
      </w:r>
      <w:r w:rsidRPr="00AD6CC7">
        <w:rPr>
          <w:rFonts w:ascii="Times New Roman" w:hAnsi="Times New Roman" w:cs="Times New Roman"/>
          <w:bCs/>
          <w:sz w:val="20"/>
          <w:szCs w:val="20"/>
        </w:rPr>
        <w:t>(</w:t>
      </w:r>
      <w:r w:rsidRPr="00AD6CC7">
        <w:rPr>
          <w:rFonts w:ascii="Times New Roman" w:hAnsi="Times New Roman" w:cs="Times New Roman" w:hint="eastAsia"/>
          <w:bCs/>
          <w:sz w:val="20"/>
          <w:szCs w:val="20"/>
        </w:rPr>
        <w:t>7</w:t>
      </w:r>
      <w:r w:rsidRPr="00AD6CC7">
        <w:rPr>
          <w:rFonts w:ascii="Times New Roman" w:hAnsi="Times New Roman" w:cs="Times New Roman"/>
          <w:bCs/>
          <w:sz w:val="20"/>
          <w:szCs w:val="20"/>
        </w:rPr>
        <w:t>):</w:t>
      </w:r>
      <w:r w:rsidR="000F31AD">
        <w:rPr>
          <w:rFonts w:ascii="Times New Roman" w:hAnsi="Times New Roman" w:cs="Times New Roman"/>
          <w:noProof/>
          <w:color w:val="000000"/>
          <w:sz w:val="20"/>
          <w:szCs w:val="20"/>
        </w:rPr>
        <w:t>51-65</w:t>
      </w:r>
      <w:r w:rsidRPr="00AD6CC7">
        <w:rPr>
          <w:rFonts w:ascii="Times New Roman" w:hAnsi="Times New Roman" w:cs="Times New Roman"/>
          <w:bCs/>
          <w:sz w:val="20"/>
          <w:szCs w:val="20"/>
        </w:rPr>
        <w:t>].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ISSN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1553-9865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(print);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ISSN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2163-8950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(online)</w:t>
      </w:r>
      <w:r w:rsidRPr="00AD6CC7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9" w:history="1">
        <w:r w:rsidRPr="00AD6CC7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AD6CC7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5</w:t>
      </w:r>
      <w:r w:rsidRPr="00AD6CC7">
        <w:rPr>
          <w:rFonts w:ascii="Times New Roman" w:hAnsi="Times New Roman" w:cs="Times New Roman" w:hint="eastAsia"/>
          <w:bCs/>
          <w:sz w:val="20"/>
          <w:szCs w:val="20"/>
        </w:rPr>
        <w:t>.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AD6CC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AD6CC7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AD6CC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AD6CC7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110719.</w:t>
        </w:r>
        <w:r w:rsidRPr="00AD6CC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5</w:t>
        </w:r>
      </w:hyperlink>
      <w:r w:rsidRPr="00AD6C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60C1F" w:rsidRPr="009202BD" w:rsidRDefault="00C60C1F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3130C" w:rsidRPr="009202BD" w:rsidRDefault="00F3130C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Key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words: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camels-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milk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conventional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-</w:t>
      </w:r>
      <w:r w:rsidR="00703B8C" w:rsidRPr="009202BD">
        <w:rPr>
          <w:rFonts w:ascii="Times New Roman" w:hAnsi="Times New Roman" w:cs="Times New Roman"/>
          <w:sz w:val="20"/>
          <w:szCs w:val="20"/>
        </w:rPr>
        <w:t>n</w:t>
      </w:r>
      <w:r w:rsidRPr="009202BD">
        <w:rPr>
          <w:rFonts w:ascii="Times New Roman" w:hAnsi="Times New Roman" w:cs="Times New Roman"/>
          <w:sz w:val="20"/>
          <w:szCs w:val="20"/>
        </w:rPr>
        <w:t>ano-antibodies</w:t>
      </w:r>
      <w:r w:rsidR="00551468" w:rsidRPr="009202BD">
        <w:rPr>
          <w:rFonts w:ascii="Times New Roman" w:hAnsi="Times New Roman" w:cs="Times New Roman"/>
          <w:sz w:val="20"/>
          <w:szCs w:val="20"/>
        </w:rPr>
        <w:t>-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3B8C" w:rsidRPr="009202BD">
        <w:rPr>
          <w:rFonts w:ascii="Times New Roman" w:hAnsi="Times New Roman" w:cs="Times New Roman"/>
          <w:sz w:val="20"/>
          <w:szCs w:val="20"/>
        </w:rPr>
        <w:t>single-domain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03B8C" w:rsidRPr="009202BD">
        <w:rPr>
          <w:rFonts w:ascii="Times New Roman" w:hAnsi="Times New Roman" w:cs="Times New Roman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3B8C" w:rsidRPr="009202B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1468" w:rsidRPr="009202BD">
        <w:rPr>
          <w:rFonts w:ascii="Times New Roman" w:hAnsi="Times New Roman" w:cs="Times New Roman"/>
          <w:color w:val="000000"/>
          <w:sz w:val="20"/>
          <w:szCs w:val="20"/>
        </w:rPr>
        <w:t>unique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1468" w:rsidRPr="009202BD">
        <w:rPr>
          <w:rFonts w:ascii="Times New Roman" w:hAnsi="Times New Roman" w:cs="Times New Roman"/>
          <w:color w:val="000000"/>
          <w:sz w:val="20"/>
          <w:szCs w:val="20"/>
        </w:rPr>
        <w:t>features.</w:t>
      </w:r>
    </w:p>
    <w:p w:rsidR="00C60C1F" w:rsidRPr="009202BD" w:rsidRDefault="00C60C1F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D6CC7" w:rsidRDefault="00AD6CC7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AD6CC7" w:rsidSect="000F31AD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51"/>
          <w:cols w:space="720"/>
          <w:docGrid w:linePitch="360"/>
        </w:sectPr>
      </w:pPr>
    </w:p>
    <w:p w:rsidR="009202BD" w:rsidRPr="009202BD" w:rsidRDefault="00C60C1F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  <w:r w:rsidR="00DF2612" w:rsidRPr="009202B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202BD" w:rsidRPr="009202BD" w:rsidRDefault="009202BD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iscovery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technique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monoclonal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antibody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production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triggered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revolution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biotechnology.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pro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cedure,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developed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Kohler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Milstein,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based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chemical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fusion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murine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spleen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cells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produce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myeloma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cells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giv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cells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immortality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[74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Monoclonal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usually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monospe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cific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(they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recognize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only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type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antigen),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cloned,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produced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D76C6" w:rsidRPr="009202BD">
        <w:rPr>
          <w:rFonts w:ascii="Times New Roman" w:hAnsi="Times New Roman" w:cs="Times New Roman"/>
          <w:color w:val="000000"/>
          <w:sz w:val="20"/>
          <w:szCs w:val="20"/>
        </w:rPr>
        <w:t>forever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Therapeutic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mo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noclonal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belong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fastest-growing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branch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biotechnology,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some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limitations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cost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production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eukaryotic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systems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large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disturb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efficient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tissue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penetration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E2638" w:rsidRPr="009202BD">
        <w:rPr>
          <w:rFonts w:ascii="Times New Roman" w:hAnsi="Times New Roman" w:cs="Times New Roman"/>
          <w:color w:val="000000"/>
          <w:sz w:val="20"/>
          <w:szCs w:val="20"/>
        </w:rPr>
        <w:t>[35]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solu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problems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obtaining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Fab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fragments,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since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three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times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smaller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full-size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expressed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bacterial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system.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However,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since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Fab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fragments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heterodimers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consisting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variable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regions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light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chains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linked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disulfide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bridges,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cloning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encounter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several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difficulties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expression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always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efficient.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Expression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single-cha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variable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fragments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(scFv)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antibody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also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create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problems,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since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fragments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less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soluble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require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linker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keep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both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domains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together.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addition,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scFv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usually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lower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affinity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Fab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fragments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show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tendency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aggregate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[114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202BD" w:rsidRPr="009202BD" w:rsidRDefault="009202BD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sensible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approach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avoid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problems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expres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functional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fragments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lastRenderedPageBreak/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(hcAb),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serum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animals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belonging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Camelidae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family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E2638" w:rsidRPr="009202BD">
        <w:rPr>
          <w:rFonts w:ascii="Times New Roman" w:hAnsi="Times New Roman" w:cs="Times New Roman"/>
          <w:color w:val="000000"/>
          <w:sz w:val="20"/>
          <w:szCs w:val="20"/>
        </w:rPr>
        <w:t>[36]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Variable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regions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called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nanobodies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consist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sin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gle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polypeptide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chains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following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advantages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over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fragments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full-size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fragments: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easy,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one-step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cloning,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small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enables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efficient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pe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netration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tissues,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efficiency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expression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relatively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stable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bacteria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[41,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82</w:t>
      </w:r>
      <w:r w:rsidR="00DF2612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9202BD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(sdAb,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called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Nanobody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by</w:t>
      </w:r>
      <w:r w:rsidR="00AD6CC7">
        <w:rPr>
          <w:sz w:val="20"/>
          <w:szCs w:val="20"/>
        </w:rPr>
        <w:t xml:space="preserve"> </w:t>
      </w:r>
      <w:hyperlink r:id="rId13" w:tooltip="Ablynx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Ablynx</w:t>
        </w:r>
      </w:hyperlink>
      <w:r w:rsidR="00DF2612"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developer</w:t>
      </w:r>
      <w:hyperlink r:id="rId14" w:anchor="cite_note-1" w:history="1">
        <w:r w:rsidR="00DF2612"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[1]</w:t>
        </w:r>
      </w:hyperlink>
      <w:r w:rsidR="00DF2612" w:rsidRPr="009202BD">
        <w:rPr>
          <w:sz w:val="20"/>
          <w:szCs w:val="20"/>
        </w:rPr>
        <w:t>)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</w:t>
      </w:r>
      <w:r w:rsidR="00AD6CC7">
        <w:rPr>
          <w:sz w:val="20"/>
          <w:szCs w:val="20"/>
        </w:rPr>
        <w:t xml:space="preserve"> </w:t>
      </w:r>
      <w:hyperlink r:id="rId15" w:tooltip="Antibody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antibody</w:t>
        </w:r>
      </w:hyperlink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fragment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consisting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single</w:t>
      </w:r>
      <w:r w:rsidR="00AD6CC7">
        <w:rPr>
          <w:sz w:val="20"/>
          <w:szCs w:val="20"/>
        </w:rPr>
        <w:t xml:space="preserve"> </w:t>
      </w:r>
      <w:hyperlink r:id="rId16" w:tooltip="Monomer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monomeric</w:t>
        </w:r>
      </w:hyperlink>
      <w:r w:rsidR="00AD6CC7">
        <w:rPr>
          <w:sz w:val="20"/>
          <w:szCs w:val="20"/>
        </w:rPr>
        <w:t xml:space="preserve"> </w:t>
      </w:r>
      <w:hyperlink r:id="rId17" w:tooltip="Variable region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variable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antibody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domain</w:t>
        </w:r>
      </w:hyperlink>
      <w:r w:rsidR="00DF2612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Like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whole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antibody,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able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bind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selectively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specific</w:t>
      </w:r>
      <w:r w:rsidR="00AD6CC7">
        <w:rPr>
          <w:sz w:val="20"/>
          <w:szCs w:val="20"/>
        </w:rPr>
        <w:t xml:space="preserve"> </w:t>
      </w:r>
      <w:hyperlink r:id="rId18" w:tooltip="Antigen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antigen</w:t>
        </w:r>
      </w:hyperlink>
      <w:r w:rsidR="00DF2612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With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molecular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weight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only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12–15</w:t>
      </w:r>
      <w:r w:rsidR="00AD6CC7">
        <w:rPr>
          <w:sz w:val="20"/>
          <w:szCs w:val="20"/>
        </w:rPr>
        <w:t xml:space="preserve"> </w:t>
      </w:r>
      <w:hyperlink r:id="rId19" w:tooltip="KDa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kDa</w:t>
        </w:r>
      </w:hyperlink>
      <w:r w:rsidR="00DF2612"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much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smaller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than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common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(150–160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kDa)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which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composed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two</w:t>
      </w:r>
      <w:r w:rsidR="00AD6CC7">
        <w:rPr>
          <w:sz w:val="20"/>
          <w:szCs w:val="20"/>
        </w:rPr>
        <w:t xml:space="preserve"> </w:t>
      </w:r>
      <w:hyperlink r:id="rId20" w:tooltip="Immunoglobulin heavy chain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heavy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protein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chains</w:t>
        </w:r>
      </w:hyperlink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two</w:t>
      </w:r>
      <w:r w:rsidR="00AD6CC7">
        <w:rPr>
          <w:sz w:val="20"/>
          <w:szCs w:val="20"/>
        </w:rPr>
        <w:t xml:space="preserve"> </w:t>
      </w:r>
      <w:hyperlink r:id="rId21" w:tooltip="Immunoglobulin light chain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light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chains</w:t>
        </w:r>
      </w:hyperlink>
      <w:r w:rsidR="00DF2612"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even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smaller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than</w:t>
      </w:r>
      <w:r w:rsidR="00AD6CC7">
        <w:rPr>
          <w:sz w:val="20"/>
          <w:szCs w:val="20"/>
        </w:rPr>
        <w:t xml:space="preserve"> </w:t>
      </w:r>
      <w:hyperlink r:id="rId22" w:tooltip="Fab fragment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Fab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fragments</w:t>
        </w:r>
      </w:hyperlink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(~50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kDa,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one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light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chain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half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heavy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chain)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hyperlink r:id="rId23" w:tooltip="Single-chain variable fragment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single-chain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variable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fragments</w:t>
        </w:r>
      </w:hyperlink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(~25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kDa,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two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variable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domains,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one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light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one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heavy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chain).</w:t>
      </w:r>
      <w:hyperlink r:id="rId24" w:anchor="cite_note-Harmsen-2" w:history="1">
        <w:r w:rsidR="00DF2612"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[2]</w:t>
        </w:r>
      </w:hyperlink>
    </w:p>
    <w:p w:rsidR="009202BD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T</w:t>
      </w:r>
      <w:r w:rsidR="00DF2612" w:rsidRPr="009202BD">
        <w:rPr>
          <w:sz w:val="20"/>
          <w:szCs w:val="20"/>
        </w:rPr>
        <w:t>he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first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were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engineered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hyperlink r:id="rId25" w:tooltip="Heavy-chain antibodies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heavy-chain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antibodies</w:t>
        </w:r>
      </w:hyperlink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found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hyperlink r:id="rId26" w:tooltip="Camelid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camelids</w:t>
        </w:r>
      </w:hyperlink>
      <w:r w:rsidR="00DF2612" w:rsidRPr="009202BD">
        <w:rPr>
          <w:sz w:val="20"/>
          <w:szCs w:val="20"/>
        </w:rPr>
        <w:t>;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these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called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b/>
          <w:bCs/>
          <w:sz w:val="20"/>
          <w:szCs w:val="20"/>
        </w:rPr>
        <w:t>V</w:t>
      </w:r>
      <w:r w:rsidR="00DF2612" w:rsidRPr="009202BD">
        <w:rPr>
          <w:b/>
          <w:bCs/>
          <w:sz w:val="20"/>
          <w:szCs w:val="20"/>
          <w:vertAlign w:val="subscript"/>
        </w:rPr>
        <w:t>H</w:t>
      </w:r>
      <w:r w:rsidR="00DF2612" w:rsidRPr="009202BD">
        <w:rPr>
          <w:b/>
          <w:bCs/>
          <w:sz w:val="20"/>
          <w:szCs w:val="20"/>
        </w:rPr>
        <w:t>H</w:t>
      </w:r>
      <w:r w:rsidR="00AD6CC7">
        <w:rPr>
          <w:b/>
          <w:bCs/>
          <w:sz w:val="20"/>
          <w:szCs w:val="20"/>
        </w:rPr>
        <w:t xml:space="preserve"> </w:t>
      </w:r>
      <w:r w:rsidR="00DF2612" w:rsidRPr="009202BD">
        <w:rPr>
          <w:b/>
          <w:bCs/>
          <w:sz w:val="20"/>
          <w:szCs w:val="20"/>
        </w:rPr>
        <w:t>fragments</w:t>
      </w:r>
      <w:r w:rsidR="00DF2612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  <w:hyperlink r:id="rId27" w:tooltip="Cartilaginous fishes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Cartilaginous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fishes</w:t>
        </w:r>
      </w:hyperlink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also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have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heavy-chain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(IgNAR,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'immunoglobulin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new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antigen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receptor'),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which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called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b/>
          <w:bCs/>
          <w:sz w:val="20"/>
          <w:szCs w:val="20"/>
        </w:rPr>
        <w:t>V</w:t>
      </w:r>
      <w:r w:rsidR="00DF2612" w:rsidRPr="009202BD">
        <w:rPr>
          <w:b/>
          <w:bCs/>
          <w:sz w:val="20"/>
          <w:szCs w:val="20"/>
          <w:vertAlign w:val="subscript"/>
        </w:rPr>
        <w:t>NAR</w:t>
      </w:r>
      <w:r w:rsidR="00AD6CC7">
        <w:rPr>
          <w:b/>
          <w:bCs/>
          <w:sz w:val="20"/>
          <w:szCs w:val="20"/>
        </w:rPr>
        <w:t xml:space="preserve"> </w:t>
      </w:r>
      <w:r w:rsidR="00DF2612" w:rsidRPr="009202BD">
        <w:rPr>
          <w:b/>
          <w:bCs/>
          <w:sz w:val="20"/>
          <w:szCs w:val="20"/>
        </w:rPr>
        <w:t>fragments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can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obtained.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alternative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approach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lastRenderedPageBreak/>
        <w:t>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split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dimeric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variable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domains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common</w:t>
      </w:r>
      <w:r w:rsidR="00AD6CC7">
        <w:rPr>
          <w:sz w:val="20"/>
          <w:szCs w:val="20"/>
        </w:rPr>
        <w:t xml:space="preserve"> </w:t>
      </w:r>
      <w:hyperlink r:id="rId28" w:tooltip="Immunoglobulin G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immunoglobulin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G</w:t>
        </w:r>
      </w:hyperlink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(IgG)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humans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mice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into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monomers</w:t>
      </w:r>
      <w:r w:rsidR="00AD6CC7">
        <w:rPr>
          <w:sz w:val="20"/>
          <w:szCs w:val="20"/>
        </w:rPr>
        <w:t xml:space="preserve"> </w:t>
      </w:r>
      <w:r w:rsidR="005E2638" w:rsidRPr="009202BD">
        <w:rPr>
          <w:sz w:val="20"/>
          <w:szCs w:val="20"/>
        </w:rPr>
        <w:t>[42]</w:t>
      </w:r>
      <w:r w:rsidR="00DF2612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Although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most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research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into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currently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based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heavy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chain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variable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domains,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nanobodies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derived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light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chains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have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also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been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shown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bind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specifically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target</w:t>
      </w:r>
      <w:r w:rsidR="00AD6CC7">
        <w:rPr>
          <w:sz w:val="20"/>
          <w:szCs w:val="20"/>
        </w:rPr>
        <w:t xml:space="preserve"> </w:t>
      </w:r>
      <w:hyperlink r:id="rId29" w:tooltip="Epitopes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epitopes</w:t>
        </w:r>
      </w:hyperlink>
      <w:r w:rsidR="00AD6CC7">
        <w:rPr>
          <w:sz w:val="20"/>
          <w:szCs w:val="20"/>
        </w:rPr>
        <w:t xml:space="preserve"> </w:t>
      </w:r>
      <w:r w:rsidR="004A44C7" w:rsidRPr="009202BD">
        <w:rPr>
          <w:sz w:val="20"/>
          <w:szCs w:val="20"/>
        </w:rPr>
        <w:t>(antigen)</w:t>
      </w:r>
      <w:r w:rsidR="00AD6CC7">
        <w:rPr>
          <w:sz w:val="20"/>
          <w:szCs w:val="20"/>
        </w:rPr>
        <w:t xml:space="preserve"> </w:t>
      </w:r>
      <w:r w:rsidR="005E2638" w:rsidRPr="009202BD">
        <w:rPr>
          <w:sz w:val="20"/>
          <w:szCs w:val="20"/>
        </w:rPr>
        <w:t>[3].</w:t>
      </w:r>
    </w:p>
    <w:p w:rsidR="009202BD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S</w:t>
      </w:r>
      <w:r w:rsidR="00DF2612" w:rsidRPr="009202BD">
        <w:rPr>
          <w:sz w:val="20"/>
          <w:szCs w:val="20"/>
        </w:rPr>
        <w:t>ingle-domain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camelids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have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been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shown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just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specific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regular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some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cases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more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robust.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well,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easily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isolated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using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same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phage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panning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procedure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used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traditional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allowing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them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cultured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vitro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large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concentrations.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smaller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size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single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domain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make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these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easier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transform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into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bacterial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cells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bulk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production,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making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</w:t>
      </w:r>
      <w:r w:rsidR="005E2638" w:rsidRPr="009202BD">
        <w:rPr>
          <w:sz w:val="20"/>
          <w:szCs w:val="20"/>
        </w:rPr>
        <w:t>em</w:t>
      </w:r>
      <w:r w:rsidR="00AD6CC7">
        <w:rPr>
          <w:sz w:val="20"/>
          <w:szCs w:val="20"/>
        </w:rPr>
        <w:t xml:space="preserve"> </w:t>
      </w:r>
      <w:r w:rsidR="005E2638" w:rsidRPr="009202BD">
        <w:rPr>
          <w:sz w:val="20"/>
          <w:szCs w:val="20"/>
        </w:rPr>
        <w:t>ideal</w:t>
      </w:r>
      <w:r w:rsidR="00AD6CC7">
        <w:rPr>
          <w:sz w:val="20"/>
          <w:szCs w:val="20"/>
        </w:rPr>
        <w:t xml:space="preserve"> </w:t>
      </w:r>
      <w:r w:rsidR="005E2638"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="005E2638" w:rsidRPr="009202BD">
        <w:rPr>
          <w:sz w:val="20"/>
          <w:szCs w:val="20"/>
        </w:rPr>
        <w:t>research</w:t>
      </w:r>
      <w:r w:rsidR="00AD6CC7">
        <w:rPr>
          <w:sz w:val="20"/>
          <w:szCs w:val="20"/>
        </w:rPr>
        <w:t xml:space="preserve"> </w:t>
      </w:r>
      <w:r w:rsidR="005E2638" w:rsidRPr="009202BD">
        <w:rPr>
          <w:sz w:val="20"/>
          <w:szCs w:val="20"/>
        </w:rPr>
        <w:t>purposes</w:t>
      </w:r>
      <w:r w:rsidR="00AD6CC7">
        <w:rPr>
          <w:sz w:val="20"/>
          <w:szCs w:val="20"/>
        </w:rPr>
        <w:t xml:space="preserve"> </w:t>
      </w:r>
      <w:r w:rsidR="005E2638" w:rsidRPr="009202BD">
        <w:rPr>
          <w:sz w:val="20"/>
          <w:szCs w:val="20"/>
        </w:rPr>
        <w:t>[4].</w:t>
      </w:r>
    </w:p>
    <w:p w:rsidR="00DF2612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S</w:t>
      </w:r>
      <w:r w:rsidR="00DF2612" w:rsidRPr="009202BD">
        <w:rPr>
          <w:sz w:val="20"/>
          <w:szCs w:val="20"/>
        </w:rPr>
        <w:t>ingle-domain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being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researched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multiple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pharmaceutical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applications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have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potential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use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treatment</w:t>
      </w:r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hyperlink r:id="rId30" w:tooltip="Acute coronary syndrome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acute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coronary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syndrome</w:t>
        </w:r>
      </w:hyperlink>
      <w:r w:rsidR="00DF2612"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hyperlink r:id="rId31" w:tooltip="Cancer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cancer</w:t>
        </w:r>
      </w:hyperlink>
      <w:r w:rsidR="00AD6CC7">
        <w:rPr>
          <w:sz w:val="20"/>
          <w:szCs w:val="20"/>
        </w:rPr>
        <w:t xml:space="preserve"> </w:t>
      </w:r>
      <w:r w:rsidR="00DF2612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hyperlink r:id="rId32" w:tooltip="Alzheimer's disease" w:history="1"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Alzheimer's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DF2612" w:rsidRPr="009202BD">
          <w:rPr>
            <w:rStyle w:val="Hyperlink"/>
            <w:color w:val="auto"/>
            <w:sz w:val="20"/>
            <w:szCs w:val="20"/>
            <w:u w:val="none"/>
          </w:rPr>
          <w:t>disease</w:t>
        </w:r>
      </w:hyperlink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703B8C" w:rsidRPr="009202BD">
        <w:rPr>
          <w:sz w:val="20"/>
          <w:szCs w:val="20"/>
        </w:rPr>
        <w:t>[5,</w:t>
      </w:r>
      <w:r w:rsidR="00AD6CC7">
        <w:rPr>
          <w:sz w:val="20"/>
          <w:szCs w:val="20"/>
        </w:rPr>
        <w:t xml:space="preserve"> </w:t>
      </w:r>
      <w:r w:rsidR="00703B8C" w:rsidRPr="009202BD">
        <w:rPr>
          <w:sz w:val="20"/>
          <w:szCs w:val="20"/>
        </w:rPr>
        <w:t>6]</w:t>
      </w:r>
      <w:r w:rsidR="00A1595A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Thus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present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review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aimed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to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A1595A" w:rsidRPr="009202BD">
        <w:rPr>
          <w:rStyle w:val="Hyperlink"/>
          <w:color w:val="auto"/>
          <w:sz w:val="20"/>
          <w:szCs w:val="20"/>
          <w:u w:val="none"/>
        </w:rPr>
        <w:t>concentrate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A1595A" w:rsidRPr="009202BD">
        <w:rPr>
          <w:rStyle w:val="Hyperlink"/>
          <w:color w:val="auto"/>
          <w:sz w:val="20"/>
          <w:szCs w:val="20"/>
          <w:u w:val="none"/>
        </w:rPr>
        <w:t>or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A1595A" w:rsidRPr="009202BD">
        <w:rPr>
          <w:rStyle w:val="Hyperlink"/>
          <w:color w:val="auto"/>
          <w:sz w:val="20"/>
          <w:szCs w:val="20"/>
          <w:u w:val="none"/>
        </w:rPr>
        <w:t>focus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the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light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on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the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nanobodies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produced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naturally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in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camels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milk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production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or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preparation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in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vivo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and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ED76C6" w:rsidRPr="009202BD">
        <w:rPr>
          <w:rStyle w:val="Hyperlink"/>
          <w:color w:val="auto"/>
          <w:sz w:val="20"/>
          <w:szCs w:val="20"/>
          <w:u w:val="none"/>
        </w:rPr>
        <w:t>vitro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in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addition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of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its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uses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in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diagnosis,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treatment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of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different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human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being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and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animal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diseases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and</w:t>
      </w:r>
      <w:r w:rsidR="00AD6CC7">
        <w:rPr>
          <w:rStyle w:val="Hyperlink"/>
          <w:color w:val="auto"/>
          <w:sz w:val="20"/>
          <w:szCs w:val="20"/>
          <w:u w:val="none"/>
        </w:rPr>
        <w:t xml:space="preserve"> </w:t>
      </w:r>
      <w:r w:rsidR="004A44C7" w:rsidRPr="009202BD">
        <w:rPr>
          <w:rStyle w:val="Hyperlink"/>
          <w:color w:val="auto"/>
          <w:sz w:val="20"/>
          <w:szCs w:val="20"/>
          <w:u w:val="none"/>
        </w:rPr>
        <w:t>biotechnology.</w:t>
      </w:r>
    </w:p>
    <w:p w:rsidR="009202BD" w:rsidRPr="009202BD" w:rsidRDefault="005734F7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sz w:val="20"/>
          <w:szCs w:val="20"/>
        </w:rPr>
        <w:t>Camels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their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milk:</w:t>
      </w:r>
    </w:p>
    <w:p w:rsidR="007337A1" w:rsidRPr="009202BD" w:rsidRDefault="009202BD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H</w:t>
      </w:r>
      <w:r w:rsidR="00D34937" w:rsidRPr="009202BD">
        <w:rPr>
          <w:rFonts w:ascii="Times New Roman" w:hAnsi="Times New Roman" w:cs="Times New Roman"/>
          <w:sz w:val="20"/>
          <w:szCs w:val="20"/>
        </w:rPr>
        <w:t>uman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knew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family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since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three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thousand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years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BC;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preferred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means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him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travel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carry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weight,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diet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source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his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drink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milk,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meat,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has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spread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beauty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all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continents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world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which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two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types: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single-hump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Arab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spread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Arab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desert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island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Africa,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including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spread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Asian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countries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others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[17].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26903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26903"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Alsnaman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found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Himalayan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region,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India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some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other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country.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staple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food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Bedouins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desert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consider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best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whole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prefer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fresh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most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cases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[8,19]</w:t>
      </w:r>
      <w:r w:rsidR="007337A1"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varies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intensity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taste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lukewarm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sweetness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salty,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taste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depends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type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food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provided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Apple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0903" w:rsidRPr="009202BD">
        <w:rPr>
          <w:rFonts w:ascii="Times New Roman" w:hAnsi="Times New Roman" w:cs="Times New Roman"/>
          <w:sz w:val="20"/>
          <w:szCs w:val="20"/>
        </w:rPr>
        <w:t>[47]</w:t>
      </w:r>
      <w:r w:rsidR="007337A1"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Scientists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have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been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interested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research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infant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formula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last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quarter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twentieth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century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were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conducted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research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hundreds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types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camels,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amount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generated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by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dairy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day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period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Adrarha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after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birth,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components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milk.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After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extensive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studies,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scientists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concluded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essential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element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improving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human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food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quality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7337A1" w:rsidRPr="009202BD">
        <w:rPr>
          <w:rFonts w:ascii="Times New Roman" w:hAnsi="Times New Roman" w:cs="Times New Roman"/>
          <w:sz w:val="20"/>
          <w:szCs w:val="20"/>
        </w:rPr>
        <w:t>quantity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[</w:t>
      </w:r>
      <w:r w:rsidR="005E2638" w:rsidRPr="009202BD">
        <w:rPr>
          <w:rFonts w:ascii="Times New Roman" w:hAnsi="Times New Roman" w:cs="Times New Roman"/>
          <w:sz w:val="20"/>
          <w:szCs w:val="20"/>
        </w:rPr>
        <w:t>44,</w:t>
      </w:r>
      <w:r w:rsidR="000C1E4A" w:rsidRPr="009202BD">
        <w:rPr>
          <w:rFonts w:ascii="Times New Roman" w:hAnsi="Times New Roman" w:cs="Times New Roman"/>
          <w:sz w:val="20"/>
          <w:szCs w:val="20"/>
        </w:rPr>
        <w:t>13]</w:t>
      </w:r>
      <w:r w:rsidR="007337A1" w:rsidRPr="009202BD">
        <w:rPr>
          <w:rFonts w:ascii="Times New Roman" w:hAnsi="Times New Roman" w:cs="Times New Roman"/>
          <w:sz w:val="20"/>
          <w:szCs w:val="20"/>
        </w:rPr>
        <w:t>.</w:t>
      </w:r>
    </w:p>
    <w:p w:rsidR="009202BD" w:rsidRPr="009202BD" w:rsidRDefault="005734F7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sz w:val="20"/>
          <w:szCs w:val="20"/>
        </w:rPr>
        <w:t>Camel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milk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components:</w:t>
      </w:r>
    </w:p>
    <w:p w:rsidR="00C774C8" w:rsidRPr="009202BD" w:rsidRDefault="009202BD" w:rsidP="00AD6CC7">
      <w:pPr>
        <w:tabs>
          <w:tab w:val="left" w:pos="166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G</w:t>
      </w:r>
      <w:r w:rsidR="005734F7" w:rsidRPr="009202BD">
        <w:rPr>
          <w:rFonts w:ascii="Times New Roman" w:hAnsi="Times New Roman" w:cs="Times New Roman"/>
          <w:sz w:val="20"/>
          <w:szCs w:val="20"/>
        </w:rPr>
        <w:t>raded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components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based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stage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lactation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number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children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amount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type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you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feed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it,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well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amount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water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available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drinking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[12]</w:t>
      </w:r>
      <w:r w:rsidR="005734F7"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High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alkaline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lastRenderedPageBreak/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soon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becomes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acidic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you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leave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period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time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range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6.5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6.7%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turns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acidic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quickly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where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increases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lactic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acid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0.03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after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two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hours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14%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after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6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hours,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ranges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water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camel's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from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84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90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%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components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range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from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average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about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5.4,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protein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about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3%,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proportion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lactose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about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3.4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minerals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about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0.7%,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such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iron,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calcium,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phosphorus,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manganese,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potassium,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magnesium,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significant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differences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compounds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between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different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types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depend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drink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provided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[45]</w:t>
      </w:r>
      <w:r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proportion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solids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lower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buffalo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31.6%,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while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Buffalo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40.9%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exist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form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minute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concentric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grains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protein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difficult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separate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usual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ways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other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dairy</w:t>
      </w:r>
      <w:r w:rsidRPr="009202BD">
        <w:rPr>
          <w:rFonts w:ascii="Times New Roman" w:hAnsi="Times New Roman" w:cs="Times New Roman"/>
          <w:sz w:val="20"/>
          <w:szCs w:val="20"/>
        </w:rPr>
        <w:t>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fatty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acids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short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chain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which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less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other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dairy,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contains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greatest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concentration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fatty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acids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volatile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especially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linoleic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multiple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non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Almicheah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fatty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amino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acid,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which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vital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human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diet,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especially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heart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patients.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percentage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low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Alklestarol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compared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cow's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about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40%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0903" w:rsidRPr="009202BD">
        <w:rPr>
          <w:rFonts w:ascii="Times New Roman" w:hAnsi="Times New Roman" w:cs="Times New Roman"/>
          <w:sz w:val="20"/>
          <w:szCs w:val="20"/>
        </w:rPr>
        <w:t>[49]</w:t>
      </w:r>
      <w:r w:rsidR="005734F7"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percentage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casein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protein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total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protein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70%,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making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easy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digest</w:t>
      </w:r>
      <w:r w:rsidR="00C774C8"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contains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vitamin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rate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three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times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its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presence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cow's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increase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if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fed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herbs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food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rich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this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vitamin.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vitamin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B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1.2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present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sufficient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quantity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top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sheep's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yogurt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there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vitamin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(A)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beta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carotene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rates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774C8" w:rsidRPr="009202BD">
        <w:rPr>
          <w:rFonts w:ascii="Times New Roman" w:hAnsi="Times New Roman" w:cs="Times New Roman"/>
          <w:sz w:val="20"/>
          <w:szCs w:val="20"/>
        </w:rPr>
        <w:t>sufficient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C1E4A" w:rsidRPr="009202BD">
        <w:rPr>
          <w:rFonts w:ascii="Times New Roman" w:hAnsi="Times New Roman" w:cs="Times New Roman"/>
          <w:sz w:val="20"/>
          <w:szCs w:val="20"/>
        </w:rPr>
        <w:t>[25]</w:t>
      </w:r>
      <w:r w:rsidR="00C774C8" w:rsidRPr="009202BD">
        <w:rPr>
          <w:rFonts w:ascii="Times New Roman" w:hAnsi="Times New Roman" w:cs="Times New Roman"/>
          <w:sz w:val="20"/>
          <w:szCs w:val="20"/>
        </w:rPr>
        <w:t>.</w:t>
      </w:r>
    </w:p>
    <w:p w:rsidR="009202BD" w:rsidRPr="009202BD" w:rsidRDefault="000C0632" w:rsidP="00AD6CC7">
      <w:pPr>
        <w:pStyle w:val="Pa11"/>
        <w:snapToGri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Structure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equence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camel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cha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ant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bod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</w:t>
      </w:r>
    </w:p>
    <w:p w:rsidR="000C0632" w:rsidRPr="009202BD" w:rsidRDefault="009202BD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amel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discovered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Ungar-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Waroni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et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al.,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who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isolated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low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molecular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weight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Ig-like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proteins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dromedary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serum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showed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signi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ficance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transmission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passive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immunity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dam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calf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colostrum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[107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However,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detailed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characteri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zation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demonstration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potential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usefulness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stemmed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work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Hamers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group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Brussels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="003A0903" w:rsidRPr="009202BD">
        <w:rPr>
          <w:rFonts w:ascii="Times New Roman" w:hAnsi="Times New Roman" w:cs="Times New Roman"/>
          <w:color w:val="000000"/>
          <w:sz w:val="20"/>
          <w:szCs w:val="20"/>
        </w:rPr>
        <w:t>53,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61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analyzing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isola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camel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serum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SDS-PAGE,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found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unusual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proteins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belong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subclass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lower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molecular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weight.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absence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reducing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agent,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94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kDa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visible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gel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addition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expected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150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kDa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band,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while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presence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reducing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agent,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only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43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kDa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found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bserved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[61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au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thors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assumed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camel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serum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contains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homodimers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consist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only.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three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subclasses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functional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IgGs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se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rum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Camelidae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IgG1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heterodimer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consisting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lastRenderedPageBreak/>
        <w:t>he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homodimers,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while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IgG2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IgG3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sist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only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called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(hcAbs).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hcAbs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consist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va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riable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domains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called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VHHs,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followed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const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ant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domains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CH2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CH3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Contrasting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regular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body,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CH1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domain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[83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hinge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region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linking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CH2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regions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usually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elongated,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composed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repeated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residues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proline,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lysine,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glutamine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glutamic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acid.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consequence,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structure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hinge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region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more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rigid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distance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between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two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binding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domains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increased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comparison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regular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IgGs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[84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Antigen-binding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fragments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regular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expressed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form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Fab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scFv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fragments,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both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cases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cloned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separately.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contrast,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active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antigen-binding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fragment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cloned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expressed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form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VHH,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consist</w:t>
      </w:r>
      <w:r w:rsidR="00C60C1F" w:rsidRPr="009202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0C1F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0C1F" w:rsidRPr="009202BD">
        <w:rPr>
          <w:rFonts w:ascii="Times New Roman" w:hAnsi="Times New Roman" w:cs="Times New Roman"/>
          <w:color w:val="000000"/>
          <w:sz w:val="20"/>
          <w:szCs w:val="20"/>
        </w:rPr>
        <w:t>only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0C1F" w:rsidRPr="009202BD">
        <w:rPr>
          <w:rFonts w:ascii="Times New Roman" w:hAnsi="Times New Roman" w:cs="Times New Roman"/>
          <w:color w:val="000000"/>
          <w:sz w:val="20"/>
          <w:szCs w:val="20"/>
        </w:rPr>
        <w:t>one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0C1F" w:rsidRPr="009202BD">
        <w:rPr>
          <w:rFonts w:ascii="Times New Roman" w:hAnsi="Times New Roman" w:cs="Times New Roman"/>
          <w:color w:val="000000"/>
          <w:sz w:val="20"/>
          <w:szCs w:val="20"/>
        </w:rPr>
        <w:t>polypeptide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0C1F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proteins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called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cha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binding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(BiP)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[52,79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nascent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Why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light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chains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antibo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dies?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most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mammalian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cells,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light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chains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combine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together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endoplasmic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reticulum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immedia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tely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after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translation.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major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involved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translocation,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secretion,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quality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control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(if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necessa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ry)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degradation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83D" w:rsidRPr="009202BD">
        <w:rPr>
          <w:rFonts w:ascii="Times New Roman" w:hAnsi="Times New Roman" w:cs="Times New Roman"/>
          <w:color w:val="000000"/>
          <w:sz w:val="20"/>
          <w:szCs w:val="20"/>
        </w:rPr>
        <w:t>secreted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bound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BiP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immediately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after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translation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reta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ined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until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replace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BiP.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absent,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chain-BiP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complex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bound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E3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ubi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quitin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ligase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complex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transported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across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membra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proteasome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[98]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BiP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binds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specifical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segment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[64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retains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endoplasmic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reticulum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until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BiP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exchanged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light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chain.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Since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CH1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regions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0632" w:rsidRPr="009202BD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belonging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camel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class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IgG2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IgG3,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cannot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retained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BiP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13BC" w:rsidRPr="009202BD">
        <w:rPr>
          <w:rFonts w:ascii="Times New Roman" w:hAnsi="Times New Roman" w:cs="Times New Roman"/>
          <w:color w:val="000000"/>
          <w:sz w:val="20"/>
          <w:szCs w:val="20"/>
        </w:rPr>
        <w:t>exported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CH1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regions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missing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matu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because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mutation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G&gt;A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3’-border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between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CH1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exon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downstream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intron.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mutation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does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allow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spliceosome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recognize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splicing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site,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exon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encoding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CH1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moved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together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introns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7261" w:rsidRPr="009202BD">
        <w:rPr>
          <w:rFonts w:ascii="Times New Roman" w:hAnsi="Times New Roman" w:cs="Times New Roman"/>
          <w:color w:val="000000"/>
          <w:sz w:val="20"/>
          <w:szCs w:val="20"/>
        </w:rPr>
        <w:t>[84,113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9202BD" w:rsidRPr="009202BD" w:rsidRDefault="00C60C1F" w:rsidP="00AD6CC7">
      <w:pPr>
        <w:tabs>
          <w:tab w:val="left" w:pos="1665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sz w:val="20"/>
          <w:szCs w:val="20"/>
        </w:rPr>
        <w:t>Uses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camel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milk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202BD" w:rsidRPr="009202BD" w:rsidRDefault="009202BD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T</w:t>
      </w:r>
      <w:r w:rsidR="005734F7" w:rsidRPr="009202BD">
        <w:rPr>
          <w:rFonts w:ascii="Times New Roman" w:hAnsi="Times New Roman" w:cs="Times New Roman"/>
          <w:sz w:val="20"/>
          <w:szCs w:val="20"/>
        </w:rPr>
        <w:t>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Arabs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have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benefited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from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old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many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illnesses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Kaljdra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wounds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dental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diseases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diseases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digestive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system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resistance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toxins.</w:t>
      </w:r>
    </w:p>
    <w:p w:rsidR="00C60C1F" w:rsidRPr="009202BD" w:rsidRDefault="005734F7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They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said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best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after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birth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forty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days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his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superiors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what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intensified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egg-white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merry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stench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Olz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taste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was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sweetness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easy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Dsamh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moderate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mild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texture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Raqqa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Aleppo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from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correct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moderate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meat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commendable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pasture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Almcherb</w:t>
      </w:r>
      <w:r w:rsidR="00AD6CC7"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AD6CC7" w:rsidRPr="009202BD">
        <w:rPr>
          <w:rFonts w:ascii="Times New Roman" w:hAnsi="Times New Roman" w:cs="Times New Roman"/>
          <w:sz w:val="20"/>
          <w:szCs w:val="20"/>
        </w:rPr>
        <w:t>o</w:t>
      </w:r>
      <w:r w:rsidRPr="009202BD">
        <w:rPr>
          <w:rFonts w:ascii="Times New Roman" w:hAnsi="Times New Roman" w:cs="Times New Roman"/>
          <w:sz w:val="20"/>
          <w:szCs w:val="20"/>
        </w:rPr>
        <w:t>icol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Arabs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medicine.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lastRenderedPageBreak/>
        <w:t>Mahmoud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generates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good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blood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moisturizes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body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benefit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from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obsessive-compulsive,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distress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disease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melancholy,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if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you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drink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honey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pure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sores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esoteric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Blends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rotten,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drink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sugar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improves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very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color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liquidate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skin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good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chest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diseases,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especially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lung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good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people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tuberculosis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0903" w:rsidRPr="009202BD">
        <w:rPr>
          <w:rFonts w:ascii="Times New Roman" w:hAnsi="Times New Roman" w:cs="Times New Roman"/>
          <w:sz w:val="20"/>
          <w:szCs w:val="20"/>
        </w:rPr>
        <w:t>[58,59]</w:t>
      </w:r>
      <w:r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vaccine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has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been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received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evacuation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Tliyna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pass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more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Faha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hit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good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ascites.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Razi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said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(milk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vaccine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cure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aches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liver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corruption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mood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''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said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Ibn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Sina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book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law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''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medication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beneficial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because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involves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evacuation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gently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property,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severe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benefit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lived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instead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water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food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cured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it,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has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pushed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people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land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Arabs</w:t>
      </w:r>
      <w:r w:rsidR="0032182E"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recommended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patient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takes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take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him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Balgdah,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something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does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not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include,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must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complete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rest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after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drinking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warm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fresh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best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clean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digestive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system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considered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best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laxatives.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spread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between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Bedouins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any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disease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home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can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be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treated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milk.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not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only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donor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force,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but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also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health.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Scientific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research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has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demonstrated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unique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advantages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modern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[85,86].</w:t>
      </w:r>
    </w:p>
    <w:p w:rsidR="009202BD" w:rsidRPr="009202BD" w:rsidRDefault="005734F7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sz w:val="20"/>
          <w:szCs w:val="20"/>
        </w:rPr>
        <w:t>Immunological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characteristics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medical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uses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camel's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milk:</w:t>
      </w:r>
    </w:p>
    <w:p w:rsidR="001A77C3" w:rsidRPr="009202BD" w:rsidRDefault="009202BD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N</w:t>
      </w:r>
      <w:r w:rsidR="005734F7" w:rsidRPr="009202BD">
        <w:rPr>
          <w:rFonts w:ascii="Times New Roman" w:hAnsi="Times New Roman" w:cs="Times New Roman"/>
          <w:sz w:val="20"/>
          <w:szCs w:val="20"/>
        </w:rPr>
        <w:t>umerous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studies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carried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Ajami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explained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(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1994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2000</w:t>
      </w:r>
      <w:r w:rsidR="005734F7" w:rsidRPr="009202BD">
        <w:rPr>
          <w:rFonts w:ascii="Times New Roman" w:hAnsi="Times New Roman" w:cs="Times New Roman"/>
          <w:sz w:val="20"/>
          <w:szCs w:val="20"/>
        </w:rPr>
        <w:t>)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Ajami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AD6CC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(1992,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1996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1998</w:t>
      </w:r>
      <w:r w:rsidR="005734F7" w:rsidRPr="009202BD">
        <w:rPr>
          <w:rFonts w:ascii="Times New Roman" w:hAnsi="Times New Roman" w:cs="Times New Roman"/>
          <w:sz w:val="20"/>
          <w:szCs w:val="20"/>
        </w:rPr>
        <w:t>)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characterized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features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immune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unique,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contains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very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high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concentrations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some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inhibitory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compounds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some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pathogenic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bacteria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some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viruses.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India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uses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ascites,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jaundice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trouble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spleen,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tuberculosis,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asthma,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anemia,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hemorrhoids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(Rao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AD6CC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al.,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1970</w:t>
      </w:r>
      <w:r w:rsidR="005734F7" w:rsidRPr="009202BD">
        <w:rPr>
          <w:rFonts w:ascii="Times New Roman" w:hAnsi="Times New Roman" w:cs="Times New Roman"/>
          <w:sz w:val="20"/>
          <w:szCs w:val="20"/>
        </w:rPr>
        <w:t>)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hepatitis,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chronic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disease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improve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liver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function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liver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function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improved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patients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hepatitis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after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being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treated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sz w:val="20"/>
          <w:szCs w:val="20"/>
        </w:rPr>
        <w:t>camels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Sharmanov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AD6CC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al.,</w:t>
      </w:r>
      <w:r w:rsidR="00AD6CC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734F7" w:rsidRPr="009202BD">
        <w:rPr>
          <w:rFonts w:ascii="Times New Roman" w:hAnsi="Times New Roman" w:cs="Times New Roman"/>
          <w:b/>
          <w:bCs/>
          <w:sz w:val="20"/>
          <w:szCs w:val="20"/>
        </w:rPr>
        <w:t>1978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give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elderly,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youth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children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which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important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bone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65CE" w:rsidRPr="009202BD">
        <w:rPr>
          <w:rFonts w:ascii="Times New Roman" w:hAnsi="Times New Roman" w:cs="Times New Roman"/>
          <w:sz w:val="20"/>
          <w:szCs w:val="20"/>
        </w:rPr>
        <w:t>formation.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proven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lowers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blood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levels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glucose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thus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can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have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rol</w:t>
      </w:r>
      <w:r w:rsidR="003A2ED5" w:rsidRPr="009202BD">
        <w:rPr>
          <w:rFonts w:ascii="Times New Roman" w:hAnsi="Times New Roman" w:cs="Times New Roman"/>
          <w:sz w:val="20"/>
          <w:szCs w:val="20"/>
        </w:rPr>
        <w:t>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2ED5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2ED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2ED5" w:rsidRPr="009202BD">
        <w:rPr>
          <w:rFonts w:ascii="Times New Roman" w:hAnsi="Times New Roman" w:cs="Times New Roman"/>
          <w:sz w:val="20"/>
          <w:szCs w:val="20"/>
        </w:rPr>
        <w:t>t</w:t>
      </w:r>
      <w:r w:rsidR="00C4570E" w:rsidRPr="009202BD">
        <w:rPr>
          <w:rFonts w:ascii="Times New Roman" w:hAnsi="Times New Roman" w:cs="Times New Roman"/>
          <w:sz w:val="20"/>
          <w:szCs w:val="20"/>
        </w:rPr>
        <w:t>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diabetes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[1,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2ED5" w:rsidRPr="009202BD">
        <w:rPr>
          <w:rFonts w:ascii="Times New Roman" w:hAnsi="Times New Roman" w:cs="Times New Roman"/>
          <w:sz w:val="20"/>
          <w:szCs w:val="20"/>
        </w:rPr>
        <w:t>2]</w:t>
      </w:r>
      <w:r w:rsidR="006D5B55"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amazing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found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high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levels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insulin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insulin-like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proteins,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you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drink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milk,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compounds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carried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out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through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stomach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into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blood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non-shatter,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while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acid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dest</w:t>
      </w:r>
      <w:r w:rsidR="003A2ED5" w:rsidRPr="009202BD">
        <w:rPr>
          <w:rFonts w:ascii="Times New Roman" w:hAnsi="Times New Roman" w:cs="Times New Roman"/>
          <w:sz w:val="20"/>
          <w:szCs w:val="20"/>
        </w:rPr>
        <w:t>roys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2ED5" w:rsidRPr="009202BD">
        <w:rPr>
          <w:rFonts w:ascii="Times New Roman" w:hAnsi="Times New Roman" w:cs="Times New Roman"/>
          <w:sz w:val="20"/>
          <w:szCs w:val="20"/>
        </w:rPr>
        <w:t>normal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2ED5" w:rsidRPr="009202BD">
        <w:rPr>
          <w:rFonts w:ascii="Times New Roman" w:hAnsi="Times New Roman" w:cs="Times New Roman"/>
          <w:sz w:val="20"/>
          <w:szCs w:val="20"/>
        </w:rPr>
        <w:t>intestinal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2ED5" w:rsidRPr="009202BD">
        <w:rPr>
          <w:rFonts w:ascii="Times New Roman" w:hAnsi="Times New Roman" w:cs="Times New Roman"/>
          <w:sz w:val="20"/>
          <w:szCs w:val="20"/>
        </w:rPr>
        <w:t>insulin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A2ED5" w:rsidRPr="009202BD">
        <w:rPr>
          <w:rFonts w:ascii="Times New Roman" w:hAnsi="Times New Roman" w:cs="Times New Roman"/>
          <w:sz w:val="20"/>
          <w:szCs w:val="20"/>
        </w:rPr>
        <w:t>[3]</w:t>
      </w:r>
      <w:r w:rsidR="006D5B55" w:rsidRPr="009202BD">
        <w:rPr>
          <w:rFonts w:ascii="Times New Roman" w:hAnsi="Times New Roman" w:cs="Times New Roman"/>
          <w:sz w:val="20"/>
          <w:szCs w:val="20"/>
        </w:rPr>
        <w:t>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given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hope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manufacture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human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insulin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intake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by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mouth,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working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today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drug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companies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manufactured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marketed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near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future.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ha</w:t>
      </w:r>
      <w:r w:rsidR="00C4570E" w:rsidRPr="009202BD">
        <w:rPr>
          <w:rFonts w:ascii="Times New Roman" w:hAnsi="Times New Roman" w:cs="Times New Roman"/>
          <w:sz w:val="20"/>
          <w:szCs w:val="20"/>
        </w:rPr>
        <w:t>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been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found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recent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study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sz w:val="20"/>
          <w:szCs w:val="20"/>
        </w:rPr>
        <w:t>[3]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patients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Type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diabetes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have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benefited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from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Cuba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when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ate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milk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have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decreased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level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lastRenderedPageBreak/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sugar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blood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reduced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amount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insulin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prescribed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6D5B55" w:rsidRPr="009202BD">
        <w:rPr>
          <w:rFonts w:ascii="Times New Roman" w:hAnsi="Times New Roman" w:cs="Times New Roman"/>
          <w:sz w:val="20"/>
          <w:szCs w:val="20"/>
        </w:rPr>
        <w:t>them.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02BD" w:rsidRPr="009202BD" w:rsidRDefault="005A012A" w:rsidP="00AD6CC7">
      <w:pPr>
        <w:pStyle w:val="Heading2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What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nAb?</w:t>
      </w:r>
    </w:p>
    <w:p w:rsidR="009202BD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N</w:t>
      </w:r>
      <w:r w:rsidR="005A012A" w:rsidRPr="009202BD">
        <w:rPr>
          <w:sz w:val="20"/>
          <w:szCs w:val="20"/>
        </w:rPr>
        <w:t>ano-Antibodies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or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"nAb"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VHH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derived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camelidae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(camels,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llamas,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alpacas,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etc.).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Compared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with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conventional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monoclonal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polyclonal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antibodies,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nAb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possess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many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superior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properties,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including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small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size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(~15kd),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high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affinity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(frequently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nanomolar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range),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high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specificity,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unsurpassed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stability.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Each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nAb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available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following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formats: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stable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purified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protein,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fluorescent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dye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conjugates,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conjugates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various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matrices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(including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agarose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resin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magnetic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beads)</w:t>
      </w:r>
      <w:r w:rsidR="00AD6CC7">
        <w:rPr>
          <w:sz w:val="20"/>
          <w:szCs w:val="20"/>
        </w:rPr>
        <w:t xml:space="preserve"> </w:t>
      </w:r>
      <w:r w:rsidR="000D57BD" w:rsidRPr="009202BD">
        <w:rPr>
          <w:sz w:val="20"/>
          <w:szCs w:val="20"/>
        </w:rPr>
        <w:t>[25]</w:t>
      </w:r>
      <w:r w:rsidR="005A012A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</w:p>
    <w:p w:rsidR="006639B8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D</w:t>
      </w:r>
      <w:r w:rsidR="005A012A" w:rsidRPr="009202BD">
        <w:rPr>
          <w:sz w:val="20"/>
          <w:szCs w:val="20"/>
        </w:rPr>
        <w:t>u</w:t>
      </w:r>
      <w:r w:rsidR="00F07FB3" w:rsidRPr="009202BD">
        <w:rPr>
          <w:sz w:val="20"/>
          <w:szCs w:val="20"/>
        </w:rPr>
        <w:t>ring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development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each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nAb,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researchers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apply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unique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screening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processes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protein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engineering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expertise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generate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that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improved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over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natural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camelid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antibody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fragments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[94]</w:t>
      </w:r>
      <w:r w:rsidR="005A012A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part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this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engineering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process,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all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points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linkage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between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nAb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optimized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affinity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resins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strategically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confined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non-binding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surfaces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antibody,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increasing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specific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affinity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reducing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potential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non-s</w:t>
      </w:r>
      <w:r w:rsidR="00F07FB3" w:rsidRPr="009202BD">
        <w:rPr>
          <w:sz w:val="20"/>
          <w:szCs w:val="20"/>
        </w:rPr>
        <w:t>pecific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interactions.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Beyond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flagship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GFP-nAb™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mNeon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Green-nAb™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products,</w:t>
      </w:r>
      <w:r w:rsidR="00AD6CC7">
        <w:rPr>
          <w:sz w:val="20"/>
          <w:szCs w:val="20"/>
        </w:rPr>
        <w:t xml:space="preserve"> </w:t>
      </w:r>
      <w:r w:rsidR="00F07FB3" w:rsidRPr="009202BD">
        <w:rPr>
          <w:sz w:val="20"/>
          <w:szCs w:val="20"/>
        </w:rPr>
        <w:t>it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will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soon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be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providing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nAb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multiple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formats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against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stem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cell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markers,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cancer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markers,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functional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repressors,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additional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fluorescent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protein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families,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many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common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epitope</w:t>
      </w:r>
      <w:r w:rsidR="00AD6CC7">
        <w:rPr>
          <w:sz w:val="20"/>
          <w:szCs w:val="20"/>
        </w:rPr>
        <w:t xml:space="preserve"> </w:t>
      </w:r>
      <w:r w:rsidR="005A012A" w:rsidRPr="009202BD">
        <w:rPr>
          <w:sz w:val="20"/>
          <w:szCs w:val="20"/>
        </w:rPr>
        <w:t>tags</w:t>
      </w:r>
      <w:r w:rsidR="00AD6CC7">
        <w:rPr>
          <w:sz w:val="20"/>
          <w:szCs w:val="20"/>
        </w:rPr>
        <w:t xml:space="preserve"> </w:t>
      </w:r>
      <w:r w:rsidR="000D57BD" w:rsidRPr="009202BD">
        <w:rPr>
          <w:sz w:val="20"/>
          <w:szCs w:val="20"/>
        </w:rPr>
        <w:t>[30]</w:t>
      </w:r>
      <w:r w:rsidR="005A012A" w:rsidRPr="009202BD">
        <w:rPr>
          <w:sz w:val="20"/>
          <w:szCs w:val="20"/>
        </w:rPr>
        <w:t>.</w:t>
      </w:r>
    </w:p>
    <w:p w:rsidR="009202BD" w:rsidRPr="009202BD" w:rsidRDefault="00D34937" w:rsidP="00AD6CC7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9202BD">
        <w:rPr>
          <w:b/>
          <w:bCs/>
          <w:sz w:val="20"/>
          <w:szCs w:val="20"/>
        </w:rPr>
        <w:t>Why</w:t>
      </w:r>
      <w:r w:rsidR="00AD6CC7">
        <w:rPr>
          <w:b/>
          <w:bCs/>
          <w:sz w:val="20"/>
          <w:szCs w:val="20"/>
        </w:rPr>
        <w:t xml:space="preserve"> </w:t>
      </w:r>
      <w:r w:rsidRPr="009202BD">
        <w:rPr>
          <w:b/>
          <w:bCs/>
          <w:sz w:val="20"/>
          <w:szCs w:val="20"/>
        </w:rPr>
        <w:t>Should</w:t>
      </w:r>
      <w:r w:rsidR="00AD6CC7">
        <w:rPr>
          <w:b/>
          <w:bCs/>
          <w:sz w:val="20"/>
          <w:szCs w:val="20"/>
        </w:rPr>
        <w:t xml:space="preserve"> </w:t>
      </w:r>
      <w:r w:rsidRPr="009202BD">
        <w:rPr>
          <w:b/>
          <w:bCs/>
          <w:sz w:val="20"/>
          <w:szCs w:val="20"/>
        </w:rPr>
        <w:t>You</w:t>
      </w:r>
      <w:r w:rsidR="00AD6CC7">
        <w:rPr>
          <w:b/>
          <w:bCs/>
          <w:sz w:val="20"/>
          <w:szCs w:val="20"/>
        </w:rPr>
        <w:t xml:space="preserve"> </w:t>
      </w:r>
      <w:r w:rsidRPr="009202BD">
        <w:rPr>
          <w:b/>
          <w:bCs/>
          <w:sz w:val="20"/>
          <w:szCs w:val="20"/>
        </w:rPr>
        <w:t>Choose</w:t>
      </w:r>
      <w:r w:rsidR="00AD6CC7">
        <w:rPr>
          <w:b/>
          <w:bCs/>
          <w:sz w:val="20"/>
          <w:szCs w:val="20"/>
        </w:rPr>
        <w:t xml:space="preserve"> </w:t>
      </w:r>
      <w:r w:rsidRPr="009202BD">
        <w:rPr>
          <w:b/>
          <w:bCs/>
          <w:sz w:val="20"/>
          <w:szCs w:val="20"/>
        </w:rPr>
        <w:t>nAb?</w:t>
      </w:r>
    </w:p>
    <w:p w:rsidR="00D34937" w:rsidRPr="009202BD" w:rsidRDefault="009202BD" w:rsidP="00AD6CC7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02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Ab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robust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tools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number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biological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assays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applications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due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affinity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binding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specificity,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allowing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clean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31AB" w:rsidRPr="009202BD">
        <w:rPr>
          <w:rFonts w:ascii="Times New Roman" w:eastAsia="Times New Roman" w:hAnsi="Times New Roman" w:cs="Times New Roman"/>
          <w:sz w:val="20"/>
          <w:szCs w:val="20"/>
        </w:rPr>
        <w:t>pull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31AB" w:rsidRPr="009202BD">
        <w:rPr>
          <w:rFonts w:ascii="Times New Roman" w:eastAsia="Times New Roman" w:hAnsi="Times New Roman" w:cs="Times New Roman"/>
          <w:sz w:val="20"/>
          <w:szCs w:val="20"/>
        </w:rPr>
        <w:t>down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your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target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protein/fusion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essentially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zero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background.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common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applications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nAb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937" w:rsidRPr="009202BD">
        <w:rPr>
          <w:rFonts w:ascii="Times New Roman" w:eastAsia="Times New Roman" w:hAnsi="Times New Roman" w:cs="Times New Roman"/>
          <w:sz w:val="20"/>
          <w:szCs w:val="20"/>
        </w:rPr>
        <w:t>include:</w:t>
      </w:r>
    </w:p>
    <w:p w:rsidR="00D34937" w:rsidRPr="009202BD" w:rsidRDefault="00D34937" w:rsidP="00AD6CC7">
      <w:pPr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02BD">
        <w:rPr>
          <w:rFonts w:ascii="Times New Roman" w:eastAsia="Times New Roman" w:hAnsi="Times New Roman" w:cs="Times New Roman"/>
          <w:sz w:val="20"/>
          <w:szCs w:val="20"/>
        </w:rPr>
        <w:t>ChIP-CHIP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assays</w:t>
      </w:r>
    </w:p>
    <w:p w:rsidR="00D34937" w:rsidRPr="009202BD" w:rsidRDefault="00D34937" w:rsidP="00AD6CC7">
      <w:pPr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02BD">
        <w:rPr>
          <w:rFonts w:ascii="Times New Roman" w:eastAsia="Times New Roman" w:hAnsi="Times New Roman" w:cs="Times New Roman"/>
          <w:sz w:val="20"/>
          <w:szCs w:val="20"/>
        </w:rPr>
        <w:t>Identifying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Interacting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Proteins</w:t>
      </w:r>
    </w:p>
    <w:p w:rsidR="00D34937" w:rsidRPr="009202BD" w:rsidRDefault="00D34937" w:rsidP="00AD6CC7">
      <w:pPr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02BD">
        <w:rPr>
          <w:rFonts w:ascii="Times New Roman" w:eastAsia="Times New Roman" w:hAnsi="Times New Roman" w:cs="Times New Roman"/>
          <w:sz w:val="20"/>
          <w:szCs w:val="20"/>
        </w:rPr>
        <w:t>RIP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Assays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(RNA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Immunoprecipitation)</w:t>
      </w:r>
    </w:p>
    <w:p w:rsidR="00373B94" w:rsidRPr="00AD6CC7" w:rsidRDefault="00D34937" w:rsidP="00AD6CC7">
      <w:pPr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02BD">
        <w:rPr>
          <w:rFonts w:ascii="Times New Roman" w:eastAsia="Times New Roman" w:hAnsi="Times New Roman" w:cs="Times New Roman"/>
          <w:sz w:val="20"/>
          <w:szCs w:val="20"/>
        </w:rPr>
        <w:t>CLIP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Assays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(in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vivo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Cross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Linking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AD6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eastAsia="Times New Roman" w:hAnsi="Times New Roman" w:cs="Times New Roman"/>
          <w:sz w:val="20"/>
          <w:szCs w:val="20"/>
        </w:rPr>
        <w:t>Immu</w:t>
      </w:r>
      <w:r w:rsidRPr="00AD6CC7">
        <w:rPr>
          <w:rFonts w:ascii="Times New Roman" w:eastAsia="Times New Roman" w:hAnsi="Times New Roman" w:cs="Times New Roman"/>
          <w:sz w:val="20"/>
          <w:szCs w:val="20"/>
        </w:rPr>
        <w:t>noprecipitation)</w:t>
      </w:r>
      <w:r w:rsidR="00C60C1F" w:rsidRPr="00AD6CC7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AD6CC7" w:rsidRPr="00AD6CC7" w:rsidRDefault="00AD6CC7" w:rsidP="00AD6CC7">
      <w:pPr>
        <w:pStyle w:val="Heading2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AD6CC7">
        <w:rPr>
          <w:sz w:val="20"/>
          <w:szCs w:val="20"/>
        </w:rPr>
        <w:t>History</w:t>
      </w:r>
      <w:r>
        <w:rPr>
          <w:sz w:val="20"/>
          <w:szCs w:val="20"/>
        </w:rPr>
        <w:t xml:space="preserve"> </w:t>
      </w:r>
      <w:r w:rsidRPr="00AD6CC7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AD6CC7">
        <w:rPr>
          <w:sz w:val="20"/>
          <w:szCs w:val="20"/>
        </w:rPr>
        <w:t>nAb</w:t>
      </w:r>
      <w:r>
        <w:rPr>
          <w:sz w:val="20"/>
          <w:szCs w:val="20"/>
        </w:rPr>
        <w:t xml:space="preserve"> </w:t>
      </w:r>
      <w:r w:rsidRPr="00AD6CC7">
        <w:rPr>
          <w:sz w:val="20"/>
          <w:szCs w:val="20"/>
        </w:rPr>
        <w:t>Development</w:t>
      </w:r>
    </w:p>
    <w:p w:rsidR="00373B94" w:rsidRDefault="00AD6CC7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lang w:eastAsia="zh-CN"/>
        </w:rPr>
      </w:pP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Allele's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involvement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the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field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of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VHH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antibodies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goes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back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number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of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years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to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2008,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when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the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first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trial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began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to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examine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appreciate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the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unmatched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potential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of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nano-antibodies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[12].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2009,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GFP-trap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was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introduced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along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with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other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VHH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products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to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the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US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market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through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our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distribution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deal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with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Chromotek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[17].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Moving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forward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to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2011,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with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NIH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funding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to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carry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out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research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development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project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exploring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alternative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VHH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antibody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development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isolation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technology.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Shortly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after,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introduction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camelid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antibody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service,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harnessing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the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latest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technology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techniques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to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generate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unique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single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domain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antibodies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for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customers.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2012,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new,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two-story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facility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San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lastRenderedPageBreak/>
        <w:t>Diego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with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dedicated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antibody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screening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area,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drastically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increasing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internal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research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and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custom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service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Pr="00AD6CC7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capacity.</w:t>
      </w:r>
      <w:r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</w:p>
    <w:p w:rsidR="00AD6CC7" w:rsidRPr="00AD6CC7" w:rsidRDefault="00AD6CC7" w:rsidP="00AD6CC7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519"/>
      </w:tblGrid>
      <w:tr w:rsidR="00373B94" w:rsidRPr="009202BD" w:rsidTr="009202BD">
        <w:trPr>
          <w:jc w:val="center"/>
        </w:trPr>
        <w:tc>
          <w:tcPr>
            <w:tcW w:w="5000" w:type="pct"/>
            <w:vAlign w:val="center"/>
          </w:tcPr>
          <w:p w:rsidR="00373B94" w:rsidRPr="009202BD" w:rsidRDefault="00373B94" w:rsidP="00AD6CC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202BD">
              <w:rPr>
                <w:rFonts w:ascii="Times New Roman" w:eastAsia="Times New Roman" w:hAnsi="Times New Roman" w:cs="Times New Roman"/>
                <w:noProof/>
                <w:sz w:val="20"/>
                <w:szCs w:val="16"/>
                <w:lang w:eastAsia="zh-CN"/>
              </w:rPr>
              <w:drawing>
                <wp:inline distT="0" distB="0" distL="0" distR="0">
                  <wp:extent cx="2142131" cy="2671638"/>
                  <wp:effectExtent l="19050" t="0" r="0" b="0"/>
                  <wp:docPr id="3" name="Picture 7" descr="gfp-nab-gel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fp-nab-gel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672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B94" w:rsidRPr="009202BD" w:rsidTr="009202BD">
        <w:trPr>
          <w:jc w:val="center"/>
        </w:trPr>
        <w:tc>
          <w:tcPr>
            <w:tcW w:w="5000" w:type="pct"/>
            <w:vAlign w:val="center"/>
          </w:tcPr>
          <w:p w:rsidR="00373B94" w:rsidRPr="009202BD" w:rsidRDefault="00373B94" w:rsidP="00AD6C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9202B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Complete</w:t>
            </w:r>
            <w:r w:rsidR="00AD6CC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Pulldown</w:t>
            </w:r>
            <w:r w:rsidR="00AD6CC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using</w:t>
            </w:r>
            <w:r w:rsidR="00AD6CC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the</w:t>
            </w:r>
            <w:r w:rsidR="00AD6CC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GFP-nAb™</w:t>
            </w:r>
            <w:r w:rsidR="00AD6CC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Spin</w:t>
            </w:r>
            <w:r w:rsidR="00AD6CC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Kit.</w:t>
            </w:r>
            <w:r w:rsidR="00AD6CC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</w:p>
          <w:p w:rsidR="00373B94" w:rsidRPr="009202BD" w:rsidRDefault="00373B94" w:rsidP="00AD6C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EGFP-expressing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Sf9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(insect)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cell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lysate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contained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a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total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of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16µg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of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EGFP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in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total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volume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of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500µl,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determined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spectrophotometrically.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Following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the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GFP-nAb™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Spin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Kit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binding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and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wash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protocols,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the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protein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was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eluted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in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2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x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50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µl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elution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buffer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(0.2M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glycine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pH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2.5),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pooled,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and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neutralized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with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10µl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of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1M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Tris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base.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Equal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volumes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of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lysate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input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(I),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flow-through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(FT)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after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binding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to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GFP-nAb™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agarose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resin,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and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elution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(E)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fractions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were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analyzed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by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SDS-PAGE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followed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by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Coomassie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staining.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In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this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experiment,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EGFP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was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quantitatively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removed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from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the</w:t>
            </w:r>
            <w:r w:rsidR="00AD6CC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202BD">
              <w:rPr>
                <w:rFonts w:ascii="Times New Roman" w:eastAsia="Times New Roman" w:hAnsi="Times New Roman" w:cs="Times New Roman"/>
                <w:sz w:val="20"/>
                <w:szCs w:val="18"/>
              </w:rPr>
              <w:t>lysate.</w:t>
            </w:r>
          </w:p>
        </w:tc>
      </w:tr>
    </w:tbl>
    <w:p w:rsidR="00373B94" w:rsidRDefault="00373B94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D6CC7" w:rsidRPr="009202BD" w:rsidRDefault="00AD6CC7" w:rsidP="00AD6CC7">
      <w:pPr>
        <w:pStyle w:val="Heading2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9202BD">
        <w:rPr>
          <w:rStyle w:val="mw-headline"/>
          <w:sz w:val="20"/>
          <w:szCs w:val="20"/>
        </w:rPr>
        <w:t>Properties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single-domain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antibody</w:t>
      </w:r>
      <w:r w:rsidRPr="009202BD">
        <w:rPr>
          <w:rStyle w:val="mw-headline"/>
          <w:sz w:val="20"/>
          <w:szCs w:val="20"/>
        </w:rPr>
        <w:t>:</w:t>
      </w:r>
    </w:p>
    <w:p w:rsidR="00AD6CC7" w:rsidRPr="009202BD" w:rsidRDefault="00AD6CC7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single-domain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antibody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hyperlink r:id="rId35" w:tooltip="Peptide" w:history="1">
        <w:r w:rsidRPr="009202BD">
          <w:rPr>
            <w:rStyle w:val="Hyperlink"/>
            <w:color w:val="auto"/>
            <w:sz w:val="20"/>
            <w:szCs w:val="20"/>
            <w:u w:val="none"/>
          </w:rPr>
          <w:t>peptide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chain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about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110</w:t>
      </w:r>
      <w:r>
        <w:rPr>
          <w:sz w:val="20"/>
          <w:szCs w:val="20"/>
        </w:rPr>
        <w:t xml:space="preserve"> </w:t>
      </w:r>
      <w:hyperlink r:id="rId36" w:tooltip="Amino acid" w:history="1">
        <w:r w:rsidRPr="009202BD">
          <w:rPr>
            <w:rStyle w:val="Hyperlink"/>
            <w:color w:val="auto"/>
            <w:sz w:val="20"/>
            <w:szCs w:val="20"/>
            <w:u w:val="none"/>
          </w:rPr>
          <w:t>amino</w:t>
        </w:r>
        <w:r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9202BD">
          <w:rPr>
            <w:rStyle w:val="Hyperlink"/>
            <w:color w:val="auto"/>
            <w:sz w:val="20"/>
            <w:szCs w:val="20"/>
            <w:u w:val="none"/>
          </w:rPr>
          <w:t>acids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long,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comprising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one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variable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domain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(V</w:t>
      </w:r>
      <w:r w:rsidRPr="009202BD">
        <w:rPr>
          <w:sz w:val="20"/>
          <w:szCs w:val="20"/>
          <w:vertAlign w:val="subscript"/>
        </w:rPr>
        <w:t>H</w:t>
      </w:r>
      <w:r w:rsidRPr="009202BD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heavy-chain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antibody,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common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IgG.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These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peptides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have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similar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affinity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antigens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whole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antibodies,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but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more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heat-resistant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stable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towards</w:t>
      </w:r>
      <w:r>
        <w:rPr>
          <w:sz w:val="20"/>
          <w:szCs w:val="20"/>
        </w:rPr>
        <w:t xml:space="preserve"> </w:t>
      </w:r>
      <w:hyperlink r:id="rId37" w:tooltip="Detergent" w:history="1">
        <w:r w:rsidRPr="009202BD">
          <w:rPr>
            <w:rStyle w:val="Hyperlink"/>
            <w:color w:val="auto"/>
            <w:sz w:val="20"/>
            <w:szCs w:val="20"/>
            <w:u w:val="none"/>
          </w:rPr>
          <w:t>detergents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high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concentrations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hyperlink r:id="rId38" w:tooltip="Urea" w:history="1">
        <w:r w:rsidRPr="009202BD">
          <w:rPr>
            <w:rStyle w:val="Hyperlink"/>
            <w:color w:val="auto"/>
            <w:sz w:val="20"/>
            <w:szCs w:val="20"/>
            <w:u w:val="none"/>
          </w:rPr>
          <w:t>urea</w:t>
        </w:r>
      </w:hyperlink>
      <w:r w:rsidRPr="009202B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Those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derived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camelid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fish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antibodies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less</w:t>
      </w:r>
      <w:r>
        <w:rPr>
          <w:sz w:val="20"/>
          <w:szCs w:val="20"/>
        </w:rPr>
        <w:t xml:space="preserve"> </w:t>
      </w:r>
      <w:hyperlink r:id="rId39" w:tooltip="Lipophilic" w:history="1">
        <w:r w:rsidRPr="009202BD">
          <w:rPr>
            <w:rStyle w:val="Hyperlink"/>
            <w:color w:val="auto"/>
            <w:sz w:val="20"/>
            <w:szCs w:val="20"/>
            <w:u w:val="none"/>
          </w:rPr>
          <w:t>lipophilic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more</w:t>
      </w:r>
      <w:r>
        <w:rPr>
          <w:sz w:val="20"/>
          <w:szCs w:val="20"/>
        </w:rPr>
        <w:t xml:space="preserve"> </w:t>
      </w:r>
      <w:hyperlink r:id="rId40" w:tooltip="Soluble" w:history="1">
        <w:r w:rsidRPr="009202BD">
          <w:rPr>
            <w:rStyle w:val="Hyperlink"/>
            <w:color w:val="auto"/>
            <w:sz w:val="20"/>
            <w:szCs w:val="20"/>
            <w:u w:val="none"/>
          </w:rPr>
          <w:t>soluble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water,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owing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their</w:t>
      </w:r>
      <w:r>
        <w:rPr>
          <w:sz w:val="20"/>
          <w:szCs w:val="20"/>
        </w:rPr>
        <w:t xml:space="preserve"> </w:t>
      </w:r>
      <w:hyperlink r:id="rId41" w:tooltip="Complementarity determining region" w:history="1">
        <w:r w:rsidRPr="009202BD">
          <w:rPr>
            <w:rStyle w:val="Hyperlink"/>
            <w:color w:val="auto"/>
            <w:sz w:val="20"/>
            <w:szCs w:val="20"/>
            <w:u w:val="none"/>
          </w:rPr>
          <w:t>complementarity</w:t>
        </w:r>
        <w:r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9202BD">
          <w:rPr>
            <w:rStyle w:val="Hyperlink"/>
            <w:color w:val="auto"/>
            <w:sz w:val="20"/>
            <w:szCs w:val="20"/>
            <w:u w:val="none"/>
          </w:rPr>
          <w:t>determining</w:t>
        </w:r>
        <w:r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9202BD">
          <w:rPr>
            <w:rStyle w:val="Hyperlink"/>
            <w:color w:val="auto"/>
            <w:sz w:val="20"/>
            <w:szCs w:val="20"/>
            <w:u w:val="none"/>
          </w:rPr>
          <w:t>region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(CDR3),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which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forms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extended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loop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(coloured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orange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ribbon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diagram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above)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covering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lipophilic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site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normally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binds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light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chain.</w:t>
      </w:r>
      <w:hyperlink r:id="rId42" w:anchor="cite_note-Dolk-7" w:history="1">
        <w:r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[7]</w:t>
        </w:r>
      </w:hyperlink>
      <w:hyperlink r:id="rId43" w:anchor="cite_note-Stanfield-8" w:history="1">
        <w:r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[8]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contrast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common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antibodies,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two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out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six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single-domain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antibodies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survived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temperature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90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°C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(194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°F)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without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losing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their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ability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bind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antigens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1999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study.</w:t>
      </w:r>
      <w:hyperlink r:id="rId44" w:anchor="cite_note-9" w:history="1">
        <w:r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[9]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Stability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towards</w:t>
      </w:r>
      <w:r>
        <w:rPr>
          <w:sz w:val="20"/>
          <w:szCs w:val="20"/>
        </w:rPr>
        <w:t xml:space="preserve"> </w:t>
      </w:r>
      <w:hyperlink r:id="rId45" w:tooltip="Gastric acid" w:history="1">
        <w:r w:rsidRPr="009202BD">
          <w:rPr>
            <w:rStyle w:val="Hyperlink"/>
            <w:color w:val="auto"/>
            <w:sz w:val="20"/>
            <w:szCs w:val="20"/>
            <w:u w:val="none"/>
          </w:rPr>
          <w:t>gastric</w:t>
        </w:r>
        <w:r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9202BD">
          <w:rPr>
            <w:rStyle w:val="Hyperlink"/>
            <w:color w:val="auto"/>
            <w:sz w:val="20"/>
            <w:szCs w:val="20"/>
            <w:u w:val="none"/>
          </w:rPr>
          <w:t>acid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hyperlink r:id="rId46" w:tooltip="Proteases" w:history="1">
        <w:r w:rsidRPr="009202BD">
          <w:rPr>
            <w:rStyle w:val="Hyperlink"/>
            <w:color w:val="auto"/>
            <w:sz w:val="20"/>
            <w:szCs w:val="20"/>
            <w:u w:val="none"/>
          </w:rPr>
          <w:t>proteases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depends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amino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acid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sequence.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Some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species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have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been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shown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lastRenderedPageBreak/>
        <w:t>to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active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hyperlink r:id="rId47" w:tooltip="Intestine" w:history="1">
        <w:r w:rsidRPr="009202BD">
          <w:rPr>
            <w:rStyle w:val="Hyperlink"/>
            <w:color w:val="auto"/>
            <w:sz w:val="20"/>
            <w:szCs w:val="20"/>
            <w:u w:val="none"/>
          </w:rPr>
          <w:t>intestine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after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oral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application,</w:t>
      </w:r>
      <w:hyperlink r:id="rId48" w:anchor="cite_note-10" w:history="1">
        <w:r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[10]</w:t>
        </w:r>
      </w:hyperlink>
      <w:hyperlink r:id="rId49" w:anchor="cite_note-Harmsen_ETEC-11" w:history="1">
        <w:r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[11]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but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their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low</w:t>
      </w:r>
      <w:r>
        <w:rPr>
          <w:sz w:val="20"/>
          <w:szCs w:val="20"/>
        </w:rPr>
        <w:t xml:space="preserve"> </w:t>
      </w:r>
      <w:hyperlink r:id="rId50" w:tooltip="Absorption (pharmacokinetics)" w:history="1">
        <w:r w:rsidRPr="009202BD">
          <w:rPr>
            <w:rStyle w:val="Hyperlink"/>
            <w:color w:val="auto"/>
            <w:sz w:val="20"/>
            <w:szCs w:val="20"/>
            <w:u w:val="none"/>
          </w:rPr>
          <w:t>absorption</w:t>
        </w:r>
      </w:hyperlink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gut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impedes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lastRenderedPageBreak/>
        <w:t>development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systemically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active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orally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administered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single-domain</w:t>
      </w:r>
      <w:r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antibodies.</w:t>
      </w:r>
    </w:p>
    <w:p w:rsidR="00AD6CC7" w:rsidRDefault="00AD6CC7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  <w:sectPr w:rsidR="00AD6CC7" w:rsidSect="00AD6CC7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73B94" w:rsidRPr="009202BD" w:rsidRDefault="00373B94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</w:p>
    <w:p w:rsidR="00867B31" w:rsidRPr="009202BD" w:rsidRDefault="00867B31" w:rsidP="00AD6CC7">
      <w:pPr>
        <w:pStyle w:val="NormalWeb"/>
        <w:snapToGrid w:val="0"/>
        <w:spacing w:before="0" w:beforeAutospacing="0" w:after="0" w:afterAutospacing="0"/>
        <w:jc w:val="center"/>
        <w:rPr>
          <w:sz w:val="20"/>
          <w:szCs w:val="18"/>
        </w:rPr>
      </w:pPr>
      <w:r w:rsidRPr="009202BD">
        <w:rPr>
          <w:noProof/>
          <w:color w:val="0000FF"/>
          <w:sz w:val="20"/>
          <w:szCs w:val="18"/>
          <w:lang w:eastAsia="zh-CN"/>
        </w:rPr>
        <w:drawing>
          <wp:inline distT="0" distB="0" distL="0" distR="0">
            <wp:extent cx="4807392" cy="3442915"/>
            <wp:effectExtent l="19050" t="0" r="0" b="0"/>
            <wp:docPr id="9" name="Picture 9" descr="timeline-nab-3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meline-nab-3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760" cy="345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EB6" w:rsidRPr="009202BD" w:rsidRDefault="00DB79EB" w:rsidP="00AD6CC7">
      <w:pPr>
        <w:pStyle w:val="Heading2"/>
        <w:snapToGrid w:val="0"/>
        <w:spacing w:before="0" w:beforeAutospacing="0" w:after="0" w:afterAutospacing="0"/>
        <w:jc w:val="center"/>
        <w:rPr>
          <w:rStyle w:val="mw-headline"/>
          <w:sz w:val="20"/>
          <w:szCs w:val="18"/>
        </w:rPr>
      </w:pPr>
      <w:r w:rsidRPr="009202BD">
        <w:rPr>
          <w:rStyle w:val="mw-headline"/>
          <w:sz w:val="20"/>
          <w:szCs w:val="18"/>
        </w:rPr>
        <w:t>Fig.</w:t>
      </w:r>
      <w:r w:rsidR="00AD6CC7">
        <w:rPr>
          <w:rStyle w:val="mw-headline"/>
          <w:sz w:val="20"/>
          <w:szCs w:val="18"/>
        </w:rPr>
        <w:t xml:space="preserve"> </w:t>
      </w:r>
      <w:r w:rsidRPr="009202BD">
        <w:rPr>
          <w:rStyle w:val="mw-headline"/>
          <w:sz w:val="20"/>
          <w:szCs w:val="18"/>
        </w:rPr>
        <w:t>1:</w:t>
      </w:r>
      <w:r w:rsidR="00AD6CC7">
        <w:rPr>
          <w:rStyle w:val="mw-headline"/>
          <w:sz w:val="20"/>
          <w:szCs w:val="18"/>
        </w:rPr>
        <w:t xml:space="preserve"> </w:t>
      </w:r>
      <w:r w:rsidRPr="009202BD">
        <w:rPr>
          <w:rStyle w:val="mw-headline"/>
          <w:sz w:val="20"/>
          <w:szCs w:val="18"/>
        </w:rPr>
        <w:t>Showing</w:t>
      </w:r>
      <w:r w:rsidR="00AD6CC7">
        <w:rPr>
          <w:rStyle w:val="mw-headline"/>
          <w:sz w:val="20"/>
          <w:szCs w:val="18"/>
        </w:rPr>
        <w:t xml:space="preserve"> </w:t>
      </w:r>
      <w:r w:rsidR="005A0D9B" w:rsidRPr="009202BD">
        <w:rPr>
          <w:rStyle w:val="mw-headline"/>
          <w:sz w:val="20"/>
          <w:szCs w:val="18"/>
        </w:rPr>
        <w:t>Stages</w:t>
      </w:r>
      <w:r w:rsidR="00AD6CC7">
        <w:rPr>
          <w:rStyle w:val="mw-headline"/>
          <w:sz w:val="20"/>
          <w:szCs w:val="18"/>
        </w:rPr>
        <w:t xml:space="preserve"> </w:t>
      </w:r>
      <w:r w:rsidR="005A0D9B" w:rsidRPr="009202BD">
        <w:rPr>
          <w:rStyle w:val="mw-headline"/>
          <w:sz w:val="20"/>
          <w:szCs w:val="18"/>
        </w:rPr>
        <w:t>of</w:t>
      </w:r>
      <w:r w:rsidR="00AD6CC7">
        <w:rPr>
          <w:rStyle w:val="mw-headline"/>
          <w:sz w:val="20"/>
          <w:szCs w:val="18"/>
        </w:rPr>
        <w:t xml:space="preserve"> </w:t>
      </w:r>
      <w:r w:rsidR="005A0D9B" w:rsidRPr="009202BD">
        <w:rPr>
          <w:rStyle w:val="mw-headline"/>
          <w:sz w:val="20"/>
          <w:szCs w:val="18"/>
        </w:rPr>
        <w:t>development</w:t>
      </w:r>
      <w:r w:rsidR="00AD6CC7">
        <w:rPr>
          <w:rStyle w:val="mw-headline"/>
          <w:sz w:val="20"/>
          <w:szCs w:val="18"/>
        </w:rPr>
        <w:t xml:space="preserve"> </w:t>
      </w:r>
      <w:r w:rsidR="005A0D9B" w:rsidRPr="009202BD">
        <w:rPr>
          <w:rStyle w:val="mw-headline"/>
          <w:sz w:val="20"/>
          <w:szCs w:val="18"/>
        </w:rPr>
        <w:t>and</w:t>
      </w:r>
      <w:r w:rsidR="00AD6CC7">
        <w:rPr>
          <w:rStyle w:val="mw-headline"/>
          <w:sz w:val="20"/>
          <w:szCs w:val="18"/>
        </w:rPr>
        <w:t xml:space="preserve"> </w:t>
      </w:r>
      <w:r w:rsidR="005A0D9B" w:rsidRPr="009202BD">
        <w:rPr>
          <w:rStyle w:val="mw-headline"/>
          <w:sz w:val="20"/>
          <w:szCs w:val="18"/>
        </w:rPr>
        <w:t>manufacturing</w:t>
      </w:r>
      <w:r w:rsidR="00AD6CC7">
        <w:rPr>
          <w:rStyle w:val="mw-headline"/>
          <w:sz w:val="20"/>
          <w:szCs w:val="18"/>
        </w:rPr>
        <w:t xml:space="preserve"> </w:t>
      </w:r>
      <w:r w:rsidR="00551EB6" w:rsidRPr="009202BD">
        <w:rPr>
          <w:rStyle w:val="mw-headline"/>
          <w:sz w:val="20"/>
          <w:szCs w:val="18"/>
        </w:rPr>
        <w:t>nanobodies</w:t>
      </w:r>
      <w:r w:rsidRPr="009202BD">
        <w:rPr>
          <w:rStyle w:val="mw-headline"/>
          <w:sz w:val="20"/>
          <w:szCs w:val="18"/>
        </w:rPr>
        <w:t>.</w:t>
      </w:r>
    </w:p>
    <w:p w:rsidR="00C60C1F" w:rsidRPr="009202BD" w:rsidRDefault="00C60C1F" w:rsidP="00AD6CC7">
      <w:pPr>
        <w:pStyle w:val="Heading2"/>
        <w:snapToGrid w:val="0"/>
        <w:spacing w:before="0" w:beforeAutospacing="0" w:after="0" w:afterAutospacing="0"/>
        <w:jc w:val="both"/>
        <w:rPr>
          <w:rStyle w:val="mw-headline"/>
          <w:sz w:val="20"/>
          <w:szCs w:val="20"/>
        </w:rPr>
      </w:pPr>
    </w:p>
    <w:p w:rsidR="00AD6CC7" w:rsidRDefault="00AD6CC7" w:rsidP="00AD6CC7">
      <w:pPr>
        <w:pStyle w:val="Heading2"/>
        <w:snapToGrid w:val="0"/>
        <w:spacing w:before="0" w:beforeAutospacing="0" w:after="0" w:afterAutospacing="0"/>
        <w:jc w:val="both"/>
        <w:rPr>
          <w:rStyle w:val="mw-headline"/>
          <w:sz w:val="20"/>
          <w:szCs w:val="20"/>
        </w:rPr>
        <w:sectPr w:rsidR="00AD6CC7" w:rsidSect="009202B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202BD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  <w:vertAlign w:val="superscript"/>
        </w:rPr>
      </w:pPr>
      <w:r w:rsidRPr="009202BD">
        <w:rPr>
          <w:sz w:val="20"/>
          <w:szCs w:val="20"/>
        </w:rPr>
        <w:lastRenderedPageBreak/>
        <w:t>T</w:t>
      </w:r>
      <w:r w:rsidR="000331D9" w:rsidRPr="009202BD">
        <w:rPr>
          <w:sz w:val="20"/>
          <w:szCs w:val="20"/>
        </w:rPr>
        <w:t>he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comparatively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low</w:t>
      </w:r>
      <w:r w:rsidR="00AD6CC7">
        <w:rPr>
          <w:sz w:val="20"/>
          <w:szCs w:val="20"/>
        </w:rPr>
        <w:t xml:space="preserve"> </w:t>
      </w:r>
      <w:hyperlink r:id="rId53" w:tooltip="Molecular mass" w:history="1"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molecular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mass</w:t>
        </w:r>
      </w:hyperlink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leads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better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permeability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tissues,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short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plasma</w:t>
      </w:r>
      <w:r w:rsidR="00AD6CC7">
        <w:rPr>
          <w:sz w:val="20"/>
          <w:szCs w:val="20"/>
        </w:rPr>
        <w:t xml:space="preserve"> </w:t>
      </w:r>
      <w:hyperlink r:id="rId54" w:tooltip="Biological half-life" w:history="1"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half-life</w:t>
        </w:r>
      </w:hyperlink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since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eliminated</w:t>
      </w:r>
      <w:r w:rsidR="00AD6CC7">
        <w:rPr>
          <w:sz w:val="20"/>
          <w:szCs w:val="20"/>
        </w:rPr>
        <w:t xml:space="preserve"> </w:t>
      </w:r>
      <w:hyperlink r:id="rId55" w:tooltip="Renal" w:history="1"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renally</w:t>
        </w:r>
      </w:hyperlink>
      <w:r w:rsidR="000331D9" w:rsidRPr="009202BD">
        <w:rPr>
          <w:sz w:val="20"/>
          <w:szCs w:val="20"/>
        </w:rPr>
        <w:t>.</w:t>
      </w:r>
      <w:hyperlink r:id="rId56" w:anchor="cite_note-Harmsen-2" w:history="1">
        <w:r w:rsidR="000331D9"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[2]</w:t>
        </w:r>
      </w:hyperlink>
      <w:r w:rsidR="00AD6CC7">
        <w:rPr>
          <w:sz w:val="20"/>
          <w:szCs w:val="20"/>
        </w:rPr>
        <w:t xml:space="preserve"> </w:t>
      </w:r>
      <w:r w:rsidR="005040C7" w:rsidRPr="009202BD">
        <w:rPr>
          <w:sz w:val="20"/>
          <w:szCs w:val="20"/>
        </w:rPr>
        <w:t>Unlike</w:t>
      </w:r>
      <w:r w:rsidR="00AD6CC7">
        <w:rPr>
          <w:sz w:val="20"/>
          <w:szCs w:val="20"/>
        </w:rPr>
        <w:t xml:space="preserve"> </w:t>
      </w:r>
      <w:r w:rsidR="005040C7" w:rsidRPr="009202BD">
        <w:rPr>
          <w:sz w:val="20"/>
          <w:szCs w:val="20"/>
        </w:rPr>
        <w:t>whole</w:t>
      </w:r>
      <w:r w:rsidR="00AD6CC7">
        <w:rPr>
          <w:sz w:val="20"/>
          <w:szCs w:val="20"/>
        </w:rPr>
        <w:t xml:space="preserve"> </w:t>
      </w:r>
      <w:r w:rsidR="005040C7" w:rsidRPr="009202BD">
        <w:rPr>
          <w:sz w:val="20"/>
          <w:szCs w:val="20"/>
        </w:rPr>
        <w:t>antibodies,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do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not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show</w:t>
      </w:r>
      <w:r w:rsidR="00AD6CC7">
        <w:rPr>
          <w:sz w:val="20"/>
          <w:szCs w:val="20"/>
        </w:rPr>
        <w:t xml:space="preserve"> </w:t>
      </w:r>
      <w:hyperlink r:id="rId57" w:tooltip="Complement system" w:history="1"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complement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system</w:t>
        </w:r>
      </w:hyperlink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triggered</w:t>
      </w:r>
      <w:r w:rsidR="00AD6CC7">
        <w:rPr>
          <w:sz w:val="20"/>
          <w:szCs w:val="20"/>
        </w:rPr>
        <w:t xml:space="preserve"> </w:t>
      </w:r>
      <w:hyperlink r:id="rId58" w:tooltip="Cytotoxicity" w:history="1"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cytotoxicity</w:t>
        </w:r>
      </w:hyperlink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because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lack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</w:t>
      </w:r>
      <w:r w:rsidR="00AD6CC7">
        <w:rPr>
          <w:sz w:val="20"/>
          <w:szCs w:val="20"/>
        </w:rPr>
        <w:t xml:space="preserve"> </w:t>
      </w:r>
      <w:hyperlink r:id="rId59" w:tooltip="Fc region" w:history="1"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Fc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region</w:t>
        </w:r>
      </w:hyperlink>
      <w:r w:rsidR="000331D9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Camelid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fish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derived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sdAbs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able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bind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hidden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antigens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that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are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not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accessible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whole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antibodies,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example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active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sites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hyperlink r:id="rId60" w:tooltip="Enzyme" w:history="1"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enzymes</w:t>
        </w:r>
      </w:hyperlink>
      <w:r w:rsidR="000331D9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This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property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has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been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shown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result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their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extended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CDR3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loop,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which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able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penetrate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such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sites.</w:t>
      </w:r>
      <w:hyperlink r:id="rId61" w:anchor="cite_note-Stanfield-8" w:history="1">
        <w:r w:rsidR="000331D9"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[8]</w:t>
        </w:r>
      </w:hyperlink>
      <w:r w:rsidR="000331D9" w:rsidRPr="009202BD">
        <w:rPr>
          <w:sz w:val="20"/>
          <w:szCs w:val="20"/>
          <w:vertAlign w:val="superscript"/>
        </w:rPr>
        <w:t>[12]</w:t>
      </w:r>
    </w:p>
    <w:p w:rsidR="00E0545C" w:rsidRPr="009202BD" w:rsidRDefault="009202BD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U</w:t>
      </w:r>
      <w:r w:rsidR="00E0545C" w:rsidRPr="009202BD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E0545C" w:rsidRPr="009202BD">
        <w:rPr>
          <w:rFonts w:ascii="Times New Roman" w:hAnsi="Times New Roman" w:cs="Times New Roman"/>
          <w:sz w:val="20"/>
          <w:szCs w:val="20"/>
        </w:rPr>
        <w:t>i</w:t>
      </w:r>
      <w:r w:rsidR="00E0545C" w:rsidRPr="009202BD">
        <w:rPr>
          <w:rFonts w:ascii="Times New Roman" w:hAnsi="Times New Roman" w:cs="Times New Roman"/>
          <w:b/>
          <w:bCs/>
          <w:sz w:val="20"/>
          <w:szCs w:val="20"/>
        </w:rPr>
        <w:t>que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b/>
          <w:bCs/>
          <w:sz w:val="20"/>
          <w:szCs w:val="20"/>
        </w:rPr>
        <w:t>propert</w:t>
      </w:r>
      <w:r w:rsidR="00E0545C" w:rsidRPr="009202BD">
        <w:rPr>
          <w:rFonts w:ascii="Times New Roman" w:hAnsi="Times New Roman" w:cs="Times New Roman"/>
          <w:sz w:val="20"/>
          <w:szCs w:val="20"/>
        </w:rPr>
        <w:t>i</w:t>
      </w:r>
      <w:r w:rsidR="00E0545C" w:rsidRPr="009202BD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E0545C" w:rsidRPr="009202BD">
        <w:rPr>
          <w:rFonts w:ascii="Times New Roman" w:hAnsi="Times New Roman" w:cs="Times New Roman"/>
          <w:sz w:val="20"/>
          <w:szCs w:val="20"/>
        </w:rPr>
        <w:t>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E0545C" w:rsidRPr="009202BD">
        <w:rPr>
          <w:rFonts w:ascii="Times New Roman" w:hAnsi="Times New Roman" w:cs="Times New Roman"/>
          <w:sz w:val="20"/>
          <w:szCs w:val="20"/>
        </w:rPr>
        <w:t>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sz w:val="20"/>
          <w:szCs w:val="20"/>
        </w:rPr>
        <w:t>VHH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sz w:val="20"/>
          <w:szCs w:val="20"/>
        </w:rPr>
        <w:t>f</w:t>
      </w:r>
      <w:r w:rsidR="00E0545C" w:rsidRPr="009202BD">
        <w:rPr>
          <w:rFonts w:ascii="Times New Roman" w:hAnsi="Times New Roman" w:cs="Times New Roman"/>
          <w:b/>
          <w:bCs/>
          <w:sz w:val="20"/>
          <w:szCs w:val="20"/>
        </w:rPr>
        <w:t>ragment</w:t>
      </w:r>
      <w:r w:rsidR="00E0545C" w:rsidRPr="009202BD">
        <w:rPr>
          <w:rFonts w:ascii="Times New Roman" w:hAnsi="Times New Roman" w:cs="Times New Roman"/>
          <w:sz w:val="20"/>
          <w:szCs w:val="20"/>
        </w:rPr>
        <w:t>s</w:t>
      </w:r>
      <w:r w:rsidR="002A3C40" w:rsidRPr="009202BD">
        <w:rPr>
          <w:rFonts w:ascii="Times New Roman" w:hAnsi="Times New Roman" w:cs="Times New Roman"/>
          <w:sz w:val="20"/>
          <w:szCs w:val="20"/>
        </w:rPr>
        <w:t>:</w:t>
      </w:r>
    </w:p>
    <w:p w:rsidR="00E0545C" w:rsidRPr="009202BD" w:rsidRDefault="00E0545C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following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advantages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over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murine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antibo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recombinant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fragments: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0545C" w:rsidRPr="009202BD" w:rsidRDefault="00E0545C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weakly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immunogenic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humans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because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genes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encoding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them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share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sequence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homology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ge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nes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belonging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human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VH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families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[16,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D5897" w:rsidRPr="009202BD">
        <w:rPr>
          <w:rFonts w:ascii="Times New Roman" w:hAnsi="Times New Roman" w:cs="Times New Roman"/>
          <w:color w:val="000000"/>
          <w:sz w:val="20"/>
          <w:szCs w:val="20"/>
        </w:rPr>
        <w:t>48</w:t>
      </w:r>
      <w:r w:rsidR="00EF7093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E0545C" w:rsidRPr="009202BD" w:rsidRDefault="00EF7093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consist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only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domain,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easy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clone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expressed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yields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using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different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expression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syst</w:t>
      </w:r>
      <w:r w:rsidR="00175AC2" w:rsidRPr="009202BD">
        <w:rPr>
          <w:rFonts w:ascii="Times New Roman" w:hAnsi="Times New Roman" w:cs="Times New Roman"/>
          <w:color w:val="000000"/>
          <w:sz w:val="20"/>
          <w:szCs w:val="20"/>
        </w:rPr>
        <w:t>ems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5AC2" w:rsidRPr="009202BD">
        <w:rPr>
          <w:rFonts w:ascii="Times New Roman" w:hAnsi="Times New Roman" w:cs="Times New Roman"/>
          <w:color w:val="000000"/>
          <w:sz w:val="20"/>
          <w:szCs w:val="20"/>
        </w:rPr>
        <w:t>[62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E0545C" w:rsidRPr="009202BD" w:rsidRDefault="00EF7093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variability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length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sequence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makes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capable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recognizing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variety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epito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pes,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located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only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surface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[45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lso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buried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deep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clefts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[32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recognize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wide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range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lastRenderedPageBreak/>
        <w:t>epitopes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ranging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small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haptens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[19,100,101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binding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sites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enzy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mes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[19,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75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E0545C" w:rsidRPr="009202BD" w:rsidRDefault="00EF7093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small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allows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penetrate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tissu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es,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pass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through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barriers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blood-brain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barrier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bind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epitopes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cannot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reache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conventio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nal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6E0B" w:rsidRPr="009202BD">
        <w:rPr>
          <w:rFonts w:ascii="Times New Roman" w:hAnsi="Times New Roman" w:cs="Times New Roman"/>
          <w:color w:val="000000"/>
          <w:sz w:val="20"/>
          <w:szCs w:val="20"/>
        </w:rPr>
        <w:t>[30,76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E0545C" w:rsidRPr="009202BD" w:rsidRDefault="00E0545C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rFonts w:eastAsiaTheme="minorHAnsi"/>
          <w:color w:val="000000"/>
          <w:sz w:val="20"/>
          <w:szCs w:val="20"/>
        </w:rPr>
      </w:pPr>
      <w:r w:rsidRPr="009202BD">
        <w:rPr>
          <w:rFonts w:eastAsiaTheme="minorHAnsi"/>
          <w:color w:val="000000"/>
          <w:sz w:val="20"/>
          <w:szCs w:val="20"/>
        </w:rPr>
        <w:t>•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show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high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solubility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stability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even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dena</w:t>
      </w:r>
      <w:r w:rsidRPr="009202BD">
        <w:rPr>
          <w:rFonts w:eastAsiaTheme="minorHAnsi"/>
          <w:color w:val="000000"/>
          <w:sz w:val="20"/>
          <w:szCs w:val="20"/>
        </w:rPr>
        <w:softHyphen/>
        <w:t>turing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con</w:t>
      </w:r>
      <w:r w:rsidR="00386E0B" w:rsidRPr="009202BD">
        <w:rPr>
          <w:rFonts w:eastAsiaTheme="minorHAnsi"/>
          <w:color w:val="000000"/>
          <w:sz w:val="20"/>
          <w:szCs w:val="20"/>
        </w:rPr>
        <w:t>ditions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86E0B" w:rsidRPr="009202BD">
        <w:rPr>
          <w:rFonts w:eastAsiaTheme="minorHAnsi"/>
          <w:color w:val="000000"/>
          <w:sz w:val="20"/>
          <w:szCs w:val="20"/>
        </w:rPr>
        <w:t>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86E0B" w:rsidRPr="009202BD">
        <w:rPr>
          <w:rFonts w:eastAsiaTheme="minorHAnsi"/>
          <w:color w:val="000000"/>
          <w:sz w:val="20"/>
          <w:szCs w:val="20"/>
        </w:rPr>
        <w:t>high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86E0B" w:rsidRPr="009202BD">
        <w:rPr>
          <w:rFonts w:eastAsiaTheme="minorHAnsi"/>
          <w:color w:val="000000"/>
          <w:sz w:val="20"/>
          <w:szCs w:val="20"/>
        </w:rPr>
        <w:t>temperatures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86E0B" w:rsidRPr="009202BD">
        <w:rPr>
          <w:rFonts w:eastAsiaTheme="minorHAnsi"/>
          <w:color w:val="000000"/>
          <w:sz w:val="20"/>
          <w:szCs w:val="20"/>
        </w:rPr>
        <w:t>[19</w:t>
      </w:r>
      <w:r w:rsidR="00C4570E" w:rsidRPr="009202BD">
        <w:rPr>
          <w:rFonts w:eastAsiaTheme="minorHAnsi"/>
          <w:color w:val="000000"/>
          <w:sz w:val="20"/>
          <w:szCs w:val="20"/>
        </w:rPr>
        <w:t>,102</w:t>
      </w:r>
      <w:r w:rsidRPr="009202BD">
        <w:rPr>
          <w:rFonts w:eastAsiaTheme="minorHAnsi"/>
          <w:color w:val="000000"/>
          <w:sz w:val="20"/>
          <w:szCs w:val="20"/>
        </w:rPr>
        <w:t>].</w:t>
      </w:r>
    </w:p>
    <w:p w:rsidR="00AD6CC7" w:rsidRPr="00AD6CC7" w:rsidRDefault="000331D9" w:rsidP="00AD6CC7">
      <w:pPr>
        <w:pStyle w:val="Heading2"/>
        <w:snapToGrid w:val="0"/>
        <w:spacing w:before="0" w:beforeAutospacing="0" w:after="0" w:afterAutospacing="0"/>
        <w:jc w:val="both"/>
        <w:rPr>
          <w:rFonts w:eastAsiaTheme="minorEastAsia"/>
          <w:sz w:val="20"/>
          <w:szCs w:val="20"/>
          <w:lang w:eastAsia="zh-CN"/>
        </w:rPr>
      </w:pPr>
      <w:r w:rsidRPr="009202BD">
        <w:rPr>
          <w:rStyle w:val="mw-headline"/>
          <w:sz w:val="20"/>
          <w:szCs w:val="20"/>
        </w:rPr>
        <w:t>Production</w:t>
      </w:r>
      <w:r w:rsidR="00AD6CC7">
        <w:rPr>
          <w:rStyle w:val="mw-headline"/>
          <w:sz w:val="20"/>
          <w:szCs w:val="20"/>
        </w:rPr>
        <w:t xml:space="preserve"> </w:t>
      </w:r>
      <w:r w:rsidR="00DF2612" w:rsidRPr="009202BD">
        <w:rPr>
          <w:rStyle w:val="mw-headline"/>
          <w:sz w:val="20"/>
          <w:szCs w:val="20"/>
        </w:rPr>
        <w:t>of</w:t>
      </w:r>
      <w:r w:rsidR="00AD6CC7">
        <w:rPr>
          <w:rStyle w:val="mw-headline"/>
          <w:sz w:val="20"/>
          <w:szCs w:val="20"/>
        </w:rPr>
        <w:t xml:space="preserve"> </w:t>
      </w:r>
      <w:r w:rsidR="00DF2612" w:rsidRPr="009202BD">
        <w:rPr>
          <w:rStyle w:val="mw-headline"/>
          <w:sz w:val="20"/>
          <w:szCs w:val="20"/>
        </w:rPr>
        <w:t>nanobodies:</w:t>
      </w:r>
    </w:p>
    <w:p w:rsidR="000331D9" w:rsidRPr="009202BD" w:rsidRDefault="000331D9" w:rsidP="00AD6CC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9202BD">
        <w:rPr>
          <w:rFonts w:ascii="Times New Roman" w:hAnsi="Times New Roman" w:cs="Times New Roman"/>
          <w:noProof/>
          <w:color w:val="0000FF"/>
          <w:sz w:val="20"/>
          <w:szCs w:val="18"/>
          <w:lang w:eastAsia="zh-CN"/>
        </w:rPr>
        <w:drawing>
          <wp:inline distT="0" distB="0" distL="0" distR="0">
            <wp:extent cx="2669822" cy="1796995"/>
            <wp:effectExtent l="0" t="0" r="0" b="0"/>
            <wp:docPr id="2" name="Picture 2" descr="https://upload.wikimedia.org/wikipedia/commons/thumb/6/6f/Heavy_chain_and_common_antibody.svg/260px-Heavy_chain_and_common_antibody.svg.pn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6/6f/Heavy_chain_and_common_antibody.svg/260px-Heavy_chain_and_common_antibody.svg.pn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56" cy="179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2BD" w:rsidRPr="009202BD" w:rsidRDefault="000331D9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 w:rsidRPr="009202BD">
        <w:rPr>
          <w:rStyle w:val="mw-headline"/>
          <w:rFonts w:ascii="Times New Roman" w:hAnsi="Times New Roman" w:cs="Times New Roman"/>
          <w:b/>
          <w:bCs/>
          <w:sz w:val="20"/>
          <w:szCs w:val="18"/>
        </w:rPr>
        <w:t>From</w:t>
      </w:r>
      <w:r w:rsidR="00AD6CC7">
        <w:rPr>
          <w:rStyle w:val="mw-headline"/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9202BD">
        <w:rPr>
          <w:rStyle w:val="mw-headline"/>
          <w:rFonts w:ascii="Times New Roman" w:hAnsi="Times New Roman" w:cs="Times New Roman"/>
          <w:b/>
          <w:bCs/>
          <w:sz w:val="20"/>
          <w:szCs w:val="18"/>
        </w:rPr>
        <w:t>heavy-chain</w:t>
      </w:r>
      <w:r w:rsidR="00AD6CC7">
        <w:rPr>
          <w:rStyle w:val="mw-headline"/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9202BD">
        <w:rPr>
          <w:rStyle w:val="mw-headline"/>
          <w:rFonts w:ascii="Times New Roman" w:hAnsi="Times New Roman" w:cs="Times New Roman"/>
          <w:b/>
          <w:bCs/>
          <w:sz w:val="20"/>
          <w:szCs w:val="18"/>
        </w:rPr>
        <w:t>antibodies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shark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(left)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and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camelid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(middle)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heavy-chain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antibody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in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to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common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antibody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(right).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Heavy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chains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are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shown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in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darker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shade,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light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chains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in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lighter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shade.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V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  <w:vertAlign w:val="subscript"/>
        </w:rPr>
        <w:t>H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and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V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  <w:vertAlign w:val="subscript"/>
        </w:rPr>
        <w:t>L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are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the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variable</w:t>
      </w:r>
      <w:r w:rsidR="00AD6CC7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DF2612" w:rsidRPr="009202BD">
        <w:rPr>
          <w:rFonts w:ascii="Times New Roman" w:hAnsi="Times New Roman" w:cs="Times New Roman"/>
          <w:b/>
          <w:bCs/>
          <w:sz w:val="20"/>
          <w:szCs w:val="18"/>
        </w:rPr>
        <w:t>domains.</w:t>
      </w:r>
    </w:p>
    <w:p w:rsidR="009202BD" w:rsidRPr="009202BD" w:rsidRDefault="000331D9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lastRenderedPageBreak/>
        <w:t>A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antibody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can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be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obtained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by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immunization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hyperlink r:id="rId64" w:tooltip="Dromedaries" w:history="1">
        <w:r w:rsidRPr="009202BD">
          <w:rPr>
            <w:rStyle w:val="Hyperlink"/>
            <w:color w:val="auto"/>
            <w:sz w:val="20"/>
            <w:szCs w:val="20"/>
            <w:u w:val="none"/>
          </w:rPr>
          <w:t>dromedaries</w:t>
        </w:r>
      </w:hyperlink>
      <w:r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hyperlink r:id="rId65" w:tooltip="Camel" w:history="1">
        <w:r w:rsidRPr="009202BD">
          <w:rPr>
            <w:rStyle w:val="Hyperlink"/>
            <w:color w:val="auto"/>
            <w:sz w:val="20"/>
            <w:szCs w:val="20"/>
            <w:u w:val="none"/>
          </w:rPr>
          <w:t>camels</w:t>
        </w:r>
      </w:hyperlink>
      <w:r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hyperlink r:id="rId66" w:tooltip="Llama" w:history="1">
        <w:r w:rsidRPr="009202BD">
          <w:rPr>
            <w:rStyle w:val="Hyperlink"/>
            <w:color w:val="auto"/>
            <w:sz w:val="20"/>
            <w:szCs w:val="20"/>
            <w:u w:val="none"/>
          </w:rPr>
          <w:t>llamas</w:t>
        </w:r>
      </w:hyperlink>
      <w:r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hyperlink r:id="rId67" w:tooltip="Alpaca" w:history="1">
        <w:r w:rsidRPr="009202BD">
          <w:rPr>
            <w:rStyle w:val="Hyperlink"/>
            <w:color w:val="auto"/>
            <w:sz w:val="20"/>
            <w:szCs w:val="20"/>
            <w:u w:val="none"/>
          </w:rPr>
          <w:t>alpacas</w:t>
        </w:r>
      </w:hyperlink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or</w:t>
      </w:r>
      <w:r w:rsidR="00AD6CC7">
        <w:rPr>
          <w:sz w:val="20"/>
          <w:szCs w:val="20"/>
        </w:rPr>
        <w:t xml:space="preserve"> </w:t>
      </w:r>
      <w:hyperlink r:id="rId68" w:tooltip="Shark" w:history="1">
        <w:r w:rsidRPr="009202BD">
          <w:rPr>
            <w:rStyle w:val="Hyperlink"/>
            <w:color w:val="auto"/>
            <w:sz w:val="20"/>
            <w:szCs w:val="20"/>
            <w:u w:val="none"/>
          </w:rPr>
          <w:t>sharks</w:t>
        </w:r>
      </w:hyperlink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with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desired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antigen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subsequent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isolation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hyperlink r:id="rId69" w:tooltip="MRNA" w:history="1">
        <w:r w:rsidRPr="009202BD">
          <w:rPr>
            <w:rStyle w:val="Hyperlink"/>
            <w:color w:val="auto"/>
            <w:sz w:val="20"/>
            <w:szCs w:val="20"/>
            <w:u w:val="none"/>
          </w:rPr>
          <w:t>mRNA</w:t>
        </w:r>
      </w:hyperlink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coding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heavy-chain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antibodies.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By</w:t>
      </w:r>
      <w:r w:rsidR="00AD6CC7">
        <w:rPr>
          <w:sz w:val="20"/>
          <w:szCs w:val="20"/>
        </w:rPr>
        <w:t xml:space="preserve"> </w:t>
      </w:r>
      <w:hyperlink r:id="rId70" w:anchor="Reverse_transcription" w:tooltip="Transcription (genetics)" w:history="1">
        <w:r w:rsidRPr="009202BD">
          <w:rPr>
            <w:rStyle w:val="Hyperlink"/>
            <w:color w:val="auto"/>
            <w:sz w:val="20"/>
            <w:szCs w:val="20"/>
            <w:u w:val="none"/>
          </w:rPr>
          <w:t>reverse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9202BD">
          <w:rPr>
            <w:rStyle w:val="Hyperlink"/>
            <w:color w:val="auto"/>
            <w:sz w:val="20"/>
            <w:szCs w:val="20"/>
            <w:u w:val="none"/>
          </w:rPr>
          <w:t>transcription</w:t>
        </w:r>
      </w:hyperlink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hyperlink r:id="rId71" w:tooltip="Polymerase chain reaction" w:history="1">
        <w:r w:rsidRPr="009202BD">
          <w:rPr>
            <w:rStyle w:val="Hyperlink"/>
            <w:color w:val="auto"/>
            <w:sz w:val="20"/>
            <w:szCs w:val="20"/>
            <w:u w:val="none"/>
          </w:rPr>
          <w:t>polymerase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9202BD">
          <w:rPr>
            <w:rStyle w:val="Hyperlink"/>
            <w:color w:val="auto"/>
            <w:sz w:val="20"/>
            <w:szCs w:val="20"/>
            <w:u w:val="none"/>
          </w:rPr>
          <w:t>chain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9202BD">
          <w:rPr>
            <w:rStyle w:val="Hyperlink"/>
            <w:color w:val="auto"/>
            <w:sz w:val="20"/>
            <w:szCs w:val="20"/>
            <w:u w:val="none"/>
          </w:rPr>
          <w:t>reaction</w:t>
        </w:r>
      </w:hyperlink>
      <w:r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gene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library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containing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several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million</w:t>
      </w:r>
      <w:r w:rsidR="00AD6CC7">
        <w:rPr>
          <w:sz w:val="20"/>
          <w:szCs w:val="20"/>
        </w:rPr>
        <w:t xml:space="preserve"> </w:t>
      </w:r>
      <w:hyperlink r:id="rId72" w:tooltip="Clone (genetics)" w:history="1">
        <w:r w:rsidRPr="009202BD">
          <w:rPr>
            <w:rStyle w:val="Hyperlink"/>
            <w:color w:val="auto"/>
            <w:sz w:val="20"/>
            <w:szCs w:val="20"/>
            <w:u w:val="none"/>
          </w:rPr>
          <w:t>clones</w:t>
        </w:r>
      </w:hyperlink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produced.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Screening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techniques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like</w:t>
      </w:r>
      <w:r w:rsidR="00AD6CC7">
        <w:rPr>
          <w:sz w:val="20"/>
          <w:szCs w:val="20"/>
        </w:rPr>
        <w:t xml:space="preserve"> </w:t>
      </w:r>
      <w:hyperlink r:id="rId73" w:tooltip="Phage display" w:history="1">
        <w:r w:rsidRPr="009202BD">
          <w:rPr>
            <w:rStyle w:val="Hyperlink"/>
            <w:color w:val="auto"/>
            <w:sz w:val="20"/>
            <w:szCs w:val="20"/>
            <w:u w:val="none"/>
          </w:rPr>
          <w:t>phage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9202BD">
          <w:rPr>
            <w:rStyle w:val="Hyperlink"/>
            <w:color w:val="auto"/>
            <w:sz w:val="20"/>
            <w:szCs w:val="20"/>
            <w:u w:val="none"/>
          </w:rPr>
          <w:t>display</w:t>
        </w:r>
      </w:hyperlink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hyperlink r:id="rId74" w:tooltip="Ribosome display" w:history="1">
        <w:r w:rsidRPr="009202BD">
          <w:rPr>
            <w:rStyle w:val="Hyperlink"/>
            <w:color w:val="auto"/>
            <w:sz w:val="20"/>
            <w:szCs w:val="20"/>
            <w:u w:val="none"/>
          </w:rPr>
          <w:t>ribosome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9202BD">
          <w:rPr>
            <w:rStyle w:val="Hyperlink"/>
            <w:color w:val="auto"/>
            <w:sz w:val="20"/>
            <w:szCs w:val="20"/>
            <w:u w:val="none"/>
          </w:rPr>
          <w:t>display</w:t>
        </w:r>
      </w:hyperlink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help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Pr="009202BD">
        <w:rPr>
          <w:sz w:val="20"/>
          <w:szCs w:val="20"/>
        </w:rPr>
        <w:t>identify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clones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binding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antigen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[12].</w:t>
      </w:r>
    </w:p>
    <w:p w:rsidR="009202BD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different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method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uses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gene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libraries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animals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that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have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not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been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immunized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beforehand.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Such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naïve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libraries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usually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contain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only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with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low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affinity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desired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antigen,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making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necessary</w:t>
      </w:r>
      <w:r w:rsidR="00540D67" w:rsidRPr="009202BD">
        <w:rPr>
          <w:sz w:val="20"/>
          <w:szCs w:val="20"/>
        </w:rPr>
        <w:t>.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apply</w:t>
      </w:r>
      <w:r w:rsidR="00AD6CC7">
        <w:rPr>
          <w:sz w:val="20"/>
          <w:szCs w:val="20"/>
        </w:rPr>
        <w:t xml:space="preserve"> </w:t>
      </w:r>
      <w:hyperlink r:id="rId75" w:tooltip="Affinity maturation" w:history="1">
        <w:r w:rsidR="00540D67" w:rsidRPr="009202BD">
          <w:rPr>
            <w:rStyle w:val="Hyperlink"/>
            <w:color w:val="auto"/>
            <w:sz w:val="20"/>
            <w:szCs w:val="20"/>
            <w:u w:val="none"/>
          </w:rPr>
          <w:t>affinity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540D67" w:rsidRPr="009202BD">
          <w:rPr>
            <w:rStyle w:val="Hyperlink"/>
            <w:color w:val="auto"/>
            <w:sz w:val="20"/>
            <w:szCs w:val="20"/>
            <w:u w:val="none"/>
          </w:rPr>
          <w:t>maturation</w:t>
        </w:r>
      </w:hyperlink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by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random</w:t>
      </w:r>
      <w:r w:rsidR="00AD6CC7">
        <w:rPr>
          <w:sz w:val="20"/>
          <w:szCs w:val="20"/>
        </w:rPr>
        <w:t xml:space="preserve"> </w:t>
      </w:r>
      <w:hyperlink r:id="rId76" w:tooltip="Mutagenesis" w:history="1">
        <w:r w:rsidR="00540D67" w:rsidRPr="009202BD">
          <w:rPr>
            <w:rStyle w:val="Hyperlink"/>
            <w:color w:val="auto"/>
            <w:sz w:val="20"/>
            <w:szCs w:val="20"/>
            <w:u w:val="none"/>
          </w:rPr>
          <w:t>mutagenesis</w:t>
        </w:r>
      </w:hyperlink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as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an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additional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step</w:t>
      </w:r>
      <w:r w:rsidR="00AD6CC7">
        <w:rPr>
          <w:sz w:val="20"/>
          <w:szCs w:val="20"/>
        </w:rPr>
        <w:t xml:space="preserve"> </w:t>
      </w:r>
      <w:r w:rsidR="00C4570E" w:rsidRPr="009202BD">
        <w:rPr>
          <w:sz w:val="20"/>
          <w:szCs w:val="20"/>
        </w:rPr>
        <w:t>[14].</w:t>
      </w:r>
    </w:p>
    <w:p w:rsidR="000331D9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W</w:t>
      </w:r>
      <w:r w:rsidR="00540D67" w:rsidRPr="009202BD">
        <w:rPr>
          <w:sz w:val="20"/>
          <w:szCs w:val="20"/>
        </w:rPr>
        <w:t>hen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most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potent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clones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have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been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identified,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their</w:t>
      </w:r>
      <w:r w:rsidR="00AD6CC7">
        <w:rPr>
          <w:sz w:val="20"/>
          <w:szCs w:val="20"/>
        </w:rPr>
        <w:t xml:space="preserve"> </w:t>
      </w:r>
      <w:hyperlink r:id="rId77" w:tooltip="DNA sequence" w:history="1">
        <w:r w:rsidR="00540D67" w:rsidRPr="009202BD">
          <w:rPr>
            <w:rStyle w:val="Hyperlink"/>
            <w:color w:val="auto"/>
            <w:sz w:val="20"/>
            <w:szCs w:val="20"/>
            <w:u w:val="none"/>
          </w:rPr>
          <w:t>DNA</w:t>
        </w:r>
        <w:r w:rsidR="00AD6CC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540D67" w:rsidRPr="009202BD">
          <w:rPr>
            <w:rStyle w:val="Hyperlink"/>
            <w:color w:val="auto"/>
            <w:sz w:val="20"/>
            <w:szCs w:val="20"/>
            <w:u w:val="none"/>
          </w:rPr>
          <w:t>sequence</w:t>
        </w:r>
      </w:hyperlink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optimized,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example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improve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their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stability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towards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enzymes.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Another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goal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hyperlink r:id="rId78" w:tooltip="Humanized antibody" w:history="1">
        <w:r w:rsidR="00540D67" w:rsidRPr="009202BD">
          <w:rPr>
            <w:rStyle w:val="Hyperlink"/>
            <w:color w:val="auto"/>
            <w:sz w:val="20"/>
            <w:szCs w:val="20"/>
            <w:u w:val="none"/>
          </w:rPr>
          <w:t>humanization</w:t>
        </w:r>
      </w:hyperlink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prevent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immunological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reactions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human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organism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against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antibody.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Humanization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unproblematic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because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hyperlink r:id="rId79" w:tooltip="Homology (biology)" w:history="1">
        <w:r w:rsidR="00540D67" w:rsidRPr="009202BD">
          <w:rPr>
            <w:rStyle w:val="Hyperlink"/>
            <w:color w:val="auto"/>
            <w:sz w:val="20"/>
            <w:szCs w:val="20"/>
            <w:u w:val="none"/>
          </w:rPr>
          <w:t>homology</w:t>
        </w:r>
      </w:hyperlink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between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camelid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V</w:t>
      </w:r>
      <w:r w:rsidR="00540D67" w:rsidRPr="009202BD">
        <w:rPr>
          <w:sz w:val="20"/>
          <w:szCs w:val="20"/>
          <w:vertAlign w:val="subscript"/>
        </w:rPr>
        <w:t>H</w:t>
      </w:r>
      <w:r w:rsidR="00540D67" w:rsidRPr="009202BD">
        <w:rPr>
          <w:sz w:val="20"/>
          <w:szCs w:val="20"/>
        </w:rPr>
        <w:t>H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human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V</w:t>
      </w:r>
      <w:r w:rsidR="00540D67" w:rsidRPr="009202BD">
        <w:rPr>
          <w:sz w:val="20"/>
          <w:szCs w:val="20"/>
          <w:vertAlign w:val="subscript"/>
        </w:rPr>
        <w:t>H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fragments.</w:t>
      </w:r>
      <w:hyperlink r:id="rId80" w:anchor="cite_note-Saerens-14" w:history="1">
        <w:r w:rsidR="00540D67"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[14]</w:t>
        </w:r>
      </w:hyperlink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final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step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hyperlink r:id="rId81" w:tooltip="Translation (genetics)" w:history="1">
        <w:r w:rsidR="00540D67" w:rsidRPr="009202BD">
          <w:rPr>
            <w:rStyle w:val="Hyperlink"/>
            <w:color w:val="auto"/>
            <w:sz w:val="20"/>
            <w:szCs w:val="20"/>
            <w:u w:val="none"/>
          </w:rPr>
          <w:t>translation</w:t>
        </w:r>
      </w:hyperlink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6C6591" w:rsidRPr="009202BD">
        <w:rPr>
          <w:sz w:val="20"/>
          <w:szCs w:val="20"/>
        </w:rPr>
        <w:t>optimized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antibody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hyperlink r:id="rId82" w:tooltip="E. coli" w:history="1">
        <w:r w:rsidR="00540D67" w:rsidRPr="009202BD">
          <w:rPr>
            <w:rStyle w:val="Hyperlink"/>
            <w:i/>
            <w:iCs/>
            <w:color w:val="auto"/>
            <w:sz w:val="20"/>
            <w:szCs w:val="20"/>
            <w:u w:val="none"/>
          </w:rPr>
          <w:t>E.</w:t>
        </w:r>
        <w:r w:rsidR="00AD6CC7">
          <w:rPr>
            <w:rStyle w:val="Hyperlink"/>
            <w:i/>
            <w:iCs/>
            <w:color w:val="auto"/>
            <w:sz w:val="20"/>
            <w:szCs w:val="20"/>
            <w:u w:val="none"/>
          </w:rPr>
          <w:t xml:space="preserve"> </w:t>
        </w:r>
        <w:r w:rsidR="00540D67" w:rsidRPr="009202BD">
          <w:rPr>
            <w:rStyle w:val="Hyperlink"/>
            <w:i/>
            <w:iCs/>
            <w:color w:val="auto"/>
            <w:sz w:val="20"/>
            <w:szCs w:val="20"/>
            <w:u w:val="none"/>
          </w:rPr>
          <w:t>coli</w:t>
        </w:r>
      </w:hyperlink>
      <w:r w:rsidR="00540D67"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hyperlink r:id="rId83" w:tooltip="Saccharomyces cerevisiae" w:history="1">
        <w:r w:rsidR="00540D67" w:rsidRPr="009202BD">
          <w:rPr>
            <w:rStyle w:val="Hyperlink"/>
            <w:i/>
            <w:iCs/>
            <w:color w:val="auto"/>
            <w:sz w:val="20"/>
            <w:szCs w:val="20"/>
            <w:u w:val="none"/>
          </w:rPr>
          <w:t>Saccharomyces</w:t>
        </w:r>
        <w:r w:rsidR="00AD6CC7">
          <w:rPr>
            <w:rStyle w:val="Hyperlink"/>
            <w:i/>
            <w:iCs/>
            <w:color w:val="auto"/>
            <w:sz w:val="20"/>
            <w:szCs w:val="20"/>
            <w:u w:val="none"/>
          </w:rPr>
          <w:t xml:space="preserve"> </w:t>
        </w:r>
        <w:r w:rsidR="00540D67" w:rsidRPr="009202BD">
          <w:rPr>
            <w:rStyle w:val="Hyperlink"/>
            <w:i/>
            <w:iCs/>
            <w:color w:val="auto"/>
            <w:sz w:val="20"/>
            <w:szCs w:val="20"/>
            <w:u w:val="none"/>
          </w:rPr>
          <w:t>cerevisiae</w:t>
        </w:r>
      </w:hyperlink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or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other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suitable</w:t>
      </w:r>
      <w:r w:rsidR="00AD6CC7">
        <w:rPr>
          <w:sz w:val="20"/>
          <w:szCs w:val="20"/>
        </w:rPr>
        <w:t xml:space="preserve"> </w:t>
      </w:r>
      <w:r w:rsidR="00540D67" w:rsidRPr="009202BD">
        <w:rPr>
          <w:sz w:val="20"/>
          <w:szCs w:val="20"/>
        </w:rPr>
        <w:t>organisms</w:t>
      </w:r>
      <w:r w:rsidR="00E0545C" w:rsidRPr="009202BD">
        <w:rPr>
          <w:sz w:val="20"/>
          <w:szCs w:val="20"/>
        </w:rPr>
        <w:t>.</w:t>
      </w:r>
    </w:p>
    <w:p w:rsidR="009202BD" w:rsidRPr="009202BD" w:rsidRDefault="00E0545C" w:rsidP="00AD6CC7">
      <w:pPr>
        <w:pStyle w:val="Pa11"/>
        <w:snapToGri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Methods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preparation:</w:t>
      </w:r>
    </w:p>
    <w:p w:rsidR="007A0E90" w:rsidRPr="009202BD" w:rsidRDefault="009202BD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produced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animals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longing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species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Camelidae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family.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Llamas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easier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raise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breed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(because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smaller),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camels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better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ratio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antib</w:t>
      </w:r>
      <w:r w:rsidR="00AC3E1D" w:rsidRPr="009202BD">
        <w:rPr>
          <w:rFonts w:ascii="Times New Roman" w:hAnsi="Times New Roman" w:cs="Times New Roman"/>
          <w:color w:val="000000"/>
          <w:sz w:val="20"/>
          <w:szCs w:val="20"/>
        </w:rPr>
        <w:t>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3E1D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3E1D" w:rsidRPr="009202BD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="00AC3E1D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gular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3E1D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3E1D" w:rsidRPr="009202BD">
        <w:rPr>
          <w:rFonts w:ascii="Times New Roman" w:hAnsi="Times New Roman" w:cs="Times New Roman"/>
          <w:color w:val="000000"/>
          <w:sz w:val="20"/>
          <w:szCs w:val="20"/>
        </w:rPr>
        <w:t>[82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usually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obtained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libraries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prepared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RNA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naive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munized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animal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(a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general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scheme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obtaining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C3E1D" w:rsidRPr="009202BD">
        <w:rPr>
          <w:rFonts w:ascii="Times New Roman" w:hAnsi="Times New Roman" w:cs="Times New Roman"/>
          <w:color w:val="000000"/>
          <w:sz w:val="20"/>
          <w:szCs w:val="20"/>
        </w:rPr>
        <w:t>hain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Usually,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animal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munized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less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antigen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(several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antigens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injected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simultaneously)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week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consecu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weeks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(but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obviously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regimens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used).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Complete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Freund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adjuvant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first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injec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incomplete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Freund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adjuvant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following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jections.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Lymphocytes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source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mRNA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isolated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either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peripheral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blood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lymph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nodes.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Alternatively,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libraries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prepared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synthetic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pool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obtained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grafting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randomized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CDR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regions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heavy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hain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scaffolds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[82,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95</w:t>
      </w:r>
      <w:r w:rsidR="00C4570E" w:rsidRPr="009202BD">
        <w:rPr>
          <w:rFonts w:ascii="Times New Roman" w:hAnsi="Times New Roman" w:cs="Times New Roman"/>
          <w:color w:val="000000"/>
          <w:sz w:val="20"/>
          <w:szCs w:val="20"/>
        </w:rPr>
        <w:t>,106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202BD" w:rsidRPr="009202BD" w:rsidRDefault="00E0545C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first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method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obvious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advantage: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matured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vivo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usually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hi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gher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affinity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more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stable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those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non-im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mune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synthetic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pools.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hand,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non-immune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(from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naive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animal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synthetic)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libraries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only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solution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antigen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toxic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cannot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immu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nization.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lower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kinetic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constants,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sometimes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affinity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required.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affi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nity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desired,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use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vitro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maturation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(e.g.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er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ror-prone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PCR),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long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tedious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process.</w:t>
      </w:r>
    </w:p>
    <w:p w:rsidR="009202BD" w:rsidRPr="009202BD" w:rsidRDefault="009202BD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library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appropriate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obtained,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selected.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most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frequently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method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sol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id-phase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phage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display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amplified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cDNAs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2A5C">
        <w:rPr>
          <w:rFonts w:ascii="Times New Roman" w:hAnsi="Times New Roman" w:cs="Times New Roman"/>
          <w:color w:val="000000"/>
          <w:sz w:val="20"/>
          <w:szCs w:val="20"/>
        </w:rPr>
        <w:t>enco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variable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regions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expressed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surface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fila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mentous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phages.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Phages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presenting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variable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regions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bind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antigen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isolated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procedure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called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pan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ning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next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round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panning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clone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variable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regions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[41,112</w:t>
      </w:r>
      <w:r w:rsidR="00C4570E" w:rsidRPr="009202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570E" w:rsidRPr="009202BD">
        <w:rPr>
          <w:rFonts w:ascii="Times New Roman" w:hAnsi="Times New Roman" w:cs="Times New Roman"/>
          <w:color w:val="000000"/>
          <w:sz w:val="20"/>
          <w:szCs w:val="20"/>
        </w:rPr>
        <w:t>109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E0545C" w:rsidRPr="009202BD" w:rsidRDefault="009202BD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here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several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methods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expression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soluble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fragments.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first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choice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usually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production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Escherichia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coli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where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depending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selected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vec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bacterial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strain,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expressed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direc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periplasm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remain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cytoplasm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so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luble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product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inclusion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bodies,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yields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reaching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5–10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culture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[55,60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option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expression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yeast;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yields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expressed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Saccharomyces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cerevisiae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reach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250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mg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pure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prote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secreted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into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liter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culture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[105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yields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pro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even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higher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Pichia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pastoris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yeast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se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lected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expression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[90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Production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also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possible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tobacco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[71,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91</w:t>
      </w:r>
      <w:r w:rsidR="00C4570E" w:rsidRPr="009202BD">
        <w:rPr>
          <w:rFonts w:ascii="Times New Roman" w:hAnsi="Times New Roman" w:cs="Times New Roman"/>
          <w:color w:val="000000"/>
          <w:sz w:val="20"/>
          <w:szCs w:val="20"/>
        </w:rPr>
        <w:t>,116</w:t>
      </w:r>
      <w:r w:rsidR="00E054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E0545C" w:rsidRPr="009202BD" w:rsidRDefault="00E0545C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various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partners,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either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order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increase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confer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properties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effect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function</w:t>
      </w:r>
      <w:r w:rsidR="001716A0" w:rsidRPr="009202BD">
        <w:rPr>
          <w:rFonts w:ascii="Times New Roman" w:hAnsi="Times New Roman" w:cs="Times New Roman"/>
          <w:color w:val="000000"/>
          <w:sz w:val="20"/>
          <w:szCs w:val="20"/>
        </w:rPr>
        <w:t>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16A0" w:rsidRPr="009202BD">
        <w:rPr>
          <w:rFonts w:ascii="Times New Roman" w:hAnsi="Times New Roman" w:cs="Times New Roman"/>
          <w:color w:val="000000"/>
          <w:sz w:val="20"/>
          <w:szCs w:val="20"/>
        </w:rPr>
        <w:t>Thus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16A0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16A0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16A0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16A0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9202BD" w:rsidRPr="009202B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1716A0" w:rsidRPr="009202BD" w:rsidRDefault="00E0545C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bivalent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0545C" w:rsidRPr="009202BD" w:rsidRDefault="00096400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linker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[63</w:t>
      </w:r>
      <w:r w:rsidR="00E47A3F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0545C" w:rsidRPr="009202BD" w:rsidRDefault="00E0545C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IgG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domain,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addition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confer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antibody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-dependent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cell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cytotoxicity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[65</w:t>
      </w:r>
      <w:r w:rsidR="00E47A3F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E0545C" w:rsidRPr="009202BD" w:rsidRDefault="00096400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rFonts w:eastAsiaTheme="minorHAnsi"/>
          <w:color w:val="000000"/>
          <w:sz w:val="20"/>
          <w:szCs w:val="20"/>
        </w:rPr>
      </w:pPr>
      <w:r w:rsidRPr="009202BD">
        <w:rPr>
          <w:rFonts w:eastAsiaTheme="minorHAnsi"/>
          <w:color w:val="000000"/>
          <w:sz w:val="20"/>
          <w:szCs w:val="20"/>
        </w:rPr>
        <w:t>•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bispecific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[38,70</w:t>
      </w:r>
      <w:r w:rsidR="00E47A3F" w:rsidRPr="009202BD">
        <w:rPr>
          <w:rFonts w:eastAsiaTheme="minorHAnsi"/>
          <w:color w:val="000000"/>
          <w:sz w:val="20"/>
          <w:szCs w:val="20"/>
        </w:rPr>
        <w:t>].</w:t>
      </w:r>
    </w:p>
    <w:p w:rsidR="004A48C6" w:rsidRPr="009202BD" w:rsidRDefault="004A48C6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pentavale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6400" w:rsidRPr="009202BD">
        <w:rPr>
          <w:rFonts w:ascii="Times New Roman" w:hAnsi="Times New Roman" w:cs="Times New Roman"/>
          <w:color w:val="000000"/>
          <w:sz w:val="20"/>
          <w:szCs w:val="20"/>
        </w:rPr>
        <w:t>[115</w:t>
      </w:r>
      <w:r w:rsidR="00E47A3F" w:rsidRPr="009202BD">
        <w:rPr>
          <w:rFonts w:ascii="Times New Roman" w:hAnsi="Times New Roman" w:cs="Times New Roman"/>
          <w:color w:val="000000"/>
          <w:sz w:val="20"/>
          <w:szCs w:val="20"/>
        </w:rPr>
        <w:t>,90].</w:t>
      </w:r>
    </w:p>
    <w:p w:rsidR="004A48C6" w:rsidRPr="009202BD" w:rsidRDefault="00096400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decavalent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[104</w:t>
      </w:r>
      <w:r w:rsidR="00E47A3F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4A48C6" w:rsidRPr="009202BD" w:rsidRDefault="00096400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enzyme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[40</w:t>
      </w:r>
      <w:r w:rsidR="00E47A3F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C375A2" w:rsidRPr="009202BD" w:rsidRDefault="004A48C6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rFonts w:eastAsiaTheme="minorHAnsi"/>
          <w:color w:val="000000"/>
          <w:sz w:val="20"/>
          <w:szCs w:val="20"/>
        </w:rPr>
        <w:t>•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fused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another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protein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increase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size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Pr="009202BD">
        <w:rPr>
          <w:rFonts w:eastAsiaTheme="minorHAnsi"/>
          <w:color w:val="000000"/>
          <w:sz w:val="20"/>
          <w:szCs w:val="20"/>
        </w:rPr>
        <w:t>half-</w:t>
      </w:r>
      <w:r w:rsidR="00C07B97" w:rsidRPr="009202BD">
        <w:rPr>
          <w:rFonts w:eastAsiaTheme="minorHAnsi"/>
          <w:color w:val="000000"/>
          <w:sz w:val="20"/>
          <w:szCs w:val="20"/>
        </w:rPr>
        <w:t>life,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07B97" w:rsidRPr="009202BD">
        <w:rPr>
          <w:rFonts w:eastAsiaTheme="minorHAnsi"/>
          <w:color w:val="000000"/>
          <w:sz w:val="20"/>
          <w:szCs w:val="20"/>
        </w:rPr>
        <w:t>such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07B97" w:rsidRPr="009202BD">
        <w:rPr>
          <w:rFonts w:eastAsiaTheme="minorHAnsi"/>
          <w:color w:val="000000"/>
          <w:sz w:val="20"/>
          <w:szCs w:val="20"/>
        </w:rPr>
        <w:t>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07B97" w:rsidRPr="009202BD">
        <w:rPr>
          <w:rFonts w:eastAsiaTheme="minorHAnsi"/>
          <w:color w:val="000000"/>
          <w:sz w:val="20"/>
          <w:szCs w:val="20"/>
        </w:rPr>
        <w:t>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07B97" w:rsidRPr="009202BD">
        <w:rPr>
          <w:rFonts w:eastAsiaTheme="minorHAnsi"/>
          <w:color w:val="000000"/>
          <w:sz w:val="20"/>
          <w:szCs w:val="20"/>
        </w:rPr>
        <w:t>Fc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07B97" w:rsidRPr="009202BD">
        <w:rPr>
          <w:rFonts w:eastAsiaTheme="minorHAnsi"/>
          <w:color w:val="000000"/>
          <w:sz w:val="20"/>
          <w:szCs w:val="20"/>
        </w:rPr>
        <w:t>fragment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07B97" w:rsidRPr="009202BD">
        <w:rPr>
          <w:rFonts w:eastAsiaTheme="minorHAnsi"/>
          <w:color w:val="000000"/>
          <w:sz w:val="20"/>
          <w:szCs w:val="20"/>
        </w:rPr>
        <w:t>[38</w:t>
      </w:r>
      <w:r w:rsidRPr="009202BD">
        <w:rPr>
          <w:rFonts w:eastAsiaTheme="minorHAnsi"/>
          <w:color w:val="000000"/>
          <w:sz w:val="20"/>
          <w:szCs w:val="20"/>
        </w:rPr>
        <w:t>].</w:t>
      </w:r>
    </w:p>
    <w:p w:rsidR="009202BD" w:rsidRPr="009202BD" w:rsidRDefault="000331D9" w:rsidP="00AD6CC7">
      <w:pPr>
        <w:pStyle w:val="Heading3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9202BD">
        <w:rPr>
          <w:rStyle w:val="mw-headline"/>
          <w:sz w:val="20"/>
          <w:szCs w:val="20"/>
        </w:rPr>
        <w:t>From</w:t>
      </w:r>
      <w:r w:rsidR="00AD6CC7">
        <w:rPr>
          <w:rStyle w:val="mw-headline"/>
          <w:sz w:val="20"/>
          <w:szCs w:val="20"/>
        </w:rPr>
        <w:t xml:space="preserve"> </w:t>
      </w:r>
      <w:r w:rsidRPr="009202BD">
        <w:rPr>
          <w:rStyle w:val="mw-headline"/>
          <w:sz w:val="20"/>
          <w:szCs w:val="20"/>
        </w:rPr>
        <w:t>conventional</w:t>
      </w:r>
      <w:r w:rsidR="00AD6CC7">
        <w:rPr>
          <w:rStyle w:val="mw-headline"/>
          <w:sz w:val="20"/>
          <w:szCs w:val="20"/>
        </w:rPr>
        <w:t xml:space="preserve"> </w:t>
      </w:r>
      <w:r w:rsidRPr="009202BD">
        <w:rPr>
          <w:rStyle w:val="mw-headline"/>
          <w:sz w:val="20"/>
          <w:szCs w:val="20"/>
        </w:rPr>
        <w:t>antibodies</w:t>
      </w:r>
      <w:r w:rsidR="00F351A7" w:rsidRPr="009202BD">
        <w:rPr>
          <w:rStyle w:val="mw-headline"/>
          <w:sz w:val="20"/>
          <w:szCs w:val="20"/>
        </w:rPr>
        <w:t>:</w:t>
      </w:r>
    </w:p>
    <w:p w:rsidR="000331D9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202BD">
        <w:rPr>
          <w:sz w:val="20"/>
          <w:szCs w:val="20"/>
        </w:rPr>
        <w:t>A</w:t>
      </w:r>
      <w:r w:rsidR="000331D9" w:rsidRPr="009202BD">
        <w:rPr>
          <w:sz w:val="20"/>
          <w:szCs w:val="20"/>
        </w:rPr>
        <w:t>lternatively,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can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made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common</w:t>
      </w:r>
      <w:r w:rsidR="00AD6CC7">
        <w:rPr>
          <w:sz w:val="20"/>
          <w:szCs w:val="20"/>
        </w:rPr>
        <w:t xml:space="preserve"> </w:t>
      </w:r>
      <w:hyperlink r:id="rId84" w:tooltip="Murine" w:history="1"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murine</w:t>
        </w:r>
      </w:hyperlink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human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IgG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with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four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chains.</w:t>
      </w:r>
      <w:hyperlink r:id="rId85" w:anchor="cite_note-15" w:history="1">
        <w:r w:rsidR="000331D9"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[15]</w:t>
        </w:r>
      </w:hyperlink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process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similar,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comprising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gene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libraries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from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immunized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naïve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donors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display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techniques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for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identification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most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specific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antigens.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problem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with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this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approach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that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binding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region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common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IgG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consists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two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domains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(V</w:t>
      </w:r>
      <w:r w:rsidR="000331D9" w:rsidRPr="009202BD">
        <w:rPr>
          <w:sz w:val="20"/>
          <w:szCs w:val="20"/>
          <w:vertAlign w:val="subscript"/>
        </w:rPr>
        <w:t>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V</w:t>
      </w:r>
      <w:r w:rsidR="000331D9" w:rsidRPr="009202BD">
        <w:rPr>
          <w:sz w:val="20"/>
          <w:szCs w:val="20"/>
          <w:vertAlign w:val="subscript"/>
        </w:rPr>
        <w:t>L</w:t>
      </w:r>
      <w:r w:rsidR="000331D9" w:rsidRPr="009202BD">
        <w:rPr>
          <w:sz w:val="20"/>
          <w:szCs w:val="20"/>
        </w:rPr>
        <w:t>),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which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tend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hyperlink r:id="rId86" w:tooltip="Protein dimer" w:history="1">
        <w:r w:rsidR="000331D9" w:rsidRPr="009202BD">
          <w:rPr>
            <w:rStyle w:val="Hyperlink"/>
            <w:color w:val="auto"/>
            <w:sz w:val="20"/>
            <w:szCs w:val="20"/>
            <w:u w:val="none"/>
          </w:rPr>
          <w:t>dimerize</w:t>
        </w:r>
      </w:hyperlink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aggregate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because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their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lipophilicity.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Monomerization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usually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accomplished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replacing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lipophilic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hydrophilic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amino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acids,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but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often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results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loss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of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affinity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to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antigen.</w:t>
      </w:r>
      <w:hyperlink r:id="rId87" w:anchor="cite_note-16" w:history="1">
        <w:r w:rsidR="000331D9" w:rsidRPr="009202BD">
          <w:rPr>
            <w:rStyle w:val="Hyperlink"/>
            <w:color w:val="auto"/>
            <w:sz w:val="20"/>
            <w:szCs w:val="20"/>
            <w:u w:val="none"/>
            <w:vertAlign w:val="superscript"/>
          </w:rPr>
          <w:t>[16]</w:t>
        </w:r>
      </w:hyperlink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If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affinity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can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retained,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the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single-domain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antibodies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can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likewise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be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produced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in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i/>
          <w:iCs/>
          <w:sz w:val="20"/>
          <w:szCs w:val="20"/>
        </w:rPr>
        <w:t>E.</w:t>
      </w:r>
      <w:r w:rsidR="00AD6CC7">
        <w:rPr>
          <w:i/>
          <w:iCs/>
          <w:sz w:val="20"/>
          <w:szCs w:val="20"/>
        </w:rPr>
        <w:t xml:space="preserve"> </w:t>
      </w:r>
      <w:r w:rsidR="000331D9" w:rsidRPr="009202BD">
        <w:rPr>
          <w:i/>
          <w:iCs/>
          <w:sz w:val="20"/>
          <w:szCs w:val="20"/>
        </w:rPr>
        <w:t>coli</w:t>
      </w:r>
      <w:r w:rsidR="000331D9" w:rsidRPr="009202BD">
        <w:rPr>
          <w:sz w:val="20"/>
          <w:szCs w:val="20"/>
        </w:rPr>
        <w:t>,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i/>
          <w:iCs/>
          <w:sz w:val="20"/>
          <w:szCs w:val="20"/>
        </w:rPr>
        <w:t>S.</w:t>
      </w:r>
      <w:r w:rsidR="00AD6CC7">
        <w:rPr>
          <w:i/>
          <w:iCs/>
          <w:sz w:val="20"/>
          <w:szCs w:val="20"/>
        </w:rPr>
        <w:t xml:space="preserve"> </w:t>
      </w:r>
      <w:r w:rsidR="000331D9" w:rsidRPr="009202BD">
        <w:rPr>
          <w:i/>
          <w:iCs/>
          <w:sz w:val="20"/>
          <w:szCs w:val="20"/>
        </w:rPr>
        <w:t>cerevisiae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other</w:t>
      </w:r>
      <w:r w:rsidR="00AD6CC7">
        <w:rPr>
          <w:sz w:val="20"/>
          <w:szCs w:val="20"/>
        </w:rPr>
        <w:t xml:space="preserve"> </w:t>
      </w:r>
      <w:r w:rsidR="000331D9" w:rsidRPr="009202BD">
        <w:rPr>
          <w:sz w:val="20"/>
          <w:szCs w:val="20"/>
        </w:rPr>
        <w:t>organisms.</w:t>
      </w:r>
    </w:p>
    <w:p w:rsidR="009202BD" w:rsidRPr="009202BD" w:rsidRDefault="00AA2D2F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ppl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cat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on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ragment</w:t>
      </w:r>
      <w:r w:rsidRPr="009202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FA0372" w:rsidRPr="009202B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A2D2F" w:rsidRPr="009202BD" w:rsidRDefault="009202BD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lastRenderedPageBreak/>
        <w:t>T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unique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properties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make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them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useful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many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applications,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therapy,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diagnostics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laboratory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praxis.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Some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applications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described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9C3FD8" w:rsidRPr="009202BD">
        <w:rPr>
          <w:rFonts w:ascii="Times New Roman" w:hAnsi="Times New Roman" w:cs="Times New Roman"/>
          <w:color w:val="000000"/>
          <w:sz w:val="20"/>
          <w:szCs w:val="20"/>
        </w:rPr>
        <w:t>low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3FD8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3FD8" w:rsidRPr="009202BD">
        <w:rPr>
          <w:rFonts w:ascii="Times New Roman" w:hAnsi="Times New Roman" w:cs="Times New Roman"/>
          <w:color w:val="000000"/>
          <w:sz w:val="20"/>
          <w:szCs w:val="20"/>
        </w:rPr>
        <w:t>more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3FD8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3FD8" w:rsidRPr="009202BD">
        <w:rPr>
          <w:rFonts w:ascii="Times New Roman" w:hAnsi="Times New Roman" w:cs="Times New Roman"/>
          <w:color w:val="000000"/>
          <w:sz w:val="20"/>
          <w:szCs w:val="20"/>
        </w:rPr>
        <w:t>reviewed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3FD8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3FD8" w:rsidRPr="009202BD">
        <w:rPr>
          <w:rFonts w:ascii="Times New Roman" w:hAnsi="Times New Roman" w:cs="Times New Roman"/>
          <w:color w:val="000000"/>
          <w:sz w:val="20"/>
          <w:szCs w:val="20"/>
        </w:rPr>
        <w:t>[82,89,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3FD8" w:rsidRPr="009202BD">
        <w:rPr>
          <w:rFonts w:ascii="Times New Roman" w:hAnsi="Times New Roman" w:cs="Times New Roman"/>
          <w:color w:val="000000"/>
          <w:sz w:val="20"/>
          <w:szCs w:val="20"/>
        </w:rPr>
        <w:t>112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AA2D2F" w:rsidRPr="009202BD" w:rsidRDefault="00E208A7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="00AA2D2F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therapy</w:t>
      </w:r>
      <w:r w:rsidR="00F7682A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9202BD" w:rsidRPr="009202BD" w:rsidRDefault="00AA2D2F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Anti-cancer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therapy</w:t>
      </w:r>
      <w:r w:rsidR="009F7A31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9202BD" w:rsidRPr="009202BD" w:rsidRDefault="009202BD" w:rsidP="00AD6CC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ince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demonstrated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bind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antigens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surface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tumor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cells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35D4" w:rsidRPr="009202BD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35D4" w:rsidRPr="009202BD">
        <w:rPr>
          <w:rFonts w:ascii="Times New Roman" w:hAnsi="Times New Roman" w:cs="Times New Roman"/>
          <w:color w:val="000000"/>
          <w:sz w:val="20"/>
          <w:szCs w:val="20"/>
        </w:rPr>
        <w:t>immunogenicity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35D4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35D4" w:rsidRPr="009202BD">
        <w:rPr>
          <w:rFonts w:ascii="Times New Roman" w:hAnsi="Times New Roman" w:cs="Times New Roman"/>
          <w:color w:val="000000"/>
          <w:sz w:val="20"/>
          <w:szCs w:val="20"/>
        </w:rPr>
        <w:t>low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35D4" w:rsidRPr="009202BD">
        <w:rPr>
          <w:rFonts w:ascii="Times New Roman" w:hAnsi="Times New Roman" w:cs="Times New Roman"/>
          <w:color w:val="000000"/>
          <w:sz w:val="20"/>
          <w:szCs w:val="20"/>
        </w:rPr>
        <w:t>[40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],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under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intensive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scrutiny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potential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therapeutic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tools,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among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most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studied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potential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anti-cancer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activity.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date,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recogni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antigens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expressed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cells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many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types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cancer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obtained,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many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them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reveal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pro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spective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therapeutic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2D2F" w:rsidRPr="009202BD">
        <w:rPr>
          <w:rFonts w:ascii="Times New Roman" w:hAnsi="Times New Roman" w:cs="Times New Roman"/>
          <w:color w:val="000000"/>
          <w:sz w:val="20"/>
          <w:szCs w:val="20"/>
        </w:rPr>
        <w:t>values.</w:t>
      </w:r>
    </w:p>
    <w:p w:rsidR="00CD2A26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high-affinity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recognizing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carcinoembryonic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anti</w:t>
      </w:r>
      <w:r w:rsidR="00AA2D2F" w:rsidRPr="009202BD">
        <w:rPr>
          <w:rFonts w:eastAsiaTheme="minorHAnsi"/>
          <w:color w:val="000000"/>
          <w:sz w:val="20"/>
          <w:szCs w:val="20"/>
        </w:rPr>
        <w:softHyphen/>
        <w:t>gen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(CEA),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protein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overexpressed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many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types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tu</w:t>
      </w:r>
      <w:r w:rsidR="00AA2D2F" w:rsidRPr="009202BD">
        <w:rPr>
          <w:rFonts w:eastAsiaTheme="minorHAnsi"/>
          <w:color w:val="000000"/>
          <w:sz w:val="20"/>
          <w:szCs w:val="20"/>
        </w:rPr>
        <w:softHyphen/>
        <w:t>mors,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vehicle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technique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called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anti</w:t>
      </w:r>
      <w:r w:rsidR="00AA2D2F" w:rsidRPr="009202BD">
        <w:rPr>
          <w:rFonts w:eastAsiaTheme="minorHAnsi"/>
          <w:color w:val="000000"/>
          <w:sz w:val="20"/>
          <w:szCs w:val="20"/>
        </w:rPr>
        <w:softHyphen/>
        <w:t>body-dependent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enzyme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pro-drug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therapy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(ADEPT).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anti-CEA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transporter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fused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b-lac</w:t>
      </w:r>
      <w:r w:rsidR="00AA2D2F" w:rsidRPr="009202BD">
        <w:rPr>
          <w:rFonts w:eastAsiaTheme="minorHAnsi"/>
          <w:color w:val="000000"/>
          <w:sz w:val="20"/>
          <w:szCs w:val="20"/>
        </w:rPr>
        <w:softHyphen/>
        <w:t>tamase,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enzyme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cleave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pro-drug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low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to</w:t>
      </w:r>
      <w:r w:rsidR="00AA2D2F" w:rsidRPr="009202BD">
        <w:rPr>
          <w:rFonts w:eastAsiaTheme="minorHAnsi"/>
          <w:color w:val="000000"/>
          <w:sz w:val="20"/>
          <w:szCs w:val="20"/>
        </w:rPr>
        <w:softHyphen/>
        <w:t>xic</w:t>
      </w:r>
      <w:r w:rsidR="00C935D4" w:rsidRPr="009202BD">
        <w:rPr>
          <w:rFonts w:eastAsiaTheme="minorHAnsi"/>
          <w:color w:val="000000"/>
          <w:sz w:val="20"/>
          <w:szCs w:val="20"/>
        </w:rPr>
        <w:t>ity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into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its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toxic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form</w:t>
      </w:r>
      <w:r w:rsidR="00AA2D2F" w:rsidRPr="009202BD">
        <w:rPr>
          <w:rFonts w:eastAsiaTheme="minorHAnsi"/>
          <w:color w:val="000000"/>
          <w:sz w:val="20"/>
          <w:szCs w:val="20"/>
        </w:rPr>
        <w:t>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method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pro</w:t>
      </w:r>
      <w:r w:rsidR="00AA2D2F" w:rsidRPr="009202BD">
        <w:rPr>
          <w:rFonts w:eastAsiaTheme="minorHAnsi"/>
          <w:color w:val="000000"/>
          <w:sz w:val="20"/>
          <w:szCs w:val="20"/>
        </w:rPr>
        <w:softHyphen/>
        <w:t>ved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effective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using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mouse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model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adenocarcinoma: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found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tumor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mass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had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decreased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significan</w:t>
      </w:r>
      <w:r w:rsidR="00AA2D2F" w:rsidRPr="009202BD">
        <w:rPr>
          <w:rFonts w:eastAsiaTheme="minorHAnsi"/>
          <w:color w:val="000000"/>
          <w:sz w:val="20"/>
          <w:szCs w:val="20"/>
        </w:rPr>
        <w:softHyphen/>
        <w:t>tly,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while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toxicity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drug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relatively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low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[</w:t>
      </w:r>
      <w:r w:rsidR="00C935D4" w:rsidRPr="009202BD">
        <w:rPr>
          <w:rFonts w:eastAsiaTheme="minorHAnsi"/>
          <w:color w:val="000000"/>
          <w:sz w:val="20"/>
          <w:szCs w:val="20"/>
        </w:rPr>
        <w:t>39</w:t>
      </w:r>
      <w:r w:rsidR="00AA2D2F" w:rsidRPr="009202BD">
        <w:rPr>
          <w:rFonts w:eastAsiaTheme="minorHAnsi"/>
          <w:color w:val="000000"/>
          <w:sz w:val="20"/>
          <w:szCs w:val="20"/>
        </w:rPr>
        <w:t>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Another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therapeutic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potential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endoglin,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re</w:t>
      </w:r>
      <w:r w:rsidR="00AA2D2F" w:rsidRPr="009202BD">
        <w:rPr>
          <w:rFonts w:eastAsiaTheme="minorHAnsi"/>
          <w:color w:val="000000"/>
          <w:sz w:val="20"/>
          <w:szCs w:val="20"/>
        </w:rPr>
        <w:softHyphen/>
        <w:t>ceptor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involved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angiogenesis,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which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up-regulated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cancer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tissues.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shown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recognizes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antigen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high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affinity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act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anti-angioge</w:t>
      </w:r>
      <w:r w:rsidR="00AA2D2F" w:rsidRPr="009202BD">
        <w:rPr>
          <w:rFonts w:eastAsiaTheme="minorHAnsi"/>
          <w:color w:val="000000"/>
          <w:sz w:val="20"/>
          <w:szCs w:val="20"/>
        </w:rPr>
        <w:softHyphen/>
        <w:t>nic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agent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by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binding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endoglin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AA2D2F" w:rsidRPr="009202BD">
        <w:rPr>
          <w:rFonts w:eastAsiaTheme="minorHAnsi"/>
          <w:color w:val="000000"/>
          <w:sz w:val="20"/>
          <w:szCs w:val="20"/>
        </w:rPr>
        <w:t>inhibiting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D2A26" w:rsidRPr="009202BD">
        <w:rPr>
          <w:color w:val="000000"/>
          <w:sz w:val="20"/>
          <w:szCs w:val="20"/>
        </w:rPr>
        <w:t>angiogene</w:t>
      </w:r>
      <w:r w:rsidR="00CD2A26" w:rsidRPr="009202BD">
        <w:rPr>
          <w:color w:val="000000"/>
          <w:sz w:val="20"/>
          <w:szCs w:val="20"/>
        </w:rPr>
        <w:softHyphen/>
        <w:t>sis</w:t>
      </w:r>
      <w:r w:rsidR="00AD6CC7">
        <w:rPr>
          <w:color w:val="000000"/>
          <w:sz w:val="20"/>
          <w:szCs w:val="20"/>
        </w:rPr>
        <w:t xml:space="preserve"> </w:t>
      </w:r>
      <w:r w:rsidR="00CD2A26" w:rsidRPr="009202BD">
        <w:rPr>
          <w:color w:val="000000"/>
          <w:sz w:val="20"/>
          <w:szCs w:val="20"/>
        </w:rPr>
        <w:t>in</w:t>
      </w:r>
      <w:r w:rsidR="00AD6CC7">
        <w:rPr>
          <w:color w:val="000000"/>
          <w:sz w:val="20"/>
          <w:szCs w:val="20"/>
        </w:rPr>
        <w:t xml:space="preserve"> </w:t>
      </w:r>
      <w:r w:rsidR="00CD2A26"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="00CD2A26" w:rsidRPr="009202BD">
        <w:rPr>
          <w:color w:val="000000"/>
          <w:sz w:val="20"/>
          <w:szCs w:val="20"/>
        </w:rPr>
        <w:t>tumor</w:t>
      </w:r>
      <w:r w:rsidR="00AD6CC7">
        <w:rPr>
          <w:color w:val="000000"/>
          <w:sz w:val="20"/>
          <w:szCs w:val="20"/>
        </w:rPr>
        <w:t xml:space="preserve"> </w:t>
      </w:r>
      <w:r w:rsidR="00CD2A26" w:rsidRPr="009202BD">
        <w:rPr>
          <w:color w:val="000000"/>
          <w:sz w:val="20"/>
          <w:szCs w:val="20"/>
        </w:rPr>
        <w:t>[3].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VHH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recognizing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Fcg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receptor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III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was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shown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to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activa</w:t>
      </w:r>
      <w:r w:rsidR="00D410E8" w:rsidRPr="009202BD">
        <w:rPr>
          <w:color w:val="000000"/>
          <w:sz w:val="20"/>
          <w:szCs w:val="20"/>
        </w:rPr>
        <w:softHyphen/>
        <w:t>te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natural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killer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(NK)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cells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and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induce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production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in</w:t>
      </w:r>
      <w:r w:rsidR="00D410E8" w:rsidRPr="009202BD">
        <w:rPr>
          <w:color w:val="000000"/>
          <w:sz w:val="20"/>
          <w:szCs w:val="20"/>
        </w:rPr>
        <w:softHyphen/>
        <w:t>terferon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g.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mono-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and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bispecific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hcAb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fragments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ac</w:t>
      </w:r>
      <w:r w:rsidR="00D410E8" w:rsidRPr="009202BD">
        <w:rPr>
          <w:color w:val="000000"/>
          <w:sz w:val="20"/>
          <w:szCs w:val="20"/>
        </w:rPr>
        <w:softHyphen/>
        <w:t>tivated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FcgRIII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and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recruited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NK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cells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to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target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site.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Such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VHH,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if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fused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to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another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VHH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that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recognizes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protein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present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on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surface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tumor,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may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b</w:t>
      </w:r>
      <w:r w:rsidR="00C935D4" w:rsidRPr="009202BD">
        <w:rPr>
          <w:color w:val="000000"/>
          <w:sz w:val="20"/>
          <w:szCs w:val="20"/>
        </w:rPr>
        <w:t>e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used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in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anti-cancer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therapy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[33</w:t>
      </w:r>
      <w:r w:rsidR="00D410E8" w:rsidRPr="009202BD">
        <w:rPr>
          <w:color w:val="000000"/>
          <w:sz w:val="20"/>
          <w:szCs w:val="20"/>
        </w:rPr>
        <w:t>].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It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was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also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shown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that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VHH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recognizing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integrin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a3b1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(VLA3),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adhesion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prote</w:t>
      </w:r>
      <w:r w:rsidR="00D410E8" w:rsidRPr="009202BD">
        <w:rPr>
          <w:color w:val="000000"/>
          <w:sz w:val="20"/>
          <w:szCs w:val="20"/>
        </w:rPr>
        <w:softHyphen/>
        <w:t>in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involved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in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cancer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metastasis,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can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decrease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meta</w:t>
      </w:r>
      <w:r w:rsidR="00D410E8" w:rsidRPr="009202BD">
        <w:rPr>
          <w:color w:val="000000"/>
          <w:sz w:val="20"/>
          <w:szCs w:val="20"/>
        </w:rPr>
        <w:softHyphen/>
        <w:t>static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potential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malignant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tumors.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same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VHH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can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block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cell-mediated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adhesion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by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modulation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VLA3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functions,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so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that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VHH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can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be</w:t>
      </w:r>
      <w:r w:rsidR="00AD6CC7">
        <w:rPr>
          <w:color w:val="000000"/>
          <w:sz w:val="20"/>
          <w:szCs w:val="20"/>
        </w:rPr>
        <w:t xml:space="preserve"> </w:t>
      </w:r>
      <w:r w:rsidR="00D410E8" w:rsidRPr="009202BD">
        <w:rPr>
          <w:color w:val="000000"/>
          <w:sz w:val="20"/>
          <w:szCs w:val="20"/>
        </w:rPr>
        <w:t>used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to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decrease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tumor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metastasis</w:t>
      </w:r>
      <w:r w:rsidR="00AD6CC7">
        <w:rPr>
          <w:color w:val="000000"/>
          <w:sz w:val="20"/>
          <w:szCs w:val="20"/>
        </w:rPr>
        <w:t xml:space="preserve"> </w:t>
      </w:r>
      <w:r w:rsidR="00C935D4" w:rsidRPr="009202BD">
        <w:rPr>
          <w:color w:val="000000"/>
          <w:sz w:val="20"/>
          <w:szCs w:val="20"/>
        </w:rPr>
        <w:t>[60</w:t>
      </w:r>
      <w:r w:rsidR="00D410E8" w:rsidRPr="009202BD">
        <w:rPr>
          <w:color w:val="000000"/>
          <w:sz w:val="20"/>
          <w:szCs w:val="20"/>
        </w:rPr>
        <w:t>].</w:t>
      </w:r>
    </w:p>
    <w:p w:rsidR="009202BD" w:rsidRPr="009202BD" w:rsidRDefault="00F91ECF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Hematological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disorders</w:t>
      </w:r>
      <w:r w:rsidR="009F7A31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F91ECF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rFonts w:eastAsiaTheme="minorHAnsi"/>
          <w:color w:val="000000"/>
          <w:sz w:val="20"/>
          <w:szCs w:val="20"/>
        </w:rPr>
      </w:pPr>
      <w:r w:rsidRPr="009202BD">
        <w:rPr>
          <w:rFonts w:eastAsiaTheme="minorHAnsi"/>
          <w:color w:val="000000"/>
          <w:sz w:val="20"/>
          <w:szCs w:val="20"/>
        </w:rPr>
        <w:t>V</w:t>
      </w:r>
      <w:r w:rsidR="00F91ECF" w:rsidRPr="009202BD">
        <w:rPr>
          <w:rFonts w:eastAsiaTheme="minorHAnsi"/>
          <w:color w:val="000000"/>
          <w:sz w:val="20"/>
          <w:szCs w:val="20"/>
        </w:rPr>
        <w:t>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also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other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therapeutic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applications.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For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example,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advanced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studies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therapeutic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use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are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focused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Willebrand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disease.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Willebrand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factor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(VWF)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involved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formation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blood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clots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interactions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clotting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factor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VIII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platelets.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There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are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two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disorders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involving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may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treated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VHHs: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type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2B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caused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lastRenderedPageBreak/>
        <w:t>decreased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level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leads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elongated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bleeding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time,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throm</w:t>
      </w:r>
      <w:r w:rsidR="00F91ECF" w:rsidRPr="009202BD">
        <w:rPr>
          <w:rFonts w:eastAsiaTheme="minorHAnsi"/>
          <w:color w:val="000000"/>
          <w:sz w:val="20"/>
          <w:szCs w:val="20"/>
        </w:rPr>
        <w:softHyphen/>
        <w:t>botic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thrombocytopenic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purpura,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which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caused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lack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enzyme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cleaves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ultra-large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multimers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which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bind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platelets.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Such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aggregates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may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accumulate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vessels,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causing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obstruction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blood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flow.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Hulestin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i/>
          <w:iCs/>
          <w:color w:val="000000"/>
          <w:sz w:val="20"/>
          <w:szCs w:val="20"/>
        </w:rPr>
        <w:t>et</w:t>
      </w:r>
      <w:r w:rsidR="00AD6CC7"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i/>
          <w:iCs/>
          <w:color w:val="000000"/>
          <w:sz w:val="20"/>
          <w:szCs w:val="20"/>
        </w:rPr>
        <w:t>al</w:t>
      </w:r>
      <w:r w:rsidR="00C935D4" w:rsidRPr="009202BD">
        <w:rPr>
          <w:rFonts w:eastAsiaTheme="minorHAnsi"/>
          <w:color w:val="000000"/>
          <w:sz w:val="20"/>
          <w:szCs w:val="20"/>
        </w:rPr>
        <w:t>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[68</w:t>
      </w:r>
      <w:r w:rsidR="00F91ECF" w:rsidRPr="009202BD">
        <w:rPr>
          <w:rFonts w:eastAsiaTheme="minorHAnsi"/>
          <w:color w:val="000000"/>
          <w:sz w:val="20"/>
          <w:szCs w:val="20"/>
        </w:rPr>
        <w:t>]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obtained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binds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active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form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may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diagnostic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tool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detect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se</w:t>
      </w:r>
      <w:r w:rsidR="00F91ECF" w:rsidRPr="009202BD">
        <w:rPr>
          <w:rFonts w:eastAsiaTheme="minorHAnsi"/>
          <w:color w:val="000000"/>
          <w:sz w:val="20"/>
          <w:szCs w:val="20"/>
        </w:rPr>
        <w:softHyphen/>
        <w:t>rum,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since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increased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level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active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key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factor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both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kinds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disease.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Two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recognizing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are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currentl</w:t>
      </w:r>
      <w:r w:rsidR="00C935D4" w:rsidRPr="009202BD">
        <w:rPr>
          <w:rFonts w:eastAsiaTheme="minorHAnsi"/>
          <w:color w:val="000000"/>
          <w:sz w:val="20"/>
          <w:szCs w:val="20"/>
        </w:rPr>
        <w:t>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undergoing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clinical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trials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[97</w:t>
      </w:r>
      <w:r w:rsidR="00F91ECF" w:rsidRPr="009202BD">
        <w:rPr>
          <w:rFonts w:eastAsiaTheme="minorHAnsi"/>
          <w:color w:val="000000"/>
          <w:sz w:val="20"/>
          <w:szCs w:val="20"/>
        </w:rPr>
        <w:t>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pre</w:t>
      </w:r>
      <w:r w:rsidR="00F91ECF" w:rsidRPr="009202BD">
        <w:rPr>
          <w:rFonts w:eastAsiaTheme="minorHAnsi"/>
          <w:color w:val="000000"/>
          <w:sz w:val="20"/>
          <w:szCs w:val="20"/>
        </w:rPr>
        <w:softHyphen/>
        <w:t>vents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platelet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aggregation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binds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ultra-large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mul</w:t>
      </w:r>
      <w:r w:rsidR="00F91ECF" w:rsidRPr="009202BD">
        <w:rPr>
          <w:rFonts w:eastAsiaTheme="minorHAnsi"/>
          <w:color w:val="000000"/>
          <w:sz w:val="20"/>
          <w:szCs w:val="20"/>
        </w:rPr>
        <w:softHyphen/>
        <w:t>timers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may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prevent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spontaneous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clotting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acute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coronary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syndrome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percuta</w:t>
      </w:r>
      <w:r w:rsidR="00C935D4" w:rsidRPr="009202BD">
        <w:rPr>
          <w:rFonts w:eastAsiaTheme="minorHAnsi"/>
          <w:color w:val="000000"/>
          <w:sz w:val="20"/>
          <w:szCs w:val="20"/>
        </w:rPr>
        <w:t>neous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coronary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inte</w:t>
      </w:r>
      <w:r w:rsidR="00C935D4" w:rsidRPr="009202BD">
        <w:rPr>
          <w:rFonts w:eastAsiaTheme="minorHAnsi"/>
          <w:color w:val="000000"/>
          <w:sz w:val="20"/>
          <w:szCs w:val="20"/>
        </w:rPr>
        <w:softHyphen/>
        <w:t>rvention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C935D4" w:rsidRPr="009202BD">
        <w:rPr>
          <w:rFonts w:eastAsiaTheme="minorHAnsi"/>
          <w:color w:val="000000"/>
          <w:sz w:val="20"/>
          <w:szCs w:val="20"/>
        </w:rPr>
        <w:t>[107</w:t>
      </w:r>
      <w:r w:rsidR="000478BC" w:rsidRPr="009202BD">
        <w:rPr>
          <w:rFonts w:eastAsiaTheme="minorHAnsi"/>
          <w:color w:val="000000"/>
          <w:sz w:val="20"/>
          <w:szCs w:val="20"/>
        </w:rPr>
        <w:t>,108</w:t>
      </w:r>
      <w:r w:rsidR="00F91ECF" w:rsidRPr="009202BD">
        <w:rPr>
          <w:rFonts w:eastAsiaTheme="minorHAnsi"/>
          <w:color w:val="000000"/>
          <w:sz w:val="20"/>
          <w:szCs w:val="20"/>
        </w:rPr>
        <w:t>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other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improves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time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course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normalization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platelet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level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blood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prevents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capture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platelets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VWF,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so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may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lead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improved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treatment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von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Willebrand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disease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type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2B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addition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standard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plasma-exchange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therapy.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Currently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(March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2012),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both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drugs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are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phase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II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clinical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F91ECF" w:rsidRPr="009202BD">
        <w:rPr>
          <w:rFonts w:eastAsiaTheme="minorHAnsi"/>
          <w:color w:val="000000"/>
          <w:sz w:val="20"/>
          <w:szCs w:val="20"/>
        </w:rPr>
        <w:t>trials.</w:t>
      </w:r>
    </w:p>
    <w:p w:rsidR="009202BD" w:rsidRPr="009202BD" w:rsidRDefault="00024F04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Autoimmune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diseases</w:t>
      </w:r>
      <w:r w:rsidR="009F7A31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024F04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rFonts w:eastAsiaTheme="minorHAnsi"/>
          <w:color w:val="000000"/>
          <w:sz w:val="20"/>
          <w:szCs w:val="20"/>
        </w:rPr>
      </w:pPr>
      <w:r w:rsidRPr="009202BD">
        <w:rPr>
          <w:rFonts w:eastAsiaTheme="minorHAnsi"/>
          <w:color w:val="000000"/>
          <w:sz w:val="20"/>
          <w:szCs w:val="20"/>
        </w:rPr>
        <w:t>I</w:t>
      </w:r>
      <w:r w:rsidR="00024F04" w:rsidRPr="009202BD">
        <w:rPr>
          <w:rFonts w:eastAsiaTheme="minorHAnsi"/>
          <w:color w:val="000000"/>
          <w:sz w:val="20"/>
          <w:szCs w:val="20"/>
        </w:rPr>
        <w:t>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shown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derived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from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animal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immuni</w:t>
      </w:r>
      <w:r w:rsidR="00024F04" w:rsidRPr="009202BD">
        <w:rPr>
          <w:rFonts w:eastAsiaTheme="minorHAnsi"/>
          <w:color w:val="000000"/>
          <w:sz w:val="20"/>
          <w:szCs w:val="20"/>
        </w:rPr>
        <w:softHyphen/>
        <w:t>zed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TNFa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inhibit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functions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TNFa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murine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model.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Such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may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cheaper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alter</w:t>
      </w:r>
      <w:r w:rsidR="00024F04" w:rsidRPr="009202BD">
        <w:rPr>
          <w:rFonts w:eastAsiaTheme="minorHAnsi"/>
          <w:color w:val="000000"/>
          <w:sz w:val="20"/>
          <w:szCs w:val="20"/>
        </w:rPr>
        <w:softHyphen/>
        <w:t>native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currently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available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anti-TNFa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drugs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890CB8" w:rsidRPr="009202BD">
        <w:rPr>
          <w:rFonts w:eastAsiaTheme="minorHAnsi"/>
          <w:color w:val="000000"/>
          <w:sz w:val="20"/>
          <w:szCs w:val="20"/>
        </w:rPr>
        <w:t>rheumatoid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890CB8" w:rsidRPr="009202BD">
        <w:rPr>
          <w:rFonts w:eastAsiaTheme="minorHAnsi"/>
          <w:color w:val="000000"/>
          <w:sz w:val="20"/>
          <w:szCs w:val="20"/>
        </w:rPr>
        <w:t>arthritis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890CB8" w:rsidRPr="009202BD">
        <w:rPr>
          <w:rFonts w:eastAsiaTheme="minorHAnsi"/>
          <w:color w:val="000000"/>
          <w:sz w:val="20"/>
          <w:szCs w:val="20"/>
        </w:rPr>
        <w:t>therapy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890CB8" w:rsidRPr="009202BD">
        <w:rPr>
          <w:rFonts w:eastAsiaTheme="minorHAnsi"/>
          <w:color w:val="000000"/>
          <w:sz w:val="20"/>
          <w:szCs w:val="20"/>
        </w:rPr>
        <w:t>[38</w:t>
      </w:r>
      <w:r w:rsidR="00024F04" w:rsidRPr="009202BD">
        <w:rPr>
          <w:rFonts w:eastAsiaTheme="minorHAnsi"/>
          <w:color w:val="000000"/>
          <w:sz w:val="20"/>
          <w:szCs w:val="20"/>
        </w:rPr>
        <w:t>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noteworthy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an</w:t>
      </w:r>
      <w:r w:rsidR="00024F04" w:rsidRPr="009202BD">
        <w:rPr>
          <w:rFonts w:eastAsiaTheme="minorHAnsi"/>
          <w:color w:val="000000"/>
          <w:sz w:val="20"/>
          <w:szCs w:val="20"/>
        </w:rPr>
        <w:softHyphen/>
        <w:t>ti-TNFa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bivalent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form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(fused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human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Fc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fragment)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now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second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phase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clinical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trials.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also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shown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bacteria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i/>
          <w:iCs/>
          <w:color w:val="000000"/>
          <w:sz w:val="20"/>
          <w:szCs w:val="20"/>
        </w:rPr>
        <w:t>Lactococcus</w:t>
      </w:r>
      <w:r w:rsidR="00AD6CC7"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i/>
          <w:iCs/>
          <w:color w:val="000000"/>
          <w:sz w:val="20"/>
          <w:szCs w:val="20"/>
        </w:rPr>
        <w:t>lactis</w:t>
      </w:r>
      <w:r w:rsidR="00AD6CC7"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strain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carrier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for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recognizing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TNFa: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an</w:t>
      </w:r>
      <w:r w:rsidR="00024F04" w:rsidRPr="009202BD">
        <w:rPr>
          <w:rFonts w:eastAsiaTheme="minorHAnsi"/>
          <w:color w:val="000000"/>
          <w:sz w:val="20"/>
          <w:szCs w:val="20"/>
        </w:rPr>
        <w:softHyphen/>
        <w:t>tibody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fragments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were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secreted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by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bacteria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directly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colon,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acting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therapeutic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agents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for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patients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suffering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from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chronic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colon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inflammation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[81].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major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advanta</w:t>
      </w:r>
      <w:r w:rsidR="00024F04" w:rsidRPr="009202BD">
        <w:rPr>
          <w:rFonts w:eastAsiaTheme="minorHAnsi"/>
          <w:color w:val="000000"/>
          <w:sz w:val="20"/>
          <w:szCs w:val="20"/>
        </w:rPr>
        <w:softHyphen/>
        <w:t>ge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such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strategy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may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allow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one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avoid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024F04" w:rsidRPr="009202BD">
        <w:rPr>
          <w:rFonts w:eastAsiaTheme="minorHAnsi"/>
          <w:color w:val="000000"/>
          <w:sz w:val="20"/>
          <w:szCs w:val="20"/>
        </w:rPr>
        <w:t>pro</w:t>
      </w:r>
      <w:r w:rsidR="00024F04" w:rsidRPr="009202BD">
        <w:rPr>
          <w:rFonts w:eastAsiaTheme="minorHAnsi"/>
          <w:color w:val="000000"/>
          <w:sz w:val="20"/>
          <w:szCs w:val="20"/>
        </w:rPr>
        <w:softHyphen/>
        <w:t>teolysis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890CB8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890CB8" w:rsidRPr="009202BD">
        <w:rPr>
          <w:rFonts w:eastAsiaTheme="minorHAnsi"/>
          <w:color w:val="000000"/>
          <w:sz w:val="20"/>
          <w:szCs w:val="20"/>
        </w:rPr>
        <w:t>orally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890CB8" w:rsidRPr="009202BD">
        <w:rPr>
          <w:rFonts w:eastAsiaTheme="minorHAnsi"/>
          <w:color w:val="000000"/>
          <w:sz w:val="20"/>
          <w:szCs w:val="20"/>
        </w:rPr>
        <w:t>administered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890CB8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890CB8" w:rsidRPr="009202BD">
        <w:rPr>
          <w:rFonts w:eastAsiaTheme="minorHAnsi"/>
          <w:color w:val="000000"/>
          <w:sz w:val="20"/>
          <w:szCs w:val="20"/>
        </w:rPr>
        <w:t>[62,63</w:t>
      </w:r>
      <w:r w:rsidR="00024F04" w:rsidRPr="009202BD">
        <w:rPr>
          <w:rFonts w:eastAsiaTheme="minorHAnsi"/>
          <w:color w:val="000000"/>
          <w:sz w:val="20"/>
          <w:szCs w:val="20"/>
        </w:rPr>
        <w:t>].</w:t>
      </w:r>
    </w:p>
    <w:p w:rsidR="009202BD" w:rsidRPr="009202BD" w:rsidRDefault="007E0FEC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Toxins</w:t>
      </w:r>
      <w:r w:rsidR="009F7A31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7E0FEC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rFonts w:eastAsiaTheme="minorHAnsi"/>
          <w:color w:val="000000"/>
          <w:sz w:val="20"/>
          <w:szCs w:val="20"/>
        </w:rPr>
      </w:pPr>
      <w:r w:rsidRPr="009202BD">
        <w:rPr>
          <w:rFonts w:eastAsiaTheme="minorHAnsi"/>
          <w:color w:val="000000"/>
          <w:sz w:val="20"/>
          <w:szCs w:val="20"/>
        </w:rPr>
        <w:t>A</w:t>
      </w:r>
      <w:r w:rsidR="007E0FEC" w:rsidRPr="009202BD">
        <w:rPr>
          <w:rFonts w:eastAsiaTheme="minorHAnsi"/>
          <w:color w:val="000000"/>
          <w:sz w:val="20"/>
          <w:szCs w:val="20"/>
        </w:rPr>
        <w:t>nother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application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neutralization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toxins.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shown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IgGs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isolated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from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serum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immunized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dromedary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neutralize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toxins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scorpion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i/>
          <w:iCs/>
          <w:color w:val="000000"/>
          <w:sz w:val="20"/>
          <w:szCs w:val="20"/>
        </w:rPr>
        <w:t>Androctonus</w:t>
      </w:r>
      <w:r w:rsidR="00AD6CC7"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i/>
          <w:iCs/>
          <w:color w:val="000000"/>
          <w:sz w:val="20"/>
          <w:szCs w:val="20"/>
        </w:rPr>
        <w:t>australis</w:t>
      </w:r>
      <w:r w:rsidR="00AD6CC7"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[80</w:t>
      </w:r>
      <w:r w:rsidR="007E0FEC" w:rsidRPr="009202BD">
        <w:rPr>
          <w:rFonts w:eastAsiaTheme="minorHAnsi"/>
          <w:color w:val="000000"/>
          <w:sz w:val="20"/>
          <w:szCs w:val="20"/>
        </w:rPr>
        <w:t>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recognizing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most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impo</w:t>
      </w:r>
      <w:r w:rsidR="006B38A0" w:rsidRPr="009202BD">
        <w:rPr>
          <w:rFonts w:eastAsiaTheme="minorHAnsi"/>
          <w:color w:val="000000"/>
          <w:sz w:val="20"/>
          <w:szCs w:val="20"/>
        </w:rPr>
        <w:t>rtant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toxin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components,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AahII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[29</w:t>
      </w:r>
      <w:r w:rsidR="007E0FEC" w:rsidRPr="009202BD">
        <w:rPr>
          <w:rFonts w:eastAsiaTheme="minorHAnsi"/>
          <w:color w:val="000000"/>
          <w:sz w:val="20"/>
          <w:szCs w:val="20"/>
        </w:rPr>
        <w:t>]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</w:t>
      </w:r>
      <w:r w:rsidR="006B38A0" w:rsidRPr="009202BD">
        <w:rPr>
          <w:rFonts w:eastAsiaTheme="minorHAnsi"/>
          <w:color w:val="000000"/>
          <w:sz w:val="20"/>
          <w:szCs w:val="20"/>
        </w:rPr>
        <w:t>ahI’,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have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also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been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obtained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[29,65</w:t>
      </w:r>
      <w:r w:rsidR="007E0FEC" w:rsidRPr="009202BD">
        <w:rPr>
          <w:rFonts w:eastAsiaTheme="minorHAnsi"/>
          <w:color w:val="000000"/>
          <w:sz w:val="20"/>
          <w:szCs w:val="20"/>
        </w:rPr>
        <w:t>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Furthermore,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shown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bivalent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consisting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two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identical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anti-AahI’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domains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linked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together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bispecific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containing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anti-AahI’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anti-AahII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neutralize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scorpion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toxins.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additional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advantage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such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constructs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higher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molecular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mass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increases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their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blood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circulation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time.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Such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bivalent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bispecific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antibody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produced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bacteria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reliable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alternative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currently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h</w:t>
      </w:r>
      <w:r w:rsidR="006B38A0" w:rsidRPr="009202BD">
        <w:rPr>
          <w:rFonts w:eastAsiaTheme="minorHAnsi"/>
          <w:color w:val="000000"/>
          <w:sz w:val="20"/>
          <w:szCs w:val="20"/>
        </w:rPr>
        <w:t>orse-derived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Fab’2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fragments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[66</w:t>
      </w:r>
      <w:r w:rsidR="007E0FEC" w:rsidRPr="009202BD">
        <w:rPr>
          <w:rFonts w:eastAsiaTheme="minorHAnsi"/>
          <w:color w:val="000000"/>
          <w:sz w:val="20"/>
          <w:szCs w:val="20"/>
        </w:rPr>
        <w:t>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inhibits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enzymatic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activity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botulinum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lastRenderedPageBreak/>
        <w:t>neuroto</w:t>
      </w:r>
      <w:r w:rsidR="007E0FEC" w:rsidRPr="009202BD">
        <w:rPr>
          <w:rFonts w:eastAsiaTheme="minorHAnsi"/>
          <w:color w:val="000000"/>
          <w:sz w:val="20"/>
          <w:szCs w:val="20"/>
        </w:rPr>
        <w:softHyphen/>
        <w:t>xin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has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also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been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described,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suggested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may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treat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7E0FEC" w:rsidRPr="009202BD">
        <w:rPr>
          <w:rFonts w:eastAsiaTheme="minorHAnsi"/>
          <w:color w:val="000000"/>
          <w:sz w:val="20"/>
          <w:szCs w:val="20"/>
        </w:rPr>
        <w:t>patient</w:t>
      </w:r>
      <w:r w:rsidR="006B38A0" w:rsidRPr="009202BD">
        <w:rPr>
          <w:rFonts w:eastAsiaTheme="minorHAnsi"/>
          <w:color w:val="000000"/>
          <w:sz w:val="20"/>
          <w:szCs w:val="20"/>
        </w:rPr>
        <w:t>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poisoned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by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botulinum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toxin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B38A0" w:rsidRPr="009202BD">
        <w:rPr>
          <w:rFonts w:eastAsiaTheme="minorHAnsi"/>
          <w:color w:val="000000"/>
          <w:sz w:val="20"/>
          <w:szCs w:val="20"/>
        </w:rPr>
        <w:t>[37,51</w:t>
      </w:r>
      <w:r w:rsidR="007E0FEC" w:rsidRPr="009202BD">
        <w:rPr>
          <w:rFonts w:eastAsiaTheme="minorHAnsi"/>
          <w:color w:val="000000"/>
          <w:sz w:val="20"/>
          <w:szCs w:val="20"/>
        </w:rPr>
        <w:t>].</w:t>
      </w:r>
    </w:p>
    <w:p w:rsidR="009202BD" w:rsidRPr="009202BD" w:rsidRDefault="007E0FEC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Infectious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diseases</w:t>
      </w:r>
      <w:r w:rsidR="009F7A31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9202BD" w:rsidRPr="009202BD" w:rsidRDefault="009202BD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also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being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tested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therapy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disease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caused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protozoa,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trypanosomiasis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(e.g.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sleeping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sickness)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caused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parasites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1E2F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Trypanosome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genus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outer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surface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parasite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covered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hypervariable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prote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ins,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obtaining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recognize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proteins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difficult.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VHHs,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however,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due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small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size,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access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more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conserved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epitopes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located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deeper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der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surface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parasite.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lin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ked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b-lactamase,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convert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pro-drug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ac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drug,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might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therapy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sleeping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sickness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[103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therapy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based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trypanolytic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factor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human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serum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also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proposed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[32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Finally,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nanobody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se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trypanolytic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interacting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parasite,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despite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missing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fragment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(w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mediates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ADCC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function)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[104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Another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example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inhibit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invasion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protozoa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recognizing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Duffy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antigen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receptor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chemokines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(DARC)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human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erythrocytes.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inhibit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binding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Plasmodium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vivax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blood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cells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[71].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inhibit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bacterial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viral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infec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tions.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example,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recognizing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b-lactamase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hibit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enzyme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function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increase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bacterial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sensitivity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b-lactam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antibiotics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administered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together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antibiotic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[8].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recognizing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proteins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involved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HIV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infections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block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HIV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infection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thus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0FEC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considered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prospective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drugs.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These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prote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envelope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gp120,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involved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cognition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CD4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antigen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[54,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73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],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human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CXCR4,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co-receptor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irus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entry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into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CD4+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T-cells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[72,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73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8C7C23" w:rsidRPr="009202BD" w:rsidRDefault="009202BD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recognizing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other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viruses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also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obtained.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example,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against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caps</w:t>
      </w:r>
      <w:r w:rsidR="00765AA3" w:rsidRPr="009202BD">
        <w:rPr>
          <w:rFonts w:ascii="Times New Roman" w:hAnsi="Times New Roman" w:cs="Times New Roman"/>
          <w:color w:val="000000"/>
          <w:sz w:val="20"/>
          <w:szCs w:val="20"/>
        </w:rPr>
        <w:t>id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65AA3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65AA3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65AA3" w:rsidRPr="009202BD">
        <w:rPr>
          <w:rFonts w:ascii="Times New Roman" w:hAnsi="Times New Roman" w:cs="Times New Roman"/>
          <w:color w:val="000000"/>
          <w:sz w:val="20"/>
          <w:szCs w:val="20"/>
        </w:rPr>
        <w:t>hepatitis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65AA3" w:rsidRPr="009202BD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65AA3" w:rsidRPr="009202BD">
        <w:rPr>
          <w:rFonts w:ascii="Times New Roman" w:hAnsi="Times New Roman" w:cs="Times New Roman"/>
          <w:color w:val="000000"/>
          <w:sz w:val="20"/>
          <w:szCs w:val="20"/>
        </w:rPr>
        <w:t>virus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involved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secretion,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bind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vitro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vivo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nhi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bit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release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virus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[96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also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recognizing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rotavirus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provide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cheap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efficient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tection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pigs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against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infections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secreted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chored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bacteria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belonging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Lactobacilli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strains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added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chow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fed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animals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[87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Recently,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recognizes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native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M2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channel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influenza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inhibit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replication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influenza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viruses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vitro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block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proton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influx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through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M2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channels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protect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mice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lethal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influenza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challenge.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broad-specificity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provide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potential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protec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against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variants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sub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types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influenza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viruses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[111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binds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H5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hemagglutinin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reduce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viral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lastRenderedPageBreak/>
        <w:t>replication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H5N1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influenza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virus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mice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signi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ficantly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delay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time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death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B91" w:rsidRPr="009202BD">
        <w:rPr>
          <w:rFonts w:ascii="Times New Roman" w:hAnsi="Times New Roman" w:cs="Times New Roman"/>
          <w:color w:val="000000"/>
          <w:sz w:val="20"/>
          <w:szCs w:val="20"/>
        </w:rPr>
        <w:t>[69</w:t>
      </w:r>
      <w:r w:rsidR="008C7C23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9202BD" w:rsidRPr="009202BD" w:rsidRDefault="008C7C23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9202BD">
        <w:rPr>
          <w:color w:val="000000"/>
          <w:sz w:val="20"/>
          <w:szCs w:val="20"/>
        </w:rPr>
        <w:t>VHHs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recognizing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tail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infectious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phages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were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also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shown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to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protect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i/>
          <w:iCs/>
          <w:color w:val="000000"/>
          <w:sz w:val="20"/>
          <w:szCs w:val="20"/>
        </w:rPr>
        <w:t>Lactococcus</w:t>
      </w:r>
      <w:r w:rsidR="00AD6CC7">
        <w:rPr>
          <w:i/>
          <w:iCs/>
          <w:color w:val="000000"/>
          <w:sz w:val="20"/>
          <w:szCs w:val="20"/>
        </w:rPr>
        <w:t xml:space="preserve"> </w:t>
      </w:r>
      <w:r w:rsidRPr="009202BD">
        <w:rPr>
          <w:i/>
          <w:iCs/>
          <w:color w:val="000000"/>
          <w:sz w:val="20"/>
          <w:szCs w:val="20"/>
        </w:rPr>
        <w:t>bacteria</w:t>
      </w:r>
      <w:r w:rsidRPr="009202BD">
        <w:rPr>
          <w:color w:val="000000"/>
          <w:sz w:val="20"/>
          <w:szCs w:val="20"/>
        </w:rPr>
        <w:t>,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strains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which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are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important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in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dairy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industry,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ag</w:t>
      </w:r>
      <w:r w:rsidR="00C86B91" w:rsidRPr="009202BD">
        <w:rPr>
          <w:color w:val="000000"/>
          <w:sz w:val="20"/>
          <w:szCs w:val="20"/>
        </w:rPr>
        <w:t>ainst</w:t>
      </w:r>
      <w:r w:rsidR="00AD6CC7">
        <w:rPr>
          <w:color w:val="000000"/>
          <w:sz w:val="20"/>
          <w:szCs w:val="20"/>
        </w:rPr>
        <w:t xml:space="preserve"> </w:t>
      </w:r>
      <w:r w:rsidR="00C86B91" w:rsidRPr="009202BD">
        <w:rPr>
          <w:color w:val="000000"/>
          <w:sz w:val="20"/>
          <w:szCs w:val="20"/>
        </w:rPr>
        <w:t>infection</w:t>
      </w:r>
      <w:r w:rsidR="00AD6CC7">
        <w:rPr>
          <w:color w:val="000000"/>
          <w:sz w:val="20"/>
          <w:szCs w:val="20"/>
        </w:rPr>
        <w:t xml:space="preserve"> </w:t>
      </w:r>
      <w:r w:rsidR="00C86B91" w:rsidRPr="009202BD">
        <w:rPr>
          <w:color w:val="000000"/>
          <w:sz w:val="20"/>
          <w:szCs w:val="20"/>
        </w:rPr>
        <w:t>by</w:t>
      </w:r>
      <w:r w:rsidR="00AD6CC7">
        <w:rPr>
          <w:color w:val="000000"/>
          <w:sz w:val="20"/>
          <w:szCs w:val="20"/>
        </w:rPr>
        <w:t xml:space="preserve"> </w:t>
      </w:r>
      <w:r w:rsidR="00C86B91" w:rsidRPr="009202BD">
        <w:rPr>
          <w:color w:val="000000"/>
          <w:sz w:val="20"/>
          <w:szCs w:val="20"/>
        </w:rPr>
        <w:t>phages</w:t>
      </w:r>
      <w:r w:rsidR="00AD6CC7">
        <w:rPr>
          <w:color w:val="000000"/>
          <w:sz w:val="20"/>
          <w:szCs w:val="20"/>
        </w:rPr>
        <w:t xml:space="preserve"> </w:t>
      </w:r>
      <w:r w:rsidR="00C86B91" w:rsidRPr="009202BD">
        <w:rPr>
          <w:color w:val="000000"/>
          <w:sz w:val="20"/>
          <w:szCs w:val="20"/>
        </w:rPr>
        <w:t>[15,77</w:t>
      </w:r>
      <w:r w:rsidRPr="009202BD">
        <w:rPr>
          <w:color w:val="000000"/>
          <w:sz w:val="20"/>
          <w:szCs w:val="20"/>
        </w:rPr>
        <w:t>].</w:t>
      </w:r>
      <w:r w:rsidR="00AD6CC7">
        <w:rPr>
          <w:color w:val="000000"/>
          <w:sz w:val="20"/>
          <w:szCs w:val="20"/>
        </w:rPr>
        <w:t xml:space="preserve"> </w:t>
      </w:r>
    </w:p>
    <w:p w:rsidR="007E0FEC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9202BD">
        <w:rPr>
          <w:color w:val="000000"/>
          <w:sz w:val="20"/>
          <w:szCs w:val="20"/>
        </w:rPr>
        <w:t>F</w:t>
      </w:r>
      <w:r w:rsidR="004010FB" w:rsidRPr="009202BD">
        <w:rPr>
          <w:color w:val="000000"/>
          <w:sz w:val="20"/>
          <w:szCs w:val="20"/>
        </w:rPr>
        <w:t>inally,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an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unusual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application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VHHs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is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anti-dandruff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shampoo.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Dolk’s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group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showed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that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it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is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possible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to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ob</w:t>
      </w:r>
      <w:r w:rsidR="004010FB" w:rsidRPr="009202BD">
        <w:rPr>
          <w:color w:val="000000"/>
          <w:sz w:val="20"/>
          <w:szCs w:val="20"/>
        </w:rPr>
        <w:softHyphen/>
        <w:t>tain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VHHs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that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are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active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even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in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high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concentration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surfactants.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They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obtained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VHH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recognizing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surface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protein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i/>
          <w:iCs/>
          <w:color w:val="000000"/>
          <w:sz w:val="20"/>
          <w:szCs w:val="20"/>
        </w:rPr>
        <w:t>Malassezia</w:t>
      </w:r>
      <w:r w:rsidR="00AD6CC7">
        <w:rPr>
          <w:i/>
          <w:iCs/>
          <w:color w:val="000000"/>
          <w:sz w:val="20"/>
          <w:szCs w:val="20"/>
        </w:rPr>
        <w:t xml:space="preserve"> </w:t>
      </w:r>
      <w:r w:rsidR="004010FB" w:rsidRPr="009202BD">
        <w:rPr>
          <w:i/>
          <w:iCs/>
          <w:color w:val="000000"/>
          <w:sz w:val="20"/>
          <w:szCs w:val="20"/>
        </w:rPr>
        <w:t>furfur</w:t>
      </w:r>
      <w:r w:rsidR="004010FB" w:rsidRPr="009202BD">
        <w:rPr>
          <w:color w:val="000000"/>
          <w:sz w:val="20"/>
          <w:szCs w:val="20"/>
        </w:rPr>
        <w:t>,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microorganism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implicated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in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dandruff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formation,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and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suggested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that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such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an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antibody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may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reduce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number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i/>
          <w:iCs/>
          <w:color w:val="000000"/>
          <w:sz w:val="20"/>
          <w:szCs w:val="20"/>
        </w:rPr>
        <w:t>M.</w:t>
      </w:r>
      <w:r w:rsidR="00AD6CC7">
        <w:rPr>
          <w:i/>
          <w:iCs/>
          <w:color w:val="000000"/>
          <w:sz w:val="20"/>
          <w:szCs w:val="20"/>
        </w:rPr>
        <w:t xml:space="preserve"> </w:t>
      </w:r>
      <w:r w:rsidR="004010FB" w:rsidRPr="009202BD">
        <w:rPr>
          <w:i/>
          <w:iCs/>
          <w:color w:val="000000"/>
          <w:sz w:val="20"/>
          <w:szCs w:val="20"/>
        </w:rPr>
        <w:t>furfur</w:t>
      </w:r>
      <w:r w:rsidR="00AD6CC7">
        <w:rPr>
          <w:i/>
          <w:iCs/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and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serve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as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carrier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of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therapeutic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agent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if</w:t>
      </w:r>
      <w:r w:rsidR="00AD6CC7">
        <w:rPr>
          <w:color w:val="000000"/>
          <w:sz w:val="20"/>
          <w:szCs w:val="20"/>
        </w:rPr>
        <w:t xml:space="preserve"> </w:t>
      </w:r>
      <w:r w:rsidR="004010FB" w:rsidRPr="009202BD">
        <w:rPr>
          <w:color w:val="000000"/>
          <w:sz w:val="20"/>
          <w:szCs w:val="20"/>
        </w:rPr>
        <w:t>u</w:t>
      </w:r>
      <w:r w:rsidR="00C86B91" w:rsidRPr="009202BD">
        <w:rPr>
          <w:color w:val="000000"/>
          <w:sz w:val="20"/>
          <w:szCs w:val="20"/>
        </w:rPr>
        <w:t>sed</w:t>
      </w:r>
      <w:r w:rsidR="00AD6CC7">
        <w:rPr>
          <w:color w:val="000000"/>
          <w:sz w:val="20"/>
          <w:szCs w:val="20"/>
        </w:rPr>
        <w:t xml:space="preserve"> </w:t>
      </w:r>
      <w:r w:rsidR="00C86B91" w:rsidRPr="009202BD">
        <w:rPr>
          <w:color w:val="000000"/>
          <w:sz w:val="20"/>
          <w:szCs w:val="20"/>
        </w:rPr>
        <w:t>as</w:t>
      </w:r>
      <w:r w:rsidR="00AD6CC7">
        <w:rPr>
          <w:color w:val="000000"/>
          <w:sz w:val="20"/>
          <w:szCs w:val="20"/>
        </w:rPr>
        <w:t xml:space="preserve"> </w:t>
      </w:r>
      <w:r w:rsidR="00C86B91"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C86B91" w:rsidRPr="009202BD">
        <w:rPr>
          <w:color w:val="000000"/>
          <w:sz w:val="20"/>
          <w:szCs w:val="20"/>
        </w:rPr>
        <w:t>shampoo</w:t>
      </w:r>
      <w:r w:rsidR="00AD6CC7">
        <w:rPr>
          <w:color w:val="000000"/>
          <w:sz w:val="20"/>
          <w:szCs w:val="20"/>
        </w:rPr>
        <w:t xml:space="preserve"> </w:t>
      </w:r>
      <w:r w:rsidR="00C86B91" w:rsidRPr="009202BD">
        <w:rPr>
          <w:color w:val="000000"/>
          <w:sz w:val="20"/>
          <w:szCs w:val="20"/>
        </w:rPr>
        <w:t>ingredient</w:t>
      </w:r>
      <w:r w:rsidR="00AD6CC7">
        <w:rPr>
          <w:color w:val="000000"/>
          <w:sz w:val="20"/>
          <w:szCs w:val="20"/>
        </w:rPr>
        <w:t xml:space="preserve"> </w:t>
      </w:r>
      <w:r w:rsidR="00C86B91" w:rsidRPr="009202BD">
        <w:rPr>
          <w:color w:val="000000"/>
          <w:sz w:val="20"/>
          <w:szCs w:val="20"/>
        </w:rPr>
        <w:t>[50].</w:t>
      </w:r>
    </w:p>
    <w:p w:rsidR="003B66DD" w:rsidRPr="009202BD" w:rsidRDefault="00E208A7" w:rsidP="00AD6CC7">
      <w:pPr>
        <w:pStyle w:val="NormalWeb"/>
        <w:snapToGrid w:val="0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9202BD">
        <w:rPr>
          <w:b/>
          <w:bCs/>
          <w:color w:val="000000"/>
          <w:sz w:val="20"/>
          <w:szCs w:val="20"/>
        </w:rPr>
        <w:t>B.</w:t>
      </w:r>
      <w:r w:rsidR="00AD6CC7">
        <w:rPr>
          <w:b/>
          <w:bCs/>
          <w:color w:val="000000"/>
          <w:sz w:val="20"/>
          <w:szCs w:val="20"/>
        </w:rPr>
        <w:t xml:space="preserve"> </w:t>
      </w:r>
      <w:r w:rsidR="003B66DD" w:rsidRPr="009202BD">
        <w:rPr>
          <w:b/>
          <w:bCs/>
          <w:color w:val="000000"/>
          <w:sz w:val="20"/>
          <w:szCs w:val="20"/>
        </w:rPr>
        <w:t>Applications</w:t>
      </w:r>
      <w:r w:rsidR="00AD6CC7">
        <w:rPr>
          <w:b/>
          <w:bCs/>
          <w:color w:val="000000"/>
          <w:sz w:val="20"/>
          <w:szCs w:val="20"/>
        </w:rPr>
        <w:t xml:space="preserve"> </w:t>
      </w:r>
      <w:r w:rsidR="003B66DD" w:rsidRPr="009202BD">
        <w:rPr>
          <w:b/>
          <w:bCs/>
          <w:color w:val="000000"/>
          <w:sz w:val="20"/>
          <w:szCs w:val="20"/>
        </w:rPr>
        <w:t>of</w:t>
      </w:r>
      <w:r w:rsidR="00AD6CC7">
        <w:rPr>
          <w:b/>
          <w:bCs/>
          <w:color w:val="000000"/>
          <w:sz w:val="20"/>
          <w:szCs w:val="20"/>
        </w:rPr>
        <w:t xml:space="preserve"> </w:t>
      </w:r>
      <w:r w:rsidR="003B66DD" w:rsidRPr="009202BD">
        <w:rPr>
          <w:b/>
          <w:bCs/>
          <w:color w:val="000000"/>
          <w:sz w:val="20"/>
          <w:szCs w:val="20"/>
        </w:rPr>
        <w:t>VHHs</w:t>
      </w:r>
      <w:r w:rsidR="00AD6CC7">
        <w:rPr>
          <w:b/>
          <w:bCs/>
          <w:color w:val="000000"/>
          <w:sz w:val="20"/>
          <w:szCs w:val="20"/>
        </w:rPr>
        <w:t xml:space="preserve"> </w:t>
      </w:r>
      <w:r w:rsidR="003B66DD" w:rsidRPr="009202BD">
        <w:rPr>
          <w:b/>
          <w:bCs/>
          <w:color w:val="000000"/>
          <w:sz w:val="20"/>
          <w:szCs w:val="20"/>
        </w:rPr>
        <w:t>in</w:t>
      </w:r>
      <w:r w:rsidR="00AD6CC7">
        <w:rPr>
          <w:b/>
          <w:bCs/>
          <w:color w:val="000000"/>
          <w:sz w:val="20"/>
          <w:szCs w:val="20"/>
        </w:rPr>
        <w:t xml:space="preserve"> </w:t>
      </w:r>
      <w:r w:rsidR="003B66DD" w:rsidRPr="009202BD">
        <w:rPr>
          <w:b/>
          <w:bCs/>
          <w:color w:val="000000"/>
          <w:sz w:val="20"/>
          <w:szCs w:val="20"/>
        </w:rPr>
        <w:t>diagnostics</w:t>
      </w:r>
      <w:r w:rsidR="00AD6CC7">
        <w:rPr>
          <w:b/>
          <w:bCs/>
          <w:color w:val="000000"/>
          <w:sz w:val="20"/>
          <w:szCs w:val="20"/>
        </w:rPr>
        <w:t xml:space="preserve"> </w:t>
      </w:r>
      <w:r w:rsidR="003B66DD" w:rsidRPr="009202BD">
        <w:rPr>
          <w:b/>
          <w:bCs/>
          <w:color w:val="000000"/>
          <w:sz w:val="20"/>
          <w:szCs w:val="20"/>
        </w:rPr>
        <w:t>and</w:t>
      </w:r>
      <w:r w:rsidR="00AD6CC7">
        <w:rPr>
          <w:b/>
          <w:bCs/>
          <w:color w:val="000000"/>
          <w:sz w:val="20"/>
          <w:szCs w:val="20"/>
        </w:rPr>
        <w:t xml:space="preserve"> </w:t>
      </w:r>
      <w:r w:rsidR="003B66DD" w:rsidRPr="009202BD">
        <w:rPr>
          <w:b/>
          <w:bCs/>
          <w:color w:val="000000"/>
          <w:sz w:val="20"/>
          <w:szCs w:val="20"/>
        </w:rPr>
        <w:t>biotechnology:</w:t>
      </w:r>
    </w:p>
    <w:p w:rsidR="009202BD" w:rsidRPr="009202BD" w:rsidRDefault="003B66DD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Imaging</w:t>
      </w:r>
      <w:r w:rsidR="009F7A31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3B66DD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rFonts w:eastAsiaTheme="minorHAnsi"/>
          <w:color w:val="000000"/>
          <w:sz w:val="20"/>
          <w:szCs w:val="20"/>
        </w:rPr>
      </w:pPr>
      <w:r w:rsidRPr="009202BD">
        <w:rPr>
          <w:rFonts w:eastAsiaTheme="minorHAnsi"/>
          <w:color w:val="000000"/>
          <w:sz w:val="20"/>
          <w:szCs w:val="20"/>
        </w:rPr>
        <w:t>D</w:t>
      </w:r>
      <w:r w:rsidR="003B66DD" w:rsidRPr="009202BD">
        <w:rPr>
          <w:rFonts w:eastAsiaTheme="minorHAnsi"/>
          <w:color w:val="000000"/>
          <w:sz w:val="20"/>
          <w:szCs w:val="20"/>
        </w:rPr>
        <w:t>ue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their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small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size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high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affinity,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are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being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increasingly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applications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such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biotechnology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diagnostics.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particular,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have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all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properties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perfect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imaging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tool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because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they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easily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penetrate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tissues,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accessing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also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cryptic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antigens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(e.g.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located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behind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blood-brain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barrier),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bind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antigens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high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af</w:t>
      </w:r>
      <w:r w:rsidR="003B66DD" w:rsidRPr="009202BD">
        <w:rPr>
          <w:rFonts w:eastAsiaTheme="minorHAnsi"/>
          <w:color w:val="000000"/>
          <w:sz w:val="20"/>
          <w:szCs w:val="20"/>
        </w:rPr>
        <w:softHyphen/>
        <w:t>finity.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Several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showing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such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activity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have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been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de</w:t>
      </w:r>
      <w:r w:rsidR="003B66DD" w:rsidRPr="009202BD">
        <w:rPr>
          <w:rFonts w:eastAsiaTheme="minorHAnsi"/>
          <w:color w:val="000000"/>
          <w:sz w:val="20"/>
          <w:szCs w:val="20"/>
        </w:rPr>
        <w:softHyphen/>
        <w:t>scribed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far;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e.g.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recognizing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epidermal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growth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factor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receptor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(EGFR),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antigen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overexpressed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surface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many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tumors,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shown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bind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EGFR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biop</w:t>
      </w:r>
      <w:r w:rsidR="003B66DD" w:rsidRPr="009202BD">
        <w:rPr>
          <w:rFonts w:eastAsiaTheme="minorHAnsi"/>
          <w:color w:val="000000"/>
          <w:sz w:val="20"/>
          <w:szCs w:val="20"/>
        </w:rPr>
        <w:softHyphen/>
        <w:t>sy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samples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and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i/>
          <w:iCs/>
          <w:color w:val="000000"/>
          <w:sz w:val="20"/>
          <w:szCs w:val="20"/>
        </w:rPr>
        <w:t>in</w:t>
      </w:r>
      <w:r w:rsidR="00AD6CC7"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i/>
          <w:iCs/>
          <w:color w:val="000000"/>
          <w:sz w:val="20"/>
          <w:szCs w:val="20"/>
        </w:rPr>
        <w:t>vivo</w:t>
      </w:r>
      <w:r w:rsidR="00AD6CC7"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 w:rsidR="0061177E" w:rsidRPr="009202BD">
        <w:rPr>
          <w:rFonts w:eastAsiaTheme="minorHAnsi"/>
          <w:color w:val="000000"/>
          <w:sz w:val="20"/>
          <w:szCs w:val="20"/>
        </w:rPr>
        <w:t>[34,57,67</w:t>
      </w:r>
      <w:r w:rsidR="003B66DD" w:rsidRPr="009202BD">
        <w:rPr>
          <w:rFonts w:eastAsiaTheme="minorHAnsi"/>
          <w:color w:val="000000"/>
          <w:sz w:val="20"/>
          <w:szCs w:val="20"/>
        </w:rPr>
        <w:t>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main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disadvantage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imaging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tools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their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relatively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high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renal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upta</w:t>
      </w:r>
      <w:r w:rsidR="003B66DD" w:rsidRPr="009202BD">
        <w:rPr>
          <w:rFonts w:eastAsiaTheme="minorHAnsi"/>
          <w:color w:val="000000"/>
          <w:sz w:val="20"/>
          <w:szCs w:val="20"/>
        </w:rPr>
        <w:softHyphen/>
        <w:t>ke.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retention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kidneys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shown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de</w:t>
      </w:r>
      <w:r w:rsidR="003B66DD" w:rsidRPr="009202BD">
        <w:rPr>
          <w:rFonts w:eastAsiaTheme="minorHAnsi"/>
          <w:color w:val="000000"/>
          <w:sz w:val="20"/>
          <w:szCs w:val="20"/>
        </w:rPr>
        <w:softHyphen/>
        <w:t>pendent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megalin,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receptor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involved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re-absorption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proteins,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but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avenues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are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being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explored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decrease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in</w:t>
      </w:r>
      <w:r w:rsidR="003B66DD" w:rsidRPr="009202BD">
        <w:rPr>
          <w:rFonts w:eastAsiaTheme="minorHAnsi"/>
          <w:color w:val="000000"/>
          <w:sz w:val="20"/>
          <w:szCs w:val="20"/>
        </w:rPr>
        <w:softHyphen/>
        <w:t>teractions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megalin-mediated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renal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B66DD" w:rsidRPr="009202BD">
        <w:rPr>
          <w:rFonts w:eastAsiaTheme="minorHAnsi"/>
          <w:color w:val="000000"/>
          <w:sz w:val="20"/>
          <w:szCs w:val="20"/>
        </w:rPr>
        <w:t>i</w:t>
      </w:r>
      <w:r w:rsidR="0061177E" w:rsidRPr="009202BD">
        <w:rPr>
          <w:rFonts w:eastAsiaTheme="minorHAnsi"/>
          <w:color w:val="000000"/>
          <w:sz w:val="20"/>
          <w:szCs w:val="20"/>
        </w:rPr>
        <w:t>ntake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61177E" w:rsidRPr="009202BD">
        <w:rPr>
          <w:rFonts w:eastAsiaTheme="minorHAnsi"/>
          <w:color w:val="000000"/>
          <w:sz w:val="20"/>
          <w:szCs w:val="20"/>
        </w:rPr>
        <w:t>[56</w:t>
      </w:r>
      <w:r w:rsidR="003B66DD" w:rsidRPr="009202BD">
        <w:rPr>
          <w:rFonts w:eastAsiaTheme="minorHAnsi"/>
          <w:color w:val="000000"/>
          <w:sz w:val="20"/>
          <w:szCs w:val="20"/>
        </w:rPr>
        <w:t>].</w:t>
      </w:r>
    </w:p>
    <w:p w:rsidR="009202BD" w:rsidRPr="009202BD" w:rsidRDefault="003B66DD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Diagnostics</w:t>
      </w:r>
      <w:r w:rsidR="009F7A31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3D195C" w:rsidRPr="009202BD" w:rsidRDefault="009202BD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shown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pass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blood-brain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barrier,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most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probably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transcytosis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[30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];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however,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due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6DD" w:rsidRPr="009202BD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small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rapidly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cleared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blood.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Possible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ways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overcome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problem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preparing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multi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valent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(bivalent,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pentavalent)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fusin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human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Fc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fragments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[70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latter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seems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better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option,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since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longer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half-life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better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tumor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penetration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ability.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pass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through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blood-brain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barrier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recognize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oligomeric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forms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amyloid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described;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suggested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diag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nosis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Alzheimer’s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disease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1CE7" w:rsidRPr="009202BD">
        <w:rPr>
          <w:rFonts w:ascii="Times New Roman" w:hAnsi="Times New Roman" w:cs="Times New Roman"/>
          <w:color w:val="000000"/>
          <w:sz w:val="20"/>
          <w:szCs w:val="20"/>
        </w:rPr>
        <w:t>[75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3B66DD" w:rsidRPr="009202BD" w:rsidRDefault="003D195C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9202BD">
        <w:rPr>
          <w:color w:val="000000"/>
          <w:sz w:val="20"/>
          <w:szCs w:val="20"/>
        </w:rPr>
        <w:t>VHHs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can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also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be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used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for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intracellular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imaging: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VHH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fused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to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green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fluorescent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protein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(GFP),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and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called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a</w:t>
      </w:r>
      <w:r w:rsidR="00AD6CC7">
        <w:rPr>
          <w:color w:val="000000"/>
          <w:sz w:val="20"/>
          <w:szCs w:val="20"/>
        </w:rPr>
        <w:t xml:space="preserve"> </w:t>
      </w:r>
      <w:r w:rsidR="00522A5C">
        <w:rPr>
          <w:color w:val="000000"/>
          <w:sz w:val="20"/>
          <w:szCs w:val="20"/>
        </w:rPr>
        <w:t>chro</w:t>
      </w:r>
      <w:r w:rsidRPr="009202BD">
        <w:rPr>
          <w:color w:val="000000"/>
          <w:sz w:val="20"/>
          <w:szCs w:val="20"/>
        </w:rPr>
        <w:t>mobody,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can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serve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as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an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imaging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tool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if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expressed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in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the</w:t>
      </w:r>
      <w:r w:rsidR="00AD6CC7">
        <w:rPr>
          <w:color w:val="000000"/>
          <w:sz w:val="20"/>
          <w:szCs w:val="20"/>
        </w:rPr>
        <w:t xml:space="preserve"> </w:t>
      </w:r>
      <w:r w:rsidRPr="009202BD">
        <w:rPr>
          <w:color w:val="000000"/>
          <w:sz w:val="20"/>
          <w:szCs w:val="20"/>
        </w:rPr>
        <w:t>intracellul</w:t>
      </w:r>
      <w:r w:rsidR="00931CE7" w:rsidRPr="009202BD">
        <w:rPr>
          <w:color w:val="000000"/>
          <w:sz w:val="20"/>
          <w:szCs w:val="20"/>
        </w:rPr>
        <w:t>ar</w:t>
      </w:r>
      <w:r w:rsidR="00AD6CC7">
        <w:rPr>
          <w:color w:val="000000"/>
          <w:sz w:val="20"/>
          <w:szCs w:val="20"/>
        </w:rPr>
        <w:t xml:space="preserve"> </w:t>
      </w:r>
      <w:r w:rsidR="00931CE7" w:rsidRPr="009202BD">
        <w:rPr>
          <w:color w:val="000000"/>
          <w:sz w:val="20"/>
          <w:szCs w:val="20"/>
        </w:rPr>
        <w:t>compartment</w:t>
      </w:r>
      <w:r w:rsidR="00AD6CC7">
        <w:rPr>
          <w:color w:val="000000"/>
          <w:sz w:val="20"/>
          <w:szCs w:val="20"/>
        </w:rPr>
        <w:t xml:space="preserve"> </w:t>
      </w:r>
      <w:r w:rsidR="00931CE7" w:rsidRPr="009202BD">
        <w:rPr>
          <w:color w:val="000000"/>
          <w:sz w:val="20"/>
          <w:szCs w:val="20"/>
        </w:rPr>
        <w:t>in</w:t>
      </w:r>
      <w:r w:rsidR="00AD6CC7">
        <w:rPr>
          <w:color w:val="000000"/>
          <w:sz w:val="20"/>
          <w:szCs w:val="20"/>
        </w:rPr>
        <w:t xml:space="preserve"> </w:t>
      </w:r>
      <w:r w:rsidR="00931CE7" w:rsidRPr="009202BD">
        <w:rPr>
          <w:color w:val="000000"/>
          <w:sz w:val="20"/>
          <w:szCs w:val="20"/>
        </w:rPr>
        <w:t>cell</w:t>
      </w:r>
      <w:r w:rsidR="00AD6CC7">
        <w:rPr>
          <w:color w:val="000000"/>
          <w:sz w:val="20"/>
          <w:szCs w:val="20"/>
        </w:rPr>
        <w:t xml:space="preserve"> </w:t>
      </w:r>
      <w:r w:rsidR="00931CE7" w:rsidRPr="009202BD">
        <w:rPr>
          <w:color w:val="000000"/>
          <w:sz w:val="20"/>
          <w:szCs w:val="20"/>
        </w:rPr>
        <w:t>lines</w:t>
      </w:r>
      <w:r w:rsidR="00AD6CC7">
        <w:rPr>
          <w:color w:val="000000"/>
          <w:sz w:val="20"/>
          <w:szCs w:val="20"/>
        </w:rPr>
        <w:t xml:space="preserve"> </w:t>
      </w:r>
      <w:r w:rsidR="00931CE7" w:rsidRPr="009202BD">
        <w:rPr>
          <w:color w:val="000000"/>
          <w:sz w:val="20"/>
          <w:szCs w:val="20"/>
        </w:rPr>
        <w:t>[81,93</w:t>
      </w:r>
      <w:r w:rsidRPr="009202BD">
        <w:rPr>
          <w:color w:val="000000"/>
          <w:sz w:val="20"/>
          <w:szCs w:val="20"/>
        </w:rPr>
        <w:t>].</w:t>
      </w:r>
    </w:p>
    <w:p w:rsidR="009202BD" w:rsidRPr="009202BD" w:rsidRDefault="003D195C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3.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purification</w:t>
      </w:r>
      <w:r w:rsidR="009F7A31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3D195C" w:rsidRPr="009202BD" w:rsidRDefault="009202BD" w:rsidP="00AD6CC7">
      <w:pPr>
        <w:pStyle w:val="Pa9"/>
        <w:snapToGrid w:val="0"/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important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application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purification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proteins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affinity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chromatography.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fact,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procedu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res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using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recombinant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derivatives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adapted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use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advantages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easy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expression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2A5C">
        <w:rPr>
          <w:rFonts w:ascii="Times New Roman" w:hAnsi="Times New Roman" w:cs="Times New Roman"/>
          <w:color w:val="000000"/>
          <w:sz w:val="20"/>
          <w:szCs w:val="20"/>
        </w:rPr>
        <w:t>thermostabi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lity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preserved.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Thus,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efficient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tool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purification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proteins: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recognizing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GFP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co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uld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serve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tool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purifi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cation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GFP-fused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proteins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[92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Another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example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nitric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oxide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reductase,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purified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cell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lysate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membrane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fraction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using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spe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cific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His-tagged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nickel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affinity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chromatography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[7].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different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approach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purification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Duffy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antigen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receptor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chemokines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(DARC)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DARC-expressing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K562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cells.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anti-DARC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immobilized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column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using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amine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coupling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chemistry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cell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lysate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applied.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peptide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whose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sequen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softHyphen/>
        <w:t>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same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sequence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recognized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VHH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elute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target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protein,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result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highly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purified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protein</w:t>
      </w:r>
      <w:r w:rsid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BAE" w:rsidRPr="009202BD">
        <w:rPr>
          <w:rFonts w:ascii="Times New Roman" w:hAnsi="Times New Roman" w:cs="Times New Roman"/>
          <w:color w:val="000000"/>
          <w:sz w:val="20"/>
          <w:szCs w:val="20"/>
        </w:rPr>
        <w:t>[99</w:t>
      </w:r>
      <w:r w:rsidR="003D195C" w:rsidRPr="009202BD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9202BD" w:rsidRPr="009202BD" w:rsidRDefault="003D195C" w:rsidP="00AD6CC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</w:t>
      </w:r>
      <w:r w:rsidR="00AD6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Enzymology</w:t>
      </w:r>
      <w:r w:rsidR="009F7A31" w:rsidRPr="009202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3D195C" w:rsidRPr="009202BD" w:rsidRDefault="009202BD" w:rsidP="00AD6CC7">
      <w:pPr>
        <w:pStyle w:val="NormalWeb"/>
        <w:snapToGrid w:val="0"/>
        <w:spacing w:before="0" w:beforeAutospacing="0" w:after="0" w:afterAutospacing="0"/>
        <w:ind w:firstLine="425"/>
        <w:jc w:val="both"/>
        <w:rPr>
          <w:rFonts w:eastAsiaTheme="minorHAnsi"/>
          <w:color w:val="000000"/>
          <w:sz w:val="20"/>
          <w:szCs w:val="20"/>
        </w:rPr>
      </w:pPr>
      <w:r w:rsidRPr="009202BD">
        <w:rPr>
          <w:rFonts w:eastAsiaTheme="minorHAnsi"/>
          <w:color w:val="000000"/>
          <w:sz w:val="20"/>
          <w:szCs w:val="20"/>
        </w:rPr>
        <w:t>R</w:t>
      </w:r>
      <w:r w:rsidR="003D195C" w:rsidRPr="009202BD">
        <w:rPr>
          <w:rFonts w:eastAsiaTheme="minorHAnsi"/>
          <w:color w:val="000000"/>
          <w:sz w:val="20"/>
          <w:szCs w:val="20"/>
        </w:rPr>
        <w:t>ecently,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shown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VHH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library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obtained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after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immunization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enzyme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be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used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obtain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not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only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anti-enzyme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inhibit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enzy</w:t>
      </w:r>
      <w:r w:rsidR="003D195C" w:rsidRPr="009202BD">
        <w:rPr>
          <w:rFonts w:eastAsiaTheme="minorHAnsi"/>
          <w:color w:val="000000"/>
          <w:sz w:val="20"/>
          <w:szCs w:val="20"/>
        </w:rPr>
        <w:softHyphen/>
        <w:t>me,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but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also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anti-idiotypic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catalytic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activity.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Thus,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camel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immunized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alliinase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(</w:t>
      </w:r>
      <w:r w:rsidR="003D195C" w:rsidRPr="009202BD">
        <w:rPr>
          <w:rFonts w:eastAsiaTheme="minorHAnsi"/>
          <w:i/>
          <w:iCs/>
          <w:color w:val="000000"/>
          <w:sz w:val="20"/>
          <w:szCs w:val="20"/>
        </w:rPr>
        <w:t>S</w:t>
      </w:r>
      <w:r w:rsidR="003D195C" w:rsidRPr="009202BD">
        <w:rPr>
          <w:rFonts w:eastAsiaTheme="minorHAnsi"/>
          <w:color w:val="000000"/>
          <w:sz w:val="20"/>
          <w:szCs w:val="20"/>
        </w:rPr>
        <w:t>-alkyl-L-cysteine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i/>
          <w:iCs/>
          <w:color w:val="000000"/>
          <w:sz w:val="20"/>
          <w:szCs w:val="20"/>
        </w:rPr>
        <w:t>S</w:t>
      </w:r>
      <w:r w:rsidR="003D195C" w:rsidRPr="009202BD">
        <w:rPr>
          <w:rFonts w:eastAsiaTheme="minorHAnsi"/>
          <w:color w:val="000000"/>
          <w:sz w:val="20"/>
          <w:szCs w:val="20"/>
        </w:rPr>
        <w:t>-oxide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alkyl-sulfenate-lyase)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produced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with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alliinase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activity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which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convert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prodrug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alliin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into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allicin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[50].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It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was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also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shown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that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such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VHHs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can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signifi</w:t>
      </w:r>
      <w:r w:rsidR="003D195C" w:rsidRPr="009202BD">
        <w:rPr>
          <w:rFonts w:eastAsiaTheme="minorHAnsi"/>
          <w:color w:val="000000"/>
          <w:sz w:val="20"/>
          <w:szCs w:val="20"/>
        </w:rPr>
        <w:softHyphen/>
        <w:t>cantly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suppress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growth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B16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tumor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cells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the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presence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of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color w:val="000000"/>
          <w:sz w:val="20"/>
          <w:szCs w:val="20"/>
        </w:rPr>
        <w:t>alliin</w:t>
      </w:r>
      <w:r w:rsidR="00AD6CC7">
        <w:rPr>
          <w:rFonts w:eastAsiaTheme="minorHAnsi"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i/>
          <w:iCs/>
          <w:color w:val="000000"/>
          <w:sz w:val="20"/>
          <w:szCs w:val="20"/>
        </w:rPr>
        <w:t>in</w:t>
      </w:r>
      <w:r w:rsidR="00AD6CC7"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 w:rsidR="003D195C" w:rsidRPr="009202BD">
        <w:rPr>
          <w:rFonts w:eastAsiaTheme="minorHAnsi"/>
          <w:i/>
          <w:iCs/>
          <w:color w:val="000000"/>
          <w:sz w:val="20"/>
          <w:szCs w:val="20"/>
        </w:rPr>
        <w:t>vitro</w:t>
      </w:r>
      <w:r w:rsidR="00AD6CC7"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 w:rsidR="000F4BAE" w:rsidRPr="009202BD">
        <w:rPr>
          <w:rFonts w:eastAsiaTheme="minorHAnsi"/>
          <w:color w:val="000000"/>
          <w:sz w:val="20"/>
          <w:szCs w:val="20"/>
        </w:rPr>
        <w:t>[78</w:t>
      </w:r>
      <w:r w:rsidR="003D195C" w:rsidRPr="009202BD">
        <w:rPr>
          <w:rFonts w:eastAsiaTheme="minorHAnsi"/>
          <w:color w:val="000000"/>
          <w:sz w:val="20"/>
          <w:szCs w:val="20"/>
        </w:rPr>
        <w:t>].</w:t>
      </w:r>
    </w:p>
    <w:p w:rsidR="009202BD" w:rsidRPr="009202BD" w:rsidRDefault="00B322E0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sz w:val="20"/>
          <w:szCs w:val="20"/>
        </w:rPr>
        <w:t>Future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b/>
          <w:bCs/>
          <w:sz w:val="20"/>
          <w:szCs w:val="20"/>
        </w:rPr>
        <w:t>approach:</w:t>
      </w:r>
      <w:r w:rsidR="00AD6C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322E0" w:rsidRPr="009202BD" w:rsidRDefault="009202BD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N</w:t>
      </w:r>
      <w:r w:rsidR="00B322E0" w:rsidRPr="009202BD">
        <w:rPr>
          <w:rFonts w:ascii="Times New Roman" w:hAnsi="Times New Roman" w:cs="Times New Roman"/>
          <w:sz w:val="20"/>
          <w:szCs w:val="20"/>
        </w:rPr>
        <w:t>ow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working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about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800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world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biotechnology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scientists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who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specialize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human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health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Plant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Biotechnology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Systems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Research</w:t>
      </w:r>
      <w:r w:rsidRPr="009202BD">
        <w:rPr>
          <w:rFonts w:ascii="Times New Roman" w:hAnsi="Times New Roman" w:cs="Times New Roman"/>
          <w:sz w:val="20"/>
          <w:szCs w:val="20"/>
        </w:rPr>
        <w:t>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togetherness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several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universities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nano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research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implementation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future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project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treatment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stubborn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B322E0" w:rsidRPr="009202BD">
        <w:rPr>
          <w:rFonts w:ascii="Times New Roman" w:hAnsi="Times New Roman" w:cs="Times New Roman"/>
          <w:sz w:val="20"/>
          <w:szCs w:val="20"/>
        </w:rPr>
        <w:t>diseases.</w:t>
      </w:r>
    </w:p>
    <w:p w:rsidR="00C9466C" w:rsidRPr="009202BD" w:rsidRDefault="00C9466C" w:rsidP="00AD6CC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b/>
          <w:bCs/>
          <w:sz w:val="20"/>
          <w:szCs w:val="20"/>
        </w:rPr>
        <w:t>Abbreviations: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466C" w:rsidRPr="009202BD" w:rsidRDefault="00C9466C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HcAb’s,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Heavy-chain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antibodies;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VHH,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variable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domain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heavy-chain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antibody;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mAbs,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monoclonal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antibodies;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FDA,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drug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administration;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Fab,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fragment-antigen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binding;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Fc,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fragment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crystalline;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scFv,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single-chain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variable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fragment;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VH,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variable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domain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heavy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chain;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VL,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variable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domain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light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chain;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IgG,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immunoglobulin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class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G;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V-NAR,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variable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region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new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nurse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shark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antigen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receptor;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Ag,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antigen;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CDR,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complementarity-determining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regions;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CH,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constant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heavy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domain;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CEA,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carcinoembryonic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antigen;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PSA,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prostate-specific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antigen;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EGFR,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epidermal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growth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factor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receptor;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Aah,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Androctonus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autralis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hector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scorpion;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SPECT,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single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photon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emission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computed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tomography;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TNF,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lastRenderedPageBreak/>
        <w:t>tumour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necrosis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factor;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NCC,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neurocysticercosis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DARPins,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designed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ankyrin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repeat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9202BD">
        <w:rPr>
          <w:rFonts w:ascii="Times New Roman" w:hAnsi="Times New Roman" w:cs="Times New Roman"/>
          <w:sz w:val="20"/>
          <w:szCs w:val="20"/>
        </w:rPr>
        <w:t>proteins.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02BD" w:rsidRPr="009202BD" w:rsidRDefault="001E1077" w:rsidP="00AD6CC7">
      <w:pPr>
        <w:pStyle w:val="NormalWeb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9202BD">
        <w:rPr>
          <w:b/>
          <w:bCs/>
          <w:sz w:val="20"/>
          <w:szCs w:val="20"/>
        </w:rPr>
        <w:t>Conclusion:</w:t>
      </w:r>
    </w:p>
    <w:p w:rsidR="0032182E" w:rsidRPr="009202BD" w:rsidRDefault="009202BD" w:rsidP="00AD6CC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T</w:t>
      </w:r>
      <w:r w:rsidR="001E1077" w:rsidRPr="009202BD">
        <w:rPr>
          <w:rFonts w:ascii="Times New Roman" w:hAnsi="Times New Roman" w:cs="Times New Roman"/>
          <w:sz w:val="20"/>
          <w:szCs w:val="20"/>
        </w:rPr>
        <w:t>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latest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study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published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by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American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Science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magazine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edition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August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2005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found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family,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especially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one-humped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Arabian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camel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distinct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from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other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rest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mammals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have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their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blood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tissues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small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composed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short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chains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amino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acids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form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image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character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V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called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scientists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missing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nanoparticles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Nano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Acronym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Nanobodies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no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such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only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Arab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camels,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increase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presence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other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human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other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mammals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which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also,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shape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letter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Y,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size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size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regular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antibiotics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more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slender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chemical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lock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onto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targets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destroy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ability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same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regular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antibodies,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pass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easily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through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cell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membranes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reach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each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body's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cells.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advantage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objects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being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more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stable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nanoparticles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resist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temperature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change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extreme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change,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reserves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Pfaalatha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passed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through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stomach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intestines,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unlike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regular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damage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thermal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changes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digestive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enzymes.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Thus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enhancing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prospects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emergence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drug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pills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contain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nano-objects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treatment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inflammatory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bowel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disease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colon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cancer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rheumatoid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arthritis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possibly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Alzheimer's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patients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1E1077" w:rsidRPr="009202BD">
        <w:rPr>
          <w:rFonts w:ascii="Times New Roman" w:hAnsi="Times New Roman" w:cs="Times New Roman"/>
          <w:sz w:val="20"/>
          <w:szCs w:val="20"/>
        </w:rPr>
        <w:t>also.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Scientific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research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has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focused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antibodies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about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2001,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since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tumors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experimental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animals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human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proven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effective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eradicating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tumors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where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stick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with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high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efficiency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wall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cancer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cell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destroy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has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succeeded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some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interested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research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Biotechnology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Britain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America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production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drug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companies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body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component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tablets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anti-camel-like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Palmugodh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valuable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for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treatment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cancer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chronic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diseases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many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bacterial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viral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infections.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developed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Ablynx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company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these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objects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nanoparticles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to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check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sixteen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therapeutically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target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most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important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diseases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that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affect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human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cover,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first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cancer,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followed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by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some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inflammatory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diseases,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208A7" w:rsidRPr="009202BD">
        <w:rPr>
          <w:rFonts w:ascii="Times New Roman" w:hAnsi="Times New Roman" w:cs="Times New Roman"/>
          <w:sz w:val="20"/>
          <w:szCs w:val="20"/>
        </w:rPr>
        <w:t>diseases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of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the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heart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and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blood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32182E" w:rsidRPr="009202BD">
        <w:rPr>
          <w:rFonts w:ascii="Times New Roman" w:hAnsi="Times New Roman" w:cs="Times New Roman"/>
          <w:sz w:val="20"/>
          <w:szCs w:val="20"/>
        </w:rPr>
        <w:t>vessels.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0C1F" w:rsidRPr="009202BD" w:rsidRDefault="00C60C1F" w:rsidP="00AD6CC7">
      <w:pPr>
        <w:pStyle w:val="Heading2"/>
        <w:snapToGrid w:val="0"/>
        <w:spacing w:before="0" w:beforeAutospacing="0" w:after="0" w:afterAutospacing="0"/>
        <w:jc w:val="both"/>
        <w:rPr>
          <w:rStyle w:val="mw-headline"/>
          <w:sz w:val="20"/>
          <w:szCs w:val="20"/>
        </w:rPr>
      </w:pPr>
    </w:p>
    <w:p w:rsidR="000331D9" w:rsidRPr="00AD6CC7" w:rsidRDefault="000331D9" w:rsidP="00AD6CC7">
      <w:pPr>
        <w:pStyle w:val="Heading2"/>
        <w:snapToGrid w:val="0"/>
        <w:spacing w:before="0" w:beforeAutospacing="0" w:after="0" w:afterAutospacing="0"/>
        <w:ind w:left="425" w:hanging="425"/>
        <w:jc w:val="both"/>
        <w:rPr>
          <w:b w:val="0"/>
          <w:sz w:val="20"/>
          <w:szCs w:val="20"/>
        </w:rPr>
      </w:pPr>
      <w:r w:rsidRPr="009202BD">
        <w:rPr>
          <w:rStyle w:val="mw-headline"/>
          <w:sz w:val="20"/>
          <w:szCs w:val="20"/>
        </w:rPr>
        <w:t>References</w:t>
      </w:r>
      <w:r w:rsidR="00DC192F" w:rsidRPr="009202BD">
        <w:rPr>
          <w:rStyle w:val="mw-headline"/>
          <w:sz w:val="20"/>
          <w:szCs w:val="20"/>
        </w:rPr>
        <w:t>: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Gibbs,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Wayt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(August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2005).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"Nanobodies"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Scientific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American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Magazine.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Harmsen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MM,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Haard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HJ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(November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2007).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"Properties,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production,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applications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fragments"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Appl.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Microbiol.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Biotechnol.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77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13–22.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Möller,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Pion,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Narayan,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Ball,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(September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2010).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"Intracellular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activation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lastRenderedPageBreak/>
        <w:t>interferon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regulatory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factor-1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multi-functional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(Mf1)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domain"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Journal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Biological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Chemistry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(J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Chem)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285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(49):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38348–38361.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Ghannam,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Kumari,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Muyldermans,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="009202BD" w:rsidRPr="00AD6CC7">
        <w:rPr>
          <w:rStyle w:val="reference-text"/>
          <w:rFonts w:ascii="Times New Roman" w:hAnsi="Times New Roman" w:cs="Times New Roman"/>
          <w:sz w:val="20"/>
          <w:szCs w:val="20"/>
        </w:rPr>
        <w:t>&amp;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Abbady,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A.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Q.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(2015).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Camelid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nanobodies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high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affinity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broad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bean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mottle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virus: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possible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promising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tool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immunomodulate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plant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resistance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against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viruses.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Plant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Molecular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Biology,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1-15.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"Nanobodies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herald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new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era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cancer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therapy"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Medical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News.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12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May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2004.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"Pipeline"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Ablynx</w:t>
      </w:r>
      <w:r w:rsidRPr="00AD6CC7">
        <w:rPr>
          <w:rStyle w:val="reference-accessdate"/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Style w:val="reference-accessdate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accessdate"/>
          <w:rFonts w:ascii="Times New Roman" w:hAnsi="Times New Roman" w:cs="Times New Roman"/>
          <w:sz w:val="20"/>
          <w:szCs w:val="20"/>
        </w:rPr>
        <w:t>Retrieved</w:t>
      </w:r>
      <w:r w:rsidR="00AD6CC7" w:rsidRPr="00AD6CC7">
        <w:rPr>
          <w:rStyle w:val="reference-accessdate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nowrap"/>
          <w:rFonts w:ascii="Times New Roman" w:hAnsi="Times New Roman" w:cs="Times New Roman"/>
          <w:sz w:val="20"/>
          <w:szCs w:val="20"/>
        </w:rPr>
        <w:t>20</w:t>
      </w:r>
      <w:r w:rsidR="00AD6CC7" w:rsidRPr="00AD6CC7">
        <w:rPr>
          <w:rStyle w:val="nowrap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nowrap"/>
          <w:rFonts w:ascii="Times New Roman" w:hAnsi="Times New Roman" w:cs="Times New Roman"/>
          <w:sz w:val="20"/>
          <w:szCs w:val="20"/>
        </w:rPr>
        <w:t>January</w:t>
      </w:r>
      <w:r w:rsidR="00AD6CC7" w:rsidRPr="00AD6CC7">
        <w:rPr>
          <w:rStyle w:val="reference-accessdate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accessdate"/>
          <w:rFonts w:ascii="Times New Roman" w:hAnsi="Times New Roman" w:cs="Times New Roman"/>
          <w:sz w:val="20"/>
          <w:szCs w:val="20"/>
        </w:rPr>
        <w:t>2010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0C1F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Dolk,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Vaart,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Lutje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Hulsik,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Vriend,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Haard,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Spinelli,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Cambillau,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Frenken,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Verrips,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(2005).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"Isolation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Prevention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Dandruff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Phage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Display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Shampoo"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Applied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Environmental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Microbiology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71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442–450.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Stanfield,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Dooley,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Flajnik,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Wilson,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(2004).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"Crystal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structure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shark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single-domain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region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complex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with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lysozyme".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Science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305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(5691):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1770–1773.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C60C1F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Linden,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Frenken,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Geus,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Harmsen,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Ruuls,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Stok,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Ron,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Wilson,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Davis,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Verrips,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(1999).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"Comparison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physical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chemical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properties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llama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VHH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fragments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mouse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monoclonal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antibodies".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Biochimica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Biophysica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Acta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1431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37–46.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Harmsen,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</w:t>
      </w:r>
      <w:r w:rsidR="00AD6CC7">
        <w:rPr>
          <w:rStyle w:val="HTMLCite"/>
          <w:rFonts w:ascii="Times New Roman" w:hAnsi="Times New Roman" w:cs="Times New Roman" w:hint="eastAsia"/>
          <w:i w:val="0"/>
          <w:iCs w:val="0"/>
          <w:sz w:val="20"/>
          <w:szCs w:val="20"/>
          <w:lang w:eastAsia="zh-CN"/>
        </w:rPr>
        <w:t>.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Vansolt,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</w:t>
      </w:r>
      <w:r w:rsidR="00AD6CC7">
        <w:rPr>
          <w:rStyle w:val="HTMLCite"/>
          <w:rFonts w:ascii="Times New Roman" w:hAnsi="Times New Roman" w:cs="Times New Roman" w:hint="eastAsia"/>
          <w:i w:val="0"/>
          <w:iCs w:val="0"/>
          <w:sz w:val="20"/>
          <w:szCs w:val="20"/>
          <w:lang w:eastAsia="zh-CN"/>
        </w:rPr>
        <w:t>.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Hoogendoorn,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</w:t>
      </w:r>
      <w:r w:rsidR="00AD6CC7">
        <w:rPr>
          <w:rStyle w:val="HTMLCite"/>
          <w:rFonts w:ascii="Times New Roman" w:hAnsi="Times New Roman" w:cs="Times New Roman" w:hint="eastAsia"/>
          <w:i w:val="0"/>
          <w:iCs w:val="0"/>
          <w:sz w:val="20"/>
          <w:szCs w:val="20"/>
          <w:lang w:eastAsia="zh-CN"/>
        </w:rPr>
        <w:t>.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Vanzijderveld,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</w:t>
      </w:r>
      <w:r w:rsidR="00AD6CC7">
        <w:rPr>
          <w:rStyle w:val="HTMLCite"/>
          <w:rFonts w:ascii="Times New Roman" w:hAnsi="Times New Roman" w:cs="Times New Roman" w:hint="eastAsia"/>
          <w:i w:val="0"/>
          <w:iCs w:val="0"/>
          <w:sz w:val="20"/>
          <w:szCs w:val="20"/>
          <w:lang w:eastAsia="zh-CN"/>
        </w:rPr>
        <w:t>.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Niewold,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</w:t>
      </w:r>
      <w:r w:rsidR="00AD6CC7">
        <w:rPr>
          <w:rStyle w:val="HTMLCite"/>
          <w:rFonts w:ascii="Times New Roman" w:hAnsi="Times New Roman" w:cs="Times New Roman" w:hint="eastAsia"/>
          <w:i w:val="0"/>
          <w:iCs w:val="0"/>
          <w:sz w:val="20"/>
          <w:szCs w:val="20"/>
          <w:lang w:eastAsia="zh-CN"/>
        </w:rPr>
        <w:t>.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Vandermeulen,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</w:t>
      </w:r>
      <w:r w:rsidR="00AD6CC7">
        <w:rPr>
          <w:rStyle w:val="HTMLCite"/>
          <w:rFonts w:ascii="Times New Roman" w:hAnsi="Times New Roman" w:cs="Times New Roman" w:hint="eastAsia"/>
          <w:i w:val="0"/>
          <w:iCs w:val="0"/>
          <w:sz w:val="20"/>
          <w:szCs w:val="20"/>
          <w:lang w:eastAsia="zh-CN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(2005).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"Escherichia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coli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F4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fimbriae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specific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llama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single-domain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fragments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effectively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inhibit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bacterial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adhesion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vitro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but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poorly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protect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against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diarrhoea".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Veterinary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Microbiology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111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(1–2):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89–98.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Harmsen,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Solt,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Zijderveld-Van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Bemmel,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Niewold,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Zijderveld,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(2006).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"Selection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optimization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proteolytically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stable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llama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single-domain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fragments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oral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immunotherapy".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Applied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Microbiology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Biotechnology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72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(3):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544–551.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Desmyter,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Transue,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Ghahroudi,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Thi,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Poortmans,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Hamers,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Muyldermans,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Wyns,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(1996).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"Crystal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structure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camel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single-domain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VH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fragment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complex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with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lysozyme".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Nature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Structural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Biology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3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(9):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803–811.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Arbabi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Ghahroudi,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Desmyter,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Wyns,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Hamers,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Muyldermans,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(1997).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"Selection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identification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single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domain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fragments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from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camel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heavy-chain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antibodies".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FEBS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Letters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414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(3):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521–526.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lastRenderedPageBreak/>
        <w:t>Saerens,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Ghassabeh,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Muyldermans,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(2008).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"Single-domain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antibodies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building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blocks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novel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therapeutics".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Current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Opinion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Pharmacology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8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(5):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600–608.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Holt,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Herring,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Jespers,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Woolven,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Tomlinson,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(2003).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"Domain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antibodies: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proteins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therapy".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Trends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Biotechnology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21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(11):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484–490.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Borrebaeck,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Ohlin,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(2002).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"Antibody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evolution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beyond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Nature".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Nature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Biotechnology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20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(12):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1189–90.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Muyldermans,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(2013).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"Nanobodies: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Natural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Single-Domain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Antibodies".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Annual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Review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Biochemistry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82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775–797.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Rothbauer,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U.;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Zolghadr,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Tillib,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Nowak,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Schermelleh,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Gahl,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Backmann,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Conrath,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Muyldermans,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Cardoso,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Leonhardt,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(2006).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"Targeting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tracing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antigens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live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cells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with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fluorescent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nanobodies".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Nature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Methods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3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(11):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887–889.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Rothbauer,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U.;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Zolghadr,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Muyldermans,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Schepers,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Cardoso,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Leonhardt,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(2007).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Versatile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Nanotrap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Biochemical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Functional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Studies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with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Fluorescent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Fusion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Proteins".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Molecular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9202BD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&amp;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Cellular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Proteomics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7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282–289.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Ries,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Kaplan,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Platonova,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Eghlidi,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Ewers,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(2012).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simple,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versatile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method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GFP-based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super-resolution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microscopy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via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nanobodies".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Nature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Methods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9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(6):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582–584.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Koide,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(2009).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"Engineering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recombinant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crystallization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chaperones"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Current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Opinion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Structural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Biology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19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(4):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449–457.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Saerens,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Frederix,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Reekmans,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Conrath,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Brys,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Huang,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Bosmans,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E.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Maes,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Borghs,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Muyldermans,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(2005).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"Engineering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Camel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Single-Domain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Antibodies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Immobilization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Chemistry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Human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Prostate-Specific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Antigen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Sensing".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Analytical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Chemistry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77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(23):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7547–7555.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Ibanez,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Filette,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Hultberg,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Verrips,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Temperton,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Weiss,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Vandevelde,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Schepens,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Vanlandschoot,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Saelens,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X.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(2011).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"Nanobodies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with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Vitro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Neutralizing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Activity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Protect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Mice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Against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H5N1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Influenza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Virus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Infection".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Journal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Infectious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Diseases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203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(8):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1063–1072.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Hussack,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Arbabi-Ghahroudi,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Faassen,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Songer,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Ng,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-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MacKenzie,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R.;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Tanha,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(2011).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"Neutralization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Clostridium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difficile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Toxin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Targeting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Receptor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Binding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Domain"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Journal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Biological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Chemistry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286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(11):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8961–8976.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:rsidR="00C45683" w:rsidRPr="00AD6CC7" w:rsidRDefault="00C45683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lastRenderedPageBreak/>
        <w:t>Yagil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Reuven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(2013)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Comparative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alternative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Medicinal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(CAM)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Properties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Milk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Treatment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Epidemic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Diseases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Journal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Agricultural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Science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Technology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575-580.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Van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Broek,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Devoogdt,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d'Hollander,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Gijs,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H.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K.;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Lagae,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L.;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Muyldermans,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S.;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Maes,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G.;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Borghs,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(2011).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"Specific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Cell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Targeting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with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Nanobody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Conjugated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Branched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Gold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Nanoparticles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Photothermal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Therapy".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ACS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Nano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bCs/>
          <w:i w:val="0"/>
          <w:iCs w:val="0"/>
          <w:sz w:val="20"/>
          <w:szCs w:val="20"/>
        </w:rPr>
        <w:t>5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(6):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4319–4328.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1D9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"Ablynx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Announces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Interim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Results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First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Study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>,</w:t>
      </w:r>
      <w:r w:rsid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AD6CC7" w:rsidRPr="00AD6CC7">
        <w:rPr>
          <w:rFonts w:ascii="Times New Roman" w:hAnsi="Times New Roman" w:cs="Times New Roman"/>
          <w:sz w:val="20"/>
          <w:szCs w:val="20"/>
        </w:rPr>
        <w:t>A</w:t>
      </w:r>
      <w:r w:rsidRPr="00AD6CC7">
        <w:rPr>
          <w:rFonts w:ascii="Times New Roman" w:hAnsi="Times New Roman" w:cs="Times New Roman"/>
          <w:sz w:val="20"/>
          <w:szCs w:val="20"/>
        </w:rPr>
        <w:t>LX-0081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(ANTI-VWF)"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Bio-Medicine.org.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2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July</w:t>
      </w:r>
      <w:r w:rsidR="00AD6CC7"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AD6CC7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2007.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331D9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Clinical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trial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number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NCT01020383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"Comparative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Study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ALX-0081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Versus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GPIIb/IIIa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Inhibitor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High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Risk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Percutaneous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Coronary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Intervention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(PCI)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Patients"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Style w:val="reference-text"/>
          <w:rFonts w:ascii="Times New Roman" w:hAnsi="Times New Roman" w:cs="Times New Roman"/>
          <w:sz w:val="20"/>
          <w:szCs w:val="20"/>
        </w:rPr>
        <w:t>at</w:t>
      </w:r>
      <w:r w:rsidR="00AD6CC7" w:rsidRPr="00AD6CC7">
        <w:rPr>
          <w:rStyle w:val="reference-text"/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Clinical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Trials.gov</w:t>
      </w:r>
      <w:r w:rsidR="00A01E2F" w:rsidRPr="00AD6CC7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Abderrazek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Hmila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Vincke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Benlasfar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Pellis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Dabbek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Saerens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Ayeb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Bouhaouala-Zahar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Identification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potent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neutralize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poisonous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polypeptide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from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scorpion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venom.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Biochem.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424: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263–272</w:t>
      </w:r>
      <w:r w:rsidR="00BA2B26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Abulrob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Sprong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Bergen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Henegouwen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Stanimirovic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blood-brain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barrier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transmigrating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mechanisms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transport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epitopes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dothelial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Neurochem.,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1201–121</w:t>
      </w:r>
      <w:r w:rsidR="00AD6CC7" w:rsidRPr="00AD6CC7">
        <w:rPr>
          <w:rFonts w:ascii="Times New Roman" w:hAnsi="Times New Roman" w:cs="Times New Roman"/>
          <w:sz w:val="20"/>
          <w:szCs w:val="20"/>
        </w:rPr>
        <w:t>4</w:t>
      </w:r>
      <w:r w:rsid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Ahmadvand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Rasaee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Rahbarizadeh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Kontermann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Sheikholislami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selection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characterization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endothelial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1814–1823</w:t>
      </w:r>
      <w:r w:rsidR="00BA2B26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Baral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Magez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Stijlemans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Vanhollebeke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Baetselier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Experimental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therapy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African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trypanosomiasis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nanobody-conjugated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trypa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nolytic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factor.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12: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580–584</w:t>
      </w:r>
      <w:r w:rsidR="00BA2B26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Behar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Sibéril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Groulet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Chames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Pugniere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Boix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Sautes-Fridman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Teillaud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Isolation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characteriza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anti-FcgRIII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(CD16)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that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acti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vate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natural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killer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Eng.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2008;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21: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1–10</w:t>
      </w:r>
      <w:r w:rsidR="00E17647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BA2B26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Chopra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2008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Epidermal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growth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factor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receptor-specific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nano</w:t>
      </w:r>
      <w:r w:rsidR="00021240" w:rsidRPr="00AD6CC7">
        <w:rPr>
          <w:rFonts w:ascii="Times New Roman" w:hAnsi="Times New Roman" w:cs="Times New Roman"/>
          <w:sz w:val="20"/>
          <w:szCs w:val="20"/>
        </w:rPr>
        <w:softHyphen/>
        <w:t>body.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Molecular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Imag</w:t>
      </w:r>
      <w:r w:rsidR="00E17647" w:rsidRPr="00AD6CC7">
        <w:rPr>
          <w:rFonts w:ascii="Times New Roman" w:hAnsi="Times New Roman" w:cs="Times New Roman"/>
          <w:sz w:val="20"/>
          <w:szCs w:val="20"/>
        </w:rPr>
        <w:t>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17647"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17647" w:rsidRPr="00AD6CC7">
        <w:rPr>
          <w:rFonts w:ascii="Times New Roman" w:hAnsi="Times New Roman" w:cs="Times New Roman"/>
          <w:sz w:val="20"/>
          <w:szCs w:val="20"/>
        </w:rPr>
        <w:t>Contrast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17647" w:rsidRPr="00AD6CC7">
        <w:rPr>
          <w:rFonts w:ascii="Times New Roman" w:hAnsi="Times New Roman" w:cs="Times New Roman"/>
          <w:sz w:val="20"/>
          <w:szCs w:val="20"/>
        </w:rPr>
        <w:t>Agent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E17647" w:rsidRPr="00AD6CC7">
        <w:rPr>
          <w:rFonts w:ascii="Times New Roman" w:hAnsi="Times New Roman" w:cs="Times New Roman"/>
          <w:sz w:val="20"/>
          <w:szCs w:val="20"/>
        </w:rPr>
        <w:t>Database.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Pereira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Martins.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Timóteo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Tavares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Spinelli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Kinne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Flaudrops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Cambillau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Moura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Moura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Tegoni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Desmyter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lastRenderedPageBreak/>
        <w:t>nanobodies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raised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against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integral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membrane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enzyme,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nitric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oxide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reductase.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619–628</w:t>
      </w:r>
      <w:r w:rsidR="00E17647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Lauwereys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Galleni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Matagne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Frere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Kinne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Wyns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b-lactamase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inhibitors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derived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from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elicited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camelidae.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Antimicrob.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Chemother.,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2807–2812</w:t>
      </w:r>
      <w:r w:rsidR="00E17647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1D9" w:rsidRPr="00AD6CC7" w:rsidRDefault="00021240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Conway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J.O.,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Sherwood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Collazo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Garza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Hayhurst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botulinum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neuroto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xin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serotypes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heptaplex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immunoreagents.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PLoS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One,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e8818</w:t>
      </w:r>
      <w:r w:rsidR="00E17647" w:rsidRP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Coppieters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Dreier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Silence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Lauwereys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Casteels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Beirnaert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Jonckheere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Wiele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Staelens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Hostens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Revets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Remaut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Elewaut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Rottiers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Formatted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anti-tumor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necrosis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factor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derived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from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show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superior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potency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targeting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inflamed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joints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murine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model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collagen-induced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arthritis.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Arthritis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Rheum.,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1856–1866</w:t>
      </w:r>
      <w:r w:rsidR="00E17647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Cortez-Retamozo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Backmann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Senter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Wernery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Baetselier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Revets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Efficient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cancer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therapy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nanobody-based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conjugate.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Cancer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2004;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64: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2853–2857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Cortez-Retamozo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Lauwereys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Hassanzadeh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Gobert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Baetselier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Revets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Efficient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tumor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targeting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Cancer,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2002;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456–462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Czerwiński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Krop-Wątorek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Heavy-chain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Camelidae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their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possible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applications.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Postępy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Hig.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Med.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Dośw.,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59: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193–202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Genst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Saerens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pertoire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development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Dev.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Comp.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30: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187–198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Bezemer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Ledeboer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Müller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W.H.,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Boender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Moineau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Coppelmans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Verkleij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Frenken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C.T.: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against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lactococcal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located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tip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phage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tail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prevent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phage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infection.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Bacteriol.,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187: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4531–4541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Deschacht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Groeve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Vincke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Baetselier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promiscuous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class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contributes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antigen-binding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repertoire.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184: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5696–5704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Desmyter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Decanniere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Wyns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spe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cificity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high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affinity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lastRenderedPageBreak/>
        <w:t>binding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provided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loop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276: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26285–26290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Desmyter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Spinelli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Payan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Lauwereys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Wyns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Cambillau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Three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complex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porcine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pancreatic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a-amylase.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Inhibition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versatili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binding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topology.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2002;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277: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23645–23650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Desmyter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Transue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Ghahroudi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Poortmans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Hamers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Wyns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Crystal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structure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complex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lysozyme.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Struct.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803–811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Diaz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Greenberg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Flajnik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M.F.: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Somatic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hypermutation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new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receptor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(NAR)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nurse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shark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nerate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repertoire: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possible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antigen-driven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reactions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absence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germinal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centers.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Proc.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Acad.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USA,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1998;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14343–14348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Diaz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Stanfield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Greenberg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Flajnik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M.F.: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Structural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analy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sis,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selection,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ontogeny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shark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new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receptor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(IgNAR):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identification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new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locus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preferentially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expressed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early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develop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ment.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Immunogenetics,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2002;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501–512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Dolk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Vaart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Lutje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Hulsik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Vriend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Spinelli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Cambillau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Frenken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Isolation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prevention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dandruff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phage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display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shampoo.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Environ.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Microbiol.,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71: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442–450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Dong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Thompson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Lou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Conrad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Pires-Alves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Wilson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Stevens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Marks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J.D.: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potently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inhibits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enzymatic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activity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botulinum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neurotoxin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binding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non-catalytic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a-exosite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binding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region.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397: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1106–1118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Dudek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Benedix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Cappel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Greiner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Jalal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Müller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Zimmermann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Functions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pathologies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BiP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interac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partners.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Life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66: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1556–1569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Flajnik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Deschacht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convergence: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why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simple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alternative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canonical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arise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sharks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camels?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PLoS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e1001120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Forsman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Beirnaert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Aasa-Chapman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Hoorelbeke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Hijazi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Koh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Tack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Szynol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Kelly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McKnight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Weiss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cross-subtype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immunodeficiency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virus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type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(HIV-1)-neutralizing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properties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lastRenderedPageBreak/>
        <w:t>high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affinity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HIV-1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gp120.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Virol.,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2008;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82: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12069–12081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Frenken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Linden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Ruuls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C.T.: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Isolation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their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high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secretion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Saccharomyces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cerevisiae</w:t>
      </w:r>
      <w:r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Biotechnol.,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11–21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Gainkam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L.O.,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Caveliers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Devoogdt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Vanhove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Xavier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Boerman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Bossuyt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Lahoutte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Localization,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mechanism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reduction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retention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technetium-99m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labeled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epidermal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growth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factor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receptor-specific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mice.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Contrast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Media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Imaging,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85–92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Gainkam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L.O.,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Huang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Caveliers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Keyaerts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Hernot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Vaneycken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Vanhove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Revets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Baetselier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Lahoutte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Comparison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biodistribution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tumor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targeting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two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99mTc-labeled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anti-EGFR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mice,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using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pinhole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SPECT/micro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-CT.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Nucl.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2008;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49: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788–795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Greenberg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Avila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Hughes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Hughes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McKinney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Flajnik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M.F.: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new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receptor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family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that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undergoes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arrangement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extensive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somatic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diversification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sharks.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Nature,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374: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168–173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Groot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Khattabi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Sachs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Groep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Wall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Diest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Sonnenberg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Vooijs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Reverse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proteomic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screening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identifies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adhesive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targeting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VLA-3.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2022–2028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Habib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Smolarek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Hattab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Gangnard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Cochet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Nunes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Silva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Kim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Colin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Czerwinski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Bertrand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Methods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efficient,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straightforward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expression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purification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recombinant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derivatives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only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</w:t>
      </w:r>
      <w:r w:rsidRPr="00AD6CC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6CC7" w:rsidRPr="00AD6CC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Biennial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International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Society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Molecular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Recognition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Tavira,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Portugal,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16–19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June,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2011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Hamers-Casterman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Atarhouch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Robinson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Hamers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Songa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Bendahman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Hamers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Naturally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occurring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devoid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light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Nature,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1993;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363: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446–448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Harmsen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H.J.: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Properties,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production,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applica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tions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Microbiol.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Biotechnol.,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2007;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13–22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Harmsen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Solt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Zijderveld-van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Bemmel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Niewold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Zijderveld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F.G.: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Selection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optimization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</w:t>
      </w:r>
      <w:r w:rsidRPr="00AD6CC7">
        <w:rPr>
          <w:rFonts w:ascii="Times New Roman" w:hAnsi="Times New Roman" w:cs="Times New Roman"/>
          <w:sz w:val="20"/>
          <w:szCs w:val="20"/>
        </w:rPr>
        <w:softHyphen/>
      </w:r>
      <w:r w:rsidRPr="00AD6CC7">
        <w:rPr>
          <w:rFonts w:ascii="Times New Roman" w:hAnsi="Times New Roman" w:cs="Times New Roman"/>
          <w:sz w:val="20"/>
          <w:szCs w:val="20"/>
        </w:rPr>
        <w:lastRenderedPageBreak/>
        <w:t>teolytically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stable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oral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munotherapy.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Microbiol.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Biotechnol.,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72: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544–551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Hendershot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Kearney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J.F.: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immunoglobulin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binding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immunoglobulin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transport.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Immunology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Today,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1987;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111–114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Hmila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Abdallah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Saerens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Benlasfar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Ayeb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Bouhaouala-Zahar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bivalent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chimeric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chain-only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high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neutralizing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effi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cacy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scorpion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toxin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Aahl’.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2008;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3847–3856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Hmila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Saerens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Abderrazek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Vincke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Abidi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Benlasfar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Govaert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Ayeb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Bouhaouala-Zahar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provide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full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against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lethal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scor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pion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envenoming.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FASEB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3479–3489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Huang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Gainkam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L.O.,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Caveliers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Vanhove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Keyaerts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Baetselier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Bossuyt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Revets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Lahoutte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SPECT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imaging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99mTc-labeled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EGFR-specific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vivo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monitoring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EGFR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expression.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Imaging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2008;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10: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167–175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Hulstein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Groot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Silence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Veyradier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Fijnheer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Lenting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P.J.: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that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detects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gain-of-function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phe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notype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Willebrand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factor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ADAMTS13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deficiency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Willebrand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disease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type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2B.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Blood,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106: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3035–3042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Ibañez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Filette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Hultberg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Temperton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Weiss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Vandevelde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Schepens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Vanlandschoot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Saelens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X.: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vitro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neutralizing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activity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protect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against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H5N1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influenza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virus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infection.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Infect.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203: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1063–1072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Iqbal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Trojahn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Albaghdadi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Zhang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O’Connor-McCourt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Stanimirovic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Tomanek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Sutherland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Abulrob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Kinetic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analysis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mono-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multivalent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VHH-fragments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their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plication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molecular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imaging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tumours.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Pharmacol.,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160: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1016–1028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Ismaili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Jalali-Javaran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Rasaee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Rahbarizadeh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Forouzandeh-Moghadam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Memari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H.R.: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Production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charac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terization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anti-(mucin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MUC1)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tobacco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Nicotiana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tabacum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cultivar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Xanthi</w:t>
      </w:r>
      <w:r w:rsidRPr="00AD6CC7">
        <w:rPr>
          <w:rFonts w:ascii="Times New Roman" w:hAnsi="Times New Roman" w:cs="Times New Roman"/>
          <w:sz w:val="20"/>
          <w:szCs w:val="20"/>
        </w:rPr>
        <w:t>).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Biotechnol.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Biochem.,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2007;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11–19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Jähnichen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Blanchetot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Maussang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Gonzalez-Pajuelo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Chow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K.Y.,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Bosch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Vrieze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Serruys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Ulrichts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Vandevelde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Saunders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Schols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Leurs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Vanlandschoot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Smit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M.J.: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CXCR4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(VHH-based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lastRenderedPageBreak/>
        <w:t>variable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domains)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potently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inhibit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chemotaxis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HIV-1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replication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bilize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stem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Proc.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Acad.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USA,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107: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20565–20570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Koh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W.W.,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Steffensen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Gonzalez-Pajuelo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Hoorelbeke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Gorlani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Szynol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Forsman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Aasa-Chapman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Weiss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Generation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family-specific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phage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library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that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neutralize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HIV-1.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285: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19116–19124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Köhler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Milstein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Continuous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cultures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fused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secreting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predefined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specificity.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Nature,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1975;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256: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495–497</w:t>
      </w:r>
      <w:r w:rsidR="00D422F1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Ladenson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Crimmins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Landt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Ladenson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J.H.: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Isolation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characterization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thermally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stable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recombinant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anti-caffeine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heavy-chain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Anal.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4501–4508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Lafaye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Achour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England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Duyckaerts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Rougeon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recognize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selectively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small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oligomeric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forms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amyloid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beta,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prevent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Abeta-induced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neurotoxicity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inhibit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fibril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formation.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695–704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Ledeboer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Bezemer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Hiaard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Schaffers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Vliet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Düsterhöft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Zoon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Moineau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Frenken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L.G.: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Preventing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phage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lysis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Lactococcus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lactis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cheese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production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using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neutralizing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heavy-chain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from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Dairy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2002;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85: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1376–1382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Xia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Xia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X.,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Q.,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Yang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Reheman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Molecular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imprint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enzyme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active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nanobodies: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rapid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efficient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approach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produce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abzymes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alliinase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activity.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2012;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287: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13713–13721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Maattanen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Gehring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Bergeron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Thomas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D.Y.: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quality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control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ER: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recognition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misfolded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Semin.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Dev.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21: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500–511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Meddeb-Mouelhi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Bouhaouala-Zahar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Benlasfar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Hammadi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Mejri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Moslah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Karoui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Khorchani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Ayeb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Immunized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sera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derived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immunoglobulin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subclasses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tralizing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Androctonus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australis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hector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scorpion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toxins.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Toxicon,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2003;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42: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785–79</w:t>
      </w:r>
      <w:r w:rsidR="00AD6CC7" w:rsidRPr="00AD6CC7">
        <w:rPr>
          <w:rFonts w:ascii="Times New Roman" w:hAnsi="Times New Roman" w:cs="Times New Roman"/>
          <w:sz w:val="20"/>
          <w:szCs w:val="20"/>
        </w:rPr>
        <w:t>1</w:t>
      </w:r>
      <w:r w:rsid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Moutel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Perez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Intrabodies,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potent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tools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unravel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function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dynamics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intracellular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Med.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1173–1176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current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status.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Biotechnol.,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277–302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lastRenderedPageBreak/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Atarhouch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Saldanha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Barbosa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Hamers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Sequence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structure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from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naturally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occurring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immunoglobulins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lacking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light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1994;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1129–1135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39B8" w:rsidRPr="00AD6CC7" w:rsidRDefault="00021240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Nguyen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Desmyter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Functional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heavy-chain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Camelidae.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Adv.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79: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261–296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Nguyen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Hamers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Wyns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Loss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splice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consensus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signal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responsible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removal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entire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9202BD" w:rsidRPr="00AD6CC7">
        <w:rPr>
          <w:rFonts w:ascii="Times New Roman" w:hAnsi="Times New Roman" w:cs="Times New Roman"/>
          <w:sz w:val="20"/>
          <w:szCs w:val="20"/>
        </w:rPr>
        <w:t>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9202BD" w:rsidRPr="00AD6CC7">
        <w:rPr>
          <w:rFonts w:ascii="Times New Roman" w:hAnsi="Times New Roman" w:cs="Times New Roman"/>
          <w:sz w:val="20"/>
          <w:szCs w:val="20"/>
        </w:rPr>
        <w:t>(</w:t>
      </w:r>
      <w:r w:rsidRPr="00AD6CC7">
        <w:rPr>
          <w:rFonts w:ascii="Times New Roman" w:hAnsi="Times New Roman" w:cs="Times New Roman"/>
          <w:sz w:val="20"/>
          <w:szCs w:val="20"/>
        </w:rPr>
        <w:t>H)1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functional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IGG2A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heavy-chain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515–524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22F1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Nguyen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Hamers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Wyns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heavy-chain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diverse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germline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9202BD" w:rsidRPr="00AD6CC7">
        <w:rPr>
          <w:rFonts w:ascii="Times New Roman" w:hAnsi="Times New Roman" w:cs="Times New Roman"/>
          <w:sz w:val="20"/>
          <w:szCs w:val="20"/>
        </w:rPr>
        <w:t>V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9202BD" w:rsidRPr="00AD6CC7">
        <w:rPr>
          <w:rFonts w:ascii="Times New Roman" w:hAnsi="Times New Roman" w:cs="Times New Roman"/>
          <w:sz w:val="20"/>
          <w:szCs w:val="20"/>
        </w:rPr>
        <w:t>(</w:t>
      </w:r>
      <w:r w:rsidRPr="00AD6CC7">
        <w:rPr>
          <w:rFonts w:ascii="Times New Roman" w:hAnsi="Times New Roman" w:cs="Times New Roman"/>
          <w:sz w:val="20"/>
          <w:szCs w:val="20"/>
        </w:rPr>
        <w:t>H)H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mechanisms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enlarge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antigen-binding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repertoire.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EMBO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921–930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Pant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Hultberg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Zhao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Svensson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Pan-Hammarstrom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Q.,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Johansen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Pouwels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Ruggeri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Frenken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Boren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Marcotte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Hammarstrom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Lactobacilli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expressing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riable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heavy-chain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(lactobodies)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confer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against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rotavirus-induced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diarrhea.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Infect.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1580–1588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Perk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Frei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Y.F.,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Herz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Osmotic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fragility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blood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young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mature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domestic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laboratory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animals.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Am.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1964;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1241–1248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Rahbarizadeh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Ahmadvand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Sharifzadeh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old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concept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new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vehicle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immunotargeting.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Invest.,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40: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299–338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Rahbarizadeh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Rasaee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Forouzandeh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Allameh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Over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expression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anti-MUC1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yeast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Pichia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pastoris.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43: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426–435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Rajabi-Memari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Jalali-Javaran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Rasaee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Rahbarizadeh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Forouzandeh-Moghadam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Esmaili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Expression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characteri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recombinant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monoclonal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against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MUC1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mucin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tobacco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plants.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Hybridoma,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209–21</w:t>
      </w:r>
      <w:r w:rsidR="00AD6CC7" w:rsidRPr="00AD6CC7">
        <w:rPr>
          <w:rFonts w:ascii="Times New Roman" w:hAnsi="Times New Roman" w:cs="Times New Roman"/>
          <w:sz w:val="20"/>
          <w:szCs w:val="20"/>
        </w:rPr>
        <w:t>5</w:t>
      </w:r>
      <w:r w:rsid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Rothbauer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Zolghadr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Schepers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Cardoso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Leonhardt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versatile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nanotrap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biochemical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func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tional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studies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fluorescent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fusion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Proteomics,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2008;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282–289</w:t>
      </w:r>
      <w:r w:rsidR="009202BD" w:rsidRP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Rothbauer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Zolghadr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Tillib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Nowak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Schermelleh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Gahl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Backmann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Cardoso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Leonhardt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Targeting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tracing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live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lastRenderedPageBreak/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fluore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scent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nanobodies.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Methods,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2006;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887–889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Roux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Greenberg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Greene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Strelets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Avila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McKinney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Flajnik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M.F.: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Structural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analysis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nurse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shark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(new)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tigen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receptor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(NAR):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molecular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convergence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unusual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mammalian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immunoglobulins.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Proc.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Acad.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USA,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1998;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95: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11804–11809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Saerens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Pellis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Loris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Pardon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Dumoulin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Matagne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Wyns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Identification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univer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sal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framework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graft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non-canonical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antigen-binding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loops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352: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597–607</w:t>
      </w:r>
      <w:r w:rsidR="00D93915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Serruys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Houtte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Farhoudi-Moghadam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Leroux-Roels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Vanlandschoot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Production,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characterization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vitro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testing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HBcAg-specific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intrabodies.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Virol.,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91: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643–652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Siller-Matula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Krumphuber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Jilma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Pharmacokinetic,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phar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macodynamic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clinical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profile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antiplatelet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drugs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targeting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vascular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diseases.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Pharmacol.,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159: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502–517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Smith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Ploegh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Weissman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Road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ruin: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targeting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degradation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endoplasmic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reticulum.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Science,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334: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1086–1090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0C1F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Smolarek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Hattab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Hassanzadeh-Ghassabeh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Cochet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Gutiérrez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Brevern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Udomsangpetch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Picot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Grodecka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Wasniowska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Colin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Kim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Czerwinski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Bertrand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recombinant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dromedary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ment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(VHH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nanobody)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directed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against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Duffy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ceptor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chemokines.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Cell.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Life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Sci.,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67: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3371–3387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Spinelli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Frenken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Brown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Tegoni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Cambillau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Camelid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heavy-chain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variable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provide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ef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ficient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combining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sites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haptens.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Biochemistry,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39: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1217–1222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Spinelli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Tegoni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Frenken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Vliet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Cambillau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Lateral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recognition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dye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hapten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2001,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311: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123–12</w:t>
      </w:r>
      <w:r w:rsidR="00AD6CC7" w:rsidRPr="00AD6CC7">
        <w:rPr>
          <w:rFonts w:ascii="Times New Roman" w:hAnsi="Times New Roman" w:cs="Times New Roman"/>
          <w:sz w:val="20"/>
          <w:szCs w:val="20"/>
        </w:rPr>
        <w:t>9</w:t>
      </w:r>
      <w:r w:rsid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Stijlemans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Caljon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Natesan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Saerens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Pérez-Morga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Skepper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Nikolaou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Magez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Field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Baetselier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High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affinity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inst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Trypanosome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brucei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VSG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potent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trypanolytic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that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block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endocytosis.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PLoS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Pathog.,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e1002072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lastRenderedPageBreak/>
        <w:t>Stijlemans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Conrath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Cortez-Retamozo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Xong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Wyns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Senter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Revets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Baetselier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Magez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Efficient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targeting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conserved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cryptic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epitopes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infectious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agents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African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trypanosomes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paradigm.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J.Biol.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2004;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279: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1256–1261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Stone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Hirama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Soltyk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Brunton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MacKenzie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Zhang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pentamer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versus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pentamer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approach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genera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neutralizers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verotoxin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2007,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2487–2491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Thomassen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Y.E.,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Verkleij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Boonstra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Verrips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C.T.: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Specific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duction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Saccharomyces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>cerevisiae</w:t>
      </w:r>
      <w:r w:rsidR="00AD6CC7"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correlated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growth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rate,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independent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nutrient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limitation.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Biotechnol.,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270–277</w:t>
      </w:r>
      <w:r w:rsidR="001664E7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Ulrichts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Silence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Schoolmeester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Jaegere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Rossenu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Roodt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Priem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Lauwereys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Casteels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Bockstaele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Verschueren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Stanssens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Baumeister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Holz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J.B.: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Antithrombotic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drug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candidate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ALX-0081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shows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superior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preclinical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efficacy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safe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compared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with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currently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marketed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antiplatelet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drugs.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Blood,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757–765</w:t>
      </w:r>
      <w:r w:rsidR="001664E7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Ungar-Waroni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Elias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Gluckman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Trainin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Z.: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Dromedary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IgG: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purification,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characterization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quantitation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sera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dams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new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borns.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Israel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Vet.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1987;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43: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198–203</w:t>
      </w:r>
      <w:r w:rsidR="001664E7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AD6CC7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V</w:t>
      </w:r>
      <w:r w:rsidR="00021240" w:rsidRPr="00AD6CC7">
        <w:rPr>
          <w:rFonts w:ascii="Times New Roman" w:hAnsi="Times New Roman" w:cs="Times New Roman"/>
          <w:sz w:val="20"/>
          <w:szCs w:val="20"/>
        </w:rPr>
        <w:t>an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Loon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J.E.,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de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Jaegere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P.P.,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Ulrichts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H.,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van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Vliet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H.H.,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de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Maat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M.P.,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de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Groot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P.G.,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Simoons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M.L.,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Leebeek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F.W.: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The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i/>
          <w:iCs/>
          <w:sz w:val="20"/>
          <w:szCs w:val="20"/>
        </w:rPr>
        <w:t>vitro</w:t>
      </w:r>
      <w:r w:rsidRPr="00AD6C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effect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of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the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new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antithrombotic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drug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candidate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ALX-0081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on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blood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samples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of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patients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undergoing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percutaneous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coronary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intervention.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Thromb.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Haemost.,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2011;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106: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="00021240" w:rsidRPr="00AD6CC7">
        <w:rPr>
          <w:rFonts w:ascii="Times New Roman" w:hAnsi="Times New Roman" w:cs="Times New Roman"/>
          <w:sz w:val="20"/>
          <w:szCs w:val="20"/>
        </w:rPr>
        <w:t>165–171</w:t>
      </w:r>
      <w:r w:rsidR="001664E7" w:rsidRPr="00AD6CC7">
        <w:rPr>
          <w:rFonts w:ascii="Times New Roman" w:hAnsi="Times New Roman" w:cs="Times New Roman"/>
          <w:sz w:val="20"/>
          <w:szCs w:val="20"/>
        </w:rPr>
        <w:t>.</w:t>
      </w:r>
      <w:r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Vandenbroucke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Haard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Beirnaert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Dreier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Lauwereys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Huyck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Huysse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Demetter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Steidler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Remaut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Cuvelier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Rottiers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Orally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administered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lactis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secreting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ti-TNF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Nanobody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demonstrate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efficacy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chronic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colitis.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Mucosal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2010;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49–56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Vu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Ghahroudi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Wyns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Muyldermans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Comparison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lastRenderedPageBreak/>
        <w:t>sequences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from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conventional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1997;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34: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1121–113</w:t>
      </w:r>
      <w:r w:rsidR="00AD6CC7" w:rsidRPr="00AD6CC7">
        <w:rPr>
          <w:rFonts w:ascii="Times New Roman" w:hAnsi="Times New Roman" w:cs="Times New Roman"/>
          <w:sz w:val="20"/>
          <w:szCs w:val="20"/>
        </w:rPr>
        <w:t>1</w:t>
      </w:r>
      <w:r w:rsidR="00AD6CC7">
        <w:rPr>
          <w:rFonts w:ascii="Times New Roman" w:hAnsi="Times New Roman" w:cs="Times New Roman"/>
          <w:sz w:val="20"/>
          <w:szCs w:val="20"/>
        </w:rPr>
        <w:t>.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Wahner-Roedler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Kyle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diseases.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Best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Pract.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Clin.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Haematol.,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2005;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729–746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Wei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Guo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Peng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C.Y.: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Potent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neutralization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influenza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virus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blocking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M2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channel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PLoS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One,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2011;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e28309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Wesolowski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Alzogaray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Reyelt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Unger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Juarez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Urrutia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Cauerhff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Danquah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W.,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Rissiek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Scheuplein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Schwarz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Adriouch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Boyer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Seman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Licea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Serreze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D.V.,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Goldbaum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Haag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Koch-Nolte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promising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experimental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therapeutic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tools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infection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immunity.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Med.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Microbiol.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157–174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Woolven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B.P.,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Frenken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L.G.,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van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Logt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Nicholls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P.J.: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struc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ture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llama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constant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genes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reveals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mechanism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heavy-chain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formation.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Immunogenetics,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50: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98–101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0FEA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Wörn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Plückthun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Different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equilibrium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stability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behavior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ScFv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fragments: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identification,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classification,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improvement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engineering.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Biochemistry,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1999;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38: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8739–8750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Wu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Johnson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Kabat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E.A.: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Length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distribution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CDRH3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Proteins,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1993;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16: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1–7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Pa20"/>
        <w:numPr>
          <w:ilvl w:val="0"/>
          <w:numId w:val="9"/>
        </w:numPr>
        <w:snapToGrid w:val="0"/>
        <w:spacing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Zhang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Q.,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Nguyen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T.D.,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Tremblay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Stone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Kelly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MacKenzie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R.C.: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pentavalent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approach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tumor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antigen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discovery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development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proteomics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reagents.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2004;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341: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161–169</w:t>
      </w:r>
      <w:r w:rsidR="001C7EB8" w:rsidRPr="00AD6CC7">
        <w:rPr>
          <w:rFonts w:ascii="Times New Roman" w:hAnsi="Times New Roman" w:cs="Times New Roman"/>
          <w:sz w:val="20"/>
          <w:szCs w:val="20"/>
        </w:rPr>
        <w:t>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240" w:rsidRPr="00AD6CC7" w:rsidRDefault="00021240" w:rsidP="00AD6CC7">
      <w:pPr>
        <w:pStyle w:val="ListParagraph"/>
        <w:numPr>
          <w:ilvl w:val="0"/>
          <w:numId w:val="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6CC7">
        <w:rPr>
          <w:rFonts w:ascii="Times New Roman" w:hAnsi="Times New Roman" w:cs="Times New Roman"/>
          <w:sz w:val="20"/>
          <w:szCs w:val="20"/>
        </w:rPr>
        <w:t>Zhang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Tanha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Hirama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Khieu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N.H.,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Tong-Sevinc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Stone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E.,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Brisson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J.R.,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MacKenzie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C.R.: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Pentamerization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single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-domain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antibodies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from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phage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libraries: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novel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strategy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for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the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ra</w:t>
      </w:r>
      <w:r w:rsidRPr="00AD6CC7">
        <w:rPr>
          <w:rFonts w:ascii="Times New Roman" w:hAnsi="Times New Roman" w:cs="Times New Roman"/>
          <w:sz w:val="20"/>
          <w:szCs w:val="20"/>
        </w:rPr>
        <w:softHyphen/>
        <w:t>pid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generation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of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high-avidity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antibody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reagents.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J.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Mol.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Biol.,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2004;</w:t>
      </w:r>
      <w:r w:rsidR="00AD6CC7" w:rsidRPr="00AD6CC7">
        <w:rPr>
          <w:rFonts w:ascii="Times New Roman" w:hAnsi="Times New Roman" w:cs="Times New Roman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sz w:val="20"/>
          <w:szCs w:val="20"/>
        </w:rPr>
        <w:t>335</w:t>
      </w:r>
      <w:r w:rsidRPr="00AD6CC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AD6CC7" w:rsidRPr="00AD6C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6CC7">
        <w:rPr>
          <w:rFonts w:ascii="Times New Roman" w:hAnsi="Times New Roman" w:cs="Times New Roman"/>
          <w:color w:val="000000"/>
          <w:sz w:val="20"/>
          <w:szCs w:val="20"/>
        </w:rPr>
        <w:t>49–56</w:t>
      </w:r>
      <w:r w:rsidR="001C7EB8" w:rsidRPr="00AD6CC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D6CC7" w:rsidRPr="00AD6CC7" w:rsidRDefault="00AD6CC7" w:rsidP="00AD6CC7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AD6CC7" w:rsidRPr="00AD6CC7" w:rsidSect="00AD6CC7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9202BD" w:rsidRPr="00AD6CC7" w:rsidRDefault="009202BD" w:rsidP="00AD6CC7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D6CC7" w:rsidRPr="009202BD" w:rsidRDefault="00AD6CC7" w:rsidP="00AD6CC7">
      <w:pPr>
        <w:pStyle w:val="ListParagraph"/>
        <w:tabs>
          <w:tab w:val="right" w:pos="284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73B94" w:rsidRPr="009202BD" w:rsidRDefault="009202BD" w:rsidP="00AD6CC7">
      <w:pPr>
        <w:pStyle w:val="ListParagraph"/>
        <w:tabs>
          <w:tab w:val="right" w:pos="284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202BD">
        <w:rPr>
          <w:rFonts w:ascii="Times New Roman" w:hAnsi="Times New Roman" w:cs="Times New Roman"/>
          <w:sz w:val="20"/>
          <w:szCs w:val="20"/>
        </w:rPr>
        <w:t>7/9/2019</w:t>
      </w:r>
    </w:p>
    <w:sectPr w:rsidR="00373B94" w:rsidRPr="009202BD" w:rsidSect="009202BD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EE" w:rsidRDefault="00B979EE" w:rsidP="00E4352C">
      <w:pPr>
        <w:spacing w:after="0" w:line="240" w:lineRule="auto"/>
      </w:pPr>
      <w:r>
        <w:separator/>
      </w:r>
    </w:p>
  </w:endnote>
  <w:endnote w:type="continuationSeparator" w:id="0">
    <w:p w:rsidR="00B979EE" w:rsidRDefault="00B979EE" w:rsidP="00E4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 Itc T OT Demi Con">
    <w:altName w:val="Franklin Got Itc T OT Demi C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5D" w:rsidRPr="008648AF" w:rsidRDefault="00324FD3" w:rsidP="008648AF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648AF">
      <w:rPr>
        <w:rFonts w:ascii="Times New Roman" w:hAnsi="Times New Roman" w:cs="Times New Roman"/>
        <w:sz w:val="20"/>
      </w:rPr>
      <w:fldChar w:fldCharType="begin"/>
    </w:r>
    <w:r w:rsidR="008648AF" w:rsidRPr="008648AF">
      <w:rPr>
        <w:rFonts w:ascii="Times New Roman" w:hAnsi="Times New Roman" w:cs="Times New Roman"/>
        <w:sz w:val="20"/>
      </w:rPr>
      <w:instrText xml:space="preserve"> page </w:instrText>
    </w:r>
    <w:r w:rsidRPr="008648AF">
      <w:rPr>
        <w:rFonts w:ascii="Times New Roman" w:hAnsi="Times New Roman" w:cs="Times New Roman"/>
        <w:sz w:val="20"/>
      </w:rPr>
      <w:fldChar w:fldCharType="separate"/>
    </w:r>
    <w:r w:rsidR="00522A5C">
      <w:rPr>
        <w:rFonts w:ascii="Times New Roman" w:hAnsi="Times New Roman" w:cs="Times New Roman"/>
        <w:noProof/>
        <w:sz w:val="20"/>
      </w:rPr>
      <w:t>65</w:t>
    </w:r>
    <w:r w:rsidRPr="008648A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EE" w:rsidRDefault="00B979EE" w:rsidP="00E4352C">
      <w:pPr>
        <w:spacing w:after="0" w:line="240" w:lineRule="auto"/>
      </w:pPr>
      <w:r>
        <w:separator/>
      </w:r>
    </w:p>
  </w:footnote>
  <w:footnote w:type="continuationSeparator" w:id="0">
    <w:p w:rsidR="00B979EE" w:rsidRDefault="00B979EE" w:rsidP="00E4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AF" w:rsidRPr="008648AF" w:rsidRDefault="008648AF" w:rsidP="008648A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648AF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648AF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8648AF">
      <w:rPr>
        <w:rFonts w:ascii="Times New Roman" w:hAnsi="Times New Roman" w:cs="Times New Roman"/>
        <w:iCs/>
        <w:sz w:val="20"/>
        <w:szCs w:val="20"/>
      </w:rPr>
      <w:t>201</w:t>
    </w:r>
    <w:r w:rsidRPr="008648AF">
      <w:rPr>
        <w:rFonts w:ascii="Times New Roman" w:hAnsi="Times New Roman" w:cs="Times New Roman" w:hint="eastAsia"/>
        <w:iCs/>
        <w:sz w:val="20"/>
        <w:szCs w:val="20"/>
      </w:rPr>
      <w:t>9</w:t>
    </w:r>
    <w:r w:rsidRPr="008648AF">
      <w:rPr>
        <w:rFonts w:ascii="Times New Roman" w:hAnsi="Times New Roman" w:cs="Times New Roman"/>
        <w:iCs/>
        <w:sz w:val="20"/>
        <w:szCs w:val="20"/>
      </w:rPr>
      <w:t>;</w:t>
    </w:r>
    <w:r w:rsidRPr="008648AF">
      <w:rPr>
        <w:rFonts w:ascii="Times New Roman" w:hAnsi="Times New Roman" w:cs="Times New Roman" w:hint="eastAsia"/>
        <w:iCs/>
        <w:sz w:val="20"/>
        <w:szCs w:val="20"/>
      </w:rPr>
      <w:t>11</w:t>
    </w:r>
    <w:r w:rsidRPr="008648AF">
      <w:rPr>
        <w:rFonts w:ascii="Times New Roman" w:hAnsi="Times New Roman" w:cs="Times New Roman"/>
        <w:iCs/>
        <w:sz w:val="20"/>
        <w:szCs w:val="20"/>
      </w:rPr>
      <w:t>(</w:t>
    </w:r>
    <w:r w:rsidRPr="008648AF">
      <w:rPr>
        <w:rFonts w:ascii="Times New Roman" w:hAnsi="Times New Roman" w:cs="Times New Roman" w:hint="eastAsia"/>
        <w:iCs/>
        <w:sz w:val="20"/>
        <w:szCs w:val="20"/>
      </w:rPr>
      <w:t>7</w:t>
    </w:r>
    <w:r w:rsidRPr="008648AF">
      <w:rPr>
        <w:rFonts w:ascii="Times New Roman" w:hAnsi="Times New Roman" w:cs="Times New Roman"/>
        <w:iCs/>
        <w:sz w:val="20"/>
        <w:szCs w:val="20"/>
      </w:rPr>
      <w:t xml:space="preserve">)  </w:t>
    </w:r>
    <w:r w:rsidRPr="008648A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648AF">
      <w:rPr>
        <w:rFonts w:ascii="Times New Roman" w:hAnsi="Times New Roman" w:cs="Times New Roman"/>
        <w:iCs/>
        <w:sz w:val="20"/>
        <w:szCs w:val="20"/>
      </w:rPr>
      <w:t xml:space="preserve"> </w:t>
    </w:r>
    <w:r w:rsidRPr="008648AF">
      <w:rPr>
        <w:rFonts w:ascii="Times New Roman" w:hAnsi="Times New Roman" w:cs="Times New Roman" w:hint="eastAsia"/>
        <w:iCs/>
        <w:sz w:val="20"/>
        <w:szCs w:val="20"/>
      </w:rPr>
      <w:tab/>
    </w:r>
    <w:r w:rsidRPr="008648AF">
      <w:rPr>
        <w:rFonts w:ascii="Times New Roman" w:hAnsi="Times New Roman" w:cs="Times New Roman"/>
        <w:iCs/>
        <w:sz w:val="20"/>
        <w:szCs w:val="20"/>
      </w:rPr>
      <w:t xml:space="preserve">    </w:t>
    </w:r>
    <w:r w:rsidRPr="008648AF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8648AF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  <w:r w:rsidRPr="008648AF">
      <w:rPr>
        <w:rFonts w:ascii="Times New Roman" w:hAnsi="Times New Roman" w:cs="Times New Roman" w:hint="eastAsia"/>
        <w:sz w:val="20"/>
      </w:rPr>
      <w:t xml:space="preserve">   </w:t>
    </w:r>
    <w:r w:rsidRPr="008648AF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8648AF" w:rsidRPr="008648AF" w:rsidRDefault="008648AF" w:rsidP="008648AF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82C"/>
    <w:multiLevelType w:val="hybridMultilevel"/>
    <w:tmpl w:val="2D30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72EE"/>
    <w:multiLevelType w:val="multilevel"/>
    <w:tmpl w:val="ECE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91E19"/>
    <w:multiLevelType w:val="hybridMultilevel"/>
    <w:tmpl w:val="6A26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71D9D"/>
    <w:multiLevelType w:val="hybridMultilevel"/>
    <w:tmpl w:val="A2680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94DFE"/>
    <w:multiLevelType w:val="multilevel"/>
    <w:tmpl w:val="B916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E0FC7"/>
    <w:multiLevelType w:val="multilevel"/>
    <w:tmpl w:val="FAD2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006D0"/>
    <w:multiLevelType w:val="hybridMultilevel"/>
    <w:tmpl w:val="CD46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16A6A"/>
    <w:multiLevelType w:val="hybridMultilevel"/>
    <w:tmpl w:val="B5C4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B589F"/>
    <w:multiLevelType w:val="hybridMultilevel"/>
    <w:tmpl w:val="7D1E4A70"/>
    <w:lvl w:ilvl="0" w:tplc="57F86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78A0"/>
    <w:rsid w:val="00001810"/>
    <w:rsid w:val="00007AC6"/>
    <w:rsid w:val="00015BD9"/>
    <w:rsid w:val="00021240"/>
    <w:rsid w:val="00024F04"/>
    <w:rsid w:val="000331D9"/>
    <w:rsid w:val="00045A3D"/>
    <w:rsid w:val="000478BC"/>
    <w:rsid w:val="000528C7"/>
    <w:rsid w:val="0007355B"/>
    <w:rsid w:val="00074C89"/>
    <w:rsid w:val="0007796C"/>
    <w:rsid w:val="00087261"/>
    <w:rsid w:val="00096400"/>
    <w:rsid w:val="000A6C7A"/>
    <w:rsid w:val="000B52F8"/>
    <w:rsid w:val="000C0632"/>
    <w:rsid w:val="000C1E4A"/>
    <w:rsid w:val="000D57BD"/>
    <w:rsid w:val="000F084D"/>
    <w:rsid w:val="000F31AD"/>
    <w:rsid w:val="000F4BAE"/>
    <w:rsid w:val="00106209"/>
    <w:rsid w:val="00114BD3"/>
    <w:rsid w:val="00122ADB"/>
    <w:rsid w:val="00126903"/>
    <w:rsid w:val="00127918"/>
    <w:rsid w:val="001664E7"/>
    <w:rsid w:val="001713CD"/>
    <w:rsid w:val="001716A0"/>
    <w:rsid w:val="00175AC2"/>
    <w:rsid w:val="001A30E9"/>
    <w:rsid w:val="001A77C3"/>
    <w:rsid w:val="001C7EB8"/>
    <w:rsid w:val="001D1FEA"/>
    <w:rsid w:val="001E1077"/>
    <w:rsid w:val="001F02E8"/>
    <w:rsid w:val="001F3FB6"/>
    <w:rsid w:val="001F47A5"/>
    <w:rsid w:val="00213657"/>
    <w:rsid w:val="00220E66"/>
    <w:rsid w:val="00245D19"/>
    <w:rsid w:val="00261443"/>
    <w:rsid w:val="002623C2"/>
    <w:rsid w:val="00263E1F"/>
    <w:rsid w:val="0027332A"/>
    <w:rsid w:val="00285020"/>
    <w:rsid w:val="002872B8"/>
    <w:rsid w:val="0028788E"/>
    <w:rsid w:val="00290B54"/>
    <w:rsid w:val="002976EF"/>
    <w:rsid w:val="002A3C40"/>
    <w:rsid w:val="002B5BA6"/>
    <w:rsid w:val="002B6049"/>
    <w:rsid w:val="002C0D7B"/>
    <w:rsid w:val="002C727D"/>
    <w:rsid w:val="002D2BF8"/>
    <w:rsid w:val="002D78A0"/>
    <w:rsid w:val="002E20EB"/>
    <w:rsid w:val="002F11BE"/>
    <w:rsid w:val="002F6952"/>
    <w:rsid w:val="0030525D"/>
    <w:rsid w:val="0032182E"/>
    <w:rsid w:val="00323712"/>
    <w:rsid w:val="00324FD3"/>
    <w:rsid w:val="00326121"/>
    <w:rsid w:val="00333ACE"/>
    <w:rsid w:val="00342C49"/>
    <w:rsid w:val="00353116"/>
    <w:rsid w:val="0036178D"/>
    <w:rsid w:val="003668B1"/>
    <w:rsid w:val="00373B94"/>
    <w:rsid w:val="003830CC"/>
    <w:rsid w:val="00386E0B"/>
    <w:rsid w:val="003A0903"/>
    <w:rsid w:val="003A2ED5"/>
    <w:rsid w:val="003B66DD"/>
    <w:rsid w:val="003D195C"/>
    <w:rsid w:val="003F11EC"/>
    <w:rsid w:val="00400B39"/>
    <w:rsid w:val="004010FB"/>
    <w:rsid w:val="0041757E"/>
    <w:rsid w:val="00435FE2"/>
    <w:rsid w:val="004417F4"/>
    <w:rsid w:val="00456FCF"/>
    <w:rsid w:val="004924AA"/>
    <w:rsid w:val="004A44C7"/>
    <w:rsid w:val="004A48C6"/>
    <w:rsid w:val="004D5897"/>
    <w:rsid w:val="004E5E16"/>
    <w:rsid w:val="004E7AFD"/>
    <w:rsid w:val="00503CC5"/>
    <w:rsid w:val="005040C7"/>
    <w:rsid w:val="00511A85"/>
    <w:rsid w:val="00522A5C"/>
    <w:rsid w:val="00537066"/>
    <w:rsid w:val="00540D67"/>
    <w:rsid w:val="005424F1"/>
    <w:rsid w:val="0055109E"/>
    <w:rsid w:val="00551468"/>
    <w:rsid w:val="00551EB6"/>
    <w:rsid w:val="0056215D"/>
    <w:rsid w:val="005734F7"/>
    <w:rsid w:val="00593513"/>
    <w:rsid w:val="005A012A"/>
    <w:rsid w:val="005A0D9B"/>
    <w:rsid w:val="005B349C"/>
    <w:rsid w:val="005D1263"/>
    <w:rsid w:val="005E2638"/>
    <w:rsid w:val="006038F6"/>
    <w:rsid w:val="006078A3"/>
    <w:rsid w:val="0061177E"/>
    <w:rsid w:val="00631FF2"/>
    <w:rsid w:val="00652764"/>
    <w:rsid w:val="00660155"/>
    <w:rsid w:val="006608E0"/>
    <w:rsid w:val="006639B8"/>
    <w:rsid w:val="00673805"/>
    <w:rsid w:val="006A4D9E"/>
    <w:rsid w:val="006B38A0"/>
    <w:rsid w:val="006C6591"/>
    <w:rsid w:val="006D5A25"/>
    <w:rsid w:val="006D5B55"/>
    <w:rsid w:val="00700A87"/>
    <w:rsid w:val="007014FD"/>
    <w:rsid w:val="007021C1"/>
    <w:rsid w:val="00703B8C"/>
    <w:rsid w:val="00706039"/>
    <w:rsid w:val="0072505A"/>
    <w:rsid w:val="007337A1"/>
    <w:rsid w:val="00743944"/>
    <w:rsid w:val="00765AA3"/>
    <w:rsid w:val="00771F43"/>
    <w:rsid w:val="0078280E"/>
    <w:rsid w:val="00783B7E"/>
    <w:rsid w:val="007A0E90"/>
    <w:rsid w:val="007C31AB"/>
    <w:rsid w:val="007C508F"/>
    <w:rsid w:val="007C7D83"/>
    <w:rsid w:val="007D1AD0"/>
    <w:rsid w:val="007E0FEC"/>
    <w:rsid w:val="008212BC"/>
    <w:rsid w:val="0085116A"/>
    <w:rsid w:val="008648AF"/>
    <w:rsid w:val="00867B31"/>
    <w:rsid w:val="00890CB8"/>
    <w:rsid w:val="008C7C23"/>
    <w:rsid w:val="008D742F"/>
    <w:rsid w:val="008F2A30"/>
    <w:rsid w:val="00912AA2"/>
    <w:rsid w:val="009202BD"/>
    <w:rsid w:val="00921910"/>
    <w:rsid w:val="00931CE7"/>
    <w:rsid w:val="00946493"/>
    <w:rsid w:val="00957C2F"/>
    <w:rsid w:val="009615F3"/>
    <w:rsid w:val="009715B4"/>
    <w:rsid w:val="009C1626"/>
    <w:rsid w:val="009C3FD8"/>
    <w:rsid w:val="009D34E0"/>
    <w:rsid w:val="009F0FEA"/>
    <w:rsid w:val="009F32D2"/>
    <w:rsid w:val="009F7A31"/>
    <w:rsid w:val="00A01E2F"/>
    <w:rsid w:val="00A1595A"/>
    <w:rsid w:val="00A576FB"/>
    <w:rsid w:val="00A6535B"/>
    <w:rsid w:val="00A74832"/>
    <w:rsid w:val="00AA21A9"/>
    <w:rsid w:val="00AA2786"/>
    <w:rsid w:val="00AA2D2F"/>
    <w:rsid w:val="00AB50E7"/>
    <w:rsid w:val="00AB6B22"/>
    <w:rsid w:val="00AC3E1D"/>
    <w:rsid w:val="00AD4941"/>
    <w:rsid w:val="00AD6CC7"/>
    <w:rsid w:val="00AF6E30"/>
    <w:rsid w:val="00B1283D"/>
    <w:rsid w:val="00B322E0"/>
    <w:rsid w:val="00B753DF"/>
    <w:rsid w:val="00B77950"/>
    <w:rsid w:val="00B9200A"/>
    <w:rsid w:val="00B979EE"/>
    <w:rsid w:val="00BA2B26"/>
    <w:rsid w:val="00BE5B89"/>
    <w:rsid w:val="00C07B97"/>
    <w:rsid w:val="00C375A2"/>
    <w:rsid w:val="00C45683"/>
    <w:rsid w:val="00C4570E"/>
    <w:rsid w:val="00C465CE"/>
    <w:rsid w:val="00C60C1F"/>
    <w:rsid w:val="00C7552D"/>
    <w:rsid w:val="00C774C8"/>
    <w:rsid w:val="00C813BC"/>
    <w:rsid w:val="00C86B91"/>
    <w:rsid w:val="00C935D4"/>
    <w:rsid w:val="00C9466C"/>
    <w:rsid w:val="00CB4571"/>
    <w:rsid w:val="00CD2A26"/>
    <w:rsid w:val="00CF60F0"/>
    <w:rsid w:val="00D07A38"/>
    <w:rsid w:val="00D25B78"/>
    <w:rsid w:val="00D34937"/>
    <w:rsid w:val="00D410E8"/>
    <w:rsid w:val="00D422F1"/>
    <w:rsid w:val="00D72F5A"/>
    <w:rsid w:val="00D81BAB"/>
    <w:rsid w:val="00D927FB"/>
    <w:rsid w:val="00D93915"/>
    <w:rsid w:val="00DB79EB"/>
    <w:rsid w:val="00DC13FD"/>
    <w:rsid w:val="00DC192F"/>
    <w:rsid w:val="00DD173F"/>
    <w:rsid w:val="00DF2612"/>
    <w:rsid w:val="00E035E7"/>
    <w:rsid w:val="00E03E94"/>
    <w:rsid w:val="00E0545C"/>
    <w:rsid w:val="00E17647"/>
    <w:rsid w:val="00E208A7"/>
    <w:rsid w:val="00E4352C"/>
    <w:rsid w:val="00E47A3F"/>
    <w:rsid w:val="00E6132A"/>
    <w:rsid w:val="00E64917"/>
    <w:rsid w:val="00E72830"/>
    <w:rsid w:val="00E9069A"/>
    <w:rsid w:val="00EA2385"/>
    <w:rsid w:val="00EB7966"/>
    <w:rsid w:val="00ED3AC6"/>
    <w:rsid w:val="00ED76C6"/>
    <w:rsid w:val="00EE1FD8"/>
    <w:rsid w:val="00EF7093"/>
    <w:rsid w:val="00F07FB3"/>
    <w:rsid w:val="00F1784D"/>
    <w:rsid w:val="00F26E44"/>
    <w:rsid w:val="00F278C9"/>
    <w:rsid w:val="00F3130C"/>
    <w:rsid w:val="00F3484D"/>
    <w:rsid w:val="00F351A7"/>
    <w:rsid w:val="00F42A92"/>
    <w:rsid w:val="00F56A16"/>
    <w:rsid w:val="00F57B79"/>
    <w:rsid w:val="00F71948"/>
    <w:rsid w:val="00F74C46"/>
    <w:rsid w:val="00F7682A"/>
    <w:rsid w:val="00F805CD"/>
    <w:rsid w:val="00F91ECF"/>
    <w:rsid w:val="00FA0372"/>
    <w:rsid w:val="00FA27FA"/>
    <w:rsid w:val="00FB15A9"/>
    <w:rsid w:val="00FB477A"/>
    <w:rsid w:val="00FB690F"/>
    <w:rsid w:val="00FD050F"/>
    <w:rsid w:val="00FD6C90"/>
    <w:rsid w:val="00FF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E2"/>
  </w:style>
  <w:style w:type="paragraph" w:styleId="Heading1">
    <w:name w:val="heading 1"/>
    <w:basedOn w:val="Normal"/>
    <w:link w:val="Heading1Char"/>
    <w:uiPriority w:val="9"/>
    <w:qFormat/>
    <w:rsid w:val="00033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3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33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31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331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331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0331D9"/>
  </w:style>
  <w:style w:type="character" w:customStyle="1" w:styleId="toctext">
    <w:name w:val="toctext"/>
    <w:basedOn w:val="DefaultParagraphFont"/>
    <w:rsid w:val="000331D9"/>
  </w:style>
  <w:style w:type="character" w:customStyle="1" w:styleId="mw-headline">
    <w:name w:val="mw-headline"/>
    <w:basedOn w:val="DefaultParagraphFont"/>
    <w:rsid w:val="000331D9"/>
  </w:style>
  <w:style w:type="character" w:customStyle="1" w:styleId="reference-text">
    <w:name w:val="reference-text"/>
    <w:basedOn w:val="DefaultParagraphFont"/>
    <w:rsid w:val="000331D9"/>
  </w:style>
  <w:style w:type="character" w:styleId="HTMLCite">
    <w:name w:val="HTML Cite"/>
    <w:basedOn w:val="DefaultParagraphFont"/>
    <w:uiPriority w:val="99"/>
    <w:semiHidden/>
    <w:unhideWhenUsed/>
    <w:rsid w:val="000331D9"/>
    <w:rPr>
      <w:i/>
      <w:iCs/>
    </w:rPr>
  </w:style>
  <w:style w:type="character" w:customStyle="1" w:styleId="z3988">
    <w:name w:val="z3988"/>
    <w:basedOn w:val="DefaultParagraphFont"/>
    <w:rsid w:val="000331D9"/>
  </w:style>
  <w:style w:type="character" w:customStyle="1" w:styleId="reference-accessdate">
    <w:name w:val="reference-accessdate"/>
    <w:basedOn w:val="DefaultParagraphFont"/>
    <w:rsid w:val="000331D9"/>
  </w:style>
  <w:style w:type="character" w:customStyle="1" w:styleId="nowrap">
    <w:name w:val="nowrap"/>
    <w:basedOn w:val="DefaultParagraphFont"/>
    <w:rsid w:val="000331D9"/>
  </w:style>
  <w:style w:type="paragraph" w:styleId="BalloonText">
    <w:name w:val="Balloon Text"/>
    <w:basedOn w:val="Normal"/>
    <w:link w:val="BalloonTextChar"/>
    <w:uiPriority w:val="99"/>
    <w:semiHidden/>
    <w:unhideWhenUsed/>
    <w:rsid w:val="0003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D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49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52C"/>
  </w:style>
  <w:style w:type="paragraph" w:styleId="Footer">
    <w:name w:val="footer"/>
    <w:basedOn w:val="Normal"/>
    <w:link w:val="FooterChar"/>
    <w:uiPriority w:val="99"/>
    <w:unhideWhenUsed/>
    <w:rsid w:val="00E4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52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10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1077"/>
    <w:rPr>
      <w:rFonts w:ascii="Arial" w:eastAsia="Times New Roman" w:hAnsi="Arial" w:cs="Arial"/>
      <w:vanish/>
      <w:sz w:val="16"/>
      <w:szCs w:val="16"/>
    </w:rPr>
  </w:style>
  <w:style w:type="character" w:customStyle="1" w:styleId="gt-ft-text">
    <w:name w:val="gt-ft-text"/>
    <w:basedOn w:val="DefaultParagraphFont"/>
    <w:rsid w:val="001E10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10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1077"/>
    <w:rPr>
      <w:rFonts w:ascii="Arial" w:eastAsia="Times New Roman" w:hAnsi="Arial" w:cs="Arial"/>
      <w:vanish/>
      <w:sz w:val="16"/>
      <w:szCs w:val="16"/>
    </w:rPr>
  </w:style>
  <w:style w:type="paragraph" w:customStyle="1" w:styleId="Pa9">
    <w:name w:val="Pa9"/>
    <w:basedOn w:val="Normal"/>
    <w:next w:val="Normal"/>
    <w:uiPriority w:val="99"/>
    <w:rsid w:val="00631FF2"/>
    <w:pPr>
      <w:autoSpaceDE w:val="0"/>
      <w:autoSpaceDN w:val="0"/>
      <w:adjustRightInd w:val="0"/>
      <w:spacing w:after="0" w:line="181" w:lineRule="atLeast"/>
    </w:pPr>
    <w:rPr>
      <w:rFonts w:ascii="Nimbus Roman No9 L" w:hAnsi="Nimbus Roman No9 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AA2D2F"/>
    <w:pPr>
      <w:autoSpaceDE w:val="0"/>
      <w:autoSpaceDN w:val="0"/>
      <w:adjustRightInd w:val="0"/>
      <w:spacing w:after="0" w:line="221" w:lineRule="atLeast"/>
    </w:pPr>
    <w:rPr>
      <w:rFonts w:ascii="Franklin Got Itc T OT Demi Con" w:hAnsi="Franklin Got Itc T OT Demi Con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AA2D2F"/>
    <w:pPr>
      <w:autoSpaceDE w:val="0"/>
      <w:autoSpaceDN w:val="0"/>
      <w:adjustRightInd w:val="0"/>
      <w:spacing w:after="0" w:line="181" w:lineRule="atLeast"/>
    </w:pPr>
    <w:rPr>
      <w:rFonts w:ascii="Franklin Got Itc T OT Demi Con" w:hAnsi="Franklin Got Itc T OT Demi Con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021240"/>
    <w:pPr>
      <w:autoSpaceDE w:val="0"/>
      <w:autoSpaceDN w:val="0"/>
      <w:adjustRightInd w:val="0"/>
      <w:spacing w:after="0" w:line="141" w:lineRule="atLeast"/>
    </w:pPr>
    <w:rPr>
      <w:rFonts w:ascii="Nimbus Roman No9 L" w:hAnsi="Nimbus Roman No9 L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E0545C"/>
    <w:pPr>
      <w:autoSpaceDE w:val="0"/>
      <w:autoSpaceDN w:val="0"/>
      <w:adjustRightInd w:val="0"/>
      <w:spacing w:after="0" w:line="181" w:lineRule="atLeast"/>
    </w:pPr>
    <w:rPr>
      <w:rFonts w:ascii="Franklin Got Itc T OT Demi Con" w:hAnsi="Franklin Got Itc T OT Demi Con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E0545C"/>
    <w:pPr>
      <w:autoSpaceDE w:val="0"/>
      <w:autoSpaceDN w:val="0"/>
      <w:adjustRightInd w:val="0"/>
      <w:spacing w:after="0" w:line="201" w:lineRule="atLeast"/>
    </w:pPr>
    <w:rPr>
      <w:rFonts w:ascii="Nimbus Roman No9 L" w:hAnsi="Nimbus Roman No9 L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A31"/>
    <w:pPr>
      <w:ind w:left="720"/>
      <w:contextualSpacing/>
    </w:pPr>
  </w:style>
  <w:style w:type="table" w:styleId="TableGrid">
    <w:name w:val="Table Grid"/>
    <w:basedOn w:val="TableNormal"/>
    <w:uiPriority w:val="59"/>
    <w:rsid w:val="00373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Ablynx" TargetMode="External"/><Relationship Id="rId18" Type="http://schemas.openxmlformats.org/officeDocument/2006/relationships/hyperlink" Target="https://en.wikipedia.org/wiki/Antigen" TargetMode="External"/><Relationship Id="rId26" Type="http://schemas.openxmlformats.org/officeDocument/2006/relationships/hyperlink" Target="https://en.wikipedia.org/wiki/Camelid" TargetMode="External"/><Relationship Id="rId39" Type="http://schemas.openxmlformats.org/officeDocument/2006/relationships/hyperlink" Target="https://en.wikipedia.org/wiki/Lipophilic" TargetMode="External"/><Relationship Id="rId21" Type="http://schemas.openxmlformats.org/officeDocument/2006/relationships/hyperlink" Target="https://en.wikipedia.org/wiki/Immunoglobulin_light_chain" TargetMode="External"/><Relationship Id="rId34" Type="http://schemas.openxmlformats.org/officeDocument/2006/relationships/image" Target="media/image1.jpeg"/><Relationship Id="rId42" Type="http://schemas.openxmlformats.org/officeDocument/2006/relationships/hyperlink" Target="https://en.wikipedia.org/wiki/Single-domain_antibody" TargetMode="External"/><Relationship Id="rId47" Type="http://schemas.openxmlformats.org/officeDocument/2006/relationships/hyperlink" Target="https://en.wikipedia.org/wiki/Intestine" TargetMode="External"/><Relationship Id="rId50" Type="http://schemas.openxmlformats.org/officeDocument/2006/relationships/hyperlink" Target="https://en.wikipedia.org/wiki/Absorption_%28pharmacokinetics%29" TargetMode="External"/><Relationship Id="rId55" Type="http://schemas.openxmlformats.org/officeDocument/2006/relationships/hyperlink" Target="https://en.wikipedia.org/wiki/Renal" TargetMode="External"/><Relationship Id="rId63" Type="http://schemas.openxmlformats.org/officeDocument/2006/relationships/image" Target="media/image3.png"/><Relationship Id="rId68" Type="http://schemas.openxmlformats.org/officeDocument/2006/relationships/hyperlink" Target="https://en.wikipedia.org/wiki/Shark" TargetMode="External"/><Relationship Id="rId76" Type="http://schemas.openxmlformats.org/officeDocument/2006/relationships/hyperlink" Target="https://en.wikipedia.org/wiki/Mutagenesis" TargetMode="External"/><Relationship Id="rId84" Type="http://schemas.openxmlformats.org/officeDocument/2006/relationships/hyperlink" Target="https://en.wikipedia.org/wiki/Murine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n.wikipedia.org/wiki/Polymerase_chain_reac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Monomer" TargetMode="External"/><Relationship Id="rId29" Type="http://schemas.openxmlformats.org/officeDocument/2006/relationships/hyperlink" Target="https://en.wikipedia.org/wiki/Epitopes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en.wikipedia.org/wiki/Single-domain_antibody" TargetMode="External"/><Relationship Id="rId32" Type="http://schemas.openxmlformats.org/officeDocument/2006/relationships/hyperlink" Target="https://en.wikipedia.org/wiki/Alzheimer%27s_disease" TargetMode="External"/><Relationship Id="rId37" Type="http://schemas.openxmlformats.org/officeDocument/2006/relationships/hyperlink" Target="https://en.wikipedia.org/wiki/Detergent" TargetMode="External"/><Relationship Id="rId40" Type="http://schemas.openxmlformats.org/officeDocument/2006/relationships/hyperlink" Target="https://en.wikipedia.org/wiki/Soluble" TargetMode="External"/><Relationship Id="rId45" Type="http://schemas.openxmlformats.org/officeDocument/2006/relationships/hyperlink" Target="https://en.wikipedia.org/wiki/Gastric_acid" TargetMode="External"/><Relationship Id="rId53" Type="http://schemas.openxmlformats.org/officeDocument/2006/relationships/hyperlink" Target="https://en.wikipedia.org/wiki/Molecular_mass" TargetMode="External"/><Relationship Id="rId58" Type="http://schemas.openxmlformats.org/officeDocument/2006/relationships/hyperlink" Target="https://en.wikipedia.org/wiki/Cytotoxicity" TargetMode="External"/><Relationship Id="rId66" Type="http://schemas.openxmlformats.org/officeDocument/2006/relationships/hyperlink" Target="https://en.wikipedia.org/wiki/Llama" TargetMode="External"/><Relationship Id="rId74" Type="http://schemas.openxmlformats.org/officeDocument/2006/relationships/hyperlink" Target="https://en.wikipedia.org/wiki/Ribosome_display" TargetMode="External"/><Relationship Id="rId79" Type="http://schemas.openxmlformats.org/officeDocument/2006/relationships/hyperlink" Target="https://en.wikipedia.org/wiki/Homology_%28biology%29" TargetMode="External"/><Relationship Id="rId87" Type="http://schemas.openxmlformats.org/officeDocument/2006/relationships/hyperlink" Target="https://en.wikipedia.org/wiki/Single-domain_antibody" TargetMode="External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en.wikipedia.org/wiki/Single-domain_antibody" TargetMode="External"/><Relationship Id="rId82" Type="http://schemas.openxmlformats.org/officeDocument/2006/relationships/hyperlink" Target="https://en.wikipedia.org/wiki/E._coli" TargetMode="External"/><Relationship Id="rId19" Type="http://schemas.openxmlformats.org/officeDocument/2006/relationships/hyperlink" Target="https://en.wikipedia.org/wiki/K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4" Type="http://schemas.openxmlformats.org/officeDocument/2006/relationships/hyperlink" Target="https://en.wikipedia.org/wiki/Single-domain_antibody" TargetMode="External"/><Relationship Id="rId22" Type="http://schemas.openxmlformats.org/officeDocument/2006/relationships/hyperlink" Target="https://en.wikipedia.org/wiki/Fab_fragment" TargetMode="External"/><Relationship Id="rId27" Type="http://schemas.openxmlformats.org/officeDocument/2006/relationships/hyperlink" Target="https://en.wikipedia.org/wiki/Cartilaginous_fishes" TargetMode="External"/><Relationship Id="rId30" Type="http://schemas.openxmlformats.org/officeDocument/2006/relationships/hyperlink" Target="https://en.wikipedia.org/wiki/Acute_coronary_syndrome" TargetMode="External"/><Relationship Id="rId35" Type="http://schemas.openxmlformats.org/officeDocument/2006/relationships/hyperlink" Target="https://en.wikipedia.org/wiki/Peptide" TargetMode="External"/><Relationship Id="rId43" Type="http://schemas.openxmlformats.org/officeDocument/2006/relationships/hyperlink" Target="https://en.wikipedia.org/wiki/Single-domain_antibody" TargetMode="External"/><Relationship Id="rId48" Type="http://schemas.openxmlformats.org/officeDocument/2006/relationships/hyperlink" Target="https://en.wikipedia.org/wiki/Single-domain_antibody" TargetMode="External"/><Relationship Id="rId56" Type="http://schemas.openxmlformats.org/officeDocument/2006/relationships/hyperlink" Target="https://en.wikipedia.org/wiki/Single-domain_antibody" TargetMode="External"/><Relationship Id="rId64" Type="http://schemas.openxmlformats.org/officeDocument/2006/relationships/hyperlink" Target="https://en.wikipedia.org/wiki/Dromedaries" TargetMode="External"/><Relationship Id="rId69" Type="http://schemas.openxmlformats.org/officeDocument/2006/relationships/hyperlink" Target="https://en.wikipedia.org/wiki/MRNA" TargetMode="External"/><Relationship Id="rId77" Type="http://schemas.openxmlformats.org/officeDocument/2006/relationships/hyperlink" Target="https://en.wikipedia.org/wiki/DNA_sequence" TargetMode="External"/><Relationship Id="rId8" Type="http://schemas.openxmlformats.org/officeDocument/2006/relationships/hyperlink" Target="mailto:drmonazaki@yahoo.con" TargetMode="External"/><Relationship Id="rId51" Type="http://schemas.openxmlformats.org/officeDocument/2006/relationships/hyperlink" Target="http://cdn2.bigcommerce.com/server5600/9d01c/product_images/uploaded_images/timeline-nab-3.png" TargetMode="External"/><Relationship Id="rId72" Type="http://schemas.openxmlformats.org/officeDocument/2006/relationships/hyperlink" Target="https://en.wikipedia.org/wiki/Clone_%28genetics%29" TargetMode="External"/><Relationship Id="rId80" Type="http://schemas.openxmlformats.org/officeDocument/2006/relationships/hyperlink" Target="https://en.wikipedia.org/wiki/Single-domain_antibody" TargetMode="External"/><Relationship Id="rId85" Type="http://schemas.openxmlformats.org/officeDocument/2006/relationships/hyperlink" Target="https://en.wikipedia.org/wiki/Single-domain_antibody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en.wikipedia.org/wiki/Variable_region" TargetMode="External"/><Relationship Id="rId25" Type="http://schemas.openxmlformats.org/officeDocument/2006/relationships/hyperlink" Target="https://en.wikipedia.org/wiki/Heavy-chain_antibodies" TargetMode="External"/><Relationship Id="rId33" Type="http://schemas.openxmlformats.org/officeDocument/2006/relationships/hyperlink" Target="http://cdn1.bigcommerce.com/server5600/9d01c/product_images/uploaded_images/gfp-nab-gel.jpg" TargetMode="External"/><Relationship Id="rId38" Type="http://schemas.openxmlformats.org/officeDocument/2006/relationships/hyperlink" Target="https://en.wikipedia.org/wiki/Urea" TargetMode="External"/><Relationship Id="rId46" Type="http://schemas.openxmlformats.org/officeDocument/2006/relationships/hyperlink" Target="https://en.wikipedia.org/wiki/Proteases" TargetMode="External"/><Relationship Id="rId59" Type="http://schemas.openxmlformats.org/officeDocument/2006/relationships/hyperlink" Target="https://en.wikipedia.org/wiki/Fc_region" TargetMode="External"/><Relationship Id="rId67" Type="http://schemas.openxmlformats.org/officeDocument/2006/relationships/hyperlink" Target="https://en.wikipedia.org/wiki/Alpaca" TargetMode="External"/><Relationship Id="rId20" Type="http://schemas.openxmlformats.org/officeDocument/2006/relationships/hyperlink" Target="https://en.wikipedia.org/wiki/Immunoglobulin_heavy_chain" TargetMode="External"/><Relationship Id="rId41" Type="http://schemas.openxmlformats.org/officeDocument/2006/relationships/hyperlink" Target="https://en.wikipedia.org/wiki/Complementarity_determining_region" TargetMode="External"/><Relationship Id="rId54" Type="http://schemas.openxmlformats.org/officeDocument/2006/relationships/hyperlink" Target="https://en.wikipedia.org/wiki/Biological_half-life" TargetMode="External"/><Relationship Id="rId62" Type="http://schemas.openxmlformats.org/officeDocument/2006/relationships/hyperlink" Target="https://en.wikipedia.org/wiki/File:Heavy_chain_and_common_antibody.svg" TargetMode="External"/><Relationship Id="rId70" Type="http://schemas.openxmlformats.org/officeDocument/2006/relationships/hyperlink" Target="https://en.wikipedia.org/wiki/Transcription_%28genetics%29" TargetMode="External"/><Relationship Id="rId75" Type="http://schemas.openxmlformats.org/officeDocument/2006/relationships/hyperlink" Target="https://en.wikipedia.org/wiki/Affinity_maturation" TargetMode="External"/><Relationship Id="rId83" Type="http://schemas.openxmlformats.org/officeDocument/2006/relationships/hyperlink" Target="https://en.wikipedia.org/wiki/Saccharomyces_cerevisiae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.wikipedia.org/wiki/Antibody" TargetMode="External"/><Relationship Id="rId23" Type="http://schemas.openxmlformats.org/officeDocument/2006/relationships/hyperlink" Target="https://en.wikipedia.org/wiki/Single-chain_variable_fragment" TargetMode="External"/><Relationship Id="rId28" Type="http://schemas.openxmlformats.org/officeDocument/2006/relationships/hyperlink" Target="https://en.wikipedia.org/wiki/Immunoglobulin_G" TargetMode="External"/><Relationship Id="rId36" Type="http://schemas.openxmlformats.org/officeDocument/2006/relationships/hyperlink" Target="https://en.wikipedia.org/wiki/Amino_acid" TargetMode="External"/><Relationship Id="rId49" Type="http://schemas.openxmlformats.org/officeDocument/2006/relationships/hyperlink" Target="https://en.wikipedia.org/wiki/Single-domain_antibody" TargetMode="External"/><Relationship Id="rId57" Type="http://schemas.openxmlformats.org/officeDocument/2006/relationships/hyperlink" Target="https://en.wikipedia.org/wiki/Complement_system" TargetMode="External"/><Relationship Id="rId10" Type="http://schemas.openxmlformats.org/officeDocument/2006/relationships/hyperlink" Target="http://www.dx.doi.org/10.7537/marsrsj110719.05" TargetMode="External"/><Relationship Id="rId31" Type="http://schemas.openxmlformats.org/officeDocument/2006/relationships/hyperlink" Target="https://en.wikipedia.org/wiki/Cancer" TargetMode="External"/><Relationship Id="rId44" Type="http://schemas.openxmlformats.org/officeDocument/2006/relationships/hyperlink" Target="https://en.wikipedia.org/wiki/Single-domain_antibody" TargetMode="External"/><Relationship Id="rId52" Type="http://schemas.openxmlformats.org/officeDocument/2006/relationships/image" Target="media/image2.png"/><Relationship Id="rId60" Type="http://schemas.openxmlformats.org/officeDocument/2006/relationships/hyperlink" Target="https://en.wikipedia.org/wiki/Enzyme" TargetMode="External"/><Relationship Id="rId65" Type="http://schemas.openxmlformats.org/officeDocument/2006/relationships/hyperlink" Target="https://en.wikipedia.org/wiki/Camel" TargetMode="External"/><Relationship Id="rId73" Type="http://schemas.openxmlformats.org/officeDocument/2006/relationships/hyperlink" Target="https://en.wikipedia.org/wiki/Phage_display" TargetMode="External"/><Relationship Id="rId78" Type="http://schemas.openxmlformats.org/officeDocument/2006/relationships/hyperlink" Target="https://en.wikipedia.org/wiki/Humanized_antibody" TargetMode="External"/><Relationship Id="rId81" Type="http://schemas.openxmlformats.org/officeDocument/2006/relationships/hyperlink" Target="https://en.wikipedia.org/wiki/Translation_%28genetics%29" TargetMode="External"/><Relationship Id="rId86" Type="http://schemas.openxmlformats.org/officeDocument/2006/relationships/hyperlink" Target="https://en.wikipedia.org/wiki/Protein_dim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B79AF-B6D0-4828-838D-A5590D7B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11360</Words>
  <Characters>64755</Characters>
  <Application>Microsoft Office Word</Application>
  <DocSecurity>0</DocSecurity>
  <Lines>539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Hussien</dc:creator>
  <cp:lastModifiedBy>Administrator</cp:lastModifiedBy>
  <cp:revision>3</cp:revision>
  <cp:lastPrinted>2016-01-05T16:49:00Z</cp:lastPrinted>
  <dcterms:created xsi:type="dcterms:W3CDTF">2019-07-11T14:46:00Z</dcterms:created>
  <dcterms:modified xsi:type="dcterms:W3CDTF">2019-07-12T04:52:00Z</dcterms:modified>
</cp:coreProperties>
</file>