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70F" w:rsidRPr="00D06DB3" w:rsidRDefault="00BB62EF" w:rsidP="00DF4EBA">
      <w:pPr>
        <w:suppressAutoHyphens w:val="0"/>
        <w:snapToGrid w:val="0"/>
        <w:jc w:val="center"/>
        <w:rPr>
          <w:b/>
          <w:sz w:val="20"/>
          <w:szCs w:val="20"/>
        </w:rPr>
      </w:pPr>
      <w:r w:rsidRPr="00D06DB3">
        <w:rPr>
          <w:b/>
          <w:sz w:val="20"/>
          <w:szCs w:val="20"/>
        </w:rPr>
        <w:t xml:space="preserve">Diagnostics And Identification Of Conditions Of Effectiveness Of The Process Of Preparation For Pedagogical Activity Of Students On The Direction Of "Professional Education" </w:t>
      </w:r>
    </w:p>
    <w:p w:rsidR="00AB370F" w:rsidRPr="00D06DB3" w:rsidRDefault="00AB370F" w:rsidP="00DF4EBA">
      <w:pPr>
        <w:suppressAutoHyphens w:val="0"/>
        <w:snapToGrid w:val="0"/>
        <w:jc w:val="center"/>
        <w:rPr>
          <w:b/>
          <w:sz w:val="20"/>
          <w:szCs w:val="20"/>
        </w:rPr>
      </w:pPr>
    </w:p>
    <w:p w:rsidR="00AB370F" w:rsidRPr="00D06DB3" w:rsidRDefault="00BB62EF" w:rsidP="00DF4EBA">
      <w:pPr>
        <w:suppressAutoHyphens w:val="0"/>
        <w:snapToGrid w:val="0"/>
        <w:jc w:val="center"/>
        <w:rPr>
          <w:sz w:val="20"/>
          <w:szCs w:val="20"/>
          <w:lang w:eastAsia="zh-CN"/>
        </w:rPr>
      </w:pPr>
      <w:r w:rsidRPr="00D06DB3">
        <w:rPr>
          <w:sz w:val="20"/>
          <w:szCs w:val="20"/>
        </w:rPr>
        <w:t xml:space="preserve">Abdullayeva Ozoda Safibullayevna </w:t>
      </w:r>
    </w:p>
    <w:p w:rsidR="00AB370F" w:rsidRPr="00D06DB3" w:rsidRDefault="00AB370F" w:rsidP="00DF4EBA">
      <w:pPr>
        <w:suppressAutoHyphens w:val="0"/>
        <w:snapToGrid w:val="0"/>
        <w:jc w:val="center"/>
        <w:rPr>
          <w:sz w:val="20"/>
          <w:szCs w:val="20"/>
          <w:lang w:eastAsia="zh-CN"/>
        </w:rPr>
      </w:pPr>
    </w:p>
    <w:p w:rsidR="00BB62EF" w:rsidRPr="00D06DB3" w:rsidRDefault="00BB62EF" w:rsidP="00DF4EBA">
      <w:pPr>
        <w:suppressAutoHyphens w:val="0"/>
        <w:snapToGrid w:val="0"/>
        <w:jc w:val="center"/>
        <w:rPr>
          <w:sz w:val="20"/>
          <w:szCs w:val="20"/>
        </w:rPr>
      </w:pPr>
      <w:r w:rsidRPr="00D06DB3">
        <w:rPr>
          <w:sz w:val="20"/>
          <w:szCs w:val="20"/>
        </w:rPr>
        <w:t xml:space="preserve">Doctor of Philosophy (PhD) in Pedagogical Sciences Associate Professor of the Namangan Engineering Construction Institute 700096, Namangan, Uzbekistan </w:t>
      </w:r>
    </w:p>
    <w:p w:rsidR="00AB370F" w:rsidRPr="00D06DB3" w:rsidRDefault="009F6311" w:rsidP="00DF4EBA">
      <w:pPr>
        <w:suppressAutoHyphens w:val="0"/>
        <w:snapToGrid w:val="0"/>
        <w:jc w:val="center"/>
        <w:rPr>
          <w:sz w:val="20"/>
          <w:szCs w:val="20"/>
          <w:lang w:eastAsia="zh-CN"/>
        </w:rPr>
      </w:pPr>
      <w:hyperlink r:id="rId7" w:history="1">
        <w:r w:rsidR="00FC6B9B" w:rsidRPr="00D06DB3">
          <w:rPr>
            <w:rStyle w:val="Hyperlink"/>
            <w:sz w:val="20"/>
            <w:szCs w:val="20"/>
          </w:rPr>
          <w:t>aspirantka.030@gmail.com</w:t>
        </w:r>
      </w:hyperlink>
      <w:r w:rsidR="00FC6B9B" w:rsidRPr="00D06DB3">
        <w:rPr>
          <w:sz w:val="20"/>
          <w:szCs w:val="20"/>
          <w:lang w:eastAsia="zh-CN"/>
        </w:rPr>
        <w:t xml:space="preserve"> </w:t>
      </w:r>
    </w:p>
    <w:p w:rsidR="00AB370F" w:rsidRPr="00D06DB3" w:rsidRDefault="00AB370F" w:rsidP="00DF4EBA">
      <w:pPr>
        <w:suppressAutoHyphens w:val="0"/>
        <w:snapToGrid w:val="0"/>
        <w:jc w:val="center"/>
        <w:rPr>
          <w:sz w:val="20"/>
          <w:szCs w:val="20"/>
          <w:lang w:eastAsia="zh-CN"/>
        </w:rPr>
      </w:pPr>
    </w:p>
    <w:p w:rsidR="005D1DA6" w:rsidRPr="00D06DB3" w:rsidRDefault="00471E57" w:rsidP="00DF4EBA">
      <w:pPr>
        <w:suppressAutoHyphens w:val="0"/>
        <w:snapToGrid w:val="0"/>
        <w:jc w:val="both"/>
        <w:rPr>
          <w:sz w:val="20"/>
          <w:szCs w:val="20"/>
        </w:rPr>
      </w:pPr>
      <w:r w:rsidRPr="00D06DB3">
        <w:rPr>
          <w:b/>
          <w:sz w:val="20"/>
          <w:szCs w:val="20"/>
        </w:rPr>
        <w:t xml:space="preserve">Abstract: </w:t>
      </w:r>
      <w:r w:rsidR="00BB62EF" w:rsidRPr="00D06DB3">
        <w:rPr>
          <w:sz w:val="20"/>
          <w:szCs w:val="20"/>
        </w:rPr>
        <w:t>In the article presents the results of an ascertaining experiment on problems in the field of the preparation process for the pedagogical activities of students in the direction of "Professional education ". The author analyzes the effectiveness of the preparatory process for teaching activities, identifies factors that contribute to improving the preparation of students in the direction of "Professional education " for future teaching activities. In the article the diagnostics of revealing readiness for pedagogical activity on a measuring instrument (indicators) is given. The quality of education was monitored, on the basis of which indicators for the following evaluation objects were developed and tested: educational activities; extracurricular activities; the quality of the conditions for ensuring the educational process. Their use in the process of experimental and experimental work is also considered. The results of the determination of readiness for pedagogical activity on combined levels of assessment are summarized.</w:t>
      </w:r>
    </w:p>
    <w:p w:rsidR="00FF5829" w:rsidRPr="00D06DB3" w:rsidRDefault="00D778C9" w:rsidP="00DF4EBA">
      <w:pPr>
        <w:suppressAutoHyphens w:val="0"/>
        <w:snapToGrid w:val="0"/>
        <w:jc w:val="both"/>
        <w:rPr>
          <w:sz w:val="20"/>
          <w:szCs w:val="20"/>
          <w:lang w:eastAsia="zh-CN"/>
        </w:rPr>
      </w:pPr>
      <w:r w:rsidRPr="00D06DB3">
        <w:rPr>
          <w:color w:val="000000"/>
          <w:sz w:val="20"/>
          <w:szCs w:val="20"/>
        </w:rPr>
        <w:t>[</w:t>
      </w:r>
      <w:r w:rsidR="00BB62EF" w:rsidRPr="00D06DB3">
        <w:rPr>
          <w:sz w:val="20"/>
          <w:szCs w:val="20"/>
        </w:rPr>
        <w:t>Abdullayeva O.S.</w:t>
      </w:r>
      <w:r w:rsidRPr="00D06DB3">
        <w:rPr>
          <w:sz w:val="20"/>
          <w:szCs w:val="20"/>
        </w:rPr>
        <w:t xml:space="preserve"> </w:t>
      </w:r>
      <w:r w:rsidR="00BB62EF" w:rsidRPr="00D06DB3">
        <w:rPr>
          <w:b/>
          <w:sz w:val="20"/>
          <w:szCs w:val="20"/>
        </w:rPr>
        <w:t>Diagnostics And Identification Of Conditions Of Effectiveness Of The Process Of Preparation For Pedagogical Activity Of Students On The Direction Of "Professional Education"</w:t>
      </w:r>
      <w:r w:rsidR="00FF5829" w:rsidRPr="00D06DB3">
        <w:rPr>
          <w:rFonts w:eastAsia="Times New Roman"/>
          <w:b/>
          <w:bCs/>
          <w:sz w:val="20"/>
          <w:szCs w:val="20"/>
          <w:lang w:bidi="fa-IR"/>
        </w:rPr>
        <w:t>.</w:t>
      </w:r>
      <w:r w:rsidR="00FF5829" w:rsidRPr="00D06DB3">
        <w:rPr>
          <w:bCs/>
          <w:i/>
          <w:sz w:val="20"/>
          <w:szCs w:val="20"/>
        </w:rPr>
        <w:t xml:space="preserve"> Researcher</w:t>
      </w:r>
      <w:r w:rsidR="00FF5829" w:rsidRPr="00D06DB3">
        <w:rPr>
          <w:bCs/>
          <w:sz w:val="20"/>
          <w:szCs w:val="20"/>
        </w:rPr>
        <w:t xml:space="preserve"> 2019;11(10):</w:t>
      </w:r>
      <w:r w:rsidR="00CA29AE" w:rsidRPr="00D06DB3">
        <w:rPr>
          <w:noProof/>
          <w:color w:val="000000"/>
          <w:sz w:val="20"/>
          <w:szCs w:val="20"/>
        </w:rPr>
        <w:t>9-13</w:t>
      </w:r>
      <w:r w:rsidR="00FF5829" w:rsidRPr="00D06DB3">
        <w:rPr>
          <w:bCs/>
          <w:sz w:val="20"/>
          <w:szCs w:val="20"/>
        </w:rPr>
        <w:t xml:space="preserve">]. </w:t>
      </w:r>
      <w:r w:rsidR="00FF5829" w:rsidRPr="00D06DB3">
        <w:rPr>
          <w:sz w:val="20"/>
          <w:szCs w:val="20"/>
        </w:rPr>
        <w:t>ISSN 1553-9865 (print); ISSN 2163-8950 (online)</w:t>
      </w:r>
      <w:r w:rsidR="00FF5829" w:rsidRPr="00D06DB3">
        <w:rPr>
          <w:bCs/>
          <w:sz w:val="20"/>
          <w:szCs w:val="20"/>
        </w:rPr>
        <w:t xml:space="preserve">. </w:t>
      </w:r>
      <w:hyperlink r:id="rId8" w:history="1">
        <w:r w:rsidR="00FF5829" w:rsidRPr="00D06DB3">
          <w:rPr>
            <w:rStyle w:val="Hyperlink"/>
            <w:sz w:val="20"/>
            <w:szCs w:val="20"/>
          </w:rPr>
          <w:t>http://www.sciencepub.net/researcher</w:t>
        </w:r>
      </w:hyperlink>
      <w:r w:rsidR="00FF5829" w:rsidRPr="00D06DB3">
        <w:rPr>
          <w:bCs/>
          <w:sz w:val="20"/>
          <w:szCs w:val="20"/>
        </w:rPr>
        <w:t xml:space="preserve">. </w:t>
      </w:r>
      <w:r w:rsidR="00DF4EBA" w:rsidRPr="00D06DB3">
        <w:rPr>
          <w:bCs/>
          <w:sz w:val="20"/>
          <w:szCs w:val="20"/>
          <w:lang w:eastAsia="zh-CN"/>
        </w:rPr>
        <w:t>2</w:t>
      </w:r>
      <w:r w:rsidR="00FF5829" w:rsidRPr="00D06DB3">
        <w:rPr>
          <w:bCs/>
          <w:sz w:val="20"/>
          <w:szCs w:val="20"/>
        </w:rPr>
        <w:t xml:space="preserve">. </w:t>
      </w:r>
      <w:r w:rsidR="00FF5829" w:rsidRPr="00D06DB3">
        <w:rPr>
          <w:color w:val="000000"/>
          <w:sz w:val="20"/>
          <w:szCs w:val="20"/>
          <w:shd w:val="clear" w:color="auto" w:fill="FFFFFF"/>
        </w:rPr>
        <w:t>doi:</w:t>
      </w:r>
      <w:hyperlink r:id="rId9" w:history="1">
        <w:r w:rsidR="00FF5829" w:rsidRPr="00D06DB3">
          <w:rPr>
            <w:rStyle w:val="Hyperlink"/>
            <w:sz w:val="20"/>
            <w:szCs w:val="20"/>
            <w:shd w:val="clear" w:color="auto" w:fill="FFFFFF"/>
          </w:rPr>
          <w:t>10.7537/marsrsj111019.0</w:t>
        </w:r>
        <w:r w:rsidR="00DF4EBA" w:rsidRPr="00D06DB3">
          <w:rPr>
            <w:rStyle w:val="Hyperlink"/>
            <w:sz w:val="20"/>
            <w:szCs w:val="20"/>
            <w:shd w:val="clear" w:color="auto" w:fill="FFFFFF"/>
            <w:lang w:eastAsia="zh-CN"/>
          </w:rPr>
          <w:t>2</w:t>
        </w:r>
      </w:hyperlink>
      <w:r w:rsidR="00FF5829" w:rsidRPr="00D06DB3">
        <w:rPr>
          <w:color w:val="000000"/>
          <w:sz w:val="20"/>
          <w:szCs w:val="20"/>
          <w:shd w:val="clear" w:color="auto" w:fill="FFFFFF"/>
        </w:rPr>
        <w:t>.</w:t>
      </w:r>
    </w:p>
    <w:p w:rsidR="001817C7" w:rsidRPr="00D06DB3" w:rsidRDefault="001817C7" w:rsidP="00DF4EBA">
      <w:pPr>
        <w:suppressAutoHyphens w:val="0"/>
        <w:snapToGrid w:val="0"/>
        <w:jc w:val="both"/>
        <w:rPr>
          <w:sz w:val="20"/>
          <w:szCs w:val="20"/>
        </w:rPr>
      </w:pPr>
    </w:p>
    <w:p w:rsidR="001817C7" w:rsidRPr="00D06DB3" w:rsidRDefault="001817C7" w:rsidP="00DF4EBA">
      <w:pPr>
        <w:suppressAutoHyphens w:val="0"/>
        <w:snapToGrid w:val="0"/>
        <w:jc w:val="both"/>
        <w:rPr>
          <w:sz w:val="20"/>
          <w:szCs w:val="20"/>
        </w:rPr>
      </w:pPr>
      <w:r w:rsidRPr="00D06DB3">
        <w:rPr>
          <w:b/>
          <w:sz w:val="20"/>
          <w:szCs w:val="20"/>
        </w:rPr>
        <w:t xml:space="preserve">Keywords: </w:t>
      </w:r>
      <w:r w:rsidR="00BB62EF" w:rsidRPr="00D06DB3">
        <w:rPr>
          <w:sz w:val="20"/>
          <w:szCs w:val="20"/>
          <w:lang w:val="uz-Cyrl-UZ"/>
        </w:rPr>
        <w:t>pedagogical activity, teacher, student, vocational education, methodology, criteria, levels, experiment, indicators.</w:t>
      </w:r>
    </w:p>
    <w:p w:rsidR="001817C7" w:rsidRPr="00D06DB3" w:rsidRDefault="001817C7" w:rsidP="00DF4EBA">
      <w:pPr>
        <w:suppressAutoHyphens w:val="0"/>
        <w:snapToGrid w:val="0"/>
        <w:ind w:firstLine="425"/>
        <w:jc w:val="both"/>
        <w:rPr>
          <w:sz w:val="20"/>
          <w:szCs w:val="20"/>
        </w:rPr>
      </w:pPr>
    </w:p>
    <w:p w:rsidR="00DF4EBA" w:rsidRPr="00D06DB3" w:rsidRDefault="00DF4EBA" w:rsidP="00DF4EBA">
      <w:pPr>
        <w:suppressAutoHyphens w:val="0"/>
        <w:snapToGrid w:val="0"/>
        <w:jc w:val="both"/>
        <w:rPr>
          <w:b/>
          <w:sz w:val="20"/>
          <w:szCs w:val="20"/>
        </w:rPr>
        <w:sectPr w:rsidR="00DF4EBA" w:rsidRPr="00D06DB3" w:rsidSect="00CA29AE">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9"/>
          <w:cols w:space="720"/>
          <w:docGrid w:linePitch="360"/>
        </w:sectPr>
      </w:pPr>
    </w:p>
    <w:p w:rsidR="00471E57" w:rsidRPr="00D06DB3" w:rsidRDefault="00471E57" w:rsidP="00DF4EBA">
      <w:pPr>
        <w:suppressAutoHyphens w:val="0"/>
        <w:snapToGrid w:val="0"/>
        <w:jc w:val="both"/>
        <w:rPr>
          <w:b/>
          <w:sz w:val="20"/>
          <w:szCs w:val="20"/>
        </w:rPr>
      </w:pPr>
      <w:r w:rsidRPr="00D06DB3">
        <w:rPr>
          <w:b/>
          <w:sz w:val="20"/>
          <w:szCs w:val="20"/>
        </w:rPr>
        <w:lastRenderedPageBreak/>
        <w:t>1. Introduction</w:t>
      </w:r>
    </w:p>
    <w:p w:rsidR="00BB62EF" w:rsidRPr="00D06DB3" w:rsidRDefault="00BB62EF" w:rsidP="00DF4EBA">
      <w:pPr>
        <w:suppressAutoHyphens w:val="0"/>
        <w:snapToGrid w:val="0"/>
        <w:ind w:firstLine="425"/>
        <w:jc w:val="both"/>
        <w:rPr>
          <w:sz w:val="20"/>
          <w:szCs w:val="20"/>
        </w:rPr>
      </w:pPr>
      <w:r w:rsidRPr="00D06DB3">
        <w:rPr>
          <w:sz w:val="20"/>
          <w:szCs w:val="20"/>
        </w:rPr>
        <w:t>In modern situations, the content of the pedagogical activity of the teacher of vocational education is changing dramatically, as the methods and methods of teaching develop rapidly. The effectiveness of teaching methods and technologies is determined, above all, by ensuring a new quality of education, when the result of education is the competence of the teacher in various spheres of life. Such a result is reachable if a graduate is ready to carry out educational activities. The readiness of students for pedagogical activity helps to successfully use knowledge and skills, maintain self-control and restructure themselves when unforeseen obstacles appear in the future. Improving the efficiency of the process of preparing students for pedagogical activity in the direction of vocational education serves as a means and goal of the methodical and substantive development of pedagogical processes in secondary specialized vocational educational institutions.</w:t>
      </w:r>
    </w:p>
    <w:p w:rsidR="00BB62EF" w:rsidRPr="00D06DB3" w:rsidRDefault="00BB62EF" w:rsidP="00DF4EBA">
      <w:pPr>
        <w:suppressAutoHyphens w:val="0"/>
        <w:snapToGrid w:val="0"/>
        <w:ind w:firstLine="425"/>
        <w:jc w:val="both"/>
        <w:rPr>
          <w:sz w:val="20"/>
          <w:szCs w:val="20"/>
        </w:rPr>
      </w:pPr>
      <w:r w:rsidRPr="00D06DB3">
        <w:rPr>
          <w:sz w:val="20"/>
          <w:szCs w:val="20"/>
        </w:rPr>
        <w:t>Based on the current relevance, there is a necessity for a scientific substantiation and improvement of the measuring tool for determining readiness and identifying conditions for improving the efficiency of the preparation process for students' pedagogical activities in the Vocational Education direction. To achieve the goal of the study, the author of this article solved the following tasks:</w:t>
      </w:r>
    </w:p>
    <w:p w:rsidR="00BB62EF" w:rsidRPr="00D06DB3" w:rsidRDefault="00BB62EF" w:rsidP="00DF4EBA">
      <w:pPr>
        <w:suppressAutoHyphens w:val="0"/>
        <w:snapToGrid w:val="0"/>
        <w:ind w:firstLine="425"/>
        <w:jc w:val="both"/>
        <w:rPr>
          <w:sz w:val="20"/>
          <w:szCs w:val="20"/>
        </w:rPr>
      </w:pPr>
      <w:r w:rsidRPr="00D06DB3">
        <w:rPr>
          <w:sz w:val="20"/>
          <w:szCs w:val="20"/>
        </w:rPr>
        <w:t>- improve indicators (indicators) of students' readiness for teaching activities;</w:t>
      </w:r>
    </w:p>
    <w:p w:rsidR="00BB62EF" w:rsidRPr="00D06DB3" w:rsidRDefault="00BB62EF" w:rsidP="00DF4EBA">
      <w:pPr>
        <w:suppressAutoHyphens w:val="0"/>
        <w:snapToGrid w:val="0"/>
        <w:ind w:firstLine="425"/>
        <w:jc w:val="both"/>
        <w:rPr>
          <w:sz w:val="20"/>
          <w:szCs w:val="20"/>
        </w:rPr>
      </w:pPr>
      <w:r w:rsidRPr="00D06DB3">
        <w:rPr>
          <w:sz w:val="20"/>
          <w:szCs w:val="20"/>
        </w:rPr>
        <w:lastRenderedPageBreak/>
        <w:t>- to determine the level of readiness of students in the direction of "Professional education in the field of organization and management of pedagogical processes;</w:t>
      </w:r>
    </w:p>
    <w:p w:rsidR="00BB62EF" w:rsidRPr="00D06DB3" w:rsidRDefault="00BB62EF" w:rsidP="00DF4EBA">
      <w:pPr>
        <w:suppressAutoHyphens w:val="0"/>
        <w:snapToGrid w:val="0"/>
        <w:ind w:firstLine="425"/>
        <w:jc w:val="both"/>
        <w:rPr>
          <w:sz w:val="20"/>
          <w:szCs w:val="20"/>
        </w:rPr>
      </w:pPr>
      <w:r w:rsidRPr="00D06DB3">
        <w:rPr>
          <w:sz w:val="20"/>
          <w:szCs w:val="20"/>
        </w:rPr>
        <w:t>- to study the effectiveness of pedagogical processes organized by young professionals;</w:t>
      </w:r>
    </w:p>
    <w:p w:rsidR="00471E57" w:rsidRPr="00D06DB3" w:rsidRDefault="00BB62EF" w:rsidP="00DF4EBA">
      <w:pPr>
        <w:suppressAutoHyphens w:val="0"/>
        <w:snapToGrid w:val="0"/>
        <w:ind w:firstLine="425"/>
        <w:jc w:val="both"/>
        <w:rPr>
          <w:sz w:val="20"/>
          <w:szCs w:val="20"/>
        </w:rPr>
      </w:pPr>
      <w:r w:rsidRPr="00D06DB3">
        <w:rPr>
          <w:sz w:val="20"/>
          <w:szCs w:val="20"/>
        </w:rPr>
        <w:t>- identify the influencing factors on the effectiveness of pedagogical processes.</w:t>
      </w:r>
    </w:p>
    <w:p w:rsidR="00EB51F4" w:rsidRPr="00D06DB3" w:rsidRDefault="00EB51F4" w:rsidP="00DF4EBA">
      <w:pPr>
        <w:suppressAutoHyphens w:val="0"/>
        <w:snapToGrid w:val="0"/>
        <w:jc w:val="both"/>
        <w:rPr>
          <w:b/>
          <w:sz w:val="20"/>
          <w:szCs w:val="20"/>
        </w:rPr>
      </w:pPr>
    </w:p>
    <w:p w:rsidR="00471E57" w:rsidRPr="00D06DB3" w:rsidRDefault="00471E57" w:rsidP="00DF4EBA">
      <w:pPr>
        <w:suppressAutoHyphens w:val="0"/>
        <w:snapToGrid w:val="0"/>
        <w:jc w:val="both"/>
        <w:rPr>
          <w:b/>
          <w:sz w:val="20"/>
          <w:szCs w:val="20"/>
        </w:rPr>
      </w:pPr>
      <w:r w:rsidRPr="00D06DB3">
        <w:rPr>
          <w:b/>
          <w:sz w:val="20"/>
          <w:szCs w:val="20"/>
        </w:rPr>
        <w:t xml:space="preserve">2. Material and Methods </w:t>
      </w:r>
    </w:p>
    <w:p w:rsidR="00BB62EF" w:rsidRPr="00D06DB3" w:rsidRDefault="00BB62EF" w:rsidP="00DF4EBA">
      <w:pPr>
        <w:suppressAutoHyphens w:val="0"/>
        <w:snapToGrid w:val="0"/>
        <w:ind w:firstLine="425"/>
        <w:jc w:val="both"/>
        <w:rPr>
          <w:sz w:val="20"/>
          <w:szCs w:val="20"/>
        </w:rPr>
      </w:pPr>
      <w:r w:rsidRPr="00D06DB3">
        <w:rPr>
          <w:sz w:val="20"/>
          <w:szCs w:val="20"/>
        </w:rPr>
        <w:t>At the same time, it becomes important that the measuring tools for studying readiness for the pedagogical activity of future college teachers meet several requirements:</w:t>
      </w:r>
    </w:p>
    <w:p w:rsidR="00BB62EF" w:rsidRPr="00D06DB3" w:rsidRDefault="00BB62EF" w:rsidP="00DF4EBA">
      <w:pPr>
        <w:suppressAutoHyphens w:val="0"/>
        <w:snapToGrid w:val="0"/>
        <w:ind w:firstLine="425"/>
        <w:jc w:val="both"/>
        <w:rPr>
          <w:sz w:val="20"/>
          <w:szCs w:val="20"/>
        </w:rPr>
      </w:pPr>
      <w:r w:rsidRPr="00D06DB3">
        <w:rPr>
          <w:sz w:val="20"/>
          <w:szCs w:val="20"/>
        </w:rPr>
        <w:t>• measurement methods should complement and mutually check each other;</w:t>
      </w:r>
    </w:p>
    <w:p w:rsidR="00BB62EF" w:rsidRPr="00D06DB3" w:rsidRDefault="00BB62EF" w:rsidP="00DF4EBA">
      <w:pPr>
        <w:suppressAutoHyphens w:val="0"/>
        <w:snapToGrid w:val="0"/>
        <w:ind w:firstLine="425"/>
        <w:jc w:val="both"/>
        <w:rPr>
          <w:sz w:val="20"/>
          <w:szCs w:val="20"/>
        </w:rPr>
      </w:pPr>
      <w:r w:rsidRPr="00D06DB3">
        <w:rPr>
          <w:sz w:val="20"/>
          <w:szCs w:val="20"/>
        </w:rPr>
        <w:t>• the information obtained in the course of measurement must expressly state the readiness process for the pedagogical activity of future teachers of vocational education, be objective and sufficient.</w:t>
      </w:r>
    </w:p>
    <w:p w:rsidR="00BB62EF" w:rsidRPr="00D06DB3" w:rsidRDefault="00BB62EF" w:rsidP="00DF4EBA">
      <w:pPr>
        <w:suppressAutoHyphens w:val="0"/>
        <w:snapToGrid w:val="0"/>
        <w:ind w:firstLine="425"/>
        <w:jc w:val="both"/>
        <w:rPr>
          <w:sz w:val="20"/>
          <w:szCs w:val="20"/>
        </w:rPr>
      </w:pPr>
      <w:r w:rsidRPr="00D06DB3">
        <w:rPr>
          <w:sz w:val="20"/>
          <w:szCs w:val="20"/>
        </w:rPr>
        <w:t>Based on the above requirements, we have improved the indicators as measuring tools, with the help of which it was possible, on the one hand, to determine the current state of pedagogical training of students in the Vocational Education direction, on the other hand, to determine the quality of training and education of college students to identify and resolving existing problems, the solution of which will enhance the effectiveness of the process of preparing students for pedagogical activity.</w:t>
      </w:r>
    </w:p>
    <w:p w:rsidR="00BB62EF" w:rsidRPr="00D06DB3" w:rsidRDefault="00BB62EF" w:rsidP="00DF4EBA">
      <w:pPr>
        <w:suppressAutoHyphens w:val="0"/>
        <w:snapToGrid w:val="0"/>
        <w:ind w:firstLine="425"/>
        <w:jc w:val="both"/>
        <w:rPr>
          <w:sz w:val="20"/>
          <w:szCs w:val="20"/>
        </w:rPr>
      </w:pPr>
      <w:r w:rsidRPr="00D06DB3">
        <w:rPr>
          <w:sz w:val="20"/>
          <w:szCs w:val="20"/>
        </w:rPr>
        <w:lastRenderedPageBreak/>
        <w:t>The experiment, which determines the current state of readiness for the pedagogical activities of students in the direction of "Vocational Education" and teachers of the college, was held at the Tashkent State Pedagogical University, Namangan Engineering and Construction Institute (formerly Namangan Engineering and Pedagogical Institute), Fergana and Namangan State University, Namangan Transport College and information technologies.</w:t>
      </w:r>
    </w:p>
    <w:p w:rsidR="00BB62EF" w:rsidRPr="00D06DB3" w:rsidRDefault="00BB62EF" w:rsidP="00DF4EBA">
      <w:pPr>
        <w:suppressAutoHyphens w:val="0"/>
        <w:snapToGrid w:val="0"/>
        <w:ind w:firstLine="425"/>
        <w:jc w:val="both"/>
        <w:rPr>
          <w:sz w:val="20"/>
          <w:szCs w:val="20"/>
        </w:rPr>
      </w:pPr>
      <w:r w:rsidRPr="00D06DB3">
        <w:rPr>
          <w:sz w:val="20"/>
          <w:szCs w:val="20"/>
        </w:rPr>
        <w:t>With the subjects (graduate students in the direction of "Vocational Education"), the final diagnosis was carried out and the level of readiness for teaching activities was identified, systematization, synthesis, evaluation and analysis of the results were carried out.</w:t>
      </w:r>
    </w:p>
    <w:p w:rsidR="00BB62EF" w:rsidRPr="00D06DB3" w:rsidRDefault="00BB62EF" w:rsidP="00DF4EBA">
      <w:pPr>
        <w:suppressAutoHyphens w:val="0"/>
        <w:snapToGrid w:val="0"/>
        <w:ind w:firstLine="425"/>
        <w:jc w:val="both"/>
        <w:rPr>
          <w:sz w:val="20"/>
          <w:szCs w:val="20"/>
        </w:rPr>
      </w:pPr>
      <w:r w:rsidRPr="00D06DB3">
        <w:rPr>
          <w:sz w:val="20"/>
          <w:szCs w:val="20"/>
        </w:rPr>
        <w:t>Pedagogical processes are carried out in the field of two complementary systems, that is, in the process of educational and extracurricular activities. Therefore, indicators (indicators) have been improved for the following assessment objects: educational activities; extracurricular activities; quality conditions of the educational process.</w:t>
      </w:r>
    </w:p>
    <w:p w:rsidR="00BB62EF" w:rsidRPr="00D06DB3" w:rsidRDefault="00BB62EF" w:rsidP="00DF4EBA">
      <w:pPr>
        <w:suppressAutoHyphens w:val="0"/>
        <w:snapToGrid w:val="0"/>
        <w:ind w:firstLine="425"/>
        <w:jc w:val="both"/>
        <w:rPr>
          <w:sz w:val="20"/>
          <w:szCs w:val="20"/>
        </w:rPr>
      </w:pPr>
      <w:r w:rsidRPr="00D06DB3">
        <w:rPr>
          <w:sz w:val="20"/>
          <w:szCs w:val="20"/>
        </w:rPr>
        <w:t>The complex of educational activity indicators includes: educational achievements in the subjects of the pedagogical cycle and teaching practice; educational programs defining the content of vocational education in the direction 5330200 - Computer Science and Information Technology; pedagogical skills of a teacher (pedagogical tact, pedagogical abilities, culture of speech, possession of progressive pedagogical and information technologies).</w:t>
      </w:r>
    </w:p>
    <w:p w:rsidR="00BB62EF" w:rsidRPr="00D06DB3" w:rsidRDefault="00BB62EF" w:rsidP="00DF4EBA">
      <w:pPr>
        <w:suppressAutoHyphens w:val="0"/>
        <w:snapToGrid w:val="0"/>
        <w:ind w:firstLine="425"/>
        <w:jc w:val="both"/>
        <w:rPr>
          <w:sz w:val="20"/>
          <w:szCs w:val="20"/>
        </w:rPr>
      </w:pPr>
      <w:r w:rsidRPr="00D06DB3">
        <w:rPr>
          <w:sz w:val="20"/>
          <w:szCs w:val="20"/>
        </w:rPr>
        <w:t>The complex of indicators of extracurricular activities includes: types of non-educational activities carried out by a teacher during extracurricular activities: curatorial activities, organization of circles, organization of various types of events and competitions, conferences, etc., as well as achievement of a teacher in these types of activities.</w:t>
      </w:r>
    </w:p>
    <w:p w:rsidR="00BB62EF" w:rsidRPr="00D06DB3" w:rsidRDefault="00BB62EF" w:rsidP="00DF4EBA">
      <w:pPr>
        <w:suppressAutoHyphens w:val="0"/>
        <w:snapToGrid w:val="0"/>
        <w:ind w:firstLine="425"/>
        <w:jc w:val="both"/>
        <w:rPr>
          <w:sz w:val="20"/>
          <w:szCs w:val="20"/>
        </w:rPr>
      </w:pPr>
      <w:r w:rsidRPr="00D06DB3">
        <w:rPr>
          <w:sz w:val="20"/>
          <w:szCs w:val="20"/>
        </w:rPr>
        <w:t>The complex of indicators of the conditions for ensuring the educational process includes indicators for testing the knowledge of the future teacher on the equipment of the educational process, educational and methodological support of the educational process, material and technical equipment of the educational process.</w:t>
      </w:r>
    </w:p>
    <w:p w:rsidR="00BB62EF" w:rsidRPr="00D06DB3" w:rsidRDefault="00BB62EF" w:rsidP="00DF4EBA">
      <w:pPr>
        <w:suppressAutoHyphens w:val="0"/>
        <w:snapToGrid w:val="0"/>
        <w:ind w:firstLine="425"/>
        <w:jc w:val="both"/>
        <w:rPr>
          <w:sz w:val="20"/>
          <w:szCs w:val="20"/>
        </w:rPr>
      </w:pPr>
      <w:r w:rsidRPr="00D06DB3">
        <w:rPr>
          <w:sz w:val="20"/>
          <w:szCs w:val="20"/>
        </w:rPr>
        <w:t>The above sets of indicators (indicators) characterize the main elements of the quality of education (quality of goals,</w:t>
      </w:r>
    </w:p>
    <w:p w:rsidR="00BB62EF" w:rsidRPr="00D06DB3" w:rsidRDefault="00BB62EF" w:rsidP="00DF4EBA">
      <w:pPr>
        <w:suppressAutoHyphens w:val="0"/>
        <w:snapToGrid w:val="0"/>
        <w:ind w:firstLine="425"/>
        <w:jc w:val="both"/>
        <w:rPr>
          <w:sz w:val="20"/>
          <w:szCs w:val="20"/>
        </w:rPr>
      </w:pPr>
      <w:r w:rsidRPr="00D06DB3">
        <w:rPr>
          <w:sz w:val="20"/>
          <w:szCs w:val="20"/>
        </w:rPr>
        <w:t>The above sets of indicators (indicators) characterize the main elements of the quality of education (quality of goals, quality of conditions, quality of the process, quality of results).</w:t>
      </w:r>
    </w:p>
    <w:p w:rsidR="00BB62EF" w:rsidRPr="00D06DB3" w:rsidRDefault="00BB62EF" w:rsidP="00DF4EBA">
      <w:pPr>
        <w:suppressAutoHyphens w:val="0"/>
        <w:snapToGrid w:val="0"/>
        <w:ind w:firstLine="425"/>
        <w:jc w:val="both"/>
        <w:rPr>
          <w:sz w:val="20"/>
          <w:szCs w:val="20"/>
        </w:rPr>
      </w:pPr>
      <w:r w:rsidRPr="00D06DB3">
        <w:rPr>
          <w:sz w:val="20"/>
          <w:szCs w:val="20"/>
        </w:rPr>
        <w:t xml:space="preserve">Indicators of the level of preparedness of students of higher educational institutions in the </w:t>
      </w:r>
      <w:r w:rsidRPr="00D06DB3">
        <w:rPr>
          <w:sz w:val="20"/>
          <w:szCs w:val="20"/>
        </w:rPr>
        <w:lastRenderedPageBreak/>
        <w:t>direction of "Vocational education" for future work in colleges include:</w:t>
      </w:r>
    </w:p>
    <w:p w:rsidR="00BB62EF" w:rsidRPr="00D06DB3" w:rsidRDefault="00BB62EF" w:rsidP="00DF4EBA">
      <w:pPr>
        <w:suppressAutoHyphens w:val="0"/>
        <w:snapToGrid w:val="0"/>
        <w:ind w:firstLine="425"/>
        <w:jc w:val="both"/>
        <w:rPr>
          <w:sz w:val="20"/>
          <w:szCs w:val="20"/>
        </w:rPr>
      </w:pPr>
      <w:r w:rsidRPr="00D06DB3">
        <w:rPr>
          <w:sz w:val="20"/>
          <w:szCs w:val="20"/>
        </w:rPr>
        <w:t>First, preparation for teaching activities in the subjects of the teaching cycle and teaching practice, their personal achievements in educational activities;</w:t>
      </w:r>
    </w:p>
    <w:p w:rsidR="00BB62EF" w:rsidRPr="00D06DB3" w:rsidRDefault="00BB62EF" w:rsidP="00DF4EBA">
      <w:pPr>
        <w:suppressAutoHyphens w:val="0"/>
        <w:snapToGrid w:val="0"/>
        <w:ind w:firstLine="425"/>
        <w:jc w:val="both"/>
        <w:rPr>
          <w:sz w:val="20"/>
          <w:szCs w:val="20"/>
        </w:rPr>
      </w:pPr>
      <w:r w:rsidRPr="00D06DB3">
        <w:rPr>
          <w:sz w:val="20"/>
          <w:szCs w:val="20"/>
        </w:rPr>
        <w:t>Secondly, the quality of the organization of pedagogical processes;</w:t>
      </w:r>
    </w:p>
    <w:p w:rsidR="00BB62EF" w:rsidRPr="00D06DB3" w:rsidRDefault="00BB62EF" w:rsidP="00DF4EBA">
      <w:pPr>
        <w:suppressAutoHyphens w:val="0"/>
        <w:snapToGrid w:val="0"/>
        <w:ind w:firstLine="425"/>
        <w:jc w:val="both"/>
        <w:rPr>
          <w:sz w:val="20"/>
          <w:szCs w:val="20"/>
        </w:rPr>
      </w:pPr>
      <w:r w:rsidRPr="00D06DB3">
        <w:rPr>
          <w:sz w:val="20"/>
          <w:szCs w:val="20"/>
        </w:rPr>
        <w:t>Thirdly, knowledge in the field of conditions for ensuring the educational process.</w:t>
      </w:r>
    </w:p>
    <w:p w:rsidR="00471E57" w:rsidRPr="00D06DB3" w:rsidRDefault="00BB62EF" w:rsidP="00DF4EBA">
      <w:pPr>
        <w:suppressAutoHyphens w:val="0"/>
        <w:snapToGrid w:val="0"/>
        <w:ind w:firstLine="425"/>
        <w:jc w:val="both"/>
        <w:rPr>
          <w:sz w:val="20"/>
          <w:szCs w:val="20"/>
        </w:rPr>
      </w:pPr>
      <w:r w:rsidRPr="00D06DB3">
        <w:rPr>
          <w:sz w:val="20"/>
          <w:szCs w:val="20"/>
        </w:rPr>
        <w:t>Monitoring was conducted during 2014-2017.</w:t>
      </w:r>
      <w:r w:rsidR="00471E57" w:rsidRPr="00D06DB3">
        <w:rPr>
          <w:sz w:val="20"/>
          <w:szCs w:val="20"/>
        </w:rPr>
        <w:t xml:space="preserve"> </w:t>
      </w:r>
    </w:p>
    <w:p w:rsidR="00C44596" w:rsidRPr="00D06DB3" w:rsidRDefault="00C44596" w:rsidP="00DF4EBA">
      <w:pPr>
        <w:suppressAutoHyphens w:val="0"/>
        <w:snapToGrid w:val="0"/>
        <w:ind w:firstLine="425"/>
        <w:jc w:val="both"/>
        <w:rPr>
          <w:sz w:val="20"/>
          <w:szCs w:val="20"/>
        </w:rPr>
      </w:pPr>
    </w:p>
    <w:p w:rsidR="00471E57" w:rsidRPr="00D06DB3" w:rsidRDefault="00471E57" w:rsidP="00DF4EBA">
      <w:pPr>
        <w:suppressAutoHyphens w:val="0"/>
        <w:snapToGrid w:val="0"/>
        <w:jc w:val="both"/>
        <w:rPr>
          <w:b/>
          <w:sz w:val="20"/>
          <w:szCs w:val="20"/>
        </w:rPr>
      </w:pPr>
      <w:r w:rsidRPr="00D06DB3">
        <w:rPr>
          <w:b/>
          <w:sz w:val="20"/>
          <w:szCs w:val="20"/>
        </w:rPr>
        <w:t xml:space="preserve">3. Results </w:t>
      </w:r>
    </w:p>
    <w:p w:rsidR="00BB62EF" w:rsidRPr="00D06DB3" w:rsidRDefault="00BB62EF" w:rsidP="00DF4EBA">
      <w:pPr>
        <w:suppressAutoHyphens w:val="0"/>
        <w:snapToGrid w:val="0"/>
        <w:ind w:firstLine="425"/>
        <w:jc w:val="both"/>
        <w:rPr>
          <w:sz w:val="20"/>
          <w:szCs w:val="20"/>
        </w:rPr>
      </w:pPr>
      <w:r w:rsidRPr="00D06DB3">
        <w:rPr>
          <w:sz w:val="20"/>
          <w:szCs w:val="20"/>
        </w:rPr>
        <w:t>Monitoring the quality of the results of students 'educational activities: in the subjects of the pedagogical cycle was assessed by the rating system of higher educational institutions (current, intermediate, final grades), based on which, students' performance in the subjects of the pedagogical cycle, mastery of knowledge, skills, skills according to the state educational standards on pedagogical practice by the method of questioning (according to the developed indicators).</w:t>
      </w:r>
    </w:p>
    <w:p w:rsidR="00BB62EF" w:rsidRPr="00D06DB3" w:rsidRDefault="00BB62EF" w:rsidP="00DF4EBA">
      <w:pPr>
        <w:suppressAutoHyphens w:val="0"/>
        <w:snapToGrid w:val="0"/>
        <w:ind w:firstLine="425"/>
        <w:jc w:val="both"/>
        <w:rPr>
          <w:sz w:val="20"/>
          <w:szCs w:val="20"/>
        </w:rPr>
      </w:pPr>
      <w:r w:rsidRPr="00D06DB3">
        <w:rPr>
          <w:sz w:val="20"/>
          <w:szCs w:val="20"/>
        </w:rPr>
        <w:t>Monitoring the quality of the results of extra-curricular activities was assessed by a system for collecting data on the results of extra-curricular activities, which includes two complementary systems for collecting and processing data:</w:t>
      </w:r>
    </w:p>
    <w:p w:rsidR="00BB62EF" w:rsidRPr="00D06DB3" w:rsidRDefault="00BB62EF" w:rsidP="00DF4EBA">
      <w:pPr>
        <w:suppressAutoHyphens w:val="0"/>
        <w:snapToGrid w:val="0"/>
        <w:ind w:firstLine="425"/>
        <w:jc w:val="both"/>
        <w:rPr>
          <w:sz w:val="20"/>
          <w:szCs w:val="20"/>
        </w:rPr>
      </w:pPr>
      <w:r w:rsidRPr="00D06DB3">
        <w:rPr>
          <w:sz w:val="20"/>
          <w:szCs w:val="20"/>
        </w:rPr>
        <w:t>- Questionnaires (questionnaires), which are filled by students in the direction of "Vocational Education";</w:t>
      </w:r>
    </w:p>
    <w:p w:rsidR="00BB62EF" w:rsidRPr="00D06DB3" w:rsidRDefault="00BB62EF" w:rsidP="00DF4EBA">
      <w:pPr>
        <w:suppressAutoHyphens w:val="0"/>
        <w:snapToGrid w:val="0"/>
        <w:ind w:firstLine="425"/>
        <w:jc w:val="both"/>
        <w:rPr>
          <w:sz w:val="20"/>
          <w:szCs w:val="20"/>
        </w:rPr>
      </w:pPr>
      <w:r w:rsidRPr="00D06DB3">
        <w:rPr>
          <w:sz w:val="20"/>
          <w:szCs w:val="20"/>
        </w:rPr>
        <w:t>- Questionnaires (questionnaires), filled by college teachers.</w:t>
      </w:r>
    </w:p>
    <w:p w:rsidR="00BB62EF" w:rsidRPr="00D06DB3" w:rsidRDefault="00BB62EF" w:rsidP="00DF4EBA">
      <w:pPr>
        <w:suppressAutoHyphens w:val="0"/>
        <w:snapToGrid w:val="0"/>
        <w:ind w:firstLine="425"/>
        <w:jc w:val="both"/>
        <w:rPr>
          <w:sz w:val="20"/>
          <w:szCs w:val="20"/>
        </w:rPr>
      </w:pPr>
      <w:r w:rsidRPr="00D06DB3">
        <w:rPr>
          <w:sz w:val="20"/>
          <w:szCs w:val="20"/>
        </w:rPr>
        <w:t>The quality monitoring of the educational process provision conditions was assessed by the data collection system for the educational process support conditions, which includes complementary data collection and processing systems:</w:t>
      </w:r>
    </w:p>
    <w:p w:rsidR="00BB62EF" w:rsidRPr="00D06DB3" w:rsidRDefault="00BB62EF" w:rsidP="00DF4EBA">
      <w:pPr>
        <w:suppressAutoHyphens w:val="0"/>
        <w:snapToGrid w:val="0"/>
        <w:ind w:firstLine="425"/>
        <w:jc w:val="both"/>
        <w:rPr>
          <w:sz w:val="20"/>
          <w:szCs w:val="20"/>
        </w:rPr>
      </w:pPr>
      <w:r w:rsidRPr="00D06DB3">
        <w:rPr>
          <w:sz w:val="20"/>
          <w:szCs w:val="20"/>
        </w:rPr>
        <w:t>• Questionnaires (questionnaires), which are filled by students of higher educational institutions in the direction of "Professional Education";</w:t>
      </w:r>
    </w:p>
    <w:p w:rsidR="00BB62EF" w:rsidRPr="00D06DB3" w:rsidRDefault="00BB62EF" w:rsidP="00DF4EBA">
      <w:pPr>
        <w:suppressAutoHyphens w:val="0"/>
        <w:snapToGrid w:val="0"/>
        <w:ind w:firstLine="425"/>
        <w:jc w:val="both"/>
        <w:rPr>
          <w:sz w:val="20"/>
          <w:szCs w:val="20"/>
        </w:rPr>
      </w:pPr>
      <w:r w:rsidRPr="00D06DB3">
        <w:rPr>
          <w:sz w:val="20"/>
          <w:szCs w:val="20"/>
        </w:rPr>
        <w:t>• Questionnaires (questionnaires), filled by college teachers.</w:t>
      </w:r>
    </w:p>
    <w:p w:rsidR="00BB62EF" w:rsidRPr="00D06DB3" w:rsidRDefault="00BB62EF" w:rsidP="00DF4EBA">
      <w:pPr>
        <w:suppressAutoHyphens w:val="0"/>
        <w:snapToGrid w:val="0"/>
        <w:ind w:firstLine="425"/>
        <w:jc w:val="both"/>
        <w:rPr>
          <w:sz w:val="20"/>
          <w:szCs w:val="20"/>
        </w:rPr>
      </w:pPr>
      <w:r w:rsidRPr="00D06DB3">
        <w:rPr>
          <w:sz w:val="20"/>
          <w:szCs w:val="20"/>
        </w:rPr>
        <w:t>• Questionnaires (questionnaires), filled by the administration of the college.</w:t>
      </w:r>
    </w:p>
    <w:p w:rsidR="00BB62EF" w:rsidRPr="00D06DB3" w:rsidRDefault="00BB62EF" w:rsidP="00DF4EBA">
      <w:pPr>
        <w:suppressAutoHyphens w:val="0"/>
        <w:snapToGrid w:val="0"/>
        <w:ind w:firstLine="425"/>
        <w:jc w:val="both"/>
        <w:rPr>
          <w:sz w:val="20"/>
          <w:szCs w:val="20"/>
        </w:rPr>
      </w:pPr>
      <w:r w:rsidRPr="00D06DB3">
        <w:rPr>
          <w:sz w:val="20"/>
          <w:szCs w:val="20"/>
        </w:rPr>
        <w:t>Knowledge in the field of extracurricular pedagogical activity was assessed by indicators by proposing to the student in the Vocational Education direction a set of questions for identifying the knowledge necessary to perform extracurricular pedagogical activities. The use of these questions allowed us to reveal students' knowledge of the Vocational Education direction about the role, types of extracurricular teaching activities in the professional work of a teacher of vocational education, as well as the organization and management of extracurricular educational processes.</w:t>
      </w:r>
    </w:p>
    <w:p w:rsidR="00BB62EF" w:rsidRPr="00D06DB3" w:rsidRDefault="00BB62EF" w:rsidP="00DF4EBA">
      <w:pPr>
        <w:suppressAutoHyphens w:val="0"/>
        <w:snapToGrid w:val="0"/>
        <w:ind w:firstLine="425"/>
        <w:jc w:val="both"/>
        <w:rPr>
          <w:sz w:val="20"/>
          <w:szCs w:val="20"/>
        </w:rPr>
      </w:pPr>
      <w:r w:rsidRPr="00D06DB3">
        <w:rPr>
          <w:sz w:val="20"/>
          <w:szCs w:val="20"/>
        </w:rPr>
        <w:lastRenderedPageBreak/>
        <w:t>To date, there is already a well-established rating-point system for assessing the educational activities of students in directions that determine readiness for pedagogical activity during school hours. However, the readiness of students of the “Vocational Education” direction for extracurricular activities, as a rule, does not have an objective assessment and has a serious drawback. Therefore, we have improved the indicators to determine the quality of preparation for extracurricular activities of the future college teacher - this is extremely important in development.</w:t>
      </w:r>
    </w:p>
    <w:p w:rsidR="00AB370F" w:rsidRPr="00D06DB3" w:rsidRDefault="00BB62EF" w:rsidP="00DF4EBA">
      <w:pPr>
        <w:suppressAutoHyphens w:val="0"/>
        <w:snapToGrid w:val="0"/>
        <w:ind w:firstLine="425"/>
        <w:jc w:val="both"/>
        <w:rPr>
          <w:sz w:val="20"/>
          <w:szCs w:val="20"/>
        </w:rPr>
      </w:pPr>
      <w:r w:rsidRPr="00D06DB3">
        <w:rPr>
          <w:sz w:val="20"/>
          <w:szCs w:val="20"/>
        </w:rPr>
        <w:t>Identification of knowledge necessary for the implementation of extracurricular pedagogical activities was carried out according to student surveys in the direction of "Vocational Education" after undergoing pedagogical practice. Using this method revealed students' knowledge about the role, types of extracurricular teaching activities in the professional work of a teacher of vocational education, as well as the organization and management of extracurricular educational processes.</w:t>
      </w:r>
    </w:p>
    <w:p w:rsidR="00BB62EF" w:rsidRPr="00D06DB3" w:rsidRDefault="00AB370F" w:rsidP="00DF4EBA">
      <w:pPr>
        <w:suppressAutoHyphens w:val="0"/>
        <w:snapToGrid w:val="0"/>
        <w:ind w:firstLine="425"/>
        <w:jc w:val="both"/>
        <w:rPr>
          <w:sz w:val="20"/>
          <w:szCs w:val="20"/>
        </w:rPr>
      </w:pPr>
      <w:r w:rsidRPr="00D06DB3">
        <w:rPr>
          <w:sz w:val="20"/>
          <w:szCs w:val="20"/>
        </w:rPr>
        <w:t>I</w:t>
      </w:r>
      <w:r w:rsidR="00BB62EF" w:rsidRPr="00D06DB3">
        <w:rPr>
          <w:sz w:val="20"/>
          <w:szCs w:val="20"/>
        </w:rPr>
        <w:t>f a student in the direction of "Vocational education" the sum of points received for the proposed survey (12 in total) ranged from 11-12 points, then he referred to a high level of formation of readiness for the organization of extracurricular processes. They were clearly aware of the role and importance of extracurricular teaching activities, and fully possess solid knowledge, skills and abilities in technology for organizing extracurricular activities.</w:t>
      </w:r>
    </w:p>
    <w:p w:rsidR="00BB62EF" w:rsidRPr="00D06DB3" w:rsidRDefault="00BB62EF" w:rsidP="00DF4EBA">
      <w:pPr>
        <w:suppressAutoHyphens w:val="0"/>
        <w:snapToGrid w:val="0"/>
        <w:ind w:firstLine="425"/>
        <w:jc w:val="both"/>
        <w:rPr>
          <w:sz w:val="20"/>
          <w:szCs w:val="20"/>
        </w:rPr>
      </w:pPr>
      <w:r w:rsidRPr="00D06DB3">
        <w:rPr>
          <w:sz w:val="20"/>
          <w:szCs w:val="20"/>
        </w:rPr>
        <w:t xml:space="preserve">With a score of 9 to 10, students belonged to the average level, they stated that they did not have enough complete and solid knowledge to solve </w:t>
      </w:r>
      <w:r w:rsidRPr="00D06DB3">
        <w:rPr>
          <w:sz w:val="20"/>
          <w:szCs w:val="20"/>
        </w:rPr>
        <w:lastRenderedPageBreak/>
        <w:t>pedagogical problems in the field of extracurricular pedagogical activity.</w:t>
      </w:r>
    </w:p>
    <w:p w:rsidR="00BB62EF" w:rsidRPr="00D06DB3" w:rsidRDefault="00BB62EF" w:rsidP="00DF4EBA">
      <w:pPr>
        <w:suppressAutoHyphens w:val="0"/>
        <w:snapToGrid w:val="0"/>
        <w:ind w:firstLine="425"/>
        <w:jc w:val="both"/>
        <w:rPr>
          <w:sz w:val="20"/>
          <w:szCs w:val="20"/>
        </w:rPr>
      </w:pPr>
      <w:r w:rsidRPr="00D06DB3">
        <w:rPr>
          <w:sz w:val="20"/>
          <w:szCs w:val="20"/>
        </w:rPr>
        <w:t>If a student had a sum of points from 7 to 8, then he referred to a low level of readiness for the organization of extracurricular educational processes. The student had a poor understanding of the role and significance of extracurricular teaching activities. They had not mastered all the knowledge necessary for the performance of pedagogical actions.</w:t>
      </w:r>
    </w:p>
    <w:p w:rsidR="00BB62EF" w:rsidRPr="00D06DB3" w:rsidRDefault="00BB62EF" w:rsidP="00DF4EBA">
      <w:pPr>
        <w:suppressAutoHyphens w:val="0"/>
        <w:snapToGrid w:val="0"/>
        <w:ind w:firstLine="425"/>
        <w:jc w:val="both"/>
        <w:rPr>
          <w:sz w:val="20"/>
          <w:szCs w:val="20"/>
        </w:rPr>
      </w:pPr>
      <w:r w:rsidRPr="00D06DB3">
        <w:rPr>
          <w:sz w:val="20"/>
          <w:szCs w:val="20"/>
        </w:rPr>
        <w:t>If a student received a result of less than 7 points, then it was believed that he was not ready to implement pedagogical processes outside extracurricular time. His knowledge turned out to be unsystematic, fragile.</w:t>
      </w:r>
    </w:p>
    <w:p w:rsidR="00BB62EF" w:rsidRPr="00D06DB3" w:rsidRDefault="00BB62EF" w:rsidP="00DF4EBA">
      <w:pPr>
        <w:suppressAutoHyphens w:val="0"/>
        <w:snapToGrid w:val="0"/>
        <w:ind w:firstLine="425"/>
        <w:jc w:val="both"/>
        <w:rPr>
          <w:sz w:val="20"/>
          <w:szCs w:val="20"/>
        </w:rPr>
      </w:pPr>
      <w:r w:rsidRPr="00D06DB3">
        <w:rPr>
          <w:sz w:val="20"/>
          <w:szCs w:val="20"/>
        </w:rPr>
        <w:t>The definition of knowledge on the conditions of the educational process was also carried out according to the polls of students in the direction of "Vocational Education", the number was 14 questions. The answers were evaluated in points, after which the points were calculated. A student who scored from 8 to 9 points belonged to a low level, from 10 to 11 points to an average, from 12 to 14 points to a high level of preparedness in the field of knowledge of the conditions for ensuring the educational process (Table 1). In the course of our work, we realized that the level of readiness for learning activities, extracurricular activities, and the conditions for ensuring the educational process may be different, and it is in this form that they can hardly be identified.</w:t>
      </w:r>
    </w:p>
    <w:p w:rsidR="00BB62EF" w:rsidRPr="00D06DB3" w:rsidRDefault="00BB62EF" w:rsidP="00DF4EBA">
      <w:pPr>
        <w:suppressAutoHyphens w:val="0"/>
        <w:snapToGrid w:val="0"/>
        <w:ind w:firstLine="425"/>
        <w:jc w:val="both"/>
        <w:rPr>
          <w:sz w:val="20"/>
          <w:szCs w:val="20"/>
        </w:rPr>
      </w:pPr>
      <w:r w:rsidRPr="00D06DB3">
        <w:rPr>
          <w:sz w:val="20"/>
          <w:szCs w:val="20"/>
        </w:rPr>
        <w:t>Therefore, it was decided to draw up a scale of combined assessment of the level of readiness for pedagogical activity, which takes into account mixed graduation, combining two adjacent levels. This will allow to take into account the variation in the level of preparedness for educational activities (table 2).</w:t>
      </w:r>
    </w:p>
    <w:p w:rsidR="00DF4EBA" w:rsidRPr="00D06DB3" w:rsidRDefault="00DF4EBA" w:rsidP="00DF4EBA">
      <w:pPr>
        <w:suppressAutoHyphens w:val="0"/>
        <w:snapToGrid w:val="0"/>
        <w:jc w:val="center"/>
        <w:rPr>
          <w:b/>
          <w:sz w:val="20"/>
          <w:szCs w:val="20"/>
          <w:lang w:eastAsia="zh-CN"/>
        </w:rPr>
        <w:sectPr w:rsidR="00DF4EBA" w:rsidRPr="00D06DB3" w:rsidSect="00DF4EBA">
          <w:footnotePr>
            <w:pos w:val="beneathText"/>
          </w:footnotePr>
          <w:type w:val="continuous"/>
          <w:pgSz w:w="12240" w:h="15840" w:code="1"/>
          <w:pgMar w:top="1440" w:right="1440" w:bottom="1440" w:left="1440" w:header="720" w:footer="720" w:gutter="0"/>
          <w:cols w:num="2" w:space="600"/>
          <w:docGrid w:linePitch="360"/>
        </w:sectPr>
      </w:pPr>
    </w:p>
    <w:p w:rsidR="00AB370F" w:rsidRPr="00D06DB3" w:rsidRDefault="00AB370F" w:rsidP="00DF4EBA">
      <w:pPr>
        <w:suppressAutoHyphens w:val="0"/>
        <w:snapToGrid w:val="0"/>
        <w:jc w:val="center"/>
        <w:rPr>
          <w:b/>
          <w:sz w:val="20"/>
          <w:szCs w:val="20"/>
          <w:lang w:eastAsia="zh-CN"/>
        </w:rPr>
      </w:pPr>
    </w:p>
    <w:p w:rsidR="008A67B6" w:rsidRPr="00D06DB3" w:rsidRDefault="00BB62EF" w:rsidP="00DF4EBA">
      <w:pPr>
        <w:suppressAutoHyphens w:val="0"/>
        <w:snapToGrid w:val="0"/>
        <w:jc w:val="both"/>
        <w:rPr>
          <w:b/>
          <w:sz w:val="20"/>
          <w:szCs w:val="20"/>
        </w:rPr>
      </w:pPr>
      <w:r w:rsidRPr="00D06DB3">
        <w:rPr>
          <w:b/>
          <w:sz w:val="20"/>
          <w:szCs w:val="20"/>
        </w:rPr>
        <w:t>Table 1. Indicators of readiness for the pedagogical activity of students in the direction of "Vocational education" (5330200 - Informatics and information technology)</w:t>
      </w:r>
      <w:r w:rsidR="008A67B6" w:rsidRPr="00D06DB3">
        <w:rPr>
          <w:b/>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487"/>
        <w:gridCol w:w="1988"/>
        <w:gridCol w:w="2592"/>
        <w:gridCol w:w="3407"/>
      </w:tblGrid>
      <w:tr w:rsidR="00BB62EF" w:rsidRPr="00D06DB3" w:rsidTr="00AB370F">
        <w:trPr>
          <w:jc w:val="center"/>
        </w:trPr>
        <w:tc>
          <w:tcPr>
            <w:tcW w:w="785" w:type="pct"/>
            <w:vMerge w:val="restart"/>
            <w:vAlign w:val="center"/>
          </w:tcPr>
          <w:p w:rsidR="00BB62EF" w:rsidRPr="00D06DB3" w:rsidRDefault="00BB62EF" w:rsidP="00DF4EBA">
            <w:pPr>
              <w:suppressAutoHyphens w:val="0"/>
              <w:snapToGrid w:val="0"/>
              <w:jc w:val="both"/>
              <w:rPr>
                <w:sz w:val="20"/>
                <w:szCs w:val="20"/>
              </w:rPr>
            </w:pPr>
            <w:r w:rsidRPr="00D06DB3">
              <w:rPr>
                <w:sz w:val="20"/>
                <w:szCs w:val="20"/>
              </w:rPr>
              <w:t>Level</w:t>
            </w:r>
          </w:p>
        </w:tc>
        <w:tc>
          <w:tcPr>
            <w:tcW w:w="1049" w:type="pct"/>
            <w:vAlign w:val="center"/>
          </w:tcPr>
          <w:p w:rsidR="00BB62EF" w:rsidRPr="00D06DB3" w:rsidRDefault="00BB62EF" w:rsidP="00DF4EBA">
            <w:pPr>
              <w:suppressAutoHyphens w:val="0"/>
              <w:snapToGrid w:val="0"/>
              <w:jc w:val="both"/>
              <w:rPr>
                <w:sz w:val="20"/>
                <w:szCs w:val="20"/>
              </w:rPr>
            </w:pPr>
            <w:r w:rsidRPr="00D06DB3">
              <w:rPr>
                <w:sz w:val="20"/>
                <w:szCs w:val="20"/>
              </w:rPr>
              <w:t>Learning activities</w:t>
            </w:r>
          </w:p>
        </w:tc>
        <w:tc>
          <w:tcPr>
            <w:tcW w:w="1368" w:type="pct"/>
            <w:vAlign w:val="center"/>
          </w:tcPr>
          <w:p w:rsidR="00BB62EF" w:rsidRPr="00D06DB3" w:rsidRDefault="00BB62EF" w:rsidP="00DF4EBA">
            <w:pPr>
              <w:suppressAutoHyphens w:val="0"/>
              <w:snapToGrid w:val="0"/>
              <w:jc w:val="both"/>
              <w:rPr>
                <w:sz w:val="20"/>
                <w:szCs w:val="20"/>
              </w:rPr>
            </w:pPr>
            <w:r w:rsidRPr="00D06DB3">
              <w:rPr>
                <w:sz w:val="20"/>
                <w:szCs w:val="20"/>
              </w:rPr>
              <w:t>Extracurricular activities</w:t>
            </w:r>
          </w:p>
        </w:tc>
        <w:tc>
          <w:tcPr>
            <w:tcW w:w="1799" w:type="pct"/>
            <w:vAlign w:val="center"/>
          </w:tcPr>
          <w:p w:rsidR="00BB62EF" w:rsidRPr="00D06DB3" w:rsidRDefault="00BB62EF" w:rsidP="00DF4EBA">
            <w:pPr>
              <w:suppressAutoHyphens w:val="0"/>
              <w:snapToGrid w:val="0"/>
              <w:jc w:val="both"/>
              <w:rPr>
                <w:sz w:val="20"/>
                <w:szCs w:val="20"/>
              </w:rPr>
            </w:pPr>
            <w:r w:rsidRPr="00D06DB3">
              <w:rPr>
                <w:sz w:val="20"/>
                <w:szCs w:val="20"/>
              </w:rPr>
              <w:t>Terms of the educational process</w:t>
            </w:r>
          </w:p>
        </w:tc>
      </w:tr>
      <w:tr w:rsidR="00BB62EF" w:rsidRPr="00D06DB3" w:rsidTr="00AB370F">
        <w:trPr>
          <w:jc w:val="center"/>
        </w:trPr>
        <w:tc>
          <w:tcPr>
            <w:tcW w:w="785" w:type="pct"/>
            <w:vMerge/>
            <w:vAlign w:val="center"/>
          </w:tcPr>
          <w:p w:rsidR="00BB62EF" w:rsidRPr="00D06DB3" w:rsidRDefault="00BB62EF" w:rsidP="00DF4EBA">
            <w:pPr>
              <w:suppressAutoHyphens w:val="0"/>
              <w:snapToGrid w:val="0"/>
              <w:jc w:val="both"/>
              <w:rPr>
                <w:sz w:val="20"/>
                <w:szCs w:val="20"/>
              </w:rPr>
            </w:pPr>
          </w:p>
        </w:tc>
        <w:tc>
          <w:tcPr>
            <w:tcW w:w="1049" w:type="pct"/>
            <w:vAlign w:val="center"/>
          </w:tcPr>
          <w:p w:rsidR="00BB62EF" w:rsidRPr="00D06DB3" w:rsidRDefault="00BB62EF" w:rsidP="00DF4EBA">
            <w:pPr>
              <w:suppressAutoHyphens w:val="0"/>
              <w:snapToGrid w:val="0"/>
              <w:jc w:val="both"/>
              <w:rPr>
                <w:sz w:val="20"/>
                <w:szCs w:val="20"/>
              </w:rPr>
            </w:pPr>
            <w:r w:rsidRPr="00D06DB3">
              <w:rPr>
                <w:sz w:val="20"/>
                <w:szCs w:val="20"/>
              </w:rPr>
              <w:t>Number of points</w:t>
            </w:r>
          </w:p>
        </w:tc>
        <w:tc>
          <w:tcPr>
            <w:tcW w:w="1368" w:type="pct"/>
            <w:vAlign w:val="center"/>
          </w:tcPr>
          <w:p w:rsidR="00BB62EF" w:rsidRPr="00D06DB3" w:rsidRDefault="00BB62EF" w:rsidP="00DF4EBA">
            <w:pPr>
              <w:suppressAutoHyphens w:val="0"/>
              <w:snapToGrid w:val="0"/>
              <w:jc w:val="both"/>
              <w:rPr>
                <w:sz w:val="20"/>
                <w:szCs w:val="20"/>
              </w:rPr>
            </w:pPr>
            <w:r w:rsidRPr="00D06DB3">
              <w:rPr>
                <w:sz w:val="20"/>
                <w:szCs w:val="20"/>
              </w:rPr>
              <w:t>Number of points</w:t>
            </w:r>
          </w:p>
        </w:tc>
        <w:tc>
          <w:tcPr>
            <w:tcW w:w="1799" w:type="pct"/>
            <w:vAlign w:val="center"/>
          </w:tcPr>
          <w:p w:rsidR="00BB62EF" w:rsidRPr="00D06DB3" w:rsidRDefault="00BB62EF" w:rsidP="00DF4EBA">
            <w:pPr>
              <w:suppressAutoHyphens w:val="0"/>
              <w:snapToGrid w:val="0"/>
              <w:jc w:val="both"/>
              <w:rPr>
                <w:sz w:val="20"/>
                <w:szCs w:val="20"/>
              </w:rPr>
            </w:pPr>
            <w:r w:rsidRPr="00D06DB3">
              <w:rPr>
                <w:sz w:val="20"/>
                <w:szCs w:val="20"/>
              </w:rPr>
              <w:t>Number of points</w:t>
            </w:r>
          </w:p>
        </w:tc>
      </w:tr>
      <w:tr w:rsidR="00BB62EF" w:rsidRPr="00D06DB3" w:rsidTr="00AB370F">
        <w:trPr>
          <w:jc w:val="center"/>
        </w:trPr>
        <w:tc>
          <w:tcPr>
            <w:tcW w:w="785" w:type="pct"/>
            <w:vMerge/>
            <w:vAlign w:val="center"/>
          </w:tcPr>
          <w:p w:rsidR="00BB62EF" w:rsidRPr="00D06DB3" w:rsidRDefault="00BB62EF" w:rsidP="00DF4EBA">
            <w:pPr>
              <w:suppressAutoHyphens w:val="0"/>
              <w:snapToGrid w:val="0"/>
              <w:jc w:val="both"/>
              <w:rPr>
                <w:sz w:val="20"/>
                <w:szCs w:val="20"/>
              </w:rPr>
            </w:pPr>
          </w:p>
        </w:tc>
        <w:tc>
          <w:tcPr>
            <w:tcW w:w="1049" w:type="pct"/>
            <w:vAlign w:val="center"/>
          </w:tcPr>
          <w:p w:rsidR="00BB62EF" w:rsidRPr="00D06DB3" w:rsidRDefault="00BB62EF" w:rsidP="00DF4EBA">
            <w:pPr>
              <w:suppressAutoHyphens w:val="0"/>
              <w:snapToGrid w:val="0"/>
              <w:jc w:val="both"/>
              <w:rPr>
                <w:sz w:val="20"/>
                <w:szCs w:val="20"/>
              </w:rPr>
            </w:pPr>
            <w:r w:rsidRPr="00D06DB3">
              <w:rPr>
                <w:sz w:val="20"/>
                <w:szCs w:val="20"/>
              </w:rPr>
              <w:t>In percents</w:t>
            </w:r>
          </w:p>
        </w:tc>
        <w:tc>
          <w:tcPr>
            <w:tcW w:w="1368" w:type="pct"/>
            <w:vAlign w:val="center"/>
          </w:tcPr>
          <w:p w:rsidR="00BB62EF" w:rsidRPr="00D06DB3" w:rsidRDefault="00BB62EF" w:rsidP="00DF4EBA">
            <w:pPr>
              <w:suppressAutoHyphens w:val="0"/>
              <w:snapToGrid w:val="0"/>
              <w:jc w:val="both"/>
              <w:rPr>
                <w:sz w:val="20"/>
                <w:szCs w:val="20"/>
              </w:rPr>
            </w:pPr>
            <w:r w:rsidRPr="00D06DB3">
              <w:rPr>
                <w:sz w:val="20"/>
                <w:szCs w:val="20"/>
              </w:rPr>
              <w:t>Total 12 points</w:t>
            </w:r>
          </w:p>
        </w:tc>
        <w:tc>
          <w:tcPr>
            <w:tcW w:w="1799" w:type="pct"/>
            <w:vAlign w:val="center"/>
          </w:tcPr>
          <w:p w:rsidR="00BB62EF" w:rsidRPr="00D06DB3" w:rsidRDefault="00BB62EF" w:rsidP="00DF4EBA">
            <w:pPr>
              <w:suppressAutoHyphens w:val="0"/>
              <w:snapToGrid w:val="0"/>
              <w:jc w:val="both"/>
              <w:rPr>
                <w:sz w:val="20"/>
                <w:szCs w:val="20"/>
              </w:rPr>
            </w:pPr>
            <w:r w:rsidRPr="00D06DB3">
              <w:rPr>
                <w:sz w:val="20"/>
                <w:szCs w:val="20"/>
              </w:rPr>
              <w:t>Total 12 points</w:t>
            </w:r>
          </w:p>
        </w:tc>
      </w:tr>
      <w:tr w:rsidR="00BB62EF" w:rsidRPr="00D06DB3" w:rsidTr="00AB370F">
        <w:trPr>
          <w:jc w:val="center"/>
        </w:trPr>
        <w:tc>
          <w:tcPr>
            <w:tcW w:w="785" w:type="pct"/>
            <w:vAlign w:val="center"/>
          </w:tcPr>
          <w:p w:rsidR="00BB62EF" w:rsidRPr="00D06DB3" w:rsidRDefault="00BB62EF" w:rsidP="00DF4EBA">
            <w:pPr>
              <w:suppressAutoHyphens w:val="0"/>
              <w:snapToGrid w:val="0"/>
              <w:jc w:val="both"/>
              <w:rPr>
                <w:sz w:val="20"/>
                <w:szCs w:val="20"/>
              </w:rPr>
            </w:pPr>
            <w:r w:rsidRPr="00D06DB3">
              <w:rPr>
                <w:sz w:val="20"/>
                <w:szCs w:val="20"/>
              </w:rPr>
              <w:t>Tall</w:t>
            </w:r>
          </w:p>
        </w:tc>
        <w:tc>
          <w:tcPr>
            <w:tcW w:w="1049" w:type="pct"/>
            <w:vAlign w:val="center"/>
          </w:tcPr>
          <w:p w:rsidR="00BB62EF" w:rsidRPr="00D06DB3" w:rsidRDefault="00BB62EF" w:rsidP="00DF4EBA">
            <w:pPr>
              <w:suppressAutoHyphens w:val="0"/>
              <w:snapToGrid w:val="0"/>
              <w:jc w:val="both"/>
              <w:rPr>
                <w:sz w:val="20"/>
                <w:szCs w:val="20"/>
              </w:rPr>
            </w:pPr>
            <w:r w:rsidRPr="00D06DB3">
              <w:rPr>
                <w:sz w:val="20"/>
                <w:szCs w:val="20"/>
              </w:rPr>
              <w:t>86 - 100</w:t>
            </w:r>
          </w:p>
        </w:tc>
        <w:tc>
          <w:tcPr>
            <w:tcW w:w="1368" w:type="pct"/>
            <w:vAlign w:val="center"/>
          </w:tcPr>
          <w:p w:rsidR="00BB62EF" w:rsidRPr="00D06DB3" w:rsidRDefault="00BB62EF" w:rsidP="00DF4EBA">
            <w:pPr>
              <w:suppressAutoHyphens w:val="0"/>
              <w:snapToGrid w:val="0"/>
              <w:jc w:val="both"/>
              <w:rPr>
                <w:sz w:val="20"/>
                <w:szCs w:val="20"/>
              </w:rPr>
            </w:pPr>
            <w:r w:rsidRPr="00D06DB3">
              <w:rPr>
                <w:sz w:val="20"/>
                <w:szCs w:val="20"/>
              </w:rPr>
              <w:t>11 - 12</w:t>
            </w:r>
          </w:p>
        </w:tc>
        <w:tc>
          <w:tcPr>
            <w:tcW w:w="1799" w:type="pct"/>
            <w:vAlign w:val="center"/>
          </w:tcPr>
          <w:p w:rsidR="00BB62EF" w:rsidRPr="00D06DB3" w:rsidRDefault="00BB62EF" w:rsidP="00DF4EBA">
            <w:pPr>
              <w:suppressAutoHyphens w:val="0"/>
              <w:snapToGrid w:val="0"/>
              <w:jc w:val="both"/>
              <w:rPr>
                <w:sz w:val="20"/>
                <w:szCs w:val="20"/>
              </w:rPr>
            </w:pPr>
            <w:r w:rsidRPr="00D06DB3">
              <w:rPr>
                <w:sz w:val="20"/>
                <w:szCs w:val="20"/>
              </w:rPr>
              <w:t>12 - 14</w:t>
            </w:r>
          </w:p>
        </w:tc>
      </w:tr>
      <w:tr w:rsidR="00BB62EF" w:rsidRPr="00D06DB3" w:rsidTr="00AB370F">
        <w:trPr>
          <w:jc w:val="center"/>
        </w:trPr>
        <w:tc>
          <w:tcPr>
            <w:tcW w:w="785" w:type="pct"/>
            <w:vAlign w:val="center"/>
          </w:tcPr>
          <w:p w:rsidR="00BB62EF" w:rsidRPr="00D06DB3" w:rsidRDefault="00BB62EF" w:rsidP="00DF4EBA">
            <w:pPr>
              <w:suppressAutoHyphens w:val="0"/>
              <w:snapToGrid w:val="0"/>
              <w:jc w:val="both"/>
              <w:rPr>
                <w:sz w:val="20"/>
                <w:szCs w:val="20"/>
              </w:rPr>
            </w:pPr>
            <w:r w:rsidRPr="00D06DB3">
              <w:rPr>
                <w:sz w:val="20"/>
                <w:szCs w:val="20"/>
              </w:rPr>
              <w:t>Average</w:t>
            </w:r>
          </w:p>
        </w:tc>
        <w:tc>
          <w:tcPr>
            <w:tcW w:w="1049" w:type="pct"/>
            <w:vAlign w:val="center"/>
          </w:tcPr>
          <w:p w:rsidR="00BB62EF" w:rsidRPr="00D06DB3" w:rsidRDefault="00BB62EF" w:rsidP="00DF4EBA">
            <w:pPr>
              <w:suppressAutoHyphens w:val="0"/>
              <w:snapToGrid w:val="0"/>
              <w:jc w:val="both"/>
              <w:rPr>
                <w:sz w:val="20"/>
                <w:szCs w:val="20"/>
              </w:rPr>
            </w:pPr>
            <w:r w:rsidRPr="00D06DB3">
              <w:rPr>
                <w:sz w:val="20"/>
                <w:szCs w:val="20"/>
              </w:rPr>
              <w:t>71 - 85</w:t>
            </w:r>
          </w:p>
        </w:tc>
        <w:tc>
          <w:tcPr>
            <w:tcW w:w="1368" w:type="pct"/>
            <w:vAlign w:val="center"/>
          </w:tcPr>
          <w:p w:rsidR="00BB62EF" w:rsidRPr="00D06DB3" w:rsidRDefault="00BB62EF" w:rsidP="00DF4EBA">
            <w:pPr>
              <w:suppressAutoHyphens w:val="0"/>
              <w:snapToGrid w:val="0"/>
              <w:jc w:val="both"/>
              <w:rPr>
                <w:sz w:val="20"/>
                <w:szCs w:val="20"/>
              </w:rPr>
            </w:pPr>
            <w:r w:rsidRPr="00D06DB3">
              <w:rPr>
                <w:sz w:val="20"/>
                <w:szCs w:val="20"/>
              </w:rPr>
              <w:t>10 - 9</w:t>
            </w:r>
          </w:p>
        </w:tc>
        <w:tc>
          <w:tcPr>
            <w:tcW w:w="1799" w:type="pct"/>
            <w:vAlign w:val="center"/>
          </w:tcPr>
          <w:p w:rsidR="00BB62EF" w:rsidRPr="00D06DB3" w:rsidRDefault="00BB62EF" w:rsidP="00DF4EBA">
            <w:pPr>
              <w:suppressAutoHyphens w:val="0"/>
              <w:snapToGrid w:val="0"/>
              <w:jc w:val="both"/>
              <w:rPr>
                <w:sz w:val="20"/>
                <w:szCs w:val="20"/>
              </w:rPr>
            </w:pPr>
            <w:r w:rsidRPr="00D06DB3">
              <w:rPr>
                <w:sz w:val="20"/>
                <w:szCs w:val="20"/>
              </w:rPr>
              <w:t>11 - 10</w:t>
            </w:r>
          </w:p>
        </w:tc>
      </w:tr>
      <w:tr w:rsidR="00BB62EF" w:rsidRPr="00D06DB3" w:rsidTr="00AB370F">
        <w:trPr>
          <w:jc w:val="center"/>
        </w:trPr>
        <w:tc>
          <w:tcPr>
            <w:tcW w:w="785" w:type="pct"/>
            <w:vAlign w:val="center"/>
          </w:tcPr>
          <w:p w:rsidR="00BB62EF" w:rsidRPr="00D06DB3" w:rsidRDefault="00BB62EF" w:rsidP="00DF4EBA">
            <w:pPr>
              <w:suppressAutoHyphens w:val="0"/>
              <w:snapToGrid w:val="0"/>
              <w:jc w:val="both"/>
              <w:rPr>
                <w:sz w:val="20"/>
                <w:szCs w:val="20"/>
              </w:rPr>
            </w:pPr>
            <w:r w:rsidRPr="00D06DB3">
              <w:rPr>
                <w:sz w:val="20"/>
                <w:szCs w:val="20"/>
              </w:rPr>
              <w:t>Low</w:t>
            </w:r>
          </w:p>
        </w:tc>
        <w:tc>
          <w:tcPr>
            <w:tcW w:w="1049" w:type="pct"/>
            <w:vAlign w:val="center"/>
          </w:tcPr>
          <w:p w:rsidR="00BB62EF" w:rsidRPr="00D06DB3" w:rsidRDefault="00BB62EF" w:rsidP="00DF4EBA">
            <w:pPr>
              <w:suppressAutoHyphens w:val="0"/>
              <w:snapToGrid w:val="0"/>
              <w:jc w:val="both"/>
              <w:rPr>
                <w:sz w:val="20"/>
                <w:szCs w:val="20"/>
              </w:rPr>
            </w:pPr>
            <w:r w:rsidRPr="00D06DB3">
              <w:rPr>
                <w:sz w:val="20"/>
                <w:szCs w:val="20"/>
              </w:rPr>
              <w:t>55 - 70</w:t>
            </w:r>
          </w:p>
        </w:tc>
        <w:tc>
          <w:tcPr>
            <w:tcW w:w="1368" w:type="pct"/>
            <w:vAlign w:val="center"/>
          </w:tcPr>
          <w:p w:rsidR="00BB62EF" w:rsidRPr="00D06DB3" w:rsidRDefault="00BB62EF" w:rsidP="00DF4EBA">
            <w:pPr>
              <w:suppressAutoHyphens w:val="0"/>
              <w:snapToGrid w:val="0"/>
              <w:jc w:val="both"/>
              <w:rPr>
                <w:sz w:val="20"/>
                <w:szCs w:val="20"/>
              </w:rPr>
            </w:pPr>
            <w:r w:rsidRPr="00D06DB3">
              <w:rPr>
                <w:sz w:val="20"/>
                <w:szCs w:val="20"/>
              </w:rPr>
              <w:t>8 - 7</w:t>
            </w:r>
          </w:p>
        </w:tc>
        <w:tc>
          <w:tcPr>
            <w:tcW w:w="1799" w:type="pct"/>
            <w:vAlign w:val="center"/>
          </w:tcPr>
          <w:p w:rsidR="00BB62EF" w:rsidRPr="00D06DB3" w:rsidRDefault="00BB62EF" w:rsidP="00DF4EBA">
            <w:pPr>
              <w:suppressAutoHyphens w:val="0"/>
              <w:snapToGrid w:val="0"/>
              <w:jc w:val="both"/>
              <w:rPr>
                <w:sz w:val="20"/>
                <w:szCs w:val="20"/>
              </w:rPr>
            </w:pPr>
            <w:r w:rsidRPr="00D06DB3">
              <w:rPr>
                <w:sz w:val="20"/>
                <w:szCs w:val="20"/>
              </w:rPr>
              <w:t>9 - 8</w:t>
            </w:r>
          </w:p>
        </w:tc>
      </w:tr>
      <w:tr w:rsidR="00BB62EF" w:rsidRPr="00D06DB3" w:rsidTr="00AB370F">
        <w:trPr>
          <w:jc w:val="center"/>
        </w:trPr>
        <w:tc>
          <w:tcPr>
            <w:tcW w:w="785" w:type="pct"/>
            <w:vAlign w:val="center"/>
          </w:tcPr>
          <w:p w:rsidR="00BB62EF" w:rsidRPr="00D06DB3" w:rsidRDefault="00BB62EF" w:rsidP="00DF4EBA">
            <w:pPr>
              <w:suppressAutoHyphens w:val="0"/>
              <w:snapToGrid w:val="0"/>
              <w:jc w:val="both"/>
              <w:rPr>
                <w:sz w:val="20"/>
                <w:szCs w:val="20"/>
              </w:rPr>
            </w:pPr>
            <w:r w:rsidRPr="00D06DB3">
              <w:rPr>
                <w:sz w:val="20"/>
                <w:szCs w:val="20"/>
              </w:rPr>
              <w:t>Unacceptable</w:t>
            </w:r>
          </w:p>
        </w:tc>
        <w:tc>
          <w:tcPr>
            <w:tcW w:w="1049" w:type="pct"/>
            <w:vAlign w:val="center"/>
          </w:tcPr>
          <w:p w:rsidR="00BB62EF" w:rsidRPr="00D06DB3" w:rsidRDefault="00BB62EF" w:rsidP="00DF4EBA">
            <w:pPr>
              <w:suppressAutoHyphens w:val="0"/>
              <w:snapToGrid w:val="0"/>
              <w:jc w:val="both"/>
              <w:rPr>
                <w:sz w:val="20"/>
                <w:szCs w:val="20"/>
              </w:rPr>
            </w:pPr>
            <w:r w:rsidRPr="00D06DB3">
              <w:rPr>
                <w:sz w:val="20"/>
                <w:szCs w:val="20"/>
              </w:rPr>
              <w:t>Below 55</w:t>
            </w:r>
          </w:p>
        </w:tc>
        <w:tc>
          <w:tcPr>
            <w:tcW w:w="1368" w:type="pct"/>
            <w:vAlign w:val="center"/>
          </w:tcPr>
          <w:p w:rsidR="00BB62EF" w:rsidRPr="00D06DB3" w:rsidRDefault="00BB62EF" w:rsidP="00DF4EBA">
            <w:pPr>
              <w:suppressAutoHyphens w:val="0"/>
              <w:snapToGrid w:val="0"/>
              <w:jc w:val="both"/>
              <w:rPr>
                <w:sz w:val="20"/>
                <w:szCs w:val="20"/>
              </w:rPr>
            </w:pPr>
            <w:r w:rsidRPr="00D06DB3">
              <w:rPr>
                <w:sz w:val="20"/>
                <w:szCs w:val="20"/>
              </w:rPr>
              <w:t>Below 7</w:t>
            </w:r>
          </w:p>
        </w:tc>
        <w:tc>
          <w:tcPr>
            <w:tcW w:w="1799" w:type="pct"/>
            <w:vAlign w:val="center"/>
          </w:tcPr>
          <w:p w:rsidR="00BB62EF" w:rsidRPr="00D06DB3" w:rsidRDefault="00BB62EF" w:rsidP="00DF4EBA">
            <w:pPr>
              <w:suppressAutoHyphens w:val="0"/>
              <w:snapToGrid w:val="0"/>
              <w:jc w:val="both"/>
              <w:rPr>
                <w:sz w:val="20"/>
                <w:szCs w:val="20"/>
              </w:rPr>
            </w:pPr>
            <w:r w:rsidRPr="00D06DB3">
              <w:rPr>
                <w:sz w:val="20"/>
                <w:szCs w:val="20"/>
              </w:rPr>
              <w:t>Below 8</w:t>
            </w:r>
          </w:p>
        </w:tc>
      </w:tr>
    </w:tbl>
    <w:p w:rsidR="007147D7" w:rsidRPr="00D06DB3" w:rsidRDefault="007147D7" w:rsidP="00DF4EBA">
      <w:pPr>
        <w:suppressAutoHyphens w:val="0"/>
        <w:snapToGrid w:val="0"/>
        <w:jc w:val="both"/>
        <w:rPr>
          <w:b/>
          <w:sz w:val="20"/>
          <w:szCs w:val="20"/>
        </w:rPr>
      </w:pPr>
    </w:p>
    <w:p w:rsidR="00DF4EBA" w:rsidRPr="00D06DB3" w:rsidRDefault="00DF4EBA" w:rsidP="00DF4EBA">
      <w:pPr>
        <w:suppressAutoHyphens w:val="0"/>
        <w:snapToGrid w:val="0"/>
        <w:ind w:firstLine="425"/>
        <w:jc w:val="both"/>
        <w:rPr>
          <w:sz w:val="20"/>
          <w:szCs w:val="20"/>
        </w:rPr>
        <w:sectPr w:rsidR="00DF4EBA" w:rsidRPr="00D06DB3" w:rsidSect="00AB370F">
          <w:footnotePr>
            <w:pos w:val="beneathText"/>
          </w:footnotePr>
          <w:type w:val="continuous"/>
          <w:pgSz w:w="12240" w:h="15840" w:code="1"/>
          <w:pgMar w:top="1440" w:right="1440" w:bottom="1440" w:left="1440" w:header="720" w:footer="720" w:gutter="0"/>
          <w:cols w:space="720"/>
          <w:docGrid w:linePitch="360"/>
        </w:sectPr>
      </w:pPr>
    </w:p>
    <w:p w:rsidR="00BB62EF" w:rsidRPr="00D06DB3" w:rsidRDefault="007147D7" w:rsidP="00DF4EBA">
      <w:pPr>
        <w:suppressAutoHyphens w:val="0"/>
        <w:snapToGrid w:val="0"/>
        <w:ind w:firstLine="425"/>
        <w:jc w:val="both"/>
        <w:rPr>
          <w:sz w:val="20"/>
          <w:szCs w:val="20"/>
        </w:rPr>
      </w:pPr>
      <w:r w:rsidRPr="00D06DB3">
        <w:rPr>
          <w:sz w:val="20"/>
          <w:szCs w:val="20"/>
        </w:rPr>
        <w:lastRenderedPageBreak/>
        <w:t xml:space="preserve">Willingness on the levels of educational, extracurricular activities and the conditions for ensuring the educational process of students in the direction of "Vocational education", college teachers was determined by comparing questionnaires with a measuring tool (indicators). To determine the total amount of points by level and total readiness, each level of readiness was assessed according to a five-point system. And for each level, we took into account </w:t>
      </w:r>
      <w:r w:rsidRPr="00D06DB3">
        <w:rPr>
          <w:sz w:val="20"/>
          <w:szCs w:val="20"/>
        </w:rPr>
        <w:lastRenderedPageBreak/>
        <w:t xml:space="preserve">the average amount of points. The maximum amount of points </w:t>
      </w:r>
      <w:r w:rsidRPr="00D06DB3">
        <w:rPr>
          <w:rFonts w:eastAsia="BatangChe"/>
          <w:sz w:val="20"/>
          <w:szCs w:val="20"/>
        </w:rPr>
        <w:t>(</w:t>
      </w:r>
      <m:oMath>
        <m:sSub>
          <m:sSubPr>
            <m:ctrlPr>
              <w:rPr>
                <w:rFonts w:ascii="Cambria Math" w:eastAsia="BatangChe" w:hAnsi="Cambria Math"/>
                <w:i/>
                <w:sz w:val="20"/>
                <w:szCs w:val="20"/>
              </w:rPr>
            </m:ctrlPr>
          </m:sSubPr>
          <m:e>
            <m:r>
              <w:rPr>
                <w:rFonts w:ascii="Cambria Math" w:eastAsia="BatangChe" w:hAnsi="Cambria Math"/>
                <w:sz w:val="20"/>
                <w:szCs w:val="20"/>
              </w:rPr>
              <m:t>M</m:t>
            </m:r>
          </m:e>
          <m:sub>
            <m:sSub>
              <m:sSubPr>
                <m:ctrlPr>
                  <w:rPr>
                    <w:rFonts w:ascii="Cambria Math" w:eastAsia="BatangChe" w:hAnsi="Cambria Math"/>
                    <w:i/>
                    <w:sz w:val="20"/>
                    <w:szCs w:val="20"/>
                  </w:rPr>
                </m:ctrlPr>
              </m:sSubPr>
              <m:e>
                <m:r>
                  <w:rPr>
                    <w:rFonts w:ascii="Cambria Math" w:eastAsia="BatangChe" w:hAnsi="Cambria Math"/>
                    <w:sz w:val="20"/>
                    <w:szCs w:val="20"/>
                  </w:rPr>
                  <m:t>S</m:t>
                </m:r>
              </m:e>
              <m:sub>
                <m:r>
                  <w:rPr>
                    <w:rFonts w:ascii="Cambria Math" w:eastAsia="BatangChe" w:hAnsi="Cambria Math"/>
                    <w:sz w:val="20"/>
                    <w:szCs w:val="20"/>
                  </w:rPr>
                  <m:t>b</m:t>
                </m:r>
              </m:sub>
            </m:sSub>
          </m:sub>
        </m:sSub>
      </m:oMath>
      <w:r w:rsidRPr="00D06DB3">
        <w:rPr>
          <w:rFonts w:eastAsia="BatangChe"/>
          <w:sz w:val="20"/>
          <w:szCs w:val="20"/>
        </w:rPr>
        <w:t xml:space="preserve">) </w:t>
      </w:r>
      <w:r w:rsidRPr="00D06DB3">
        <w:rPr>
          <w:sz w:val="20"/>
          <w:szCs w:val="20"/>
        </w:rPr>
        <w:t>on three levels was 15.</w:t>
      </w:r>
    </w:p>
    <w:p w:rsidR="007147D7" w:rsidRPr="00D06DB3" w:rsidRDefault="007147D7" w:rsidP="00DF4EBA">
      <w:pPr>
        <w:suppressAutoHyphens w:val="0"/>
        <w:snapToGrid w:val="0"/>
        <w:ind w:firstLine="425"/>
        <w:jc w:val="both"/>
        <w:rPr>
          <w:sz w:val="20"/>
          <w:szCs w:val="20"/>
        </w:rPr>
      </w:pPr>
      <w:r w:rsidRPr="00D06DB3">
        <w:rPr>
          <w:sz w:val="20"/>
          <w:szCs w:val="20"/>
        </w:rPr>
        <w:t>The average amount of points and the volume of students' knowledge in the direction of "Vocational Education" by groups and teachers of colleges was determined by the following formulas:</w:t>
      </w:r>
    </w:p>
    <w:p w:rsidR="007147D7" w:rsidRPr="00D06DB3" w:rsidRDefault="009F6311" w:rsidP="00DF4EBA">
      <w:pPr>
        <w:suppressAutoHyphens w:val="0"/>
        <w:snapToGrid w:val="0"/>
        <w:ind w:firstLine="425"/>
        <w:jc w:val="both"/>
        <w:rPr>
          <w:rFonts w:eastAsia="BatangChe"/>
          <w:sz w:val="20"/>
          <w:szCs w:val="20"/>
        </w:rPr>
      </w:pPr>
      <m:oMath>
        <m:sSub>
          <m:sSubPr>
            <m:ctrlPr>
              <w:rPr>
                <w:rFonts w:ascii="Cambria Math" w:eastAsia="BatangChe" w:hAnsi="Cambria Math"/>
                <w:i/>
                <w:sz w:val="20"/>
                <w:szCs w:val="20"/>
              </w:rPr>
            </m:ctrlPr>
          </m:sSubPr>
          <m:e>
            <m:r>
              <w:rPr>
                <w:rFonts w:ascii="Cambria Math" w:eastAsia="BatangChe" w:hAnsi="Cambria Math"/>
                <w:sz w:val="20"/>
                <w:szCs w:val="20"/>
              </w:rPr>
              <m:t>O</m:t>
            </m:r>
          </m:e>
          <m:sub>
            <m:sSub>
              <m:sSubPr>
                <m:ctrlPr>
                  <w:rPr>
                    <w:rFonts w:ascii="Cambria Math" w:eastAsia="BatangChe" w:hAnsi="Cambria Math"/>
                    <w:i/>
                    <w:sz w:val="20"/>
                    <w:szCs w:val="20"/>
                  </w:rPr>
                </m:ctrlPr>
              </m:sSubPr>
              <m:e>
                <m:r>
                  <w:rPr>
                    <w:rFonts w:ascii="Cambria Math" w:eastAsia="BatangChe"/>
                    <w:sz w:val="20"/>
                    <w:szCs w:val="20"/>
                  </w:rPr>
                  <m:t>г</m:t>
                </m:r>
              </m:e>
              <m:sub>
                <m:r>
                  <w:rPr>
                    <w:rFonts w:ascii="Cambria Math" w:eastAsia="BatangChe"/>
                    <w:sz w:val="20"/>
                    <w:szCs w:val="20"/>
                  </w:rPr>
                  <m:t>1,2</m:t>
                </m:r>
              </m:sub>
            </m:sSub>
          </m:sub>
        </m:sSub>
        <m:r>
          <w:rPr>
            <w:rFonts w:ascii="Cambria Math" w:eastAsia="BatangChe"/>
            <w:sz w:val="20"/>
            <w:szCs w:val="20"/>
          </w:rPr>
          <m:t>=</m:t>
        </m:r>
        <m:sSub>
          <m:sSubPr>
            <m:ctrlPr>
              <w:rPr>
                <w:rFonts w:ascii="Cambria Math" w:eastAsia="BatangChe" w:hAnsi="Cambria Math"/>
                <w:i/>
                <w:sz w:val="20"/>
                <w:szCs w:val="20"/>
              </w:rPr>
            </m:ctrlPr>
          </m:sSubPr>
          <m:e>
            <m:r>
              <w:rPr>
                <w:rFonts w:ascii="Cambria Math" w:eastAsia="BatangChe" w:hAnsi="Cambria Math"/>
                <w:sz w:val="20"/>
                <w:szCs w:val="20"/>
              </w:rPr>
              <m:t>E</m:t>
            </m:r>
          </m:e>
          <m:sub>
            <m:sSub>
              <m:sSubPr>
                <m:ctrlPr>
                  <w:rPr>
                    <w:rFonts w:ascii="Cambria Math" w:eastAsia="BatangChe" w:hAnsi="Cambria Math"/>
                    <w:i/>
                    <w:sz w:val="20"/>
                    <w:szCs w:val="20"/>
                  </w:rPr>
                </m:ctrlPr>
              </m:sSubPr>
              <m:e>
                <m:r>
                  <w:rPr>
                    <w:rFonts w:ascii="Cambria Math" w:eastAsia="BatangChe" w:hAnsi="Cambria Math"/>
                    <w:sz w:val="20"/>
                    <w:szCs w:val="20"/>
                  </w:rPr>
                  <m:t>A</m:t>
                </m:r>
              </m:e>
              <m:sub>
                <m:r>
                  <w:rPr>
                    <w:rFonts w:ascii="Cambria Math" w:eastAsia="BatangChe"/>
                    <w:sz w:val="20"/>
                    <w:szCs w:val="20"/>
                  </w:rPr>
                  <m:t>1</m:t>
                </m:r>
              </m:sub>
            </m:sSub>
          </m:sub>
        </m:sSub>
        <m:r>
          <w:rPr>
            <w:rFonts w:ascii="Cambria Math" w:eastAsia="BatangChe"/>
            <w:sz w:val="20"/>
            <w:szCs w:val="20"/>
          </w:rPr>
          <m:t>+</m:t>
        </m:r>
        <m:sSub>
          <m:sSubPr>
            <m:ctrlPr>
              <w:rPr>
                <w:rFonts w:ascii="Cambria Math" w:eastAsia="BatangChe" w:hAnsi="Cambria Math"/>
                <w:i/>
                <w:sz w:val="20"/>
                <w:szCs w:val="20"/>
              </w:rPr>
            </m:ctrlPr>
          </m:sSubPr>
          <m:e>
            <m:r>
              <w:rPr>
                <w:rFonts w:ascii="Cambria Math" w:eastAsia="BatangChe" w:hAnsi="Cambria Math"/>
                <w:sz w:val="20"/>
                <w:szCs w:val="20"/>
              </w:rPr>
              <m:t>E</m:t>
            </m:r>
          </m:e>
          <m:sub>
            <m:sSub>
              <m:sSubPr>
                <m:ctrlPr>
                  <w:rPr>
                    <w:rFonts w:ascii="Cambria Math" w:eastAsia="BatangChe" w:hAnsi="Cambria Math"/>
                    <w:i/>
                    <w:sz w:val="20"/>
                    <w:szCs w:val="20"/>
                  </w:rPr>
                </m:ctrlPr>
              </m:sSubPr>
              <m:e>
                <m:r>
                  <w:rPr>
                    <w:rFonts w:ascii="Cambria Math" w:eastAsia="BatangChe" w:hAnsi="Cambria Math"/>
                    <w:sz w:val="20"/>
                    <w:szCs w:val="20"/>
                  </w:rPr>
                  <m:t>A</m:t>
                </m:r>
              </m:e>
              <m:sub>
                <m:r>
                  <w:rPr>
                    <w:rFonts w:ascii="Cambria Math" w:eastAsia="BatangChe"/>
                    <w:sz w:val="20"/>
                    <w:szCs w:val="20"/>
                  </w:rPr>
                  <m:t>2</m:t>
                </m:r>
              </m:sub>
            </m:sSub>
          </m:sub>
        </m:sSub>
        <m:r>
          <w:rPr>
            <w:rFonts w:ascii="Cambria Math" w:eastAsia="BatangChe"/>
            <w:sz w:val="20"/>
            <w:szCs w:val="20"/>
          </w:rPr>
          <m:t>+</m:t>
        </m:r>
        <m:sSub>
          <m:sSubPr>
            <m:ctrlPr>
              <w:rPr>
                <w:rFonts w:ascii="Cambria Math" w:eastAsia="BatangChe" w:hAnsi="Cambria Math"/>
                <w:i/>
                <w:sz w:val="20"/>
                <w:szCs w:val="20"/>
              </w:rPr>
            </m:ctrlPr>
          </m:sSubPr>
          <m:e>
            <m:r>
              <w:rPr>
                <w:rFonts w:ascii="Cambria Math" w:eastAsia="BatangChe" w:hAnsi="Cambria Math"/>
                <w:sz w:val="20"/>
                <w:szCs w:val="20"/>
              </w:rPr>
              <m:t>E</m:t>
            </m:r>
          </m:e>
          <m:sub>
            <m:sSub>
              <m:sSubPr>
                <m:ctrlPr>
                  <w:rPr>
                    <w:rFonts w:ascii="Cambria Math" w:eastAsia="BatangChe" w:hAnsi="Cambria Math"/>
                    <w:i/>
                    <w:sz w:val="20"/>
                    <w:szCs w:val="20"/>
                  </w:rPr>
                </m:ctrlPr>
              </m:sSubPr>
              <m:e>
                <m:r>
                  <w:rPr>
                    <w:rFonts w:ascii="Cambria Math" w:eastAsia="BatangChe" w:hAnsi="Cambria Math"/>
                    <w:sz w:val="20"/>
                    <w:szCs w:val="20"/>
                  </w:rPr>
                  <m:t>A</m:t>
                </m:r>
              </m:e>
              <m:sub>
                <m:r>
                  <w:rPr>
                    <w:rFonts w:ascii="Cambria Math" w:eastAsia="BatangChe"/>
                    <w:sz w:val="20"/>
                    <w:szCs w:val="20"/>
                  </w:rPr>
                  <m:t>3</m:t>
                </m:r>
              </m:sub>
            </m:sSub>
          </m:sub>
        </m:sSub>
      </m:oMath>
      <w:r w:rsidR="007147D7" w:rsidRPr="00D06DB3">
        <w:rPr>
          <w:rFonts w:eastAsia="BatangChe"/>
          <w:sz w:val="20"/>
          <w:szCs w:val="20"/>
        </w:rPr>
        <w:t>; (1)</w:t>
      </w:r>
    </w:p>
    <w:p w:rsidR="00DF4EBA" w:rsidRPr="00D06DB3" w:rsidRDefault="00DF4EBA" w:rsidP="00DF4EBA">
      <w:pPr>
        <w:suppressAutoHyphens w:val="0"/>
        <w:snapToGrid w:val="0"/>
        <w:jc w:val="center"/>
        <w:rPr>
          <w:b/>
          <w:sz w:val="20"/>
          <w:szCs w:val="20"/>
          <w:lang w:eastAsia="zh-CN"/>
        </w:rPr>
        <w:sectPr w:rsidR="00DF4EBA" w:rsidRPr="00D06DB3" w:rsidSect="00DF4EBA">
          <w:footnotePr>
            <w:pos w:val="beneathText"/>
          </w:footnotePr>
          <w:type w:val="continuous"/>
          <w:pgSz w:w="12240" w:h="15840" w:code="1"/>
          <w:pgMar w:top="1440" w:right="1440" w:bottom="1440" w:left="1440" w:header="720" w:footer="720" w:gutter="0"/>
          <w:cols w:num="2" w:space="600"/>
          <w:docGrid w:linePitch="360"/>
        </w:sectPr>
      </w:pPr>
    </w:p>
    <w:p w:rsidR="00AB370F" w:rsidRPr="00D06DB3" w:rsidRDefault="00AB370F" w:rsidP="00DF4EBA">
      <w:pPr>
        <w:suppressAutoHyphens w:val="0"/>
        <w:snapToGrid w:val="0"/>
        <w:jc w:val="center"/>
        <w:rPr>
          <w:b/>
          <w:sz w:val="20"/>
          <w:szCs w:val="20"/>
          <w:lang w:eastAsia="zh-CN"/>
        </w:rPr>
      </w:pPr>
    </w:p>
    <w:p w:rsidR="007147D7" w:rsidRPr="00D06DB3" w:rsidRDefault="007147D7" w:rsidP="00DF4EBA">
      <w:pPr>
        <w:suppressAutoHyphens w:val="0"/>
        <w:snapToGrid w:val="0"/>
        <w:jc w:val="center"/>
        <w:rPr>
          <w:b/>
          <w:sz w:val="20"/>
          <w:szCs w:val="20"/>
        </w:rPr>
      </w:pPr>
      <w:r w:rsidRPr="00D06DB3">
        <w:rPr>
          <w:b/>
          <w:sz w:val="20"/>
          <w:szCs w:val="20"/>
        </w:rPr>
        <w:lastRenderedPageBreak/>
        <w:t>Table 2. The combined assessment of readiness for pedagogical activity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71"/>
        <w:gridCol w:w="7700"/>
        <w:gridCol w:w="1203"/>
      </w:tblGrid>
      <w:tr w:rsidR="007147D7" w:rsidRPr="00D06DB3" w:rsidTr="00AB370F">
        <w:trPr>
          <w:jc w:val="center"/>
        </w:trPr>
        <w:tc>
          <w:tcPr>
            <w:tcW w:w="301" w:type="pct"/>
            <w:vAlign w:val="center"/>
          </w:tcPr>
          <w:p w:rsidR="007147D7" w:rsidRPr="00D06DB3" w:rsidRDefault="007147D7" w:rsidP="00DF4EBA">
            <w:pPr>
              <w:suppressAutoHyphens w:val="0"/>
              <w:snapToGrid w:val="0"/>
              <w:jc w:val="both"/>
              <w:rPr>
                <w:sz w:val="20"/>
                <w:szCs w:val="20"/>
              </w:rPr>
            </w:pPr>
            <w:r w:rsidRPr="00D06DB3">
              <w:rPr>
                <w:sz w:val="20"/>
                <w:szCs w:val="20"/>
              </w:rPr>
              <w:t>Level</w:t>
            </w:r>
          </w:p>
        </w:tc>
        <w:tc>
          <w:tcPr>
            <w:tcW w:w="4064" w:type="pct"/>
            <w:vAlign w:val="center"/>
          </w:tcPr>
          <w:p w:rsidR="007147D7" w:rsidRPr="00D06DB3" w:rsidRDefault="007147D7" w:rsidP="00DF4EBA">
            <w:pPr>
              <w:suppressAutoHyphens w:val="0"/>
              <w:snapToGrid w:val="0"/>
              <w:jc w:val="both"/>
              <w:rPr>
                <w:sz w:val="20"/>
                <w:szCs w:val="20"/>
              </w:rPr>
            </w:pPr>
            <w:r w:rsidRPr="00D06DB3">
              <w:rPr>
                <w:sz w:val="20"/>
                <w:szCs w:val="20"/>
              </w:rPr>
              <w:t>Level Signs</w:t>
            </w:r>
          </w:p>
        </w:tc>
        <w:tc>
          <w:tcPr>
            <w:tcW w:w="635" w:type="pct"/>
            <w:vAlign w:val="center"/>
          </w:tcPr>
          <w:p w:rsidR="007147D7" w:rsidRPr="00D06DB3" w:rsidRDefault="007147D7" w:rsidP="00DF4EBA">
            <w:pPr>
              <w:suppressAutoHyphens w:val="0"/>
              <w:snapToGrid w:val="0"/>
              <w:jc w:val="both"/>
              <w:rPr>
                <w:sz w:val="20"/>
                <w:szCs w:val="20"/>
              </w:rPr>
            </w:pPr>
            <w:r w:rsidRPr="00D06DB3">
              <w:rPr>
                <w:sz w:val="20"/>
                <w:szCs w:val="20"/>
              </w:rPr>
              <w:t>Level ratio</w:t>
            </w:r>
          </w:p>
        </w:tc>
      </w:tr>
      <w:tr w:rsidR="007147D7" w:rsidRPr="00D06DB3" w:rsidTr="00AB370F">
        <w:trPr>
          <w:jc w:val="center"/>
        </w:trPr>
        <w:tc>
          <w:tcPr>
            <w:tcW w:w="301" w:type="pct"/>
            <w:vAlign w:val="center"/>
          </w:tcPr>
          <w:p w:rsidR="007147D7" w:rsidRPr="00D06DB3" w:rsidRDefault="007147D7" w:rsidP="00DF4EBA">
            <w:pPr>
              <w:suppressAutoHyphens w:val="0"/>
              <w:snapToGrid w:val="0"/>
              <w:jc w:val="both"/>
              <w:rPr>
                <w:sz w:val="20"/>
                <w:szCs w:val="20"/>
              </w:rPr>
            </w:pPr>
            <w:r w:rsidRPr="00D06DB3">
              <w:rPr>
                <w:sz w:val="20"/>
                <w:szCs w:val="20"/>
              </w:rPr>
              <w:t>9</w:t>
            </w:r>
          </w:p>
        </w:tc>
        <w:tc>
          <w:tcPr>
            <w:tcW w:w="4064" w:type="pct"/>
            <w:vAlign w:val="center"/>
          </w:tcPr>
          <w:p w:rsidR="007147D7" w:rsidRPr="00D06DB3" w:rsidRDefault="007147D7" w:rsidP="00DF4EBA">
            <w:pPr>
              <w:suppressAutoHyphens w:val="0"/>
              <w:snapToGrid w:val="0"/>
              <w:jc w:val="both"/>
              <w:rPr>
                <w:sz w:val="20"/>
                <w:szCs w:val="20"/>
                <w:lang w:val="uz-Cyrl-UZ"/>
              </w:rPr>
            </w:pPr>
            <w:r w:rsidRPr="00D06DB3">
              <w:rPr>
                <w:sz w:val="20"/>
                <w:szCs w:val="20"/>
              </w:rPr>
              <w:t>All components of high-level educational readiness</w:t>
            </w:r>
          </w:p>
        </w:tc>
        <w:tc>
          <w:tcPr>
            <w:tcW w:w="635" w:type="pct"/>
            <w:vMerge w:val="restart"/>
            <w:vAlign w:val="center"/>
          </w:tcPr>
          <w:p w:rsidR="007147D7" w:rsidRPr="00D06DB3" w:rsidRDefault="00D06DB3" w:rsidP="00D06DB3">
            <w:pPr>
              <w:suppressAutoHyphens w:val="0"/>
              <w:snapToGrid w:val="0"/>
              <w:jc w:val="both"/>
              <w:rPr>
                <w:sz w:val="20"/>
                <w:szCs w:val="20"/>
              </w:rPr>
            </w:pPr>
            <w:r>
              <w:rPr>
                <w:sz w:val="20"/>
                <w:szCs w:val="20"/>
              </w:rPr>
              <w:t>Tall</w:t>
            </w:r>
          </w:p>
        </w:tc>
      </w:tr>
      <w:tr w:rsidR="007147D7" w:rsidRPr="00D06DB3" w:rsidTr="00AB370F">
        <w:trPr>
          <w:jc w:val="center"/>
        </w:trPr>
        <w:tc>
          <w:tcPr>
            <w:tcW w:w="301" w:type="pct"/>
            <w:vAlign w:val="center"/>
          </w:tcPr>
          <w:p w:rsidR="007147D7" w:rsidRPr="00D06DB3" w:rsidRDefault="007147D7" w:rsidP="00DF4EBA">
            <w:pPr>
              <w:suppressAutoHyphens w:val="0"/>
              <w:snapToGrid w:val="0"/>
              <w:jc w:val="both"/>
              <w:rPr>
                <w:sz w:val="20"/>
                <w:szCs w:val="20"/>
              </w:rPr>
            </w:pPr>
            <w:r w:rsidRPr="00D06DB3">
              <w:rPr>
                <w:sz w:val="20"/>
                <w:szCs w:val="20"/>
              </w:rPr>
              <w:t>8</w:t>
            </w:r>
          </w:p>
        </w:tc>
        <w:tc>
          <w:tcPr>
            <w:tcW w:w="4064" w:type="pct"/>
            <w:vAlign w:val="center"/>
          </w:tcPr>
          <w:p w:rsidR="007147D7" w:rsidRPr="00D06DB3" w:rsidRDefault="007147D7" w:rsidP="00DF4EBA">
            <w:pPr>
              <w:suppressAutoHyphens w:val="0"/>
              <w:snapToGrid w:val="0"/>
              <w:jc w:val="both"/>
              <w:rPr>
                <w:sz w:val="20"/>
                <w:szCs w:val="20"/>
              </w:rPr>
            </w:pPr>
            <w:r w:rsidRPr="00D06DB3">
              <w:rPr>
                <w:sz w:val="20"/>
                <w:szCs w:val="20"/>
              </w:rPr>
              <w:t>Two components of high-level educational readiness, one on average</w:t>
            </w:r>
          </w:p>
        </w:tc>
        <w:tc>
          <w:tcPr>
            <w:tcW w:w="635" w:type="pct"/>
            <w:vMerge/>
            <w:vAlign w:val="center"/>
          </w:tcPr>
          <w:p w:rsidR="007147D7" w:rsidRPr="00D06DB3" w:rsidRDefault="007147D7" w:rsidP="00DF4EBA">
            <w:pPr>
              <w:suppressAutoHyphens w:val="0"/>
              <w:snapToGrid w:val="0"/>
              <w:jc w:val="both"/>
              <w:rPr>
                <w:sz w:val="20"/>
                <w:szCs w:val="20"/>
              </w:rPr>
            </w:pPr>
          </w:p>
        </w:tc>
      </w:tr>
      <w:tr w:rsidR="007147D7" w:rsidRPr="00D06DB3" w:rsidTr="00AB370F">
        <w:trPr>
          <w:jc w:val="center"/>
        </w:trPr>
        <w:tc>
          <w:tcPr>
            <w:tcW w:w="301" w:type="pct"/>
            <w:vAlign w:val="center"/>
          </w:tcPr>
          <w:p w:rsidR="007147D7" w:rsidRPr="00D06DB3" w:rsidRDefault="007147D7" w:rsidP="00DF4EBA">
            <w:pPr>
              <w:suppressAutoHyphens w:val="0"/>
              <w:snapToGrid w:val="0"/>
              <w:jc w:val="both"/>
              <w:rPr>
                <w:sz w:val="20"/>
                <w:szCs w:val="20"/>
              </w:rPr>
            </w:pPr>
            <w:r w:rsidRPr="00D06DB3">
              <w:rPr>
                <w:sz w:val="20"/>
                <w:szCs w:val="20"/>
              </w:rPr>
              <w:t>7</w:t>
            </w:r>
          </w:p>
        </w:tc>
        <w:tc>
          <w:tcPr>
            <w:tcW w:w="4064" w:type="pct"/>
            <w:vAlign w:val="center"/>
          </w:tcPr>
          <w:p w:rsidR="007147D7" w:rsidRPr="00D06DB3" w:rsidRDefault="007147D7" w:rsidP="00DF4EBA">
            <w:pPr>
              <w:suppressAutoHyphens w:val="0"/>
              <w:snapToGrid w:val="0"/>
              <w:jc w:val="both"/>
              <w:rPr>
                <w:sz w:val="20"/>
                <w:szCs w:val="20"/>
              </w:rPr>
            </w:pPr>
            <w:r w:rsidRPr="00D06DB3">
              <w:rPr>
                <w:sz w:val="20"/>
                <w:szCs w:val="20"/>
              </w:rPr>
              <w:t>All components of preparedness for teaching at the middle level</w:t>
            </w:r>
          </w:p>
        </w:tc>
        <w:tc>
          <w:tcPr>
            <w:tcW w:w="635" w:type="pct"/>
            <w:vMerge w:val="restart"/>
            <w:vAlign w:val="center"/>
          </w:tcPr>
          <w:p w:rsidR="007147D7" w:rsidRPr="00D06DB3" w:rsidRDefault="007147D7" w:rsidP="00DF4EBA">
            <w:pPr>
              <w:suppressAutoHyphens w:val="0"/>
              <w:snapToGrid w:val="0"/>
              <w:jc w:val="both"/>
              <w:rPr>
                <w:rFonts w:hint="eastAsia"/>
                <w:sz w:val="20"/>
                <w:szCs w:val="20"/>
                <w:lang w:val="uz-Cyrl-UZ" w:eastAsia="zh-CN"/>
              </w:rPr>
            </w:pPr>
            <w:r w:rsidRPr="00D06DB3">
              <w:rPr>
                <w:sz w:val="20"/>
                <w:szCs w:val="20"/>
              </w:rPr>
              <w:t>Average</w:t>
            </w:r>
          </w:p>
        </w:tc>
      </w:tr>
      <w:tr w:rsidR="007147D7" w:rsidRPr="00D06DB3" w:rsidTr="00AB370F">
        <w:trPr>
          <w:jc w:val="center"/>
        </w:trPr>
        <w:tc>
          <w:tcPr>
            <w:tcW w:w="301" w:type="pct"/>
            <w:vAlign w:val="center"/>
          </w:tcPr>
          <w:p w:rsidR="007147D7" w:rsidRPr="00D06DB3" w:rsidRDefault="007147D7" w:rsidP="00DF4EBA">
            <w:pPr>
              <w:suppressAutoHyphens w:val="0"/>
              <w:snapToGrid w:val="0"/>
              <w:jc w:val="both"/>
              <w:rPr>
                <w:sz w:val="20"/>
                <w:szCs w:val="20"/>
              </w:rPr>
            </w:pPr>
            <w:r w:rsidRPr="00D06DB3">
              <w:rPr>
                <w:sz w:val="20"/>
                <w:szCs w:val="20"/>
              </w:rPr>
              <w:t>6</w:t>
            </w:r>
          </w:p>
        </w:tc>
        <w:tc>
          <w:tcPr>
            <w:tcW w:w="4064" w:type="pct"/>
            <w:vAlign w:val="center"/>
          </w:tcPr>
          <w:p w:rsidR="007147D7" w:rsidRPr="00D06DB3" w:rsidRDefault="007147D7" w:rsidP="00DF4EBA">
            <w:pPr>
              <w:suppressAutoHyphens w:val="0"/>
              <w:snapToGrid w:val="0"/>
              <w:jc w:val="both"/>
              <w:rPr>
                <w:sz w:val="20"/>
                <w:szCs w:val="20"/>
              </w:rPr>
            </w:pPr>
            <w:r w:rsidRPr="00D06DB3">
              <w:rPr>
                <w:sz w:val="20"/>
                <w:szCs w:val="20"/>
              </w:rPr>
              <w:t>Two components of readiness for pedagogical activity at an average level, one at a high level</w:t>
            </w:r>
          </w:p>
        </w:tc>
        <w:tc>
          <w:tcPr>
            <w:tcW w:w="635" w:type="pct"/>
            <w:vMerge/>
            <w:vAlign w:val="center"/>
          </w:tcPr>
          <w:p w:rsidR="007147D7" w:rsidRPr="00D06DB3" w:rsidRDefault="007147D7" w:rsidP="00DF4EBA">
            <w:pPr>
              <w:suppressAutoHyphens w:val="0"/>
              <w:snapToGrid w:val="0"/>
              <w:jc w:val="both"/>
              <w:rPr>
                <w:sz w:val="20"/>
                <w:szCs w:val="20"/>
              </w:rPr>
            </w:pPr>
          </w:p>
        </w:tc>
      </w:tr>
      <w:tr w:rsidR="007147D7" w:rsidRPr="00D06DB3" w:rsidTr="00AB370F">
        <w:trPr>
          <w:jc w:val="center"/>
        </w:trPr>
        <w:tc>
          <w:tcPr>
            <w:tcW w:w="301" w:type="pct"/>
            <w:vAlign w:val="center"/>
          </w:tcPr>
          <w:p w:rsidR="007147D7" w:rsidRPr="00D06DB3" w:rsidRDefault="007147D7" w:rsidP="00DF4EBA">
            <w:pPr>
              <w:suppressAutoHyphens w:val="0"/>
              <w:snapToGrid w:val="0"/>
              <w:jc w:val="both"/>
              <w:rPr>
                <w:sz w:val="20"/>
                <w:szCs w:val="20"/>
              </w:rPr>
            </w:pPr>
            <w:r w:rsidRPr="00D06DB3">
              <w:rPr>
                <w:sz w:val="20"/>
                <w:szCs w:val="20"/>
              </w:rPr>
              <w:t>5</w:t>
            </w:r>
          </w:p>
        </w:tc>
        <w:tc>
          <w:tcPr>
            <w:tcW w:w="4064" w:type="pct"/>
            <w:vAlign w:val="center"/>
          </w:tcPr>
          <w:p w:rsidR="007147D7" w:rsidRPr="00D06DB3" w:rsidRDefault="007147D7" w:rsidP="00DF4EBA">
            <w:pPr>
              <w:suppressAutoHyphens w:val="0"/>
              <w:snapToGrid w:val="0"/>
              <w:jc w:val="both"/>
              <w:rPr>
                <w:sz w:val="20"/>
                <w:szCs w:val="20"/>
              </w:rPr>
            </w:pPr>
            <w:r w:rsidRPr="00D06DB3">
              <w:rPr>
                <w:sz w:val="20"/>
                <w:szCs w:val="20"/>
              </w:rPr>
              <w:t>Two components of readiness for teaching at the middle level, one at a low level</w:t>
            </w:r>
          </w:p>
        </w:tc>
        <w:tc>
          <w:tcPr>
            <w:tcW w:w="635" w:type="pct"/>
            <w:vMerge/>
            <w:vAlign w:val="center"/>
          </w:tcPr>
          <w:p w:rsidR="007147D7" w:rsidRPr="00D06DB3" w:rsidRDefault="007147D7" w:rsidP="00DF4EBA">
            <w:pPr>
              <w:suppressAutoHyphens w:val="0"/>
              <w:snapToGrid w:val="0"/>
              <w:jc w:val="both"/>
              <w:rPr>
                <w:sz w:val="20"/>
                <w:szCs w:val="20"/>
              </w:rPr>
            </w:pPr>
          </w:p>
        </w:tc>
      </w:tr>
      <w:tr w:rsidR="007147D7" w:rsidRPr="00D06DB3" w:rsidTr="00AB370F">
        <w:trPr>
          <w:jc w:val="center"/>
        </w:trPr>
        <w:tc>
          <w:tcPr>
            <w:tcW w:w="301" w:type="pct"/>
            <w:vAlign w:val="center"/>
          </w:tcPr>
          <w:p w:rsidR="007147D7" w:rsidRPr="00D06DB3" w:rsidRDefault="007147D7" w:rsidP="00DF4EBA">
            <w:pPr>
              <w:suppressAutoHyphens w:val="0"/>
              <w:snapToGrid w:val="0"/>
              <w:jc w:val="both"/>
              <w:rPr>
                <w:sz w:val="20"/>
                <w:szCs w:val="20"/>
              </w:rPr>
            </w:pPr>
            <w:r w:rsidRPr="00D06DB3">
              <w:rPr>
                <w:sz w:val="20"/>
                <w:szCs w:val="20"/>
              </w:rPr>
              <w:t>4</w:t>
            </w:r>
          </w:p>
        </w:tc>
        <w:tc>
          <w:tcPr>
            <w:tcW w:w="4064" w:type="pct"/>
            <w:vAlign w:val="center"/>
          </w:tcPr>
          <w:p w:rsidR="007147D7" w:rsidRPr="00D06DB3" w:rsidRDefault="007147D7" w:rsidP="00DF4EBA">
            <w:pPr>
              <w:suppressAutoHyphens w:val="0"/>
              <w:snapToGrid w:val="0"/>
              <w:jc w:val="both"/>
              <w:rPr>
                <w:sz w:val="20"/>
                <w:szCs w:val="20"/>
              </w:rPr>
            </w:pPr>
            <w:r w:rsidRPr="00D06DB3">
              <w:rPr>
                <w:sz w:val="20"/>
                <w:szCs w:val="20"/>
              </w:rPr>
              <w:t>One component of readiness for pedagogical activity at a medium level, one at a low level, one at a high level.</w:t>
            </w:r>
          </w:p>
        </w:tc>
        <w:tc>
          <w:tcPr>
            <w:tcW w:w="635" w:type="pct"/>
            <w:vMerge/>
            <w:vAlign w:val="center"/>
          </w:tcPr>
          <w:p w:rsidR="007147D7" w:rsidRPr="00D06DB3" w:rsidRDefault="007147D7" w:rsidP="00DF4EBA">
            <w:pPr>
              <w:suppressAutoHyphens w:val="0"/>
              <w:snapToGrid w:val="0"/>
              <w:jc w:val="both"/>
              <w:rPr>
                <w:sz w:val="20"/>
                <w:szCs w:val="20"/>
              </w:rPr>
            </w:pPr>
          </w:p>
        </w:tc>
      </w:tr>
      <w:tr w:rsidR="007147D7" w:rsidRPr="00D06DB3" w:rsidTr="00AB370F">
        <w:trPr>
          <w:jc w:val="center"/>
        </w:trPr>
        <w:tc>
          <w:tcPr>
            <w:tcW w:w="301" w:type="pct"/>
            <w:vAlign w:val="center"/>
          </w:tcPr>
          <w:p w:rsidR="007147D7" w:rsidRPr="00D06DB3" w:rsidRDefault="007147D7" w:rsidP="00DF4EBA">
            <w:pPr>
              <w:suppressAutoHyphens w:val="0"/>
              <w:snapToGrid w:val="0"/>
              <w:jc w:val="both"/>
              <w:rPr>
                <w:sz w:val="20"/>
                <w:szCs w:val="20"/>
              </w:rPr>
            </w:pPr>
            <w:r w:rsidRPr="00D06DB3">
              <w:rPr>
                <w:sz w:val="20"/>
                <w:szCs w:val="20"/>
              </w:rPr>
              <w:t>3</w:t>
            </w:r>
          </w:p>
        </w:tc>
        <w:tc>
          <w:tcPr>
            <w:tcW w:w="4064" w:type="pct"/>
            <w:vAlign w:val="center"/>
          </w:tcPr>
          <w:p w:rsidR="007147D7" w:rsidRPr="00D06DB3" w:rsidRDefault="007147D7" w:rsidP="00DF4EBA">
            <w:pPr>
              <w:suppressAutoHyphens w:val="0"/>
              <w:snapToGrid w:val="0"/>
              <w:jc w:val="both"/>
              <w:rPr>
                <w:sz w:val="20"/>
                <w:szCs w:val="20"/>
              </w:rPr>
            </w:pPr>
            <w:r w:rsidRPr="00D06DB3">
              <w:rPr>
                <w:sz w:val="20"/>
                <w:szCs w:val="20"/>
              </w:rPr>
              <w:t>All components of readiness for pedagogical activity at a low level</w:t>
            </w:r>
          </w:p>
        </w:tc>
        <w:tc>
          <w:tcPr>
            <w:tcW w:w="635" w:type="pct"/>
            <w:vMerge w:val="restart"/>
            <w:vAlign w:val="center"/>
          </w:tcPr>
          <w:p w:rsidR="007147D7" w:rsidRPr="00D06DB3" w:rsidRDefault="007147D7" w:rsidP="00DF4EBA">
            <w:pPr>
              <w:suppressAutoHyphens w:val="0"/>
              <w:snapToGrid w:val="0"/>
              <w:jc w:val="both"/>
              <w:rPr>
                <w:rFonts w:hint="eastAsia"/>
                <w:sz w:val="20"/>
                <w:szCs w:val="20"/>
                <w:lang w:eastAsia="zh-CN"/>
              </w:rPr>
            </w:pPr>
            <w:r w:rsidRPr="00D06DB3">
              <w:rPr>
                <w:sz w:val="20"/>
                <w:szCs w:val="20"/>
              </w:rPr>
              <w:t>Low</w:t>
            </w:r>
          </w:p>
        </w:tc>
      </w:tr>
      <w:tr w:rsidR="007147D7" w:rsidRPr="00D06DB3" w:rsidTr="00AB370F">
        <w:trPr>
          <w:jc w:val="center"/>
        </w:trPr>
        <w:tc>
          <w:tcPr>
            <w:tcW w:w="301" w:type="pct"/>
            <w:vAlign w:val="center"/>
          </w:tcPr>
          <w:p w:rsidR="007147D7" w:rsidRPr="00D06DB3" w:rsidRDefault="007147D7" w:rsidP="00DF4EBA">
            <w:pPr>
              <w:suppressAutoHyphens w:val="0"/>
              <w:snapToGrid w:val="0"/>
              <w:jc w:val="both"/>
              <w:rPr>
                <w:sz w:val="20"/>
                <w:szCs w:val="20"/>
              </w:rPr>
            </w:pPr>
            <w:r w:rsidRPr="00D06DB3">
              <w:rPr>
                <w:sz w:val="20"/>
                <w:szCs w:val="20"/>
              </w:rPr>
              <w:t>2</w:t>
            </w:r>
          </w:p>
        </w:tc>
        <w:tc>
          <w:tcPr>
            <w:tcW w:w="4064" w:type="pct"/>
            <w:vAlign w:val="center"/>
          </w:tcPr>
          <w:p w:rsidR="007147D7" w:rsidRPr="00D06DB3" w:rsidRDefault="007147D7" w:rsidP="00DF4EBA">
            <w:pPr>
              <w:suppressAutoHyphens w:val="0"/>
              <w:snapToGrid w:val="0"/>
              <w:jc w:val="both"/>
              <w:rPr>
                <w:sz w:val="20"/>
                <w:szCs w:val="20"/>
              </w:rPr>
            </w:pPr>
            <w:r w:rsidRPr="00D06DB3">
              <w:rPr>
                <w:sz w:val="20"/>
                <w:szCs w:val="20"/>
              </w:rPr>
              <w:t>Two components of readiness for teaching activities at a low level, one on average</w:t>
            </w:r>
          </w:p>
        </w:tc>
        <w:tc>
          <w:tcPr>
            <w:tcW w:w="635" w:type="pct"/>
            <w:vMerge/>
            <w:vAlign w:val="center"/>
          </w:tcPr>
          <w:p w:rsidR="007147D7" w:rsidRPr="00D06DB3" w:rsidRDefault="007147D7" w:rsidP="00DF4EBA">
            <w:pPr>
              <w:suppressAutoHyphens w:val="0"/>
              <w:snapToGrid w:val="0"/>
              <w:jc w:val="both"/>
              <w:rPr>
                <w:sz w:val="20"/>
                <w:szCs w:val="20"/>
              </w:rPr>
            </w:pPr>
          </w:p>
        </w:tc>
      </w:tr>
      <w:tr w:rsidR="007147D7" w:rsidRPr="00D06DB3" w:rsidTr="00AB370F">
        <w:trPr>
          <w:jc w:val="center"/>
        </w:trPr>
        <w:tc>
          <w:tcPr>
            <w:tcW w:w="301" w:type="pct"/>
            <w:vAlign w:val="center"/>
          </w:tcPr>
          <w:p w:rsidR="007147D7" w:rsidRPr="00D06DB3" w:rsidRDefault="007147D7" w:rsidP="00DF4EBA">
            <w:pPr>
              <w:suppressAutoHyphens w:val="0"/>
              <w:snapToGrid w:val="0"/>
              <w:jc w:val="both"/>
              <w:rPr>
                <w:sz w:val="20"/>
                <w:szCs w:val="20"/>
              </w:rPr>
            </w:pPr>
            <w:r w:rsidRPr="00D06DB3">
              <w:rPr>
                <w:sz w:val="20"/>
                <w:szCs w:val="20"/>
              </w:rPr>
              <w:t>1</w:t>
            </w:r>
          </w:p>
        </w:tc>
        <w:tc>
          <w:tcPr>
            <w:tcW w:w="4064" w:type="pct"/>
            <w:vAlign w:val="center"/>
          </w:tcPr>
          <w:p w:rsidR="007147D7" w:rsidRPr="00D06DB3" w:rsidRDefault="007147D7" w:rsidP="00DF4EBA">
            <w:pPr>
              <w:suppressAutoHyphens w:val="0"/>
              <w:snapToGrid w:val="0"/>
              <w:jc w:val="both"/>
              <w:rPr>
                <w:sz w:val="20"/>
                <w:szCs w:val="20"/>
              </w:rPr>
            </w:pPr>
            <w:r w:rsidRPr="00D06DB3">
              <w:rPr>
                <w:sz w:val="20"/>
                <w:szCs w:val="20"/>
              </w:rPr>
              <w:t>Two components of readiness for pedagogical activity at a low level, one at a high</w:t>
            </w:r>
          </w:p>
        </w:tc>
        <w:tc>
          <w:tcPr>
            <w:tcW w:w="635" w:type="pct"/>
            <w:vMerge/>
            <w:vAlign w:val="center"/>
          </w:tcPr>
          <w:p w:rsidR="007147D7" w:rsidRPr="00D06DB3" w:rsidRDefault="007147D7" w:rsidP="00DF4EBA">
            <w:pPr>
              <w:suppressAutoHyphens w:val="0"/>
              <w:snapToGrid w:val="0"/>
              <w:jc w:val="both"/>
              <w:rPr>
                <w:sz w:val="20"/>
                <w:szCs w:val="20"/>
              </w:rPr>
            </w:pPr>
          </w:p>
        </w:tc>
      </w:tr>
      <w:tr w:rsidR="007147D7" w:rsidRPr="00D06DB3" w:rsidTr="00AB370F">
        <w:trPr>
          <w:jc w:val="center"/>
        </w:trPr>
        <w:tc>
          <w:tcPr>
            <w:tcW w:w="301" w:type="pct"/>
            <w:vAlign w:val="center"/>
          </w:tcPr>
          <w:p w:rsidR="007147D7" w:rsidRPr="00D06DB3" w:rsidRDefault="007147D7" w:rsidP="00DF4EBA">
            <w:pPr>
              <w:suppressAutoHyphens w:val="0"/>
              <w:snapToGrid w:val="0"/>
              <w:jc w:val="both"/>
              <w:rPr>
                <w:sz w:val="20"/>
                <w:szCs w:val="20"/>
              </w:rPr>
            </w:pPr>
            <w:r w:rsidRPr="00D06DB3">
              <w:rPr>
                <w:sz w:val="20"/>
                <w:szCs w:val="20"/>
              </w:rPr>
              <w:t>0</w:t>
            </w:r>
          </w:p>
        </w:tc>
        <w:tc>
          <w:tcPr>
            <w:tcW w:w="4064" w:type="pct"/>
            <w:vAlign w:val="center"/>
          </w:tcPr>
          <w:p w:rsidR="007147D7" w:rsidRPr="00D06DB3" w:rsidRDefault="007147D7" w:rsidP="00DF4EBA">
            <w:pPr>
              <w:suppressAutoHyphens w:val="0"/>
              <w:snapToGrid w:val="0"/>
              <w:jc w:val="both"/>
              <w:rPr>
                <w:sz w:val="20"/>
                <w:szCs w:val="20"/>
              </w:rPr>
            </w:pPr>
            <w:r w:rsidRPr="00D06DB3">
              <w:rPr>
                <w:sz w:val="20"/>
                <w:szCs w:val="20"/>
              </w:rPr>
              <w:t>At least one readiness component is not formed. </w:t>
            </w:r>
          </w:p>
        </w:tc>
        <w:tc>
          <w:tcPr>
            <w:tcW w:w="635" w:type="pct"/>
            <w:vAlign w:val="center"/>
          </w:tcPr>
          <w:p w:rsidR="007147D7" w:rsidRPr="00D06DB3" w:rsidRDefault="007147D7" w:rsidP="00DF4EBA">
            <w:pPr>
              <w:suppressAutoHyphens w:val="0"/>
              <w:snapToGrid w:val="0"/>
              <w:jc w:val="both"/>
              <w:rPr>
                <w:sz w:val="20"/>
                <w:szCs w:val="20"/>
              </w:rPr>
            </w:pPr>
            <w:r w:rsidRPr="00D06DB3">
              <w:rPr>
                <w:sz w:val="20"/>
                <w:szCs w:val="20"/>
              </w:rPr>
              <w:t>Unacceptable</w:t>
            </w:r>
          </w:p>
        </w:tc>
      </w:tr>
    </w:tbl>
    <w:p w:rsidR="00DF4EBA" w:rsidRPr="00D06DB3" w:rsidRDefault="00DF4EBA" w:rsidP="00DF4EBA">
      <w:pPr>
        <w:suppressAutoHyphens w:val="0"/>
        <w:snapToGrid w:val="0"/>
        <w:ind w:firstLine="425"/>
        <w:jc w:val="both"/>
        <w:rPr>
          <w:sz w:val="20"/>
          <w:szCs w:val="20"/>
        </w:rPr>
      </w:pPr>
    </w:p>
    <w:p w:rsidR="00DF4EBA" w:rsidRPr="00D06DB3" w:rsidRDefault="00DF4EBA" w:rsidP="00DF4EBA">
      <w:pPr>
        <w:suppressAutoHyphens w:val="0"/>
        <w:snapToGrid w:val="0"/>
        <w:ind w:firstLine="425"/>
        <w:jc w:val="both"/>
        <w:rPr>
          <w:oMath/>
          <w:rFonts w:ascii="Cambria Math" w:eastAsia="BatangChe"/>
          <w:sz w:val="20"/>
          <w:szCs w:val="20"/>
        </w:rPr>
        <w:sectPr w:rsidR="00DF4EBA" w:rsidRPr="00D06DB3" w:rsidSect="00AB370F">
          <w:footnotePr>
            <w:pos w:val="beneathText"/>
          </w:footnotePr>
          <w:type w:val="continuous"/>
          <w:pgSz w:w="12240" w:h="15840" w:code="1"/>
          <w:pgMar w:top="1440" w:right="1440" w:bottom="1440" w:left="1440" w:header="720" w:footer="720" w:gutter="0"/>
          <w:cols w:space="720"/>
          <w:docGrid w:linePitch="360"/>
        </w:sectPr>
      </w:pPr>
    </w:p>
    <w:p w:rsidR="004642A3" w:rsidRPr="00D06DB3" w:rsidRDefault="009F6311" w:rsidP="00DF4EBA">
      <w:pPr>
        <w:suppressAutoHyphens w:val="0"/>
        <w:snapToGrid w:val="0"/>
        <w:ind w:firstLine="425"/>
        <w:jc w:val="both"/>
        <w:rPr>
          <w:rFonts w:eastAsia="BatangChe"/>
          <w:sz w:val="20"/>
          <w:szCs w:val="20"/>
        </w:rPr>
      </w:pPr>
      <m:oMath>
        <m:sSub>
          <m:sSubPr>
            <m:ctrlPr>
              <w:rPr>
                <w:rFonts w:ascii="Cambria Math" w:eastAsia="BatangChe" w:hAnsi="Cambria Math"/>
                <w:i/>
                <w:sz w:val="20"/>
                <w:szCs w:val="20"/>
              </w:rPr>
            </m:ctrlPr>
          </m:sSubPr>
          <m:e>
            <m:r>
              <w:rPr>
                <w:rFonts w:ascii="Cambria Math" w:eastAsia="BatangChe" w:hAnsi="Cambria Math"/>
                <w:sz w:val="20"/>
                <w:szCs w:val="20"/>
              </w:rPr>
              <m:t>S</m:t>
            </m:r>
          </m:e>
          <m:sub>
            <m:r>
              <w:rPr>
                <w:rFonts w:ascii="Cambria Math" w:eastAsia="BatangChe"/>
                <w:sz w:val="20"/>
                <w:szCs w:val="20"/>
              </w:rPr>
              <m:t>г</m:t>
            </m:r>
          </m:sub>
        </m:sSub>
        <m:r>
          <w:rPr>
            <w:rFonts w:ascii="Cambria Math" w:eastAsia="BatangChe"/>
            <w:sz w:val="20"/>
            <w:szCs w:val="20"/>
          </w:rPr>
          <m:t>=</m:t>
        </m:r>
        <m:f>
          <m:fPr>
            <m:ctrlPr>
              <w:rPr>
                <w:rFonts w:ascii="Cambria Math" w:eastAsia="BatangChe" w:hAnsi="Cambria Math"/>
                <w:i/>
                <w:sz w:val="20"/>
                <w:szCs w:val="20"/>
              </w:rPr>
            </m:ctrlPr>
          </m:fPr>
          <m:num>
            <m:sSub>
              <m:sSubPr>
                <m:ctrlPr>
                  <w:rPr>
                    <w:rFonts w:ascii="Cambria Math" w:eastAsia="BatangChe" w:hAnsi="Cambria Math"/>
                    <w:i/>
                    <w:sz w:val="20"/>
                    <w:szCs w:val="20"/>
                  </w:rPr>
                </m:ctrlPr>
              </m:sSubPr>
              <m:e>
                <m:r>
                  <w:rPr>
                    <w:rFonts w:ascii="Cambria Math" w:eastAsia="BatangChe"/>
                    <w:sz w:val="20"/>
                    <w:szCs w:val="20"/>
                  </w:rPr>
                  <m:t xml:space="preserve"> </m:t>
                </m:r>
                <m:r>
                  <w:rPr>
                    <w:rFonts w:ascii="Cambria Math" w:eastAsia="BatangChe" w:hAnsi="Cambria Math"/>
                    <w:sz w:val="20"/>
                    <w:szCs w:val="20"/>
                  </w:rPr>
                  <m:t>O</m:t>
                </m:r>
              </m:e>
              <m:sub>
                <m:sSub>
                  <m:sSubPr>
                    <m:ctrlPr>
                      <w:rPr>
                        <w:rFonts w:ascii="Cambria Math" w:eastAsia="BatangChe" w:hAnsi="Cambria Math"/>
                        <w:i/>
                        <w:sz w:val="20"/>
                        <w:szCs w:val="20"/>
                      </w:rPr>
                    </m:ctrlPr>
                  </m:sSubPr>
                  <m:e>
                    <m:r>
                      <w:rPr>
                        <w:rFonts w:ascii="Cambria Math" w:eastAsia="BatangChe"/>
                        <w:sz w:val="20"/>
                        <w:szCs w:val="20"/>
                      </w:rPr>
                      <m:t>г</m:t>
                    </m:r>
                  </m:e>
                  <m:sub>
                    <m:r>
                      <w:rPr>
                        <w:rFonts w:ascii="Cambria Math" w:eastAsia="BatangChe"/>
                        <w:sz w:val="20"/>
                        <w:szCs w:val="20"/>
                      </w:rPr>
                      <m:t>1,2</m:t>
                    </m:r>
                  </m:sub>
                </m:sSub>
              </m:sub>
            </m:sSub>
          </m:num>
          <m:den>
            <m:sSub>
              <m:sSubPr>
                <m:ctrlPr>
                  <w:rPr>
                    <w:rFonts w:ascii="Cambria Math" w:eastAsia="BatangChe" w:hAnsi="Cambria Math"/>
                    <w:i/>
                    <w:sz w:val="20"/>
                    <w:szCs w:val="20"/>
                  </w:rPr>
                </m:ctrlPr>
              </m:sSubPr>
              <m:e>
                <m:r>
                  <w:rPr>
                    <w:rFonts w:ascii="Cambria Math" w:eastAsia="BatangChe" w:hAnsi="Cambria Math"/>
                    <w:sz w:val="20"/>
                    <w:szCs w:val="20"/>
                  </w:rPr>
                  <m:t>G</m:t>
                </m:r>
              </m:e>
              <m:sub>
                <m:sSub>
                  <m:sSubPr>
                    <m:ctrlPr>
                      <w:rPr>
                        <w:rFonts w:ascii="Cambria Math" w:eastAsia="BatangChe" w:hAnsi="Cambria Math"/>
                        <w:i/>
                        <w:sz w:val="20"/>
                        <w:szCs w:val="20"/>
                      </w:rPr>
                    </m:ctrlPr>
                  </m:sSubPr>
                  <m:e>
                    <m:r>
                      <w:rPr>
                        <w:rFonts w:ascii="Cambria Math" w:eastAsia="BatangChe"/>
                        <w:sz w:val="20"/>
                        <w:szCs w:val="20"/>
                      </w:rPr>
                      <m:t>г</m:t>
                    </m:r>
                  </m:e>
                  <m:sub>
                    <m:r>
                      <w:rPr>
                        <w:rFonts w:ascii="Cambria Math" w:eastAsia="BatangChe"/>
                        <w:sz w:val="20"/>
                        <w:szCs w:val="20"/>
                      </w:rPr>
                      <m:t>1,2</m:t>
                    </m:r>
                  </m:sub>
                </m:sSub>
              </m:sub>
            </m:sSub>
          </m:den>
        </m:f>
      </m:oMath>
      <w:r w:rsidR="004642A3" w:rsidRPr="00D06DB3">
        <w:rPr>
          <w:rFonts w:eastAsia="BatangChe"/>
          <w:sz w:val="20"/>
          <w:szCs w:val="20"/>
          <w:lang w:val="uz-Cyrl-UZ"/>
        </w:rPr>
        <w:t xml:space="preserve">; </w:t>
      </w:r>
      <w:r w:rsidR="00DF4EBA" w:rsidRPr="00D06DB3">
        <w:rPr>
          <w:rFonts w:hint="eastAsia"/>
          <w:sz w:val="20"/>
          <w:szCs w:val="20"/>
          <w:lang w:val="uz-Cyrl-UZ" w:eastAsia="zh-CN"/>
        </w:rPr>
        <w:tab/>
      </w:r>
      <w:r w:rsidR="00DF4EBA" w:rsidRPr="00D06DB3">
        <w:rPr>
          <w:rFonts w:hint="eastAsia"/>
          <w:sz w:val="20"/>
          <w:szCs w:val="20"/>
          <w:lang w:val="uz-Cyrl-UZ" w:eastAsia="zh-CN"/>
        </w:rPr>
        <w:tab/>
      </w:r>
      <w:r w:rsidR="00DF4EBA" w:rsidRPr="00D06DB3">
        <w:rPr>
          <w:rFonts w:hint="eastAsia"/>
          <w:sz w:val="20"/>
          <w:szCs w:val="20"/>
          <w:lang w:val="uz-Cyrl-UZ" w:eastAsia="zh-CN"/>
        </w:rPr>
        <w:tab/>
      </w:r>
      <w:r w:rsidR="00DF4EBA" w:rsidRPr="00D06DB3">
        <w:rPr>
          <w:rFonts w:hint="eastAsia"/>
          <w:sz w:val="20"/>
          <w:szCs w:val="20"/>
          <w:lang w:val="uz-Cyrl-UZ" w:eastAsia="zh-CN"/>
        </w:rPr>
        <w:tab/>
      </w:r>
      <w:r w:rsidR="004642A3" w:rsidRPr="00D06DB3">
        <w:rPr>
          <w:rFonts w:eastAsia="BatangChe"/>
          <w:sz w:val="20"/>
          <w:szCs w:val="20"/>
        </w:rPr>
        <w:t>(2)</w:t>
      </w:r>
    </w:p>
    <w:p w:rsidR="004642A3" w:rsidRPr="00D06DB3" w:rsidRDefault="009F6311" w:rsidP="00DF4EBA">
      <w:pPr>
        <w:suppressAutoHyphens w:val="0"/>
        <w:snapToGrid w:val="0"/>
        <w:ind w:firstLine="425"/>
        <w:jc w:val="both"/>
        <w:rPr>
          <w:rFonts w:eastAsia="BatangChe"/>
          <w:sz w:val="20"/>
          <w:szCs w:val="20"/>
          <w:lang w:val="uz-Cyrl-UZ"/>
        </w:rPr>
      </w:pPr>
      <m:oMath>
        <m:sSub>
          <m:sSubPr>
            <m:ctrlPr>
              <w:rPr>
                <w:rFonts w:ascii="Cambria Math" w:eastAsia="BatangChe" w:hAnsi="Cambria Math"/>
                <w:i/>
                <w:sz w:val="20"/>
                <w:szCs w:val="20"/>
              </w:rPr>
            </m:ctrlPr>
          </m:sSubPr>
          <m:e>
            <m:r>
              <w:rPr>
                <w:rFonts w:ascii="Cambria Math" w:eastAsia="BatangChe" w:hAnsi="Cambria Math"/>
                <w:sz w:val="20"/>
                <w:szCs w:val="20"/>
              </w:rPr>
              <m:t>Q</m:t>
            </m:r>
          </m:e>
          <m:sub>
            <m:sSub>
              <m:sSubPr>
                <m:ctrlPr>
                  <w:rPr>
                    <w:rFonts w:ascii="Cambria Math" w:eastAsia="BatangChe" w:hAnsi="Cambria Math"/>
                    <w:i/>
                    <w:sz w:val="20"/>
                    <w:szCs w:val="20"/>
                  </w:rPr>
                </m:ctrlPr>
              </m:sSubPr>
              <m:e>
                <m:r>
                  <w:rPr>
                    <w:rFonts w:ascii="Cambria Math" w:eastAsia="BatangChe"/>
                    <w:sz w:val="20"/>
                    <w:szCs w:val="20"/>
                  </w:rPr>
                  <m:t>г</m:t>
                </m:r>
              </m:e>
              <m:sub>
                <m:r>
                  <w:rPr>
                    <w:rFonts w:ascii="Cambria Math" w:eastAsia="BatangChe"/>
                    <w:sz w:val="20"/>
                    <w:szCs w:val="20"/>
                  </w:rPr>
                  <m:t xml:space="preserve"> </m:t>
                </m:r>
              </m:sub>
            </m:sSub>
          </m:sub>
        </m:sSub>
        <m:r>
          <w:rPr>
            <w:rFonts w:ascii="Cambria Math" w:eastAsia="BatangChe"/>
            <w:sz w:val="20"/>
            <w:szCs w:val="20"/>
          </w:rPr>
          <m:t>=</m:t>
        </m:r>
        <m:f>
          <m:fPr>
            <m:ctrlPr>
              <w:rPr>
                <w:rFonts w:ascii="Cambria Math" w:eastAsia="BatangChe" w:hAnsi="Cambria Math"/>
                <w:i/>
                <w:sz w:val="20"/>
                <w:szCs w:val="20"/>
              </w:rPr>
            </m:ctrlPr>
          </m:fPr>
          <m:num>
            <m:sSub>
              <m:sSubPr>
                <m:ctrlPr>
                  <w:rPr>
                    <w:rFonts w:ascii="Cambria Math" w:eastAsia="BatangChe" w:hAnsi="Cambria Math"/>
                    <w:i/>
                    <w:sz w:val="20"/>
                    <w:szCs w:val="20"/>
                  </w:rPr>
                </m:ctrlPr>
              </m:sSubPr>
              <m:e>
                <m:r>
                  <w:rPr>
                    <w:rFonts w:ascii="Cambria Math" w:eastAsia="BatangChe" w:hAnsi="Cambria Math"/>
                    <w:sz w:val="20"/>
                    <w:szCs w:val="20"/>
                  </w:rPr>
                  <m:t>S</m:t>
                </m:r>
              </m:e>
              <m:sub>
                <m:r>
                  <w:rPr>
                    <w:rFonts w:ascii="Cambria Math" w:eastAsia="BatangChe"/>
                    <w:sz w:val="20"/>
                    <w:szCs w:val="20"/>
                  </w:rPr>
                  <m:t>г</m:t>
                </m:r>
              </m:sub>
            </m:sSub>
          </m:num>
          <m:den>
            <m:sSub>
              <m:sSubPr>
                <m:ctrlPr>
                  <w:rPr>
                    <w:rFonts w:ascii="Cambria Math" w:eastAsia="BatangChe" w:hAnsi="Cambria Math"/>
                    <w:i/>
                    <w:sz w:val="20"/>
                    <w:szCs w:val="20"/>
                  </w:rPr>
                </m:ctrlPr>
              </m:sSubPr>
              <m:e>
                <m:r>
                  <w:rPr>
                    <w:rFonts w:ascii="Cambria Math" w:eastAsia="BatangChe" w:hAnsi="Cambria Math"/>
                    <w:sz w:val="20"/>
                    <w:szCs w:val="20"/>
                  </w:rPr>
                  <m:t>M</m:t>
                </m:r>
              </m:e>
              <m:sub>
                <m:sSub>
                  <m:sSubPr>
                    <m:ctrlPr>
                      <w:rPr>
                        <w:rFonts w:ascii="Cambria Math" w:eastAsia="BatangChe" w:hAnsi="Cambria Math"/>
                        <w:i/>
                        <w:sz w:val="20"/>
                        <w:szCs w:val="20"/>
                      </w:rPr>
                    </m:ctrlPr>
                  </m:sSubPr>
                  <m:e>
                    <m:r>
                      <w:rPr>
                        <w:rFonts w:ascii="Cambria Math" w:eastAsia="BatangChe" w:hAnsi="Cambria Math"/>
                        <w:sz w:val="20"/>
                        <w:szCs w:val="20"/>
                      </w:rPr>
                      <m:t>S</m:t>
                    </m:r>
                  </m:e>
                  <m:sub>
                    <m:r>
                      <w:rPr>
                        <w:rFonts w:ascii="Cambria Math" w:eastAsia="BatangChe" w:hAnsi="Cambria Math"/>
                        <w:sz w:val="20"/>
                        <w:szCs w:val="20"/>
                      </w:rPr>
                      <m:t>b</m:t>
                    </m:r>
                  </m:sub>
                </m:sSub>
              </m:sub>
            </m:sSub>
          </m:den>
        </m:f>
        <m:r>
          <w:rPr>
            <w:rFonts w:ascii="Cambria Math" w:eastAsia="BatangChe"/>
            <w:sz w:val="20"/>
            <w:szCs w:val="20"/>
          </w:rPr>
          <m:t>×</m:t>
        </m:r>
      </m:oMath>
      <w:r w:rsidR="004642A3" w:rsidRPr="00D06DB3">
        <w:rPr>
          <w:rFonts w:eastAsia="BatangChe"/>
          <w:sz w:val="20"/>
          <w:szCs w:val="20"/>
        </w:rPr>
        <w:t>100</w:t>
      </w:r>
      <w:r w:rsidR="00D06DB3" w:rsidRPr="00D06DB3">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8.15pt" equationxml="&lt;">
            <v:imagedata r:id="rId13" o:title="" chromakey="white"/>
          </v:shape>
        </w:pict>
      </w:r>
      <w:r w:rsidR="004642A3" w:rsidRPr="00D06DB3">
        <w:rPr>
          <w:rFonts w:eastAsia="BatangChe"/>
          <w:sz w:val="20"/>
          <w:szCs w:val="20"/>
          <w:lang w:val="uz-Cyrl-UZ"/>
        </w:rPr>
        <w:t xml:space="preserve">; </w:t>
      </w:r>
      <w:r w:rsidR="00DF4EBA" w:rsidRPr="00D06DB3">
        <w:rPr>
          <w:rFonts w:hint="eastAsia"/>
          <w:sz w:val="20"/>
          <w:szCs w:val="20"/>
          <w:lang w:val="uz-Cyrl-UZ" w:eastAsia="zh-CN"/>
        </w:rPr>
        <w:tab/>
      </w:r>
      <w:r w:rsidR="00DF4EBA" w:rsidRPr="00D06DB3">
        <w:rPr>
          <w:rFonts w:hint="eastAsia"/>
          <w:sz w:val="20"/>
          <w:szCs w:val="20"/>
          <w:lang w:val="uz-Cyrl-UZ" w:eastAsia="zh-CN"/>
        </w:rPr>
        <w:tab/>
      </w:r>
      <w:r w:rsidR="00DF4EBA" w:rsidRPr="00D06DB3">
        <w:rPr>
          <w:rFonts w:hint="eastAsia"/>
          <w:sz w:val="20"/>
          <w:szCs w:val="20"/>
          <w:lang w:val="uz-Cyrl-UZ" w:eastAsia="zh-CN"/>
        </w:rPr>
        <w:tab/>
      </w:r>
      <w:r w:rsidR="004642A3" w:rsidRPr="00D06DB3">
        <w:rPr>
          <w:rFonts w:eastAsia="BatangChe"/>
          <w:sz w:val="20"/>
          <w:szCs w:val="20"/>
          <w:lang w:val="uz-Cyrl-UZ"/>
        </w:rPr>
        <w:t>(3)</w:t>
      </w:r>
    </w:p>
    <w:p w:rsidR="004642A3" w:rsidRPr="00D06DB3" w:rsidRDefault="009F6311" w:rsidP="00DF4EBA">
      <w:pPr>
        <w:suppressAutoHyphens w:val="0"/>
        <w:snapToGrid w:val="0"/>
        <w:ind w:firstLine="425"/>
        <w:jc w:val="both"/>
        <w:rPr>
          <w:rFonts w:eastAsia="BatangChe"/>
          <w:sz w:val="20"/>
          <w:szCs w:val="20"/>
        </w:rPr>
      </w:pPr>
      <m:oMath>
        <m:sSub>
          <m:sSubPr>
            <m:ctrlPr>
              <w:rPr>
                <w:rFonts w:ascii="Cambria Math" w:eastAsia="BatangChe" w:hAnsi="Cambria Math"/>
                <w:i/>
                <w:sz w:val="20"/>
                <w:szCs w:val="20"/>
              </w:rPr>
            </m:ctrlPr>
          </m:sSubPr>
          <m:e>
            <m:r>
              <w:rPr>
                <w:rFonts w:ascii="Cambria Math" w:eastAsia="BatangChe" w:hAnsi="Cambria Math"/>
                <w:sz w:val="20"/>
                <w:szCs w:val="20"/>
              </w:rPr>
              <m:t>Q</m:t>
            </m:r>
          </m:e>
          <m:sub>
            <m:sSub>
              <m:sSubPr>
                <m:ctrlPr>
                  <w:rPr>
                    <w:rFonts w:ascii="Cambria Math" w:eastAsia="BatangChe" w:hAnsi="Cambria Math"/>
                    <w:i/>
                    <w:sz w:val="20"/>
                    <w:szCs w:val="20"/>
                  </w:rPr>
                </m:ctrlPr>
              </m:sSubPr>
              <m:e>
                <m:r>
                  <w:rPr>
                    <w:rFonts w:ascii="Cambria Math" w:eastAsia="BatangChe" w:hAnsi="Cambria Math"/>
                    <w:sz w:val="20"/>
                    <w:szCs w:val="20"/>
                  </w:rPr>
                  <m:t>K</m:t>
                </m:r>
              </m:e>
              <m:sub>
                <m:r>
                  <w:rPr>
                    <w:rFonts w:ascii="Cambria Math" w:eastAsia="BatangChe"/>
                    <w:sz w:val="20"/>
                    <w:szCs w:val="20"/>
                  </w:rPr>
                  <m:t>1</m:t>
                </m:r>
              </m:sub>
            </m:sSub>
          </m:sub>
        </m:sSub>
        <m:r>
          <w:rPr>
            <w:rFonts w:ascii="Cambria Math" w:eastAsia="BatangChe"/>
            <w:sz w:val="20"/>
            <w:szCs w:val="20"/>
          </w:rPr>
          <m:t>=</m:t>
        </m:r>
        <m:f>
          <m:fPr>
            <m:ctrlPr>
              <w:rPr>
                <w:rFonts w:ascii="Cambria Math" w:eastAsia="BatangChe" w:hAnsi="Cambria Math"/>
                <w:i/>
                <w:sz w:val="20"/>
                <w:szCs w:val="20"/>
              </w:rPr>
            </m:ctrlPr>
          </m:fPr>
          <m:num>
            <m:sSub>
              <m:sSubPr>
                <m:ctrlPr>
                  <w:rPr>
                    <w:rFonts w:ascii="Cambria Math" w:eastAsia="BatangChe" w:hAnsi="Cambria Math"/>
                    <w:i/>
                    <w:sz w:val="20"/>
                    <w:szCs w:val="20"/>
                  </w:rPr>
                </m:ctrlPr>
              </m:sSubPr>
              <m:e>
                <m:r>
                  <w:rPr>
                    <w:rFonts w:ascii="Cambria Math" w:eastAsia="BatangChe" w:hAnsi="Cambria Math"/>
                    <w:sz w:val="20"/>
                    <w:szCs w:val="20"/>
                  </w:rPr>
                  <m:t>S</m:t>
                </m:r>
              </m:e>
              <m:sub>
                <m:sSub>
                  <m:sSubPr>
                    <m:ctrlPr>
                      <w:rPr>
                        <w:rFonts w:ascii="Cambria Math" w:eastAsia="BatangChe" w:hAnsi="Cambria Math"/>
                        <w:i/>
                        <w:sz w:val="20"/>
                        <w:szCs w:val="20"/>
                      </w:rPr>
                    </m:ctrlPr>
                  </m:sSubPr>
                  <m:e>
                    <m:r>
                      <w:rPr>
                        <w:rFonts w:ascii="Cambria Math" w:eastAsia="BatangChe" w:hAnsi="Cambria Math"/>
                        <w:sz w:val="20"/>
                        <w:szCs w:val="20"/>
                      </w:rPr>
                      <m:t>K</m:t>
                    </m:r>
                  </m:e>
                  <m:sub>
                    <m:r>
                      <w:rPr>
                        <w:rFonts w:ascii="Cambria Math" w:eastAsia="BatangChe"/>
                        <w:sz w:val="20"/>
                        <w:szCs w:val="20"/>
                      </w:rPr>
                      <m:t>1</m:t>
                    </m:r>
                  </m:sub>
                </m:sSub>
              </m:sub>
            </m:sSub>
          </m:num>
          <m:den>
            <m:sSub>
              <m:sSubPr>
                <m:ctrlPr>
                  <w:rPr>
                    <w:rFonts w:ascii="Cambria Math" w:eastAsia="BatangChe" w:hAnsi="Cambria Math"/>
                    <w:i/>
                    <w:sz w:val="20"/>
                    <w:szCs w:val="20"/>
                  </w:rPr>
                </m:ctrlPr>
              </m:sSubPr>
              <m:e>
                <m:r>
                  <w:rPr>
                    <w:rFonts w:ascii="Cambria Math" w:eastAsia="BatangChe" w:hAnsi="Cambria Math"/>
                    <w:sz w:val="20"/>
                    <w:szCs w:val="20"/>
                  </w:rPr>
                  <m:t>M</m:t>
                </m:r>
              </m:e>
              <m:sub>
                <m:sSub>
                  <m:sSubPr>
                    <m:ctrlPr>
                      <w:rPr>
                        <w:rFonts w:ascii="Cambria Math" w:eastAsia="BatangChe" w:hAnsi="Cambria Math"/>
                        <w:i/>
                        <w:sz w:val="20"/>
                        <w:szCs w:val="20"/>
                      </w:rPr>
                    </m:ctrlPr>
                  </m:sSubPr>
                  <m:e>
                    <m:r>
                      <w:rPr>
                        <w:rFonts w:ascii="Cambria Math" w:eastAsia="BatangChe" w:hAnsi="Cambria Math"/>
                        <w:sz w:val="20"/>
                        <w:szCs w:val="20"/>
                      </w:rPr>
                      <m:t>S</m:t>
                    </m:r>
                  </m:e>
                  <m:sub>
                    <m:r>
                      <w:rPr>
                        <w:rFonts w:ascii="Cambria Math" w:eastAsia="BatangChe" w:hAnsi="Cambria Math"/>
                        <w:sz w:val="20"/>
                        <w:szCs w:val="20"/>
                      </w:rPr>
                      <m:t>b</m:t>
                    </m:r>
                  </m:sub>
                </m:sSub>
              </m:sub>
            </m:sSub>
          </m:den>
        </m:f>
        <m:r>
          <w:rPr>
            <w:rFonts w:ascii="Cambria Math" w:eastAsia="BatangChe"/>
            <w:sz w:val="20"/>
            <w:szCs w:val="20"/>
          </w:rPr>
          <m:t>×</m:t>
        </m:r>
      </m:oMath>
      <w:r w:rsidR="004642A3" w:rsidRPr="00D06DB3">
        <w:rPr>
          <w:rFonts w:eastAsia="BatangChe"/>
          <w:sz w:val="20"/>
          <w:szCs w:val="20"/>
        </w:rPr>
        <w:t>100</w:t>
      </w:r>
      <w:r w:rsidR="00D06DB3" w:rsidRPr="00D06DB3">
        <w:rPr>
          <w:sz w:val="20"/>
          <w:szCs w:val="20"/>
        </w:rPr>
        <w:pict>
          <v:shape id="_x0000_i1026" type="#_x0000_t75" style="width:12.5pt;height:18.15pt" equationxml="&lt;">
            <v:imagedata r:id="rId13" o:title="" chromakey="white"/>
          </v:shape>
        </w:pict>
      </w:r>
      <w:r w:rsidR="004642A3" w:rsidRPr="00D06DB3">
        <w:rPr>
          <w:rFonts w:eastAsia="BatangChe"/>
          <w:sz w:val="20"/>
          <w:szCs w:val="20"/>
          <w:lang w:val="uz-Cyrl-UZ"/>
        </w:rPr>
        <w:t>;</w:t>
      </w:r>
      <w:r w:rsidR="00DF4EBA" w:rsidRPr="00D06DB3">
        <w:rPr>
          <w:rFonts w:hint="eastAsia"/>
          <w:sz w:val="20"/>
          <w:szCs w:val="20"/>
          <w:lang w:val="uz-Cyrl-UZ" w:eastAsia="zh-CN"/>
        </w:rPr>
        <w:tab/>
      </w:r>
      <w:r w:rsidR="00DF4EBA" w:rsidRPr="00D06DB3">
        <w:rPr>
          <w:rFonts w:hint="eastAsia"/>
          <w:sz w:val="20"/>
          <w:szCs w:val="20"/>
          <w:lang w:val="uz-Cyrl-UZ" w:eastAsia="zh-CN"/>
        </w:rPr>
        <w:tab/>
      </w:r>
      <w:r w:rsidR="00DF4EBA" w:rsidRPr="00D06DB3">
        <w:rPr>
          <w:rFonts w:hint="eastAsia"/>
          <w:sz w:val="20"/>
          <w:szCs w:val="20"/>
          <w:lang w:val="uz-Cyrl-UZ" w:eastAsia="zh-CN"/>
        </w:rPr>
        <w:tab/>
      </w:r>
      <w:r w:rsidR="004642A3" w:rsidRPr="00D06DB3">
        <w:rPr>
          <w:rFonts w:eastAsia="BatangChe"/>
          <w:sz w:val="20"/>
          <w:szCs w:val="20"/>
          <w:lang w:val="uz-Cyrl-UZ"/>
        </w:rPr>
        <w:t>(4)</w:t>
      </w:r>
    </w:p>
    <w:p w:rsidR="000C06CD" w:rsidRPr="00D06DB3" w:rsidRDefault="00C67430" w:rsidP="00DF4EBA">
      <w:pPr>
        <w:suppressAutoHyphens w:val="0"/>
        <w:snapToGrid w:val="0"/>
        <w:ind w:firstLine="425"/>
        <w:jc w:val="both"/>
        <w:rPr>
          <w:sz w:val="20"/>
          <w:szCs w:val="20"/>
        </w:rPr>
      </w:pPr>
      <w:r w:rsidRPr="00D06DB3">
        <w:rPr>
          <w:sz w:val="20"/>
          <w:szCs w:val="20"/>
        </w:rPr>
        <w:t xml:space="preserve">G1, G2, G3, G4, G5, G6, G7, G8 - groups; </w:t>
      </w:r>
      <m:oMath>
        <m:sSub>
          <m:sSubPr>
            <m:ctrlPr>
              <w:rPr>
                <w:rFonts w:ascii="Cambria Math" w:eastAsia="BatangChe" w:hAnsi="Cambria Math"/>
                <w:i/>
                <w:sz w:val="20"/>
                <w:szCs w:val="20"/>
              </w:rPr>
            </m:ctrlPr>
          </m:sSubPr>
          <m:e>
            <m:r>
              <w:rPr>
                <w:rFonts w:ascii="Cambria Math" w:eastAsia="BatangChe" w:hAnsi="Cambria Math"/>
                <w:sz w:val="20"/>
                <w:szCs w:val="20"/>
              </w:rPr>
              <m:t>O</m:t>
            </m:r>
          </m:e>
          <m:sub>
            <m:sSub>
              <m:sSubPr>
                <m:ctrlPr>
                  <w:rPr>
                    <w:rFonts w:ascii="Cambria Math" w:eastAsia="BatangChe" w:hAnsi="Cambria Math"/>
                    <w:i/>
                    <w:sz w:val="20"/>
                    <w:szCs w:val="20"/>
                  </w:rPr>
                </m:ctrlPr>
              </m:sSubPr>
              <m:e>
                <m:r>
                  <w:rPr>
                    <w:rFonts w:ascii="Cambria Math" w:eastAsia="BatangChe"/>
                    <w:sz w:val="20"/>
                    <w:szCs w:val="20"/>
                  </w:rPr>
                  <m:t>г</m:t>
                </m:r>
              </m:e>
              <m:sub>
                <m:r>
                  <w:rPr>
                    <w:rFonts w:ascii="Cambria Math" w:eastAsia="BatangChe"/>
                    <w:sz w:val="20"/>
                    <w:szCs w:val="20"/>
                  </w:rPr>
                  <m:t>1</m:t>
                </m:r>
                <m:r>
                  <w:rPr>
                    <w:rFonts w:ascii="Cambria Math" w:eastAsia="BatangChe"/>
                    <w:sz w:val="20"/>
                    <w:szCs w:val="20"/>
                  </w:rPr>
                  <m:t>-</m:t>
                </m:r>
                <m:r>
                  <w:rPr>
                    <w:rFonts w:ascii="Cambria Math" w:eastAsia="BatangChe"/>
                    <w:sz w:val="20"/>
                    <w:szCs w:val="20"/>
                  </w:rPr>
                  <m:t>8</m:t>
                </m:r>
              </m:sub>
            </m:sSub>
          </m:sub>
        </m:sSub>
        <m:r>
          <w:rPr>
            <w:rFonts w:eastAsia="BatangChe"/>
            <w:sz w:val="20"/>
            <w:szCs w:val="20"/>
          </w:rPr>
          <m:t>-</m:t>
        </m:r>
      </m:oMath>
      <w:r w:rsidRPr="00D06DB3">
        <w:rPr>
          <w:rFonts w:eastAsia="BatangChe"/>
          <w:sz w:val="20"/>
          <w:szCs w:val="20"/>
        </w:rPr>
        <w:t xml:space="preserve"> </w:t>
      </w:r>
      <w:r w:rsidRPr="00D06DB3">
        <w:rPr>
          <w:sz w:val="20"/>
          <w:szCs w:val="20"/>
        </w:rPr>
        <w:t>total points of groups G1, G2;</w:t>
      </w:r>
      <w:r w:rsidRPr="00D06DB3">
        <w:rPr>
          <w:rFonts w:eastAsia="BatangChe"/>
          <w:sz w:val="20"/>
          <w:szCs w:val="20"/>
        </w:rPr>
        <w:t xml:space="preserve"> </w:t>
      </w:r>
      <m:oMath>
        <m:sSub>
          <m:sSubPr>
            <m:ctrlPr>
              <w:rPr>
                <w:rFonts w:ascii="Cambria Math" w:eastAsia="BatangChe" w:hAnsi="Cambria Math"/>
                <w:i/>
                <w:sz w:val="20"/>
                <w:szCs w:val="20"/>
              </w:rPr>
            </m:ctrlPr>
          </m:sSubPr>
          <m:e>
            <m:r>
              <w:rPr>
                <w:rFonts w:ascii="Cambria Math" w:eastAsia="BatangChe" w:hAnsi="Cambria Math"/>
                <w:sz w:val="20"/>
                <w:szCs w:val="20"/>
              </w:rPr>
              <m:t>E</m:t>
            </m:r>
          </m:e>
          <m:sub>
            <m:sSub>
              <m:sSubPr>
                <m:ctrlPr>
                  <w:rPr>
                    <w:rFonts w:ascii="Cambria Math" w:eastAsia="BatangChe" w:hAnsi="Cambria Math"/>
                    <w:i/>
                    <w:sz w:val="20"/>
                    <w:szCs w:val="20"/>
                  </w:rPr>
                </m:ctrlPr>
              </m:sSubPr>
              <m:e>
                <m:r>
                  <w:rPr>
                    <w:rFonts w:ascii="Cambria Math" w:eastAsia="BatangChe" w:hAnsi="Cambria Math"/>
                    <w:sz w:val="20"/>
                    <w:szCs w:val="20"/>
                  </w:rPr>
                  <m:t>A</m:t>
                </m:r>
              </m:e>
              <m:sub>
                <m:r>
                  <w:rPr>
                    <w:rFonts w:ascii="Cambria Math" w:eastAsia="BatangChe"/>
                    <w:sz w:val="20"/>
                    <w:szCs w:val="20"/>
                  </w:rPr>
                  <m:t>1,2,3</m:t>
                </m:r>
              </m:sub>
            </m:sSub>
          </m:sub>
        </m:sSub>
      </m:oMath>
      <w:r w:rsidR="00C222CC" w:rsidRPr="00D06DB3">
        <w:rPr>
          <w:rFonts w:eastAsia="BatangChe"/>
          <w:sz w:val="20"/>
          <w:szCs w:val="20"/>
        </w:rPr>
        <w:t>-</w:t>
      </w:r>
      <w:r w:rsidRPr="00D06DB3">
        <w:rPr>
          <w:sz w:val="20"/>
          <w:szCs w:val="20"/>
        </w:rPr>
        <w:t>the sum of points of groups according to the levels of educational activities, extracurricular activities, the conditions for the educational process;</w:t>
      </w:r>
      <m:oMath>
        <m:r>
          <w:rPr>
            <w:rFonts w:ascii="Cambria Math" w:eastAsia="BatangChe"/>
            <w:sz w:val="20"/>
            <w:szCs w:val="20"/>
          </w:rPr>
          <m:t xml:space="preserve"> </m:t>
        </m:r>
        <m:sSub>
          <m:sSubPr>
            <m:ctrlPr>
              <w:rPr>
                <w:rFonts w:ascii="Cambria Math" w:eastAsia="BatangChe" w:hAnsi="Cambria Math"/>
                <w:i/>
                <w:sz w:val="20"/>
                <w:szCs w:val="20"/>
              </w:rPr>
            </m:ctrlPr>
          </m:sSubPr>
          <m:e>
            <m:r>
              <w:rPr>
                <w:rFonts w:ascii="Cambria Math" w:eastAsia="BatangChe" w:hAnsi="Cambria Math"/>
                <w:sz w:val="20"/>
                <w:szCs w:val="20"/>
              </w:rPr>
              <m:t>G</m:t>
            </m:r>
          </m:e>
          <m:sub>
            <m:sSub>
              <m:sSubPr>
                <m:ctrlPr>
                  <w:rPr>
                    <w:rFonts w:ascii="Cambria Math" w:eastAsia="BatangChe" w:hAnsi="Cambria Math"/>
                    <w:i/>
                    <w:sz w:val="20"/>
                    <w:szCs w:val="20"/>
                  </w:rPr>
                </m:ctrlPr>
              </m:sSubPr>
              <m:e>
                <m:r>
                  <w:rPr>
                    <w:rFonts w:ascii="Cambria Math" w:eastAsia="BatangChe"/>
                    <w:sz w:val="20"/>
                    <w:szCs w:val="20"/>
                  </w:rPr>
                  <m:t>г</m:t>
                </m:r>
              </m:e>
              <m:sub>
                <m:r>
                  <w:rPr>
                    <w:rFonts w:ascii="Cambria Math" w:eastAsia="BatangChe"/>
                    <w:sz w:val="20"/>
                    <w:szCs w:val="20"/>
                  </w:rPr>
                  <m:t>1</m:t>
                </m:r>
                <m:r>
                  <w:rPr>
                    <w:rFonts w:ascii="Cambria Math" w:eastAsia="BatangChe"/>
                    <w:sz w:val="20"/>
                    <w:szCs w:val="20"/>
                  </w:rPr>
                  <m:t>-</m:t>
                </m:r>
                <m:r>
                  <w:rPr>
                    <w:rFonts w:ascii="Cambria Math" w:eastAsia="BatangChe"/>
                    <w:sz w:val="20"/>
                    <w:szCs w:val="20"/>
                  </w:rPr>
                  <m:t>8</m:t>
                </m:r>
              </m:sub>
            </m:sSub>
          </m:sub>
        </m:sSub>
        <m:r>
          <w:rPr>
            <w:rFonts w:eastAsia="BatangChe"/>
            <w:sz w:val="20"/>
            <w:szCs w:val="20"/>
          </w:rPr>
          <m:t>-</m:t>
        </m:r>
      </m:oMath>
      <w:r w:rsidR="000C06CD" w:rsidRPr="00D06DB3">
        <w:rPr>
          <w:sz w:val="20"/>
          <w:szCs w:val="20"/>
        </w:rPr>
        <w:t xml:space="preserve">number </w:t>
      </w:r>
      <w:r w:rsidR="000C06CD" w:rsidRPr="00D06DB3">
        <w:rPr>
          <w:sz w:val="20"/>
          <w:szCs w:val="20"/>
        </w:rPr>
        <w:lastRenderedPageBreak/>
        <w:t>of students in groups;</w:t>
      </w:r>
      <m:oMath>
        <m:r>
          <w:rPr>
            <w:rFonts w:ascii="Cambria Math" w:eastAsia="BatangChe"/>
            <w:sz w:val="20"/>
            <w:szCs w:val="20"/>
          </w:rPr>
          <m:t xml:space="preserve"> </m:t>
        </m:r>
        <m:sSub>
          <m:sSubPr>
            <m:ctrlPr>
              <w:rPr>
                <w:rFonts w:ascii="Cambria Math" w:eastAsia="BatangChe" w:hAnsi="Cambria Math"/>
                <w:i/>
                <w:sz w:val="20"/>
                <w:szCs w:val="20"/>
              </w:rPr>
            </m:ctrlPr>
          </m:sSubPr>
          <m:e>
            <m:r>
              <w:rPr>
                <w:rFonts w:ascii="Cambria Math" w:eastAsia="BatangChe" w:hAnsi="Cambria Math"/>
                <w:sz w:val="20"/>
                <w:szCs w:val="20"/>
              </w:rPr>
              <m:t>S</m:t>
            </m:r>
          </m:e>
          <m:sub>
            <m:sSub>
              <m:sSubPr>
                <m:ctrlPr>
                  <w:rPr>
                    <w:rFonts w:ascii="Cambria Math" w:eastAsia="BatangChe" w:hAnsi="Cambria Math"/>
                    <w:i/>
                    <w:sz w:val="20"/>
                    <w:szCs w:val="20"/>
                  </w:rPr>
                </m:ctrlPr>
              </m:sSubPr>
              <m:e>
                <m:r>
                  <w:rPr>
                    <w:rFonts w:ascii="Cambria Math" w:eastAsia="BatangChe"/>
                    <w:sz w:val="20"/>
                    <w:szCs w:val="20"/>
                  </w:rPr>
                  <m:t>г</m:t>
                </m:r>
              </m:e>
              <m:sub>
                <m:r>
                  <w:rPr>
                    <w:rFonts w:ascii="Cambria Math" w:eastAsia="BatangChe"/>
                    <w:sz w:val="20"/>
                    <w:szCs w:val="20"/>
                  </w:rPr>
                  <m:t xml:space="preserve"> </m:t>
                </m:r>
              </m:sub>
            </m:sSub>
          </m:sub>
        </m:sSub>
        <m:r>
          <w:rPr>
            <w:rFonts w:eastAsia="BatangChe"/>
            <w:sz w:val="20"/>
            <w:szCs w:val="20"/>
          </w:rPr>
          <m:t>-</m:t>
        </m:r>
        <m:r>
          <w:rPr>
            <w:rFonts w:ascii="Cambria Math" w:eastAsia="BatangChe"/>
            <w:sz w:val="20"/>
            <w:szCs w:val="20"/>
          </w:rPr>
          <m:t xml:space="preserve"> </m:t>
        </m:r>
      </m:oMath>
      <w:r w:rsidR="00E231CB" w:rsidRPr="00D06DB3">
        <w:rPr>
          <w:sz w:val="20"/>
          <w:szCs w:val="20"/>
        </w:rPr>
        <w:t>average amount of points by groups;</w:t>
      </w:r>
      <m:oMath>
        <m:r>
          <w:rPr>
            <w:rFonts w:ascii="Cambria Math" w:eastAsia="BatangChe"/>
            <w:sz w:val="20"/>
            <w:szCs w:val="20"/>
          </w:rPr>
          <m:t xml:space="preserve"> </m:t>
        </m:r>
        <m:sSub>
          <m:sSubPr>
            <m:ctrlPr>
              <w:rPr>
                <w:rFonts w:ascii="Cambria Math" w:eastAsia="BatangChe" w:hAnsi="Cambria Math"/>
                <w:i/>
                <w:sz w:val="20"/>
                <w:szCs w:val="20"/>
              </w:rPr>
            </m:ctrlPr>
          </m:sSubPr>
          <m:e>
            <m:r>
              <w:rPr>
                <w:rFonts w:ascii="Cambria Math" w:eastAsia="BatangChe" w:hAnsi="Cambria Math"/>
                <w:sz w:val="20"/>
                <w:szCs w:val="20"/>
              </w:rPr>
              <m:t>Q</m:t>
            </m:r>
          </m:e>
          <m:sub>
            <m:sSub>
              <m:sSubPr>
                <m:ctrlPr>
                  <w:rPr>
                    <w:rFonts w:ascii="Cambria Math" w:eastAsia="BatangChe" w:hAnsi="Cambria Math"/>
                    <w:i/>
                    <w:sz w:val="20"/>
                    <w:szCs w:val="20"/>
                  </w:rPr>
                </m:ctrlPr>
              </m:sSubPr>
              <m:e>
                <m:r>
                  <w:rPr>
                    <w:rFonts w:ascii="Cambria Math" w:eastAsia="BatangChe"/>
                    <w:sz w:val="20"/>
                    <w:szCs w:val="20"/>
                  </w:rPr>
                  <m:t>г</m:t>
                </m:r>
              </m:e>
              <m:sub>
                <m:r>
                  <w:rPr>
                    <w:rFonts w:ascii="Cambria Math" w:eastAsia="BatangChe"/>
                    <w:sz w:val="20"/>
                    <w:szCs w:val="20"/>
                  </w:rPr>
                  <m:t xml:space="preserve"> </m:t>
                </m:r>
              </m:sub>
            </m:sSub>
          </m:sub>
        </m:sSub>
        <m:r>
          <w:rPr>
            <w:rFonts w:eastAsia="BatangChe"/>
            <w:sz w:val="20"/>
            <w:szCs w:val="20"/>
          </w:rPr>
          <m:t>-</m:t>
        </m:r>
      </m:oMath>
      <w:r w:rsidR="00AB370F" w:rsidRPr="00D06DB3">
        <w:rPr>
          <w:rFonts w:eastAsia="BatangChe"/>
          <w:sz w:val="20"/>
          <w:szCs w:val="20"/>
        </w:rPr>
        <w:t xml:space="preserve"> </w:t>
      </w:r>
      <w:r w:rsidR="00352EF8" w:rsidRPr="00D06DB3">
        <w:rPr>
          <w:sz w:val="20"/>
          <w:szCs w:val="20"/>
        </w:rPr>
        <w:t xml:space="preserve">average amount of points by groups; volume of students' knowledge in groups; </w:t>
      </w:r>
      <m:oMath>
        <m:sSub>
          <m:sSubPr>
            <m:ctrlPr>
              <w:rPr>
                <w:rFonts w:ascii="Cambria Math" w:eastAsia="BatangChe" w:hAnsi="Cambria Math"/>
                <w:i/>
                <w:sz w:val="20"/>
                <w:szCs w:val="20"/>
              </w:rPr>
            </m:ctrlPr>
          </m:sSubPr>
          <m:e>
            <m:r>
              <w:rPr>
                <w:rFonts w:ascii="Cambria Math" w:eastAsia="BatangChe" w:hAnsi="Cambria Math"/>
                <w:sz w:val="20"/>
                <w:szCs w:val="20"/>
              </w:rPr>
              <m:t>M</m:t>
            </m:r>
          </m:e>
          <m:sub>
            <m:sSub>
              <m:sSubPr>
                <m:ctrlPr>
                  <w:rPr>
                    <w:rFonts w:ascii="Cambria Math" w:eastAsia="BatangChe" w:hAnsi="Cambria Math"/>
                    <w:i/>
                    <w:sz w:val="20"/>
                    <w:szCs w:val="20"/>
                  </w:rPr>
                </m:ctrlPr>
              </m:sSubPr>
              <m:e>
                <m:r>
                  <w:rPr>
                    <w:rFonts w:ascii="Cambria Math" w:eastAsia="BatangChe" w:hAnsi="Cambria Math"/>
                    <w:sz w:val="20"/>
                    <w:szCs w:val="20"/>
                  </w:rPr>
                  <m:t>S</m:t>
                </m:r>
              </m:e>
              <m:sub>
                <m:r>
                  <w:rPr>
                    <w:rFonts w:ascii="Cambria Math" w:eastAsia="BatangChe" w:hAnsi="Cambria Math"/>
                    <w:sz w:val="20"/>
                    <w:szCs w:val="20"/>
                  </w:rPr>
                  <m:t>b</m:t>
                </m:r>
              </m:sub>
            </m:sSub>
          </m:sub>
        </m:sSub>
        <m:r>
          <w:rPr>
            <w:rFonts w:eastAsia="BatangChe"/>
            <w:sz w:val="20"/>
            <w:szCs w:val="20"/>
          </w:rPr>
          <m:t>-</m:t>
        </m:r>
      </m:oMath>
      <w:r w:rsidR="00AE355E" w:rsidRPr="00D06DB3">
        <w:rPr>
          <w:rFonts w:eastAsia="BatangChe"/>
          <w:sz w:val="20"/>
          <w:szCs w:val="20"/>
        </w:rPr>
        <w:t xml:space="preserve"> </w:t>
      </w:r>
      <w:r w:rsidR="00352EF8" w:rsidRPr="00D06DB3">
        <w:rPr>
          <w:sz w:val="20"/>
          <w:szCs w:val="20"/>
        </w:rPr>
        <w:t>maximum points (15 points).</w:t>
      </w:r>
    </w:p>
    <w:p w:rsidR="001D2843" w:rsidRPr="00D06DB3" w:rsidRDefault="001D2843" w:rsidP="00DF4EBA">
      <w:pPr>
        <w:suppressAutoHyphens w:val="0"/>
        <w:snapToGrid w:val="0"/>
        <w:ind w:firstLine="425"/>
        <w:jc w:val="both"/>
        <w:rPr>
          <w:sz w:val="20"/>
          <w:szCs w:val="20"/>
        </w:rPr>
      </w:pPr>
      <w:r w:rsidRPr="00D06DB3">
        <w:rPr>
          <w:sz w:val="20"/>
          <w:szCs w:val="20"/>
        </w:rPr>
        <w:t>The result indicates a lack of knowledge of students in the direction of "Vocational education" and college teachers in the field of educational, extracurricular activities, conditions for the provision of the educational process (Table 3).</w:t>
      </w:r>
    </w:p>
    <w:p w:rsidR="00DF4EBA" w:rsidRPr="00D06DB3" w:rsidRDefault="00DF4EBA" w:rsidP="00DF4EBA">
      <w:pPr>
        <w:suppressAutoHyphens w:val="0"/>
        <w:snapToGrid w:val="0"/>
        <w:jc w:val="center"/>
        <w:rPr>
          <w:b/>
          <w:sz w:val="20"/>
          <w:szCs w:val="20"/>
        </w:rPr>
        <w:sectPr w:rsidR="00DF4EBA" w:rsidRPr="00D06DB3" w:rsidSect="00DF4EBA">
          <w:footnotePr>
            <w:pos w:val="beneathText"/>
          </w:footnotePr>
          <w:type w:val="continuous"/>
          <w:pgSz w:w="12240" w:h="15840" w:code="1"/>
          <w:pgMar w:top="1440" w:right="1440" w:bottom="1440" w:left="1440" w:header="720" w:footer="720" w:gutter="0"/>
          <w:cols w:num="2" w:space="600"/>
          <w:docGrid w:linePitch="360"/>
        </w:sectPr>
      </w:pPr>
    </w:p>
    <w:p w:rsidR="00AE4639" w:rsidRPr="00D06DB3" w:rsidRDefault="00AE4639" w:rsidP="00DF4EBA">
      <w:pPr>
        <w:suppressAutoHyphens w:val="0"/>
        <w:snapToGrid w:val="0"/>
        <w:jc w:val="center"/>
        <w:rPr>
          <w:b/>
          <w:sz w:val="20"/>
          <w:szCs w:val="20"/>
        </w:rPr>
      </w:pPr>
    </w:p>
    <w:p w:rsidR="00AE4639" w:rsidRPr="00D06DB3" w:rsidRDefault="00AE4639" w:rsidP="00DF4EBA">
      <w:pPr>
        <w:suppressAutoHyphens w:val="0"/>
        <w:snapToGrid w:val="0"/>
        <w:jc w:val="both"/>
        <w:rPr>
          <w:b/>
          <w:sz w:val="20"/>
          <w:szCs w:val="20"/>
        </w:rPr>
      </w:pPr>
      <w:r w:rsidRPr="00D06DB3">
        <w:rPr>
          <w:b/>
          <w:sz w:val="20"/>
          <w:szCs w:val="20"/>
        </w:rPr>
        <w:t>Table 3. Results of diagnostics of the determination of readiness for the pedagogical activity of students in the direction of "Vocational education"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575"/>
        <w:gridCol w:w="630"/>
        <w:gridCol w:w="969"/>
        <w:gridCol w:w="992"/>
        <w:gridCol w:w="1481"/>
        <w:gridCol w:w="1383"/>
        <w:gridCol w:w="698"/>
        <w:gridCol w:w="887"/>
        <w:gridCol w:w="859"/>
      </w:tblGrid>
      <w:tr w:rsidR="00AE4639" w:rsidRPr="00D06DB3" w:rsidTr="00DF4EBA">
        <w:trPr>
          <w:jc w:val="center"/>
        </w:trPr>
        <w:tc>
          <w:tcPr>
            <w:tcW w:w="0" w:type="auto"/>
            <w:vAlign w:val="center"/>
          </w:tcPr>
          <w:p w:rsidR="00AE4639" w:rsidRPr="00D06DB3" w:rsidRDefault="00AE4639" w:rsidP="00D06DB3">
            <w:pPr>
              <w:suppressAutoHyphens w:val="0"/>
              <w:snapToGrid w:val="0"/>
              <w:rPr>
                <w:sz w:val="20"/>
                <w:szCs w:val="20"/>
                <w:lang w:val="uz-Cyrl-UZ"/>
              </w:rPr>
            </w:pPr>
            <w:r w:rsidRPr="00D06DB3">
              <w:rPr>
                <w:sz w:val="20"/>
                <w:szCs w:val="20"/>
                <w:lang w:val="uz-Cyrl-UZ"/>
              </w:rPr>
              <w:t>Higher educa</w:t>
            </w:r>
            <w:r w:rsidRPr="00D06DB3">
              <w:rPr>
                <w:sz w:val="20"/>
                <w:szCs w:val="20"/>
              </w:rPr>
              <w:t>-</w:t>
            </w:r>
            <w:r w:rsidRPr="00D06DB3">
              <w:rPr>
                <w:sz w:val="20"/>
                <w:szCs w:val="20"/>
                <w:lang w:val="uz-Cyrl-UZ"/>
              </w:rPr>
              <w:t>tional institu</w:t>
            </w:r>
            <w:r w:rsidRPr="00D06DB3">
              <w:rPr>
                <w:sz w:val="20"/>
                <w:szCs w:val="20"/>
              </w:rPr>
              <w:t>-</w:t>
            </w:r>
            <w:r w:rsidRPr="00D06DB3">
              <w:rPr>
                <w:sz w:val="20"/>
                <w:szCs w:val="20"/>
                <w:lang w:val="uz-Cyrl-UZ"/>
              </w:rPr>
              <w:t>tion</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Group</w:t>
            </w:r>
          </w:p>
        </w:tc>
        <w:tc>
          <w:tcPr>
            <w:tcW w:w="0" w:type="auto"/>
            <w:vAlign w:val="center"/>
          </w:tcPr>
          <w:p w:rsidR="00AE4639" w:rsidRPr="00D06DB3" w:rsidRDefault="00D06DB3" w:rsidP="00D06DB3">
            <w:pPr>
              <w:suppressAutoHyphens w:val="0"/>
              <w:snapToGrid w:val="0"/>
              <w:rPr>
                <w:sz w:val="20"/>
                <w:szCs w:val="20"/>
              </w:rPr>
            </w:pPr>
            <w:r>
              <w:rPr>
                <w:sz w:val="20"/>
                <w:szCs w:val="20"/>
              </w:rPr>
              <w:t>Num-ber of stu</w:t>
            </w:r>
            <w:r w:rsidR="00AE4639" w:rsidRPr="00D06DB3">
              <w:rPr>
                <w:sz w:val="20"/>
                <w:szCs w:val="20"/>
              </w:rPr>
              <w:t>dents</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Learning activities</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Extracurricular activities</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Terms of the educational process</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Total points</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Average score</w:t>
            </w:r>
          </w:p>
        </w:tc>
        <w:tc>
          <w:tcPr>
            <w:tcW w:w="0" w:type="auto"/>
            <w:vAlign w:val="center"/>
          </w:tcPr>
          <w:p w:rsidR="00AB370F" w:rsidRPr="00D06DB3" w:rsidRDefault="00AE4639" w:rsidP="00D06DB3">
            <w:pPr>
              <w:suppressAutoHyphens w:val="0"/>
              <w:snapToGrid w:val="0"/>
              <w:rPr>
                <w:sz w:val="20"/>
                <w:szCs w:val="20"/>
              </w:rPr>
            </w:pPr>
            <w:r w:rsidRPr="00D06DB3">
              <w:rPr>
                <w:sz w:val="20"/>
                <w:szCs w:val="20"/>
              </w:rPr>
              <w:t>Volume ready</w:t>
            </w:r>
          </w:p>
          <w:p w:rsidR="00AE4639" w:rsidRPr="00D06DB3" w:rsidRDefault="00AB370F" w:rsidP="00D06DB3">
            <w:pPr>
              <w:suppressAutoHyphens w:val="0"/>
              <w:snapToGrid w:val="0"/>
              <w:rPr>
                <w:sz w:val="20"/>
                <w:szCs w:val="20"/>
              </w:rPr>
            </w:pPr>
            <w:r w:rsidRPr="00D06DB3">
              <w:rPr>
                <w:sz w:val="20"/>
                <w:szCs w:val="20"/>
              </w:rPr>
              <w:t>I</w:t>
            </w:r>
            <w:r w:rsidR="00AE4639" w:rsidRPr="00D06DB3">
              <w:rPr>
                <w:sz w:val="20"/>
                <w:szCs w:val="20"/>
              </w:rPr>
              <w:t>n %</w:t>
            </w:r>
          </w:p>
        </w:tc>
      </w:tr>
      <w:tr w:rsidR="00AE4639" w:rsidRPr="00D06DB3" w:rsidTr="00DF4EBA">
        <w:trPr>
          <w:jc w:val="center"/>
        </w:trPr>
        <w:tc>
          <w:tcPr>
            <w:tcW w:w="0" w:type="auto"/>
            <w:vAlign w:val="center"/>
          </w:tcPr>
          <w:p w:rsidR="00AE4639" w:rsidRPr="00D06DB3" w:rsidRDefault="00AE4639" w:rsidP="00D06DB3">
            <w:pPr>
              <w:suppressAutoHyphens w:val="0"/>
              <w:snapToGrid w:val="0"/>
              <w:rPr>
                <w:sz w:val="20"/>
                <w:szCs w:val="20"/>
              </w:rPr>
            </w:pPr>
            <w:r w:rsidRPr="00D06DB3">
              <w:rPr>
                <w:sz w:val="20"/>
                <w:szCs w:val="20"/>
              </w:rPr>
              <w:t>Tashkent State Pedago-gical University</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Г1, Г</w:t>
            </w:r>
            <w:r w:rsidRPr="00D06DB3">
              <w:rPr>
                <w:sz w:val="20"/>
                <w:szCs w:val="20"/>
                <w:lang w:val="uz-Cyrl-UZ"/>
              </w:rPr>
              <w:t>2</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49</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190</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142</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140</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472</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9,63</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64,2</w:t>
            </w:r>
          </w:p>
        </w:tc>
      </w:tr>
      <w:tr w:rsidR="00AE4639" w:rsidRPr="00D06DB3" w:rsidTr="00DF4EBA">
        <w:trPr>
          <w:jc w:val="center"/>
        </w:trPr>
        <w:tc>
          <w:tcPr>
            <w:tcW w:w="0" w:type="auto"/>
            <w:vAlign w:val="center"/>
          </w:tcPr>
          <w:p w:rsidR="00AE4639" w:rsidRPr="00D06DB3" w:rsidRDefault="00AE4639" w:rsidP="00D06DB3">
            <w:pPr>
              <w:suppressAutoHyphens w:val="0"/>
              <w:snapToGrid w:val="0"/>
              <w:rPr>
                <w:sz w:val="20"/>
                <w:szCs w:val="20"/>
              </w:rPr>
            </w:pPr>
            <w:r w:rsidRPr="00D06DB3">
              <w:rPr>
                <w:sz w:val="20"/>
                <w:szCs w:val="20"/>
              </w:rPr>
              <w:t>Fergana State University</w:t>
            </w:r>
          </w:p>
        </w:tc>
        <w:tc>
          <w:tcPr>
            <w:tcW w:w="0" w:type="auto"/>
            <w:vAlign w:val="center"/>
          </w:tcPr>
          <w:p w:rsidR="00AE4639" w:rsidRPr="00D06DB3" w:rsidRDefault="00AE4639" w:rsidP="00D06DB3">
            <w:pPr>
              <w:suppressAutoHyphens w:val="0"/>
              <w:snapToGrid w:val="0"/>
              <w:rPr>
                <w:sz w:val="20"/>
                <w:szCs w:val="20"/>
                <w:lang w:val="uz-Cyrl-UZ"/>
              </w:rPr>
            </w:pPr>
            <w:r w:rsidRPr="00D06DB3">
              <w:rPr>
                <w:sz w:val="20"/>
                <w:szCs w:val="20"/>
              </w:rPr>
              <w:t>Г3, Г</w:t>
            </w:r>
            <w:r w:rsidRPr="00D06DB3">
              <w:rPr>
                <w:sz w:val="20"/>
                <w:szCs w:val="20"/>
                <w:lang w:val="uz-Cyrl-UZ"/>
              </w:rPr>
              <w:t>4</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54</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201</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159</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155</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515</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9,54</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63,6</w:t>
            </w:r>
          </w:p>
        </w:tc>
      </w:tr>
      <w:tr w:rsidR="00AE4639" w:rsidRPr="00D06DB3" w:rsidTr="00DF4EBA">
        <w:trPr>
          <w:jc w:val="center"/>
        </w:trPr>
        <w:tc>
          <w:tcPr>
            <w:tcW w:w="0" w:type="auto"/>
            <w:vAlign w:val="center"/>
          </w:tcPr>
          <w:p w:rsidR="00AE4639" w:rsidRPr="00D06DB3" w:rsidRDefault="00AE4639" w:rsidP="00D06DB3">
            <w:pPr>
              <w:suppressAutoHyphens w:val="0"/>
              <w:snapToGrid w:val="0"/>
              <w:rPr>
                <w:sz w:val="20"/>
                <w:szCs w:val="20"/>
              </w:rPr>
            </w:pPr>
            <w:r w:rsidRPr="00D06DB3">
              <w:rPr>
                <w:sz w:val="20"/>
                <w:szCs w:val="20"/>
              </w:rPr>
              <w:t>Namangan State University</w:t>
            </w:r>
          </w:p>
        </w:tc>
        <w:tc>
          <w:tcPr>
            <w:tcW w:w="0" w:type="auto"/>
            <w:vAlign w:val="center"/>
          </w:tcPr>
          <w:p w:rsidR="00AE4639" w:rsidRPr="00D06DB3" w:rsidRDefault="00AE4639" w:rsidP="00D06DB3">
            <w:pPr>
              <w:suppressAutoHyphens w:val="0"/>
              <w:snapToGrid w:val="0"/>
              <w:rPr>
                <w:sz w:val="20"/>
                <w:szCs w:val="20"/>
                <w:lang w:val="uz-Cyrl-UZ"/>
              </w:rPr>
            </w:pPr>
            <w:r w:rsidRPr="00D06DB3">
              <w:rPr>
                <w:sz w:val="20"/>
                <w:szCs w:val="20"/>
              </w:rPr>
              <w:t>Г5, Г</w:t>
            </w:r>
            <w:r w:rsidRPr="00D06DB3">
              <w:rPr>
                <w:sz w:val="20"/>
                <w:szCs w:val="20"/>
                <w:lang w:val="uz-Cyrl-UZ"/>
              </w:rPr>
              <w:t>6</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51</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195</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149</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148</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492</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9,65</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64,3</w:t>
            </w:r>
          </w:p>
        </w:tc>
      </w:tr>
      <w:tr w:rsidR="00AE4639" w:rsidRPr="00D06DB3" w:rsidTr="00DF4EBA">
        <w:trPr>
          <w:jc w:val="center"/>
        </w:trPr>
        <w:tc>
          <w:tcPr>
            <w:tcW w:w="0" w:type="auto"/>
            <w:vAlign w:val="center"/>
          </w:tcPr>
          <w:p w:rsidR="00AE4639" w:rsidRPr="00D06DB3" w:rsidRDefault="00AE4639" w:rsidP="00D06DB3">
            <w:pPr>
              <w:suppressAutoHyphens w:val="0"/>
              <w:snapToGrid w:val="0"/>
              <w:rPr>
                <w:sz w:val="20"/>
                <w:szCs w:val="20"/>
                <w:lang w:val="uz-Cyrl-UZ"/>
              </w:rPr>
            </w:pPr>
            <w:r w:rsidRPr="00D06DB3">
              <w:rPr>
                <w:sz w:val="20"/>
                <w:szCs w:val="20"/>
                <w:lang w:val="uz-Cyrl-UZ"/>
              </w:rPr>
              <w:t>Namangan Enginee</w:t>
            </w:r>
            <w:r w:rsidRPr="00D06DB3">
              <w:rPr>
                <w:sz w:val="20"/>
                <w:szCs w:val="20"/>
              </w:rPr>
              <w:t>-</w:t>
            </w:r>
            <w:r w:rsidRPr="00D06DB3">
              <w:rPr>
                <w:sz w:val="20"/>
                <w:szCs w:val="20"/>
                <w:lang w:val="uz-Cyrl-UZ"/>
              </w:rPr>
              <w:t>ring Construc</w:t>
            </w:r>
            <w:r w:rsidRPr="00D06DB3">
              <w:rPr>
                <w:sz w:val="20"/>
                <w:szCs w:val="20"/>
              </w:rPr>
              <w:t>-</w:t>
            </w:r>
            <w:r w:rsidRPr="00D06DB3">
              <w:rPr>
                <w:sz w:val="20"/>
                <w:szCs w:val="20"/>
                <w:lang w:val="uz-Cyrl-UZ"/>
              </w:rPr>
              <w:t>tion Institute</w:t>
            </w:r>
          </w:p>
        </w:tc>
        <w:tc>
          <w:tcPr>
            <w:tcW w:w="0" w:type="auto"/>
            <w:vAlign w:val="center"/>
          </w:tcPr>
          <w:p w:rsidR="00AE4639" w:rsidRPr="00D06DB3" w:rsidRDefault="00AE4639" w:rsidP="00D06DB3">
            <w:pPr>
              <w:suppressAutoHyphens w:val="0"/>
              <w:snapToGrid w:val="0"/>
              <w:rPr>
                <w:sz w:val="20"/>
                <w:szCs w:val="20"/>
                <w:lang w:val="uz-Cyrl-UZ"/>
              </w:rPr>
            </w:pPr>
            <w:r w:rsidRPr="00D06DB3">
              <w:rPr>
                <w:sz w:val="20"/>
                <w:szCs w:val="20"/>
              </w:rPr>
              <w:t>Г</w:t>
            </w:r>
            <w:r w:rsidRPr="00D06DB3">
              <w:rPr>
                <w:sz w:val="20"/>
                <w:szCs w:val="20"/>
                <w:lang w:val="uz-Cyrl-UZ"/>
              </w:rPr>
              <w:t>7, Г8</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55</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205</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150</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158</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513</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9,33</w:t>
            </w:r>
          </w:p>
        </w:tc>
        <w:tc>
          <w:tcPr>
            <w:tcW w:w="0" w:type="auto"/>
            <w:vAlign w:val="center"/>
          </w:tcPr>
          <w:p w:rsidR="00AE4639" w:rsidRPr="00D06DB3" w:rsidRDefault="00AE4639" w:rsidP="00D06DB3">
            <w:pPr>
              <w:suppressAutoHyphens w:val="0"/>
              <w:snapToGrid w:val="0"/>
              <w:rPr>
                <w:sz w:val="20"/>
                <w:szCs w:val="20"/>
              </w:rPr>
            </w:pPr>
            <w:r w:rsidRPr="00D06DB3">
              <w:rPr>
                <w:sz w:val="20"/>
                <w:szCs w:val="20"/>
              </w:rPr>
              <w:t>62,2</w:t>
            </w:r>
          </w:p>
        </w:tc>
      </w:tr>
    </w:tbl>
    <w:p w:rsidR="00AE4639" w:rsidRPr="00D06DB3" w:rsidRDefault="00AE4639" w:rsidP="00DF4EBA">
      <w:pPr>
        <w:suppressAutoHyphens w:val="0"/>
        <w:snapToGrid w:val="0"/>
        <w:ind w:firstLine="425"/>
        <w:jc w:val="both"/>
        <w:rPr>
          <w:sz w:val="20"/>
          <w:szCs w:val="20"/>
        </w:rPr>
      </w:pPr>
    </w:p>
    <w:p w:rsidR="00DF4EBA" w:rsidRPr="00D06DB3" w:rsidRDefault="00DF4EBA" w:rsidP="00DF4EBA">
      <w:pPr>
        <w:suppressAutoHyphens w:val="0"/>
        <w:snapToGrid w:val="0"/>
        <w:jc w:val="both"/>
        <w:rPr>
          <w:b/>
          <w:sz w:val="20"/>
          <w:szCs w:val="20"/>
        </w:rPr>
        <w:sectPr w:rsidR="00DF4EBA" w:rsidRPr="00D06DB3" w:rsidSect="00AB370F">
          <w:footnotePr>
            <w:pos w:val="beneathText"/>
          </w:footnotePr>
          <w:type w:val="continuous"/>
          <w:pgSz w:w="12240" w:h="15840" w:code="1"/>
          <w:pgMar w:top="1440" w:right="1440" w:bottom="1440" w:left="1440" w:header="720" w:footer="720" w:gutter="0"/>
          <w:cols w:space="720"/>
          <w:docGrid w:linePitch="360"/>
        </w:sectPr>
      </w:pPr>
    </w:p>
    <w:p w:rsidR="00471E57" w:rsidRPr="00D06DB3" w:rsidRDefault="00471E57" w:rsidP="00DF4EBA">
      <w:pPr>
        <w:suppressAutoHyphens w:val="0"/>
        <w:snapToGrid w:val="0"/>
        <w:jc w:val="both"/>
        <w:rPr>
          <w:b/>
          <w:sz w:val="20"/>
          <w:szCs w:val="20"/>
        </w:rPr>
      </w:pPr>
      <w:r w:rsidRPr="00D06DB3">
        <w:rPr>
          <w:b/>
          <w:sz w:val="20"/>
          <w:szCs w:val="20"/>
        </w:rPr>
        <w:lastRenderedPageBreak/>
        <w:t xml:space="preserve">4. Discussions </w:t>
      </w:r>
    </w:p>
    <w:p w:rsidR="006B3DCE" w:rsidRPr="00D06DB3" w:rsidRDefault="006B3DCE" w:rsidP="00DF4EBA">
      <w:pPr>
        <w:suppressAutoHyphens w:val="0"/>
        <w:snapToGrid w:val="0"/>
        <w:ind w:firstLine="425"/>
        <w:jc w:val="both"/>
        <w:rPr>
          <w:sz w:val="20"/>
          <w:szCs w:val="20"/>
        </w:rPr>
      </w:pPr>
      <w:r w:rsidRPr="00D06DB3">
        <w:rPr>
          <w:sz w:val="20"/>
          <w:szCs w:val="20"/>
        </w:rPr>
        <w:t xml:space="preserve">Graduates in the direction of "Vocational Education" do not sufficiently form pedagogical skills in organizing and managing pedagogical processes; theoretical knowledge in the field of ensuring the effectiveness of pedagogical processes is insufficient. Many of them express dissatisfaction with their preparation for teaching. The analysis of the results of the experiment was one of the factors that led to the conclusion that it would be expedient to create a pro-pedagogical course “Pedagogical Competence of a </w:t>
      </w:r>
      <w:r w:rsidRPr="00D06DB3">
        <w:rPr>
          <w:sz w:val="20"/>
          <w:szCs w:val="20"/>
        </w:rPr>
        <w:lastRenderedPageBreak/>
        <w:t>Vocational Education Teacher” (PEP), the main goal of which is to improve the training of students in the “Vocational Education” direction to work in college. The theoretical substantiation and experimental assessment of the readiness of future college teachers, after studying the propaedeutic course, is significant and important.</w:t>
      </w:r>
    </w:p>
    <w:p w:rsidR="009459B3" w:rsidRPr="00D06DB3" w:rsidRDefault="006B3DCE" w:rsidP="00DF4EBA">
      <w:pPr>
        <w:suppressAutoHyphens w:val="0"/>
        <w:snapToGrid w:val="0"/>
        <w:ind w:firstLine="425"/>
        <w:jc w:val="both"/>
        <w:rPr>
          <w:sz w:val="20"/>
          <w:szCs w:val="20"/>
        </w:rPr>
      </w:pPr>
      <w:r w:rsidRPr="00D06DB3">
        <w:rPr>
          <w:sz w:val="20"/>
          <w:szCs w:val="20"/>
        </w:rPr>
        <w:t xml:space="preserve">After analyzing the state of pedagogical literature, we came to the conclusion that in educational institutions methodological support in the field of organization and management of pedagogical </w:t>
      </w:r>
      <w:r w:rsidRPr="00D06DB3">
        <w:rPr>
          <w:sz w:val="20"/>
          <w:szCs w:val="20"/>
        </w:rPr>
        <w:lastRenderedPageBreak/>
        <w:t>processes is insufficient. Therefore, to solve the above problems, there is a need to develop appropriate methodological support. Methodological support as one of the conditions for the effectiveness of pedagogical processes is one of the determining factors for the high quality of education.</w:t>
      </w:r>
    </w:p>
    <w:p w:rsidR="00AB370F" w:rsidRPr="00D06DB3" w:rsidRDefault="00633A0E" w:rsidP="00DF4EBA">
      <w:pPr>
        <w:suppressAutoHyphens w:val="0"/>
        <w:snapToGrid w:val="0"/>
        <w:ind w:firstLine="425"/>
        <w:jc w:val="both"/>
        <w:rPr>
          <w:sz w:val="20"/>
          <w:szCs w:val="20"/>
          <w:lang w:eastAsia="zh-CN"/>
        </w:rPr>
      </w:pPr>
      <w:r w:rsidRPr="00D06DB3">
        <w:rPr>
          <w:sz w:val="20"/>
          <w:szCs w:val="20"/>
          <w:lang w:eastAsia="zh-CN"/>
        </w:rPr>
        <w:t>Therefore, it is necessary to develop the following types of methodological support and equip them with graduates of higher educational institutions and young teachers:</w:t>
      </w:r>
    </w:p>
    <w:p w:rsidR="00633A0E" w:rsidRPr="00D06DB3" w:rsidRDefault="00AB370F" w:rsidP="00DF4EBA">
      <w:pPr>
        <w:suppressAutoHyphens w:val="0"/>
        <w:snapToGrid w:val="0"/>
        <w:ind w:firstLine="425"/>
        <w:jc w:val="both"/>
        <w:rPr>
          <w:sz w:val="20"/>
          <w:szCs w:val="20"/>
          <w:lang w:eastAsia="zh-CN"/>
        </w:rPr>
      </w:pPr>
      <w:r w:rsidRPr="00D06DB3">
        <w:rPr>
          <w:sz w:val="20"/>
          <w:szCs w:val="20"/>
          <w:lang w:eastAsia="zh-CN"/>
        </w:rPr>
        <w:t>A</w:t>
      </w:r>
      <w:r w:rsidR="00633A0E" w:rsidRPr="00D06DB3">
        <w:rPr>
          <w:sz w:val="20"/>
          <w:szCs w:val="20"/>
          <w:lang w:eastAsia="zh-CN"/>
        </w:rPr>
        <w:t xml:space="preserve"> fund of technologies for the implementation of educational work, expressed in various approaches for the organization and management of pedagogical processes;</w:t>
      </w:r>
    </w:p>
    <w:p w:rsidR="00633A0E" w:rsidRPr="00D06DB3" w:rsidRDefault="00633A0E" w:rsidP="00DF4EBA">
      <w:pPr>
        <w:suppressAutoHyphens w:val="0"/>
        <w:snapToGrid w:val="0"/>
        <w:ind w:firstLine="425"/>
        <w:jc w:val="both"/>
        <w:rPr>
          <w:sz w:val="20"/>
          <w:szCs w:val="20"/>
          <w:lang w:eastAsia="zh-CN"/>
        </w:rPr>
      </w:pPr>
      <w:r w:rsidRPr="00D06DB3">
        <w:rPr>
          <w:sz w:val="20"/>
          <w:szCs w:val="20"/>
          <w:lang w:eastAsia="zh-CN"/>
        </w:rPr>
        <w:t>Methodological development, manuals, recommendations on the organization and management of pedagogical processes in the conditions of specialized secondary educational institutions.</w:t>
      </w:r>
    </w:p>
    <w:p w:rsidR="00633A0E" w:rsidRPr="00D06DB3" w:rsidRDefault="00633A0E" w:rsidP="00DF4EBA">
      <w:pPr>
        <w:suppressAutoHyphens w:val="0"/>
        <w:snapToGrid w:val="0"/>
        <w:ind w:firstLine="425"/>
        <w:jc w:val="both"/>
        <w:rPr>
          <w:sz w:val="20"/>
          <w:szCs w:val="20"/>
          <w:lang w:eastAsia="zh-CN"/>
        </w:rPr>
      </w:pPr>
      <w:r w:rsidRPr="00D06DB3">
        <w:rPr>
          <w:sz w:val="20"/>
          <w:szCs w:val="20"/>
          <w:lang w:eastAsia="zh-CN"/>
        </w:rPr>
        <w:t>They will help ensure that the graduate can consciously and conscientiously, competently begin and successfully perform their teaching activities.</w:t>
      </w:r>
    </w:p>
    <w:p w:rsidR="00633A0E" w:rsidRPr="00D06DB3" w:rsidRDefault="00633A0E" w:rsidP="00DF4EBA">
      <w:pPr>
        <w:suppressAutoHyphens w:val="0"/>
        <w:snapToGrid w:val="0"/>
        <w:ind w:firstLine="425"/>
        <w:jc w:val="both"/>
        <w:rPr>
          <w:sz w:val="20"/>
          <w:szCs w:val="20"/>
          <w:lang w:eastAsia="zh-CN"/>
        </w:rPr>
      </w:pPr>
      <w:r w:rsidRPr="00D06DB3">
        <w:rPr>
          <w:sz w:val="20"/>
          <w:szCs w:val="20"/>
          <w:lang w:eastAsia="zh-CN"/>
        </w:rPr>
        <w:t>Thus, students of higher educational institutions in the direction of "Vocational Education" should be given special attention, since they are the ones who in the future carry out their work in colleges and lyceums and are responsible for the quality of education of junior specialists. The importance and necessity of increasing the efficiency of the preparation process for the educational activities of graduates of higher educational institutions in the direction of "Professional Education" appears.</w:t>
      </w:r>
    </w:p>
    <w:p w:rsidR="00E52EA0" w:rsidRPr="00D06DB3" w:rsidRDefault="00DF4EBA" w:rsidP="00DF4EBA">
      <w:pPr>
        <w:suppressAutoHyphens w:val="0"/>
        <w:snapToGrid w:val="0"/>
        <w:ind w:firstLine="425"/>
        <w:jc w:val="both"/>
        <w:rPr>
          <w:sz w:val="20"/>
          <w:szCs w:val="20"/>
          <w:lang w:eastAsia="zh-CN"/>
        </w:rPr>
      </w:pPr>
      <w:r w:rsidRPr="00D06DB3">
        <w:rPr>
          <w:rFonts w:hint="eastAsia"/>
          <w:sz w:val="20"/>
          <w:szCs w:val="20"/>
          <w:lang w:eastAsia="zh-CN"/>
        </w:rPr>
        <w:t xml:space="preserve"> </w:t>
      </w:r>
    </w:p>
    <w:p w:rsidR="004C3A14" w:rsidRPr="00D06DB3" w:rsidRDefault="004C3A14" w:rsidP="00DF4EBA">
      <w:pPr>
        <w:suppressAutoHyphens w:val="0"/>
        <w:snapToGrid w:val="0"/>
        <w:jc w:val="both"/>
        <w:rPr>
          <w:b/>
          <w:sz w:val="20"/>
          <w:szCs w:val="20"/>
        </w:rPr>
      </w:pPr>
      <w:r w:rsidRPr="00D06DB3">
        <w:rPr>
          <w:b/>
          <w:sz w:val="20"/>
          <w:szCs w:val="20"/>
        </w:rPr>
        <w:t xml:space="preserve">Acknowledgements: </w:t>
      </w:r>
    </w:p>
    <w:p w:rsidR="004C3A14" w:rsidRPr="00D06DB3" w:rsidRDefault="004C3A14" w:rsidP="00DF4EBA">
      <w:pPr>
        <w:suppressAutoHyphens w:val="0"/>
        <w:snapToGrid w:val="0"/>
        <w:ind w:firstLine="425"/>
        <w:jc w:val="both"/>
        <w:rPr>
          <w:sz w:val="20"/>
          <w:szCs w:val="20"/>
        </w:rPr>
      </w:pPr>
      <w:r w:rsidRPr="00D06DB3">
        <w:rPr>
          <w:sz w:val="20"/>
          <w:szCs w:val="20"/>
        </w:rPr>
        <w:t>Doctor of Philosophy (PhD) in Pedagogical Sciences Associate Professor of the Namangan Engineering Construction Institute.</w:t>
      </w:r>
    </w:p>
    <w:p w:rsidR="004C3A14" w:rsidRPr="00D06DB3" w:rsidRDefault="00DF4EBA" w:rsidP="00DF4EBA">
      <w:pPr>
        <w:suppressAutoHyphens w:val="0"/>
        <w:snapToGrid w:val="0"/>
        <w:ind w:firstLine="425"/>
        <w:jc w:val="both"/>
        <w:rPr>
          <w:sz w:val="20"/>
          <w:szCs w:val="20"/>
          <w:lang w:eastAsia="zh-CN"/>
        </w:rPr>
      </w:pPr>
      <w:r w:rsidRPr="00D06DB3">
        <w:rPr>
          <w:rFonts w:hint="eastAsia"/>
          <w:sz w:val="20"/>
          <w:szCs w:val="20"/>
          <w:lang w:eastAsia="zh-CN"/>
        </w:rPr>
        <w:t xml:space="preserve"> </w:t>
      </w:r>
    </w:p>
    <w:p w:rsidR="004C3A14" w:rsidRPr="00D06DB3" w:rsidRDefault="004C3A14" w:rsidP="00DF4EBA">
      <w:pPr>
        <w:suppressAutoHyphens w:val="0"/>
        <w:snapToGrid w:val="0"/>
        <w:jc w:val="both"/>
        <w:rPr>
          <w:b/>
          <w:sz w:val="20"/>
          <w:szCs w:val="20"/>
        </w:rPr>
      </w:pPr>
      <w:r w:rsidRPr="00D06DB3">
        <w:rPr>
          <w:b/>
          <w:sz w:val="20"/>
          <w:szCs w:val="20"/>
        </w:rPr>
        <w:t>Corresponding Author:</w:t>
      </w:r>
    </w:p>
    <w:p w:rsidR="004C3A14" w:rsidRPr="00D06DB3" w:rsidRDefault="004C3A14" w:rsidP="00DF4EBA">
      <w:pPr>
        <w:suppressAutoHyphens w:val="0"/>
        <w:snapToGrid w:val="0"/>
        <w:jc w:val="both"/>
        <w:rPr>
          <w:sz w:val="20"/>
          <w:szCs w:val="20"/>
        </w:rPr>
      </w:pPr>
      <w:r w:rsidRPr="00D06DB3">
        <w:rPr>
          <w:sz w:val="20"/>
          <w:szCs w:val="20"/>
        </w:rPr>
        <w:t xml:space="preserve">PhD. Ozoda Abdullayeva </w:t>
      </w:r>
    </w:p>
    <w:p w:rsidR="004C3A14" w:rsidRPr="00D06DB3" w:rsidRDefault="004C3A14" w:rsidP="00DF4EBA">
      <w:pPr>
        <w:suppressAutoHyphens w:val="0"/>
        <w:snapToGrid w:val="0"/>
        <w:jc w:val="both"/>
        <w:rPr>
          <w:sz w:val="20"/>
          <w:szCs w:val="20"/>
        </w:rPr>
      </w:pPr>
      <w:r w:rsidRPr="00D06DB3">
        <w:rPr>
          <w:sz w:val="20"/>
          <w:szCs w:val="20"/>
        </w:rPr>
        <w:t xml:space="preserve">Doctor of Philosophy (PhD) in Pedagogical Sciences Associate Professor of the Namangan Engineering Construction Institute 700096, Namangan, Uzbekistan </w:t>
      </w:r>
    </w:p>
    <w:p w:rsidR="004C3A14" w:rsidRPr="00D06DB3" w:rsidRDefault="004C3A14" w:rsidP="00DF4EBA">
      <w:pPr>
        <w:suppressAutoHyphens w:val="0"/>
        <w:snapToGrid w:val="0"/>
        <w:jc w:val="both"/>
        <w:rPr>
          <w:rFonts w:hint="eastAsia"/>
          <w:sz w:val="20"/>
          <w:szCs w:val="20"/>
          <w:lang w:eastAsia="zh-CN"/>
        </w:rPr>
      </w:pPr>
      <w:r w:rsidRPr="00D06DB3">
        <w:rPr>
          <w:sz w:val="20"/>
          <w:szCs w:val="20"/>
        </w:rPr>
        <w:t xml:space="preserve">E-mail: </w:t>
      </w:r>
      <w:hyperlink r:id="rId14" w:history="1">
        <w:r w:rsidR="00D06DB3" w:rsidRPr="00D06DB3">
          <w:rPr>
            <w:rStyle w:val="Hyperlink"/>
            <w:sz w:val="20"/>
            <w:szCs w:val="20"/>
          </w:rPr>
          <w:t>aspirantka.030@gmail.com</w:t>
        </w:r>
      </w:hyperlink>
      <w:r w:rsidR="00D06DB3" w:rsidRPr="00D06DB3">
        <w:rPr>
          <w:rFonts w:hint="eastAsia"/>
          <w:sz w:val="20"/>
          <w:szCs w:val="20"/>
          <w:lang w:eastAsia="zh-CN"/>
        </w:rPr>
        <w:t xml:space="preserve"> </w:t>
      </w:r>
    </w:p>
    <w:p w:rsidR="00471E57" w:rsidRPr="00D06DB3" w:rsidRDefault="00471E57" w:rsidP="00DF4EBA">
      <w:pPr>
        <w:suppressAutoHyphens w:val="0"/>
        <w:snapToGrid w:val="0"/>
        <w:ind w:firstLine="425"/>
        <w:jc w:val="both"/>
        <w:rPr>
          <w:sz w:val="20"/>
          <w:szCs w:val="20"/>
        </w:rPr>
      </w:pPr>
      <w:bookmarkStart w:id="0" w:name="_GoBack"/>
      <w:bookmarkEnd w:id="0"/>
    </w:p>
    <w:p w:rsidR="00471E57" w:rsidRPr="00D06DB3" w:rsidRDefault="00471E57" w:rsidP="00DF4EBA">
      <w:pPr>
        <w:suppressAutoHyphens w:val="0"/>
        <w:snapToGrid w:val="0"/>
        <w:jc w:val="both"/>
        <w:rPr>
          <w:b/>
          <w:sz w:val="20"/>
          <w:szCs w:val="20"/>
        </w:rPr>
      </w:pPr>
      <w:r w:rsidRPr="00D06DB3">
        <w:rPr>
          <w:b/>
          <w:sz w:val="20"/>
          <w:szCs w:val="20"/>
        </w:rPr>
        <w:t>References</w:t>
      </w:r>
    </w:p>
    <w:p w:rsidR="00015471" w:rsidRPr="00D06DB3" w:rsidRDefault="00015471" w:rsidP="00DF4EBA">
      <w:pPr>
        <w:numPr>
          <w:ilvl w:val="0"/>
          <w:numId w:val="4"/>
        </w:numPr>
        <w:tabs>
          <w:tab w:val="clear" w:pos="720"/>
        </w:tabs>
        <w:suppressAutoHyphens w:val="0"/>
        <w:snapToGrid w:val="0"/>
        <w:ind w:left="425" w:hanging="425"/>
        <w:jc w:val="both"/>
        <w:rPr>
          <w:sz w:val="20"/>
          <w:szCs w:val="20"/>
        </w:rPr>
      </w:pPr>
      <w:r w:rsidRPr="00D06DB3">
        <w:rPr>
          <w:sz w:val="20"/>
          <w:szCs w:val="20"/>
        </w:rPr>
        <w:t>Abdullaeva</w:t>
      </w:r>
      <w:r w:rsidR="00AB370F" w:rsidRPr="00D06DB3">
        <w:rPr>
          <w:sz w:val="20"/>
          <w:szCs w:val="20"/>
        </w:rPr>
        <w:t xml:space="preserve"> </w:t>
      </w:r>
      <w:r w:rsidRPr="00D06DB3">
        <w:rPr>
          <w:sz w:val="20"/>
          <w:szCs w:val="20"/>
        </w:rPr>
        <w:t>O.S.</w:t>
      </w:r>
      <w:r w:rsidR="00AB370F" w:rsidRPr="00D06DB3">
        <w:rPr>
          <w:sz w:val="20"/>
          <w:szCs w:val="20"/>
        </w:rPr>
        <w:t xml:space="preserve"> </w:t>
      </w:r>
      <w:r w:rsidRPr="00D06DB3">
        <w:rPr>
          <w:sz w:val="20"/>
          <w:szCs w:val="20"/>
        </w:rPr>
        <w:t>Pedagogical</w:t>
      </w:r>
      <w:r w:rsidR="00AB370F" w:rsidRPr="00D06DB3">
        <w:rPr>
          <w:sz w:val="20"/>
          <w:szCs w:val="20"/>
        </w:rPr>
        <w:t xml:space="preserve"> </w:t>
      </w:r>
      <w:r w:rsidRPr="00D06DB3">
        <w:rPr>
          <w:sz w:val="20"/>
          <w:szCs w:val="20"/>
        </w:rPr>
        <w:t>competence</w:t>
      </w:r>
      <w:r w:rsidR="00AB370F" w:rsidRPr="00D06DB3">
        <w:rPr>
          <w:sz w:val="20"/>
          <w:szCs w:val="20"/>
        </w:rPr>
        <w:t xml:space="preserve"> </w:t>
      </w:r>
      <w:r w:rsidRPr="00D06DB3">
        <w:rPr>
          <w:sz w:val="20"/>
          <w:szCs w:val="20"/>
        </w:rPr>
        <w:t>of</w:t>
      </w:r>
      <w:r w:rsidR="00AB370F" w:rsidRPr="00D06DB3">
        <w:rPr>
          <w:sz w:val="20"/>
          <w:szCs w:val="20"/>
        </w:rPr>
        <w:t xml:space="preserve"> </w:t>
      </w:r>
      <w:r w:rsidRPr="00D06DB3">
        <w:rPr>
          <w:sz w:val="20"/>
          <w:szCs w:val="20"/>
        </w:rPr>
        <w:t>the</w:t>
      </w:r>
      <w:r w:rsidR="00AB370F" w:rsidRPr="00D06DB3">
        <w:rPr>
          <w:sz w:val="20"/>
          <w:szCs w:val="20"/>
        </w:rPr>
        <w:t xml:space="preserve"> </w:t>
      </w:r>
      <w:r w:rsidRPr="00D06DB3">
        <w:rPr>
          <w:sz w:val="20"/>
          <w:szCs w:val="20"/>
        </w:rPr>
        <w:t>teacher</w:t>
      </w:r>
      <w:r w:rsidR="00AB370F" w:rsidRPr="00D06DB3">
        <w:rPr>
          <w:sz w:val="20"/>
          <w:szCs w:val="20"/>
        </w:rPr>
        <w:t xml:space="preserve"> </w:t>
      </w:r>
      <w:r w:rsidRPr="00D06DB3">
        <w:rPr>
          <w:sz w:val="20"/>
          <w:szCs w:val="20"/>
        </w:rPr>
        <w:t>of</w:t>
      </w:r>
      <w:r w:rsidR="00AB370F" w:rsidRPr="00D06DB3">
        <w:rPr>
          <w:sz w:val="20"/>
          <w:szCs w:val="20"/>
        </w:rPr>
        <w:t xml:space="preserve"> </w:t>
      </w:r>
      <w:r w:rsidRPr="00D06DB3">
        <w:rPr>
          <w:sz w:val="20"/>
          <w:szCs w:val="20"/>
        </w:rPr>
        <w:t>vocational</w:t>
      </w:r>
      <w:r w:rsidR="00AB370F" w:rsidRPr="00D06DB3">
        <w:rPr>
          <w:sz w:val="20"/>
          <w:szCs w:val="20"/>
        </w:rPr>
        <w:t xml:space="preserve"> </w:t>
      </w:r>
      <w:r w:rsidRPr="00D06DB3">
        <w:rPr>
          <w:sz w:val="20"/>
          <w:szCs w:val="20"/>
        </w:rPr>
        <w:t>education</w:t>
      </w:r>
      <w:r w:rsidR="00AB370F" w:rsidRPr="00D06DB3">
        <w:rPr>
          <w:sz w:val="20"/>
          <w:szCs w:val="20"/>
        </w:rPr>
        <w:t xml:space="preserve"> </w:t>
      </w:r>
      <w:r w:rsidRPr="00D06DB3">
        <w:rPr>
          <w:sz w:val="20"/>
          <w:szCs w:val="20"/>
        </w:rPr>
        <w:t>(for</w:t>
      </w:r>
      <w:r w:rsidR="00AB370F" w:rsidRPr="00D06DB3">
        <w:rPr>
          <w:sz w:val="20"/>
          <w:szCs w:val="20"/>
        </w:rPr>
        <w:t xml:space="preserve"> </w:t>
      </w:r>
      <w:r w:rsidRPr="00D06DB3">
        <w:rPr>
          <w:sz w:val="20"/>
          <w:szCs w:val="20"/>
        </w:rPr>
        <w:t>example,</w:t>
      </w:r>
      <w:r w:rsidR="00AB370F" w:rsidRPr="00D06DB3">
        <w:rPr>
          <w:sz w:val="20"/>
          <w:szCs w:val="20"/>
        </w:rPr>
        <w:t xml:space="preserve"> </w:t>
      </w:r>
      <w:r w:rsidRPr="00D06DB3">
        <w:rPr>
          <w:sz w:val="20"/>
          <w:szCs w:val="20"/>
        </w:rPr>
        <w:lastRenderedPageBreak/>
        <w:t>5330200</w:t>
      </w:r>
      <w:r w:rsidR="00AB370F" w:rsidRPr="00D06DB3">
        <w:rPr>
          <w:sz w:val="20"/>
          <w:szCs w:val="20"/>
        </w:rPr>
        <w:t xml:space="preserve"> </w:t>
      </w:r>
      <w:r w:rsidRPr="00D06DB3">
        <w:rPr>
          <w:sz w:val="20"/>
          <w:szCs w:val="20"/>
        </w:rPr>
        <w:t>-</w:t>
      </w:r>
      <w:r w:rsidR="00AB370F" w:rsidRPr="00D06DB3">
        <w:rPr>
          <w:sz w:val="20"/>
          <w:szCs w:val="20"/>
        </w:rPr>
        <w:t xml:space="preserve"> </w:t>
      </w:r>
      <w:r w:rsidRPr="00D06DB3">
        <w:rPr>
          <w:sz w:val="20"/>
          <w:szCs w:val="20"/>
        </w:rPr>
        <w:t>Computer</w:t>
      </w:r>
      <w:r w:rsidR="00AB370F" w:rsidRPr="00D06DB3">
        <w:rPr>
          <w:sz w:val="20"/>
          <w:szCs w:val="20"/>
        </w:rPr>
        <w:t xml:space="preserve"> </w:t>
      </w:r>
      <w:r w:rsidRPr="00D06DB3">
        <w:rPr>
          <w:sz w:val="20"/>
          <w:szCs w:val="20"/>
        </w:rPr>
        <w:t>Science</w:t>
      </w:r>
      <w:r w:rsidR="00AB370F" w:rsidRPr="00D06DB3">
        <w:rPr>
          <w:sz w:val="20"/>
          <w:szCs w:val="20"/>
        </w:rPr>
        <w:t xml:space="preserve"> </w:t>
      </w:r>
      <w:r w:rsidRPr="00D06DB3">
        <w:rPr>
          <w:sz w:val="20"/>
          <w:szCs w:val="20"/>
        </w:rPr>
        <w:t>and</w:t>
      </w:r>
      <w:r w:rsidR="00AB370F" w:rsidRPr="00D06DB3">
        <w:rPr>
          <w:sz w:val="20"/>
          <w:szCs w:val="20"/>
        </w:rPr>
        <w:t xml:space="preserve"> </w:t>
      </w:r>
      <w:r w:rsidRPr="00D06DB3">
        <w:rPr>
          <w:sz w:val="20"/>
          <w:szCs w:val="20"/>
        </w:rPr>
        <w:t>Information</w:t>
      </w:r>
      <w:r w:rsidR="00AB370F" w:rsidRPr="00D06DB3">
        <w:rPr>
          <w:sz w:val="20"/>
          <w:szCs w:val="20"/>
        </w:rPr>
        <w:t xml:space="preserve"> </w:t>
      </w:r>
      <w:r w:rsidRPr="00D06DB3">
        <w:rPr>
          <w:sz w:val="20"/>
          <w:szCs w:val="20"/>
        </w:rPr>
        <w:t>Technology).</w:t>
      </w:r>
      <w:r w:rsidR="00AB370F" w:rsidRPr="00D06DB3">
        <w:rPr>
          <w:sz w:val="20"/>
          <w:szCs w:val="20"/>
        </w:rPr>
        <w:t xml:space="preserve"> </w:t>
      </w:r>
      <w:r w:rsidRPr="00D06DB3">
        <w:rPr>
          <w:sz w:val="20"/>
          <w:szCs w:val="20"/>
        </w:rPr>
        <w:t>Study</w:t>
      </w:r>
      <w:r w:rsidR="00AB370F" w:rsidRPr="00D06DB3">
        <w:rPr>
          <w:sz w:val="20"/>
          <w:szCs w:val="20"/>
        </w:rPr>
        <w:t xml:space="preserve"> </w:t>
      </w:r>
      <w:r w:rsidRPr="00D06DB3">
        <w:rPr>
          <w:sz w:val="20"/>
          <w:szCs w:val="20"/>
        </w:rPr>
        <w:t>Guide</w:t>
      </w:r>
      <w:r w:rsidR="00AB370F" w:rsidRPr="00D06DB3">
        <w:rPr>
          <w:sz w:val="20"/>
          <w:szCs w:val="20"/>
        </w:rPr>
        <w:t xml:space="preserve"> </w:t>
      </w:r>
      <w:r w:rsidRPr="00D06DB3">
        <w:rPr>
          <w:sz w:val="20"/>
          <w:szCs w:val="20"/>
        </w:rPr>
        <w:t>//</w:t>
      </w:r>
      <w:r w:rsidR="00AB370F" w:rsidRPr="00D06DB3">
        <w:rPr>
          <w:sz w:val="20"/>
          <w:szCs w:val="20"/>
        </w:rPr>
        <w:t xml:space="preserve"> </w:t>
      </w:r>
      <w:r w:rsidRPr="00D06DB3">
        <w:rPr>
          <w:sz w:val="20"/>
          <w:szCs w:val="20"/>
        </w:rPr>
        <w:t>Publisher:</w:t>
      </w:r>
      <w:r w:rsidR="00AB370F" w:rsidRPr="00D06DB3">
        <w:rPr>
          <w:sz w:val="20"/>
          <w:szCs w:val="20"/>
        </w:rPr>
        <w:t xml:space="preserve"> </w:t>
      </w:r>
      <w:r w:rsidRPr="00D06DB3">
        <w:rPr>
          <w:sz w:val="20"/>
          <w:szCs w:val="20"/>
        </w:rPr>
        <w:t>LAP</w:t>
      </w:r>
      <w:r w:rsidR="00AB370F" w:rsidRPr="00D06DB3">
        <w:rPr>
          <w:sz w:val="20"/>
          <w:szCs w:val="20"/>
        </w:rPr>
        <w:t xml:space="preserve"> </w:t>
      </w:r>
      <w:r w:rsidRPr="00D06DB3">
        <w:rPr>
          <w:sz w:val="20"/>
          <w:szCs w:val="20"/>
        </w:rPr>
        <w:t>LAMBERT</w:t>
      </w:r>
      <w:r w:rsidR="00AB370F" w:rsidRPr="00D06DB3">
        <w:rPr>
          <w:sz w:val="20"/>
          <w:szCs w:val="20"/>
        </w:rPr>
        <w:t xml:space="preserve"> </w:t>
      </w:r>
      <w:r w:rsidRPr="00D06DB3">
        <w:rPr>
          <w:sz w:val="20"/>
          <w:szCs w:val="20"/>
        </w:rPr>
        <w:t>Academic</w:t>
      </w:r>
      <w:r w:rsidR="00AB370F" w:rsidRPr="00D06DB3">
        <w:rPr>
          <w:sz w:val="20"/>
          <w:szCs w:val="20"/>
        </w:rPr>
        <w:t xml:space="preserve"> </w:t>
      </w:r>
      <w:r w:rsidRPr="00D06DB3">
        <w:rPr>
          <w:sz w:val="20"/>
          <w:szCs w:val="20"/>
        </w:rPr>
        <w:t>publishing</w:t>
      </w:r>
      <w:r w:rsidR="00AB370F" w:rsidRPr="00D06DB3">
        <w:rPr>
          <w:sz w:val="20"/>
          <w:szCs w:val="20"/>
        </w:rPr>
        <w:t xml:space="preserve"> &amp; </w:t>
      </w:r>
      <w:r w:rsidRPr="00D06DB3">
        <w:rPr>
          <w:sz w:val="20"/>
          <w:szCs w:val="20"/>
        </w:rPr>
        <w:t>Co</w:t>
      </w:r>
      <w:r w:rsidR="00DF4EBA" w:rsidRPr="00D06DB3">
        <w:rPr>
          <w:sz w:val="20"/>
          <w:szCs w:val="20"/>
        </w:rPr>
        <w:t>. K</w:t>
      </w:r>
      <w:r w:rsidRPr="00D06DB3">
        <w:rPr>
          <w:sz w:val="20"/>
          <w:szCs w:val="20"/>
        </w:rPr>
        <w:t>G,</w:t>
      </w:r>
      <w:r w:rsidR="00AB370F" w:rsidRPr="00D06DB3">
        <w:rPr>
          <w:sz w:val="20"/>
          <w:szCs w:val="20"/>
        </w:rPr>
        <w:t xml:space="preserve"> </w:t>
      </w:r>
      <w:r w:rsidRPr="00D06DB3">
        <w:rPr>
          <w:sz w:val="20"/>
          <w:szCs w:val="20"/>
        </w:rPr>
        <w:t>Saarbrucken,</w:t>
      </w:r>
      <w:r w:rsidR="00AB370F" w:rsidRPr="00D06DB3">
        <w:rPr>
          <w:sz w:val="20"/>
          <w:szCs w:val="20"/>
        </w:rPr>
        <w:t xml:space="preserve"> </w:t>
      </w:r>
      <w:r w:rsidRPr="00D06DB3">
        <w:rPr>
          <w:sz w:val="20"/>
          <w:szCs w:val="20"/>
        </w:rPr>
        <w:t>Germany,</w:t>
      </w:r>
      <w:r w:rsidR="00AB370F" w:rsidRPr="00D06DB3">
        <w:rPr>
          <w:sz w:val="20"/>
          <w:szCs w:val="20"/>
        </w:rPr>
        <w:t xml:space="preserve"> </w:t>
      </w:r>
      <w:r w:rsidRPr="00D06DB3">
        <w:rPr>
          <w:sz w:val="20"/>
          <w:szCs w:val="20"/>
        </w:rPr>
        <w:t>2018,</w:t>
      </w:r>
      <w:r w:rsidR="00AB370F" w:rsidRPr="00D06DB3">
        <w:rPr>
          <w:sz w:val="20"/>
          <w:szCs w:val="20"/>
        </w:rPr>
        <w:t xml:space="preserve"> </w:t>
      </w:r>
      <w:r w:rsidRPr="00D06DB3">
        <w:rPr>
          <w:sz w:val="20"/>
          <w:szCs w:val="20"/>
        </w:rPr>
        <w:t>p.</w:t>
      </w:r>
      <w:r w:rsidR="00AB370F" w:rsidRPr="00D06DB3">
        <w:rPr>
          <w:sz w:val="20"/>
          <w:szCs w:val="20"/>
        </w:rPr>
        <w:t xml:space="preserve"> </w:t>
      </w:r>
      <w:r w:rsidRPr="00D06DB3">
        <w:rPr>
          <w:sz w:val="20"/>
          <w:szCs w:val="20"/>
        </w:rPr>
        <w:t>105.</w:t>
      </w:r>
    </w:p>
    <w:p w:rsidR="00015471" w:rsidRPr="00D06DB3" w:rsidRDefault="00015471" w:rsidP="00DF4EBA">
      <w:pPr>
        <w:numPr>
          <w:ilvl w:val="0"/>
          <w:numId w:val="4"/>
        </w:numPr>
        <w:tabs>
          <w:tab w:val="clear" w:pos="720"/>
        </w:tabs>
        <w:suppressAutoHyphens w:val="0"/>
        <w:snapToGrid w:val="0"/>
        <w:ind w:left="425" w:hanging="425"/>
        <w:jc w:val="both"/>
        <w:rPr>
          <w:sz w:val="20"/>
          <w:szCs w:val="20"/>
        </w:rPr>
      </w:pPr>
      <w:r w:rsidRPr="00D06DB3">
        <w:rPr>
          <w:sz w:val="20"/>
          <w:szCs w:val="20"/>
        </w:rPr>
        <w:t>Abdullaeva</w:t>
      </w:r>
      <w:r w:rsidR="00AB370F" w:rsidRPr="00D06DB3">
        <w:rPr>
          <w:sz w:val="20"/>
          <w:szCs w:val="20"/>
        </w:rPr>
        <w:t xml:space="preserve"> </w:t>
      </w:r>
      <w:r w:rsidRPr="00D06DB3">
        <w:rPr>
          <w:sz w:val="20"/>
          <w:szCs w:val="20"/>
        </w:rPr>
        <w:t>O.S.</w:t>
      </w:r>
      <w:r w:rsidR="00AB370F" w:rsidRPr="00D06DB3">
        <w:rPr>
          <w:sz w:val="20"/>
          <w:szCs w:val="20"/>
        </w:rPr>
        <w:t xml:space="preserve"> </w:t>
      </w:r>
      <w:r w:rsidRPr="00D06DB3">
        <w:rPr>
          <w:sz w:val="20"/>
          <w:szCs w:val="20"/>
        </w:rPr>
        <w:t>The</w:t>
      </w:r>
      <w:r w:rsidR="00AB370F" w:rsidRPr="00D06DB3">
        <w:rPr>
          <w:sz w:val="20"/>
          <w:szCs w:val="20"/>
        </w:rPr>
        <w:t xml:space="preserve"> </w:t>
      </w:r>
      <w:r w:rsidRPr="00D06DB3">
        <w:rPr>
          <w:sz w:val="20"/>
          <w:szCs w:val="20"/>
        </w:rPr>
        <w:t>course</w:t>
      </w:r>
      <w:r w:rsidR="00AB370F" w:rsidRPr="00D06DB3">
        <w:rPr>
          <w:sz w:val="20"/>
          <w:szCs w:val="20"/>
        </w:rPr>
        <w:t xml:space="preserve"> </w:t>
      </w:r>
      <w:r w:rsidRPr="00D06DB3">
        <w:rPr>
          <w:sz w:val="20"/>
          <w:szCs w:val="20"/>
        </w:rPr>
        <w:t>of</w:t>
      </w:r>
      <w:r w:rsidR="00AB370F" w:rsidRPr="00D06DB3">
        <w:rPr>
          <w:sz w:val="20"/>
          <w:szCs w:val="20"/>
        </w:rPr>
        <w:t xml:space="preserve"> </w:t>
      </w:r>
      <w:r w:rsidRPr="00D06DB3">
        <w:rPr>
          <w:sz w:val="20"/>
          <w:szCs w:val="20"/>
        </w:rPr>
        <w:t>study</w:t>
      </w:r>
      <w:r w:rsidR="00AB370F" w:rsidRPr="00D06DB3">
        <w:rPr>
          <w:sz w:val="20"/>
          <w:szCs w:val="20"/>
        </w:rPr>
        <w:t xml:space="preserve"> </w:t>
      </w:r>
      <w:r w:rsidRPr="00D06DB3">
        <w:rPr>
          <w:sz w:val="20"/>
          <w:szCs w:val="20"/>
        </w:rPr>
        <w:t>“Pedagogical</w:t>
      </w:r>
      <w:r w:rsidR="00AB370F" w:rsidRPr="00D06DB3">
        <w:rPr>
          <w:sz w:val="20"/>
          <w:szCs w:val="20"/>
        </w:rPr>
        <w:t xml:space="preserve"> </w:t>
      </w:r>
      <w:r w:rsidRPr="00D06DB3">
        <w:rPr>
          <w:sz w:val="20"/>
          <w:szCs w:val="20"/>
        </w:rPr>
        <w:t>Competence</w:t>
      </w:r>
      <w:r w:rsidR="00AB370F" w:rsidRPr="00D06DB3">
        <w:rPr>
          <w:sz w:val="20"/>
          <w:szCs w:val="20"/>
        </w:rPr>
        <w:t xml:space="preserve"> </w:t>
      </w:r>
      <w:r w:rsidRPr="00D06DB3">
        <w:rPr>
          <w:sz w:val="20"/>
          <w:szCs w:val="20"/>
        </w:rPr>
        <w:t>of</w:t>
      </w:r>
      <w:r w:rsidR="00AB370F" w:rsidRPr="00D06DB3">
        <w:rPr>
          <w:sz w:val="20"/>
          <w:szCs w:val="20"/>
        </w:rPr>
        <w:t xml:space="preserve"> </w:t>
      </w:r>
      <w:r w:rsidRPr="00D06DB3">
        <w:rPr>
          <w:sz w:val="20"/>
          <w:szCs w:val="20"/>
        </w:rPr>
        <w:t>the</w:t>
      </w:r>
      <w:r w:rsidR="00AB370F" w:rsidRPr="00D06DB3">
        <w:rPr>
          <w:sz w:val="20"/>
          <w:szCs w:val="20"/>
        </w:rPr>
        <w:t xml:space="preserve"> </w:t>
      </w:r>
      <w:r w:rsidRPr="00D06DB3">
        <w:rPr>
          <w:sz w:val="20"/>
          <w:szCs w:val="20"/>
        </w:rPr>
        <w:t>Engineer-Teacher”.</w:t>
      </w:r>
      <w:r w:rsidR="00AB370F" w:rsidRPr="00D06DB3">
        <w:rPr>
          <w:sz w:val="20"/>
          <w:szCs w:val="20"/>
        </w:rPr>
        <w:t xml:space="preserve"> </w:t>
      </w:r>
      <w:r w:rsidRPr="00D06DB3">
        <w:rPr>
          <w:sz w:val="20"/>
          <w:szCs w:val="20"/>
        </w:rPr>
        <w:t>Monograph</w:t>
      </w:r>
      <w:r w:rsidR="00AB370F" w:rsidRPr="00D06DB3">
        <w:rPr>
          <w:sz w:val="20"/>
          <w:szCs w:val="20"/>
        </w:rPr>
        <w:t xml:space="preserve"> </w:t>
      </w:r>
      <w:r w:rsidRPr="00D06DB3">
        <w:rPr>
          <w:sz w:val="20"/>
          <w:szCs w:val="20"/>
        </w:rPr>
        <w:t>//</w:t>
      </w:r>
      <w:r w:rsidR="00AB370F" w:rsidRPr="00D06DB3">
        <w:rPr>
          <w:sz w:val="20"/>
          <w:szCs w:val="20"/>
        </w:rPr>
        <w:t xml:space="preserve"> </w:t>
      </w:r>
      <w:r w:rsidRPr="00D06DB3">
        <w:rPr>
          <w:sz w:val="20"/>
          <w:szCs w:val="20"/>
        </w:rPr>
        <w:t>Publisher:</w:t>
      </w:r>
      <w:r w:rsidR="00AB370F" w:rsidRPr="00D06DB3">
        <w:rPr>
          <w:sz w:val="20"/>
          <w:szCs w:val="20"/>
        </w:rPr>
        <w:t xml:space="preserve"> </w:t>
      </w:r>
      <w:r w:rsidRPr="00D06DB3">
        <w:rPr>
          <w:sz w:val="20"/>
          <w:szCs w:val="20"/>
        </w:rPr>
        <w:t>LAP</w:t>
      </w:r>
      <w:r w:rsidR="00AB370F" w:rsidRPr="00D06DB3">
        <w:rPr>
          <w:sz w:val="20"/>
          <w:szCs w:val="20"/>
        </w:rPr>
        <w:t xml:space="preserve"> </w:t>
      </w:r>
      <w:r w:rsidRPr="00D06DB3">
        <w:rPr>
          <w:sz w:val="20"/>
          <w:szCs w:val="20"/>
        </w:rPr>
        <w:t>LAMBERT</w:t>
      </w:r>
      <w:r w:rsidR="00AB370F" w:rsidRPr="00D06DB3">
        <w:rPr>
          <w:sz w:val="20"/>
          <w:szCs w:val="20"/>
        </w:rPr>
        <w:t xml:space="preserve"> </w:t>
      </w:r>
      <w:r w:rsidRPr="00D06DB3">
        <w:rPr>
          <w:sz w:val="20"/>
          <w:szCs w:val="20"/>
        </w:rPr>
        <w:t>Akademik</w:t>
      </w:r>
      <w:r w:rsidR="00AB370F" w:rsidRPr="00D06DB3">
        <w:rPr>
          <w:sz w:val="20"/>
          <w:szCs w:val="20"/>
        </w:rPr>
        <w:t xml:space="preserve"> </w:t>
      </w:r>
      <w:r w:rsidRPr="00D06DB3">
        <w:rPr>
          <w:sz w:val="20"/>
          <w:szCs w:val="20"/>
        </w:rPr>
        <w:t>publishing</w:t>
      </w:r>
      <w:r w:rsidR="00AB370F" w:rsidRPr="00D06DB3">
        <w:rPr>
          <w:sz w:val="20"/>
          <w:szCs w:val="20"/>
        </w:rPr>
        <w:t xml:space="preserve"> &amp; </w:t>
      </w:r>
      <w:r w:rsidRPr="00D06DB3">
        <w:rPr>
          <w:sz w:val="20"/>
          <w:szCs w:val="20"/>
        </w:rPr>
        <w:t>Co.</w:t>
      </w:r>
      <w:r w:rsidR="00D06DB3">
        <w:rPr>
          <w:rFonts w:hint="eastAsia"/>
          <w:sz w:val="20"/>
          <w:szCs w:val="20"/>
          <w:lang w:eastAsia="zh-CN"/>
        </w:rPr>
        <w:t xml:space="preserve"> </w:t>
      </w:r>
      <w:r w:rsidRPr="00D06DB3">
        <w:rPr>
          <w:sz w:val="20"/>
          <w:szCs w:val="20"/>
        </w:rPr>
        <w:t>KG,</w:t>
      </w:r>
      <w:r w:rsidR="00AB370F" w:rsidRPr="00D06DB3">
        <w:rPr>
          <w:sz w:val="20"/>
          <w:szCs w:val="20"/>
        </w:rPr>
        <w:t xml:space="preserve"> </w:t>
      </w:r>
      <w:r w:rsidRPr="00D06DB3">
        <w:rPr>
          <w:sz w:val="20"/>
          <w:szCs w:val="20"/>
        </w:rPr>
        <w:t>Saarbrucken,</w:t>
      </w:r>
      <w:r w:rsidR="00AB370F" w:rsidRPr="00D06DB3">
        <w:rPr>
          <w:sz w:val="20"/>
          <w:szCs w:val="20"/>
        </w:rPr>
        <w:t xml:space="preserve"> </w:t>
      </w:r>
      <w:r w:rsidRPr="00D06DB3">
        <w:rPr>
          <w:sz w:val="20"/>
          <w:szCs w:val="20"/>
        </w:rPr>
        <w:t>Germany,</w:t>
      </w:r>
      <w:r w:rsidR="00AB370F" w:rsidRPr="00D06DB3">
        <w:rPr>
          <w:sz w:val="20"/>
          <w:szCs w:val="20"/>
        </w:rPr>
        <w:t xml:space="preserve"> </w:t>
      </w:r>
      <w:r w:rsidRPr="00D06DB3">
        <w:rPr>
          <w:sz w:val="20"/>
          <w:szCs w:val="20"/>
        </w:rPr>
        <w:t>2018,</w:t>
      </w:r>
      <w:r w:rsidR="00AB370F" w:rsidRPr="00D06DB3">
        <w:rPr>
          <w:sz w:val="20"/>
          <w:szCs w:val="20"/>
        </w:rPr>
        <w:t xml:space="preserve"> </w:t>
      </w:r>
      <w:r w:rsidRPr="00D06DB3">
        <w:rPr>
          <w:sz w:val="20"/>
          <w:szCs w:val="20"/>
        </w:rPr>
        <w:t>С.189.</w:t>
      </w:r>
    </w:p>
    <w:p w:rsidR="00015471" w:rsidRPr="00D06DB3" w:rsidRDefault="00015471" w:rsidP="00DF4EBA">
      <w:pPr>
        <w:numPr>
          <w:ilvl w:val="0"/>
          <w:numId w:val="4"/>
        </w:numPr>
        <w:tabs>
          <w:tab w:val="clear" w:pos="720"/>
        </w:tabs>
        <w:suppressAutoHyphens w:val="0"/>
        <w:snapToGrid w:val="0"/>
        <w:ind w:left="425" w:hanging="425"/>
        <w:jc w:val="both"/>
        <w:rPr>
          <w:sz w:val="20"/>
          <w:szCs w:val="20"/>
        </w:rPr>
      </w:pPr>
      <w:r w:rsidRPr="00D06DB3">
        <w:rPr>
          <w:sz w:val="20"/>
          <w:szCs w:val="20"/>
        </w:rPr>
        <w:t>Baidenko</w:t>
      </w:r>
      <w:r w:rsidR="00AB370F" w:rsidRPr="00D06DB3">
        <w:rPr>
          <w:sz w:val="20"/>
          <w:szCs w:val="20"/>
        </w:rPr>
        <w:t xml:space="preserve"> </w:t>
      </w:r>
      <w:r w:rsidRPr="00D06DB3">
        <w:rPr>
          <w:sz w:val="20"/>
          <w:szCs w:val="20"/>
        </w:rPr>
        <w:t>VI,</w:t>
      </w:r>
      <w:r w:rsidR="00AB370F" w:rsidRPr="00D06DB3">
        <w:rPr>
          <w:sz w:val="20"/>
          <w:szCs w:val="20"/>
        </w:rPr>
        <w:t xml:space="preserve"> </w:t>
      </w:r>
      <w:r w:rsidRPr="00D06DB3">
        <w:rPr>
          <w:sz w:val="20"/>
          <w:szCs w:val="20"/>
        </w:rPr>
        <w:t>J.</w:t>
      </w:r>
      <w:r w:rsidR="00AB370F" w:rsidRPr="00D06DB3">
        <w:rPr>
          <w:sz w:val="20"/>
          <w:szCs w:val="20"/>
        </w:rPr>
        <w:t xml:space="preserve"> </w:t>
      </w:r>
      <w:r w:rsidRPr="00D06DB3">
        <w:rPr>
          <w:sz w:val="20"/>
          <w:szCs w:val="20"/>
        </w:rPr>
        <w:t>Van</w:t>
      </w:r>
      <w:r w:rsidR="00AB370F" w:rsidRPr="00D06DB3">
        <w:rPr>
          <w:sz w:val="20"/>
          <w:szCs w:val="20"/>
        </w:rPr>
        <w:t xml:space="preserve"> </w:t>
      </w:r>
      <w:r w:rsidRPr="00D06DB3">
        <w:rPr>
          <w:sz w:val="20"/>
          <w:szCs w:val="20"/>
        </w:rPr>
        <w:t>Zanworth.</w:t>
      </w:r>
      <w:r w:rsidR="00AB370F" w:rsidRPr="00D06DB3">
        <w:rPr>
          <w:sz w:val="20"/>
          <w:szCs w:val="20"/>
        </w:rPr>
        <w:t xml:space="preserve"> </w:t>
      </w:r>
      <w:r w:rsidRPr="00D06DB3">
        <w:rPr>
          <w:sz w:val="20"/>
          <w:szCs w:val="20"/>
        </w:rPr>
        <w:t>New</w:t>
      </w:r>
      <w:r w:rsidR="00AB370F" w:rsidRPr="00D06DB3">
        <w:rPr>
          <w:sz w:val="20"/>
          <w:szCs w:val="20"/>
        </w:rPr>
        <w:t xml:space="preserve"> </w:t>
      </w:r>
      <w:r w:rsidRPr="00D06DB3">
        <w:rPr>
          <w:sz w:val="20"/>
          <w:szCs w:val="20"/>
        </w:rPr>
        <w:t>methods</w:t>
      </w:r>
      <w:r w:rsidR="00AB370F" w:rsidRPr="00D06DB3">
        <w:rPr>
          <w:sz w:val="20"/>
          <w:szCs w:val="20"/>
        </w:rPr>
        <w:t xml:space="preserve"> </w:t>
      </w:r>
      <w:r w:rsidRPr="00D06DB3">
        <w:rPr>
          <w:sz w:val="20"/>
          <w:szCs w:val="20"/>
        </w:rPr>
        <w:t>and</w:t>
      </w:r>
      <w:r w:rsidR="00AB370F" w:rsidRPr="00D06DB3">
        <w:rPr>
          <w:sz w:val="20"/>
          <w:szCs w:val="20"/>
        </w:rPr>
        <w:t xml:space="preserve"> </w:t>
      </w:r>
      <w:r w:rsidRPr="00D06DB3">
        <w:rPr>
          <w:sz w:val="20"/>
          <w:szCs w:val="20"/>
        </w:rPr>
        <w:t>approaches</w:t>
      </w:r>
      <w:r w:rsidR="00AB370F" w:rsidRPr="00D06DB3">
        <w:rPr>
          <w:sz w:val="20"/>
          <w:szCs w:val="20"/>
        </w:rPr>
        <w:t xml:space="preserve"> </w:t>
      </w:r>
      <w:r w:rsidRPr="00D06DB3">
        <w:rPr>
          <w:sz w:val="20"/>
          <w:szCs w:val="20"/>
        </w:rPr>
        <w:t>to</w:t>
      </w:r>
      <w:r w:rsidR="00AB370F" w:rsidRPr="00D06DB3">
        <w:rPr>
          <w:sz w:val="20"/>
          <w:szCs w:val="20"/>
        </w:rPr>
        <w:t xml:space="preserve"> </w:t>
      </w:r>
      <w:r w:rsidRPr="00D06DB3">
        <w:rPr>
          <w:sz w:val="20"/>
          <w:szCs w:val="20"/>
        </w:rPr>
        <w:t>the</w:t>
      </w:r>
      <w:r w:rsidR="00AB370F" w:rsidRPr="00D06DB3">
        <w:rPr>
          <w:sz w:val="20"/>
          <w:szCs w:val="20"/>
        </w:rPr>
        <w:t xml:space="preserve"> </w:t>
      </w:r>
      <w:r w:rsidRPr="00D06DB3">
        <w:rPr>
          <w:sz w:val="20"/>
          <w:szCs w:val="20"/>
        </w:rPr>
        <w:t>organization</w:t>
      </w:r>
      <w:r w:rsidR="00AB370F" w:rsidRPr="00D06DB3">
        <w:rPr>
          <w:sz w:val="20"/>
          <w:szCs w:val="20"/>
        </w:rPr>
        <w:t xml:space="preserve"> </w:t>
      </w:r>
      <w:r w:rsidRPr="00D06DB3">
        <w:rPr>
          <w:sz w:val="20"/>
          <w:szCs w:val="20"/>
        </w:rPr>
        <w:t>of</w:t>
      </w:r>
      <w:r w:rsidR="00AB370F" w:rsidRPr="00D06DB3">
        <w:rPr>
          <w:sz w:val="20"/>
          <w:szCs w:val="20"/>
        </w:rPr>
        <w:t xml:space="preserve"> </w:t>
      </w:r>
      <w:r w:rsidRPr="00D06DB3">
        <w:rPr>
          <w:sz w:val="20"/>
          <w:szCs w:val="20"/>
        </w:rPr>
        <w:t>the</w:t>
      </w:r>
      <w:r w:rsidR="00AB370F" w:rsidRPr="00D06DB3">
        <w:rPr>
          <w:sz w:val="20"/>
          <w:szCs w:val="20"/>
        </w:rPr>
        <w:t xml:space="preserve"> </w:t>
      </w:r>
      <w:r w:rsidRPr="00D06DB3">
        <w:rPr>
          <w:sz w:val="20"/>
          <w:szCs w:val="20"/>
        </w:rPr>
        <w:t>educational</w:t>
      </w:r>
      <w:r w:rsidR="00AB370F" w:rsidRPr="00D06DB3">
        <w:rPr>
          <w:sz w:val="20"/>
          <w:szCs w:val="20"/>
        </w:rPr>
        <w:t xml:space="preserve"> </w:t>
      </w:r>
      <w:r w:rsidRPr="00D06DB3">
        <w:rPr>
          <w:sz w:val="20"/>
          <w:szCs w:val="20"/>
        </w:rPr>
        <w:t>process</w:t>
      </w:r>
      <w:r w:rsidR="00AB370F" w:rsidRPr="00D06DB3">
        <w:rPr>
          <w:sz w:val="20"/>
          <w:szCs w:val="20"/>
        </w:rPr>
        <w:t xml:space="preserve"> </w:t>
      </w:r>
      <w:r w:rsidRPr="00D06DB3">
        <w:rPr>
          <w:sz w:val="20"/>
          <w:szCs w:val="20"/>
        </w:rPr>
        <w:t>(a</w:t>
      </w:r>
      <w:r w:rsidR="00AB370F" w:rsidRPr="00D06DB3">
        <w:rPr>
          <w:sz w:val="20"/>
          <w:szCs w:val="20"/>
        </w:rPr>
        <w:t xml:space="preserve"> </w:t>
      </w:r>
      <w:r w:rsidRPr="00D06DB3">
        <w:rPr>
          <w:sz w:val="20"/>
          <w:szCs w:val="20"/>
        </w:rPr>
        <w:t>goal-oriented</w:t>
      </w:r>
      <w:r w:rsidR="00AB370F" w:rsidRPr="00D06DB3">
        <w:rPr>
          <w:sz w:val="20"/>
          <w:szCs w:val="20"/>
        </w:rPr>
        <w:t xml:space="preserve"> </w:t>
      </w:r>
      <w:r w:rsidRPr="00D06DB3">
        <w:rPr>
          <w:sz w:val="20"/>
          <w:szCs w:val="20"/>
        </w:rPr>
        <w:t>approach).</w:t>
      </w:r>
      <w:r w:rsidR="00AB370F" w:rsidRPr="00D06DB3">
        <w:rPr>
          <w:sz w:val="20"/>
          <w:szCs w:val="20"/>
        </w:rPr>
        <w:t xml:space="preserve"> </w:t>
      </w:r>
      <w:r w:rsidRPr="00D06DB3">
        <w:rPr>
          <w:sz w:val="20"/>
          <w:szCs w:val="20"/>
        </w:rPr>
        <w:t>Report</w:t>
      </w:r>
      <w:r w:rsidR="00AB370F" w:rsidRPr="00D06DB3">
        <w:rPr>
          <w:sz w:val="20"/>
          <w:szCs w:val="20"/>
        </w:rPr>
        <w:t xml:space="preserve"> </w:t>
      </w:r>
      <w:r w:rsidRPr="00D06DB3">
        <w:rPr>
          <w:sz w:val="20"/>
          <w:szCs w:val="20"/>
        </w:rPr>
        <w:t>2</w:t>
      </w:r>
      <w:r w:rsidR="00AB370F" w:rsidRPr="00D06DB3">
        <w:rPr>
          <w:sz w:val="20"/>
          <w:szCs w:val="20"/>
        </w:rPr>
        <w:t xml:space="preserve"> </w:t>
      </w:r>
      <w:r w:rsidRPr="00D06DB3">
        <w:rPr>
          <w:sz w:val="20"/>
          <w:szCs w:val="20"/>
        </w:rPr>
        <w:t>/</w:t>
      </w:r>
      <w:r w:rsidR="00AB370F" w:rsidRPr="00D06DB3">
        <w:rPr>
          <w:sz w:val="20"/>
          <w:szCs w:val="20"/>
        </w:rPr>
        <w:t xml:space="preserve"> </w:t>
      </w:r>
      <w:r w:rsidRPr="00D06DB3">
        <w:rPr>
          <w:sz w:val="20"/>
          <w:szCs w:val="20"/>
        </w:rPr>
        <w:t>Ed.</w:t>
      </w:r>
      <w:r w:rsidR="00AB370F" w:rsidRPr="00D06DB3">
        <w:rPr>
          <w:sz w:val="20"/>
          <w:szCs w:val="20"/>
        </w:rPr>
        <w:t xml:space="preserve"> </w:t>
      </w:r>
      <w:r w:rsidRPr="00D06DB3">
        <w:rPr>
          <w:sz w:val="20"/>
          <w:szCs w:val="20"/>
        </w:rPr>
        <w:t>2nd.</w:t>
      </w:r>
      <w:r w:rsidR="00AB370F" w:rsidRPr="00D06DB3">
        <w:rPr>
          <w:sz w:val="20"/>
          <w:szCs w:val="20"/>
        </w:rPr>
        <w:t xml:space="preserve"> </w:t>
      </w:r>
      <w:r w:rsidRPr="00D06DB3">
        <w:rPr>
          <w:sz w:val="20"/>
          <w:szCs w:val="20"/>
        </w:rPr>
        <w:t>-</w:t>
      </w:r>
      <w:r w:rsidR="00AB370F" w:rsidRPr="00D06DB3">
        <w:rPr>
          <w:sz w:val="20"/>
          <w:szCs w:val="20"/>
        </w:rPr>
        <w:t xml:space="preserve"> </w:t>
      </w:r>
      <w:r w:rsidRPr="00D06DB3">
        <w:rPr>
          <w:sz w:val="20"/>
          <w:szCs w:val="20"/>
        </w:rPr>
        <w:t>M.,</w:t>
      </w:r>
      <w:r w:rsidR="00AB370F" w:rsidRPr="00D06DB3">
        <w:rPr>
          <w:sz w:val="20"/>
          <w:szCs w:val="20"/>
        </w:rPr>
        <w:t xml:space="preserve"> </w:t>
      </w:r>
      <w:r w:rsidRPr="00D06DB3">
        <w:rPr>
          <w:sz w:val="20"/>
          <w:szCs w:val="20"/>
        </w:rPr>
        <w:t>Research</w:t>
      </w:r>
      <w:r w:rsidR="00AB370F" w:rsidRPr="00D06DB3">
        <w:rPr>
          <w:sz w:val="20"/>
          <w:szCs w:val="20"/>
        </w:rPr>
        <w:t xml:space="preserve"> </w:t>
      </w:r>
      <w:r w:rsidRPr="00D06DB3">
        <w:rPr>
          <w:sz w:val="20"/>
          <w:szCs w:val="20"/>
        </w:rPr>
        <w:t>Center</w:t>
      </w:r>
      <w:r w:rsidR="00AB370F" w:rsidRPr="00D06DB3">
        <w:rPr>
          <w:sz w:val="20"/>
          <w:szCs w:val="20"/>
        </w:rPr>
        <w:t xml:space="preserve"> </w:t>
      </w:r>
      <w:r w:rsidRPr="00D06DB3">
        <w:rPr>
          <w:sz w:val="20"/>
          <w:szCs w:val="20"/>
        </w:rPr>
        <w:t>for</w:t>
      </w:r>
      <w:r w:rsidR="00AB370F" w:rsidRPr="00D06DB3">
        <w:rPr>
          <w:sz w:val="20"/>
          <w:szCs w:val="20"/>
        </w:rPr>
        <w:t xml:space="preserve"> </w:t>
      </w:r>
      <w:r w:rsidRPr="00D06DB3">
        <w:rPr>
          <w:sz w:val="20"/>
          <w:szCs w:val="20"/>
        </w:rPr>
        <w:t>Problems</w:t>
      </w:r>
      <w:r w:rsidR="00AB370F" w:rsidRPr="00D06DB3">
        <w:rPr>
          <w:sz w:val="20"/>
          <w:szCs w:val="20"/>
        </w:rPr>
        <w:t xml:space="preserve"> </w:t>
      </w:r>
      <w:r w:rsidRPr="00D06DB3">
        <w:rPr>
          <w:sz w:val="20"/>
          <w:szCs w:val="20"/>
        </w:rPr>
        <w:t>of</w:t>
      </w:r>
      <w:r w:rsidR="00AB370F" w:rsidRPr="00D06DB3">
        <w:rPr>
          <w:sz w:val="20"/>
          <w:szCs w:val="20"/>
        </w:rPr>
        <w:t xml:space="preserve"> </w:t>
      </w:r>
      <w:r w:rsidRPr="00D06DB3">
        <w:rPr>
          <w:sz w:val="20"/>
          <w:szCs w:val="20"/>
        </w:rPr>
        <w:t>the</w:t>
      </w:r>
      <w:r w:rsidR="00AB370F" w:rsidRPr="00D06DB3">
        <w:rPr>
          <w:sz w:val="20"/>
          <w:szCs w:val="20"/>
        </w:rPr>
        <w:t xml:space="preserve"> </w:t>
      </w:r>
      <w:r w:rsidRPr="00D06DB3">
        <w:rPr>
          <w:sz w:val="20"/>
          <w:szCs w:val="20"/>
        </w:rPr>
        <w:t>Quality</w:t>
      </w:r>
      <w:r w:rsidR="00AB370F" w:rsidRPr="00D06DB3">
        <w:rPr>
          <w:sz w:val="20"/>
          <w:szCs w:val="20"/>
        </w:rPr>
        <w:t xml:space="preserve"> </w:t>
      </w:r>
      <w:r w:rsidRPr="00D06DB3">
        <w:rPr>
          <w:sz w:val="20"/>
          <w:szCs w:val="20"/>
        </w:rPr>
        <w:t>of</w:t>
      </w:r>
      <w:r w:rsidR="00AB370F" w:rsidRPr="00D06DB3">
        <w:rPr>
          <w:sz w:val="20"/>
          <w:szCs w:val="20"/>
        </w:rPr>
        <w:t xml:space="preserve"> </w:t>
      </w:r>
      <w:r w:rsidRPr="00D06DB3">
        <w:rPr>
          <w:sz w:val="20"/>
          <w:szCs w:val="20"/>
        </w:rPr>
        <w:t>Specialist</w:t>
      </w:r>
      <w:r w:rsidR="00AB370F" w:rsidRPr="00D06DB3">
        <w:rPr>
          <w:sz w:val="20"/>
          <w:szCs w:val="20"/>
        </w:rPr>
        <w:t xml:space="preserve"> </w:t>
      </w:r>
      <w:r w:rsidRPr="00D06DB3">
        <w:rPr>
          <w:sz w:val="20"/>
          <w:szCs w:val="20"/>
        </w:rPr>
        <w:t>Training,</w:t>
      </w:r>
      <w:r w:rsidR="00AB370F" w:rsidRPr="00D06DB3">
        <w:rPr>
          <w:sz w:val="20"/>
          <w:szCs w:val="20"/>
        </w:rPr>
        <w:t xml:space="preserve"> </w:t>
      </w:r>
      <w:r w:rsidRPr="00D06DB3">
        <w:rPr>
          <w:sz w:val="20"/>
          <w:szCs w:val="20"/>
        </w:rPr>
        <w:t>2001.</w:t>
      </w:r>
      <w:r w:rsidR="00AB370F" w:rsidRPr="00D06DB3">
        <w:rPr>
          <w:sz w:val="20"/>
          <w:szCs w:val="20"/>
        </w:rPr>
        <w:t xml:space="preserve"> </w:t>
      </w:r>
      <w:r w:rsidRPr="00D06DB3">
        <w:rPr>
          <w:sz w:val="20"/>
          <w:szCs w:val="20"/>
        </w:rPr>
        <w:t>-</w:t>
      </w:r>
      <w:r w:rsidR="00AB370F" w:rsidRPr="00D06DB3">
        <w:rPr>
          <w:sz w:val="20"/>
          <w:szCs w:val="20"/>
        </w:rPr>
        <w:t xml:space="preserve"> </w:t>
      </w:r>
      <w:r w:rsidRPr="00D06DB3">
        <w:rPr>
          <w:sz w:val="20"/>
          <w:szCs w:val="20"/>
        </w:rPr>
        <w:t>79</w:t>
      </w:r>
      <w:r w:rsidR="00AB370F" w:rsidRPr="00D06DB3">
        <w:rPr>
          <w:sz w:val="20"/>
          <w:szCs w:val="20"/>
        </w:rPr>
        <w:t xml:space="preserve"> </w:t>
      </w:r>
      <w:r w:rsidRPr="00D06DB3">
        <w:rPr>
          <w:sz w:val="20"/>
          <w:szCs w:val="20"/>
        </w:rPr>
        <w:t>p.</w:t>
      </w:r>
    </w:p>
    <w:p w:rsidR="00015471" w:rsidRPr="00D06DB3" w:rsidRDefault="00015471" w:rsidP="00DF4EBA">
      <w:pPr>
        <w:numPr>
          <w:ilvl w:val="0"/>
          <w:numId w:val="4"/>
        </w:numPr>
        <w:tabs>
          <w:tab w:val="clear" w:pos="720"/>
        </w:tabs>
        <w:suppressAutoHyphens w:val="0"/>
        <w:snapToGrid w:val="0"/>
        <w:ind w:left="425" w:hanging="425"/>
        <w:jc w:val="both"/>
        <w:rPr>
          <w:sz w:val="20"/>
          <w:szCs w:val="20"/>
        </w:rPr>
      </w:pPr>
      <w:r w:rsidRPr="00D06DB3">
        <w:rPr>
          <w:sz w:val="20"/>
          <w:szCs w:val="20"/>
        </w:rPr>
        <w:t>Varnavsky</w:t>
      </w:r>
      <w:r w:rsidR="00AB370F" w:rsidRPr="00D06DB3">
        <w:rPr>
          <w:sz w:val="20"/>
          <w:szCs w:val="20"/>
        </w:rPr>
        <w:t xml:space="preserve"> </w:t>
      </w:r>
      <w:r w:rsidRPr="00D06DB3">
        <w:rPr>
          <w:sz w:val="20"/>
          <w:szCs w:val="20"/>
        </w:rPr>
        <w:t>S.M.</w:t>
      </w:r>
      <w:r w:rsidR="00AB370F" w:rsidRPr="00D06DB3">
        <w:rPr>
          <w:sz w:val="20"/>
          <w:szCs w:val="20"/>
        </w:rPr>
        <w:t xml:space="preserve"> </w:t>
      </w:r>
      <w:r w:rsidRPr="00D06DB3">
        <w:rPr>
          <w:sz w:val="20"/>
          <w:szCs w:val="20"/>
        </w:rPr>
        <w:t>Education</w:t>
      </w:r>
      <w:r w:rsidR="00AB370F" w:rsidRPr="00D06DB3">
        <w:rPr>
          <w:sz w:val="20"/>
          <w:szCs w:val="20"/>
        </w:rPr>
        <w:t xml:space="preserve"> </w:t>
      </w:r>
      <w:r w:rsidRPr="00D06DB3">
        <w:rPr>
          <w:sz w:val="20"/>
          <w:szCs w:val="20"/>
        </w:rPr>
        <w:t>of</w:t>
      </w:r>
      <w:r w:rsidR="00AB370F" w:rsidRPr="00D06DB3">
        <w:rPr>
          <w:sz w:val="20"/>
          <w:szCs w:val="20"/>
        </w:rPr>
        <w:t xml:space="preserve"> </w:t>
      </w:r>
      <w:r w:rsidRPr="00D06DB3">
        <w:rPr>
          <w:sz w:val="20"/>
          <w:szCs w:val="20"/>
        </w:rPr>
        <w:t>creative</w:t>
      </w:r>
      <w:r w:rsidR="00AB370F" w:rsidRPr="00D06DB3">
        <w:rPr>
          <w:sz w:val="20"/>
          <w:szCs w:val="20"/>
        </w:rPr>
        <w:t xml:space="preserve"> </w:t>
      </w:r>
      <w:r w:rsidRPr="00D06DB3">
        <w:rPr>
          <w:sz w:val="20"/>
          <w:szCs w:val="20"/>
        </w:rPr>
        <w:t>activity</w:t>
      </w:r>
      <w:r w:rsidR="00AB370F" w:rsidRPr="00D06DB3">
        <w:rPr>
          <w:sz w:val="20"/>
          <w:szCs w:val="20"/>
        </w:rPr>
        <w:t xml:space="preserve"> </w:t>
      </w:r>
      <w:r w:rsidRPr="00D06DB3">
        <w:rPr>
          <w:sz w:val="20"/>
          <w:szCs w:val="20"/>
        </w:rPr>
        <w:t>of</w:t>
      </w:r>
      <w:r w:rsidR="00AB370F" w:rsidRPr="00D06DB3">
        <w:rPr>
          <w:sz w:val="20"/>
          <w:szCs w:val="20"/>
        </w:rPr>
        <w:t xml:space="preserve"> </w:t>
      </w:r>
      <w:r w:rsidRPr="00D06DB3">
        <w:rPr>
          <w:sz w:val="20"/>
          <w:szCs w:val="20"/>
        </w:rPr>
        <w:t>students</w:t>
      </w:r>
      <w:r w:rsidR="00AB370F" w:rsidRPr="00D06DB3">
        <w:rPr>
          <w:sz w:val="20"/>
          <w:szCs w:val="20"/>
        </w:rPr>
        <w:t xml:space="preserve"> </w:t>
      </w:r>
      <w:r w:rsidRPr="00D06DB3">
        <w:rPr>
          <w:sz w:val="20"/>
          <w:szCs w:val="20"/>
        </w:rPr>
        <w:t>in</w:t>
      </w:r>
      <w:r w:rsidR="00AB370F" w:rsidRPr="00D06DB3">
        <w:rPr>
          <w:sz w:val="20"/>
          <w:szCs w:val="20"/>
        </w:rPr>
        <w:t xml:space="preserve"> </w:t>
      </w:r>
      <w:r w:rsidRPr="00D06DB3">
        <w:rPr>
          <w:sz w:val="20"/>
          <w:szCs w:val="20"/>
        </w:rPr>
        <w:t>a</w:t>
      </w:r>
      <w:r w:rsidR="00AB370F" w:rsidRPr="00D06DB3">
        <w:rPr>
          <w:sz w:val="20"/>
          <w:szCs w:val="20"/>
        </w:rPr>
        <w:t xml:space="preserve"> </w:t>
      </w:r>
      <w:r w:rsidRPr="00D06DB3">
        <w:rPr>
          <w:sz w:val="20"/>
          <w:szCs w:val="20"/>
        </w:rPr>
        <w:t>developing</w:t>
      </w:r>
      <w:r w:rsidR="00AB370F" w:rsidRPr="00D06DB3">
        <w:rPr>
          <w:sz w:val="20"/>
          <w:szCs w:val="20"/>
        </w:rPr>
        <w:t xml:space="preserve"> </w:t>
      </w:r>
      <w:r w:rsidRPr="00D06DB3">
        <w:rPr>
          <w:sz w:val="20"/>
          <w:szCs w:val="20"/>
        </w:rPr>
        <w:t>educational</w:t>
      </w:r>
      <w:r w:rsidR="00AB370F" w:rsidRPr="00D06DB3">
        <w:rPr>
          <w:sz w:val="20"/>
          <w:szCs w:val="20"/>
        </w:rPr>
        <w:t xml:space="preserve"> </w:t>
      </w:r>
      <w:r w:rsidRPr="00D06DB3">
        <w:rPr>
          <w:sz w:val="20"/>
          <w:szCs w:val="20"/>
        </w:rPr>
        <w:t>environment</w:t>
      </w:r>
      <w:r w:rsidR="00AB370F" w:rsidRPr="00D06DB3">
        <w:rPr>
          <w:sz w:val="20"/>
          <w:szCs w:val="20"/>
        </w:rPr>
        <w:t xml:space="preserve"> </w:t>
      </w:r>
      <w:r w:rsidRPr="00D06DB3">
        <w:rPr>
          <w:sz w:val="20"/>
          <w:szCs w:val="20"/>
        </w:rPr>
        <w:t>//</w:t>
      </w:r>
      <w:r w:rsidR="00AB370F" w:rsidRPr="00D06DB3">
        <w:rPr>
          <w:sz w:val="20"/>
          <w:szCs w:val="20"/>
        </w:rPr>
        <w:t xml:space="preserve"> </w:t>
      </w:r>
      <w:r w:rsidRPr="00D06DB3">
        <w:rPr>
          <w:sz w:val="20"/>
          <w:szCs w:val="20"/>
        </w:rPr>
        <w:t>Science</w:t>
      </w:r>
      <w:r w:rsidR="00AB370F" w:rsidRPr="00D06DB3">
        <w:rPr>
          <w:sz w:val="20"/>
          <w:szCs w:val="20"/>
        </w:rPr>
        <w:t xml:space="preserve"> </w:t>
      </w:r>
      <w:r w:rsidRPr="00D06DB3">
        <w:rPr>
          <w:sz w:val="20"/>
          <w:szCs w:val="20"/>
        </w:rPr>
        <w:t>of</w:t>
      </w:r>
      <w:r w:rsidR="00AB370F" w:rsidRPr="00D06DB3">
        <w:rPr>
          <w:sz w:val="20"/>
          <w:szCs w:val="20"/>
        </w:rPr>
        <w:t xml:space="preserve"> </w:t>
      </w:r>
      <w:r w:rsidRPr="00D06DB3">
        <w:rPr>
          <w:sz w:val="20"/>
          <w:szCs w:val="20"/>
        </w:rPr>
        <w:t>the</w:t>
      </w:r>
      <w:r w:rsidR="00AB370F" w:rsidRPr="00D06DB3">
        <w:rPr>
          <w:sz w:val="20"/>
          <w:szCs w:val="20"/>
        </w:rPr>
        <w:t xml:space="preserve"> </w:t>
      </w:r>
      <w:r w:rsidRPr="00D06DB3">
        <w:rPr>
          <w:sz w:val="20"/>
          <w:szCs w:val="20"/>
        </w:rPr>
        <w:t>21st</w:t>
      </w:r>
      <w:r w:rsidR="00AB370F" w:rsidRPr="00D06DB3">
        <w:rPr>
          <w:sz w:val="20"/>
          <w:szCs w:val="20"/>
        </w:rPr>
        <w:t xml:space="preserve"> </w:t>
      </w:r>
      <w:r w:rsidRPr="00D06DB3">
        <w:rPr>
          <w:sz w:val="20"/>
          <w:szCs w:val="20"/>
        </w:rPr>
        <w:t>century:</w:t>
      </w:r>
      <w:r w:rsidR="00AB370F" w:rsidRPr="00D06DB3">
        <w:rPr>
          <w:sz w:val="20"/>
          <w:szCs w:val="20"/>
        </w:rPr>
        <w:t xml:space="preserve"> </w:t>
      </w:r>
      <w:r w:rsidRPr="00D06DB3">
        <w:rPr>
          <w:sz w:val="20"/>
          <w:szCs w:val="20"/>
        </w:rPr>
        <w:t>questions,</w:t>
      </w:r>
      <w:r w:rsidR="00AB370F" w:rsidRPr="00D06DB3">
        <w:rPr>
          <w:sz w:val="20"/>
          <w:szCs w:val="20"/>
        </w:rPr>
        <w:t xml:space="preserve"> </w:t>
      </w:r>
      <w:r w:rsidRPr="00D06DB3">
        <w:rPr>
          <w:sz w:val="20"/>
          <w:szCs w:val="20"/>
        </w:rPr>
        <w:t>hypotheses,</w:t>
      </w:r>
      <w:r w:rsidR="00AB370F" w:rsidRPr="00D06DB3">
        <w:rPr>
          <w:sz w:val="20"/>
          <w:szCs w:val="20"/>
        </w:rPr>
        <w:t xml:space="preserve"> </w:t>
      </w:r>
      <w:r w:rsidRPr="00D06DB3">
        <w:rPr>
          <w:sz w:val="20"/>
          <w:szCs w:val="20"/>
        </w:rPr>
        <w:t>answers.</w:t>
      </w:r>
      <w:r w:rsidR="00AB370F" w:rsidRPr="00D06DB3">
        <w:rPr>
          <w:sz w:val="20"/>
          <w:szCs w:val="20"/>
        </w:rPr>
        <w:t xml:space="preserve"> </w:t>
      </w:r>
      <w:r w:rsidRPr="00D06DB3">
        <w:rPr>
          <w:sz w:val="20"/>
          <w:szCs w:val="20"/>
        </w:rPr>
        <w:t>-</w:t>
      </w:r>
      <w:r w:rsidR="00AB370F" w:rsidRPr="00D06DB3">
        <w:rPr>
          <w:sz w:val="20"/>
          <w:szCs w:val="20"/>
        </w:rPr>
        <w:t xml:space="preserve"> </w:t>
      </w:r>
      <w:r w:rsidRPr="00D06DB3">
        <w:rPr>
          <w:sz w:val="20"/>
          <w:szCs w:val="20"/>
        </w:rPr>
        <w:t>2013.</w:t>
      </w:r>
      <w:r w:rsidR="00AB370F" w:rsidRPr="00D06DB3">
        <w:rPr>
          <w:sz w:val="20"/>
          <w:szCs w:val="20"/>
        </w:rPr>
        <w:t xml:space="preserve"> </w:t>
      </w:r>
      <w:r w:rsidRPr="00D06DB3">
        <w:rPr>
          <w:sz w:val="20"/>
          <w:szCs w:val="20"/>
        </w:rPr>
        <w:t>-</w:t>
      </w:r>
      <w:r w:rsidR="00AB370F" w:rsidRPr="00D06DB3">
        <w:rPr>
          <w:sz w:val="20"/>
          <w:szCs w:val="20"/>
        </w:rPr>
        <w:t xml:space="preserve"> </w:t>
      </w:r>
      <w:r w:rsidRPr="00D06DB3">
        <w:rPr>
          <w:sz w:val="20"/>
          <w:szCs w:val="20"/>
        </w:rPr>
        <w:t>№</w:t>
      </w:r>
      <w:r w:rsidR="00AB370F" w:rsidRPr="00D06DB3">
        <w:rPr>
          <w:sz w:val="20"/>
          <w:szCs w:val="20"/>
        </w:rPr>
        <w:t xml:space="preserve"> </w:t>
      </w:r>
      <w:r w:rsidRPr="00D06DB3">
        <w:rPr>
          <w:sz w:val="20"/>
          <w:szCs w:val="20"/>
        </w:rPr>
        <w:t>3.</w:t>
      </w:r>
      <w:r w:rsidR="00AB370F" w:rsidRPr="00D06DB3">
        <w:rPr>
          <w:sz w:val="20"/>
          <w:szCs w:val="20"/>
        </w:rPr>
        <w:t xml:space="preserve"> </w:t>
      </w:r>
      <w:r w:rsidRPr="00D06DB3">
        <w:rPr>
          <w:sz w:val="20"/>
          <w:szCs w:val="20"/>
        </w:rPr>
        <w:t>–</w:t>
      </w:r>
      <w:r w:rsidR="00AB370F" w:rsidRPr="00D06DB3">
        <w:rPr>
          <w:sz w:val="20"/>
          <w:szCs w:val="20"/>
        </w:rPr>
        <w:t xml:space="preserve"> </w:t>
      </w:r>
      <w:r w:rsidRPr="00D06DB3">
        <w:rPr>
          <w:sz w:val="20"/>
          <w:szCs w:val="20"/>
        </w:rPr>
        <w:t>40</w:t>
      </w:r>
      <w:r w:rsidR="00AB370F" w:rsidRPr="00D06DB3">
        <w:rPr>
          <w:sz w:val="20"/>
          <w:szCs w:val="20"/>
        </w:rPr>
        <w:t xml:space="preserve"> </w:t>
      </w:r>
      <w:r w:rsidRPr="00D06DB3">
        <w:rPr>
          <w:sz w:val="20"/>
          <w:szCs w:val="20"/>
        </w:rPr>
        <w:t>p.</w:t>
      </w:r>
    </w:p>
    <w:p w:rsidR="00015471" w:rsidRPr="00D06DB3" w:rsidRDefault="00015471" w:rsidP="00DF4EBA">
      <w:pPr>
        <w:numPr>
          <w:ilvl w:val="0"/>
          <w:numId w:val="4"/>
        </w:numPr>
        <w:tabs>
          <w:tab w:val="clear" w:pos="720"/>
        </w:tabs>
        <w:suppressAutoHyphens w:val="0"/>
        <w:snapToGrid w:val="0"/>
        <w:ind w:left="425" w:hanging="425"/>
        <w:jc w:val="both"/>
        <w:rPr>
          <w:sz w:val="20"/>
          <w:szCs w:val="20"/>
        </w:rPr>
      </w:pPr>
      <w:r w:rsidRPr="00D06DB3">
        <w:rPr>
          <w:sz w:val="20"/>
          <w:szCs w:val="20"/>
        </w:rPr>
        <w:t>Laptev</w:t>
      </w:r>
      <w:r w:rsidR="00AB370F" w:rsidRPr="00D06DB3">
        <w:rPr>
          <w:sz w:val="20"/>
          <w:szCs w:val="20"/>
        </w:rPr>
        <w:t xml:space="preserve"> </w:t>
      </w:r>
      <w:r w:rsidRPr="00D06DB3">
        <w:rPr>
          <w:sz w:val="20"/>
          <w:szCs w:val="20"/>
        </w:rPr>
        <w:t>V.V.,</w:t>
      </w:r>
      <w:r w:rsidR="00AB370F" w:rsidRPr="00D06DB3">
        <w:rPr>
          <w:sz w:val="20"/>
          <w:szCs w:val="20"/>
        </w:rPr>
        <w:t xml:space="preserve"> </w:t>
      </w:r>
      <w:r w:rsidRPr="00D06DB3">
        <w:rPr>
          <w:sz w:val="20"/>
          <w:szCs w:val="20"/>
        </w:rPr>
        <w:t>Noskova</w:t>
      </w:r>
      <w:r w:rsidR="00AB370F" w:rsidRPr="00D06DB3">
        <w:rPr>
          <w:sz w:val="20"/>
          <w:szCs w:val="20"/>
        </w:rPr>
        <w:t xml:space="preserve"> </w:t>
      </w:r>
      <w:r w:rsidRPr="00D06DB3">
        <w:rPr>
          <w:sz w:val="20"/>
          <w:szCs w:val="20"/>
        </w:rPr>
        <w:t>T.N.,</w:t>
      </w:r>
      <w:r w:rsidR="00AB370F" w:rsidRPr="00D06DB3">
        <w:rPr>
          <w:sz w:val="20"/>
          <w:szCs w:val="20"/>
        </w:rPr>
        <w:t xml:space="preserve"> </w:t>
      </w:r>
      <w:r w:rsidRPr="00D06DB3">
        <w:rPr>
          <w:sz w:val="20"/>
          <w:szCs w:val="20"/>
        </w:rPr>
        <w:t>Flegontov</w:t>
      </w:r>
      <w:r w:rsidR="00AB370F" w:rsidRPr="00D06DB3">
        <w:rPr>
          <w:sz w:val="20"/>
          <w:szCs w:val="20"/>
        </w:rPr>
        <w:t xml:space="preserve"> </w:t>
      </w:r>
      <w:r w:rsidRPr="00D06DB3">
        <w:rPr>
          <w:sz w:val="20"/>
          <w:szCs w:val="20"/>
        </w:rPr>
        <w:t>A.V.,</w:t>
      </w:r>
      <w:r w:rsidR="00AB370F" w:rsidRPr="00D06DB3">
        <w:rPr>
          <w:sz w:val="20"/>
          <w:szCs w:val="20"/>
        </w:rPr>
        <w:t xml:space="preserve"> </w:t>
      </w:r>
      <w:r w:rsidRPr="00D06DB3">
        <w:rPr>
          <w:sz w:val="20"/>
          <w:szCs w:val="20"/>
        </w:rPr>
        <w:t>Gavronskaya</w:t>
      </w:r>
      <w:r w:rsidR="00AB370F" w:rsidRPr="00D06DB3">
        <w:rPr>
          <w:sz w:val="20"/>
          <w:szCs w:val="20"/>
        </w:rPr>
        <w:t xml:space="preserve"> </w:t>
      </w:r>
      <w:r w:rsidRPr="00D06DB3">
        <w:rPr>
          <w:sz w:val="20"/>
          <w:szCs w:val="20"/>
        </w:rPr>
        <w:t>Y.Y.,</w:t>
      </w:r>
      <w:r w:rsidR="00AB370F" w:rsidRPr="00D06DB3">
        <w:rPr>
          <w:sz w:val="20"/>
          <w:szCs w:val="20"/>
        </w:rPr>
        <w:t xml:space="preserve"> </w:t>
      </w:r>
      <w:r w:rsidRPr="00D06DB3">
        <w:rPr>
          <w:sz w:val="20"/>
          <w:szCs w:val="20"/>
        </w:rPr>
        <w:t>Piotrovskaya</w:t>
      </w:r>
      <w:r w:rsidR="00AB370F" w:rsidRPr="00D06DB3">
        <w:rPr>
          <w:sz w:val="20"/>
          <w:szCs w:val="20"/>
        </w:rPr>
        <w:t xml:space="preserve"> </w:t>
      </w:r>
      <w:r w:rsidRPr="00D06DB3">
        <w:rPr>
          <w:sz w:val="20"/>
          <w:szCs w:val="20"/>
        </w:rPr>
        <w:t>K.R.</w:t>
      </w:r>
      <w:r w:rsidR="00AB370F" w:rsidRPr="00D06DB3">
        <w:rPr>
          <w:sz w:val="20"/>
          <w:szCs w:val="20"/>
        </w:rPr>
        <w:t xml:space="preserve"> </w:t>
      </w:r>
      <w:r w:rsidRPr="00D06DB3">
        <w:rPr>
          <w:sz w:val="20"/>
          <w:szCs w:val="20"/>
        </w:rPr>
        <w:t>“High-tech</w:t>
      </w:r>
      <w:r w:rsidR="00AB370F" w:rsidRPr="00D06DB3">
        <w:rPr>
          <w:sz w:val="20"/>
          <w:szCs w:val="20"/>
        </w:rPr>
        <w:t xml:space="preserve"> </w:t>
      </w:r>
      <w:r w:rsidRPr="00D06DB3">
        <w:rPr>
          <w:sz w:val="20"/>
          <w:szCs w:val="20"/>
        </w:rPr>
        <w:t>information</w:t>
      </w:r>
      <w:r w:rsidR="00AB370F" w:rsidRPr="00D06DB3">
        <w:rPr>
          <w:sz w:val="20"/>
          <w:szCs w:val="20"/>
        </w:rPr>
        <w:t xml:space="preserve"> </w:t>
      </w:r>
      <w:r w:rsidRPr="00D06DB3">
        <w:rPr>
          <w:sz w:val="20"/>
          <w:szCs w:val="20"/>
        </w:rPr>
        <w:t>educational</w:t>
      </w:r>
      <w:r w:rsidR="00AB370F" w:rsidRPr="00D06DB3">
        <w:rPr>
          <w:sz w:val="20"/>
          <w:szCs w:val="20"/>
        </w:rPr>
        <w:t xml:space="preserve"> </w:t>
      </w:r>
      <w:r w:rsidRPr="00D06DB3">
        <w:rPr>
          <w:sz w:val="20"/>
          <w:szCs w:val="20"/>
        </w:rPr>
        <w:t>environment”</w:t>
      </w:r>
      <w:r w:rsidR="00AB370F" w:rsidRPr="00D06DB3">
        <w:rPr>
          <w:sz w:val="20"/>
          <w:szCs w:val="20"/>
        </w:rPr>
        <w:t xml:space="preserve"> </w:t>
      </w:r>
      <w:r w:rsidRPr="00D06DB3">
        <w:rPr>
          <w:sz w:val="20"/>
          <w:szCs w:val="20"/>
        </w:rPr>
        <w:t>is</w:t>
      </w:r>
      <w:r w:rsidR="00AB370F" w:rsidRPr="00D06DB3">
        <w:rPr>
          <w:sz w:val="20"/>
          <w:szCs w:val="20"/>
        </w:rPr>
        <w:t xml:space="preserve"> </w:t>
      </w:r>
      <w:r w:rsidRPr="00D06DB3">
        <w:rPr>
          <w:sz w:val="20"/>
          <w:szCs w:val="20"/>
        </w:rPr>
        <w:t>a</w:t>
      </w:r>
      <w:r w:rsidR="00AB370F" w:rsidRPr="00D06DB3">
        <w:rPr>
          <w:sz w:val="20"/>
          <w:szCs w:val="20"/>
        </w:rPr>
        <w:t xml:space="preserve"> </w:t>
      </w:r>
      <w:r w:rsidRPr="00D06DB3">
        <w:rPr>
          <w:sz w:val="20"/>
          <w:szCs w:val="20"/>
        </w:rPr>
        <w:t>synthesis</w:t>
      </w:r>
      <w:r w:rsidR="00AB370F" w:rsidRPr="00D06DB3">
        <w:rPr>
          <w:sz w:val="20"/>
          <w:szCs w:val="20"/>
        </w:rPr>
        <w:t xml:space="preserve"> </w:t>
      </w:r>
      <w:r w:rsidRPr="00D06DB3">
        <w:rPr>
          <w:sz w:val="20"/>
          <w:szCs w:val="20"/>
        </w:rPr>
        <w:t>of</w:t>
      </w:r>
      <w:r w:rsidR="00AB370F" w:rsidRPr="00D06DB3">
        <w:rPr>
          <w:sz w:val="20"/>
          <w:szCs w:val="20"/>
        </w:rPr>
        <w:t xml:space="preserve"> </w:t>
      </w:r>
      <w:r w:rsidRPr="00D06DB3">
        <w:rPr>
          <w:sz w:val="20"/>
          <w:szCs w:val="20"/>
        </w:rPr>
        <w:t>high</w:t>
      </w:r>
      <w:r w:rsidR="00AB370F" w:rsidRPr="00D06DB3">
        <w:rPr>
          <w:sz w:val="20"/>
          <w:szCs w:val="20"/>
        </w:rPr>
        <w:t xml:space="preserve"> </w:t>
      </w:r>
      <w:r w:rsidRPr="00D06DB3">
        <w:rPr>
          <w:sz w:val="20"/>
          <w:szCs w:val="20"/>
        </w:rPr>
        <w:t>educational</w:t>
      </w:r>
      <w:r w:rsidR="00AB370F" w:rsidRPr="00D06DB3">
        <w:rPr>
          <w:sz w:val="20"/>
          <w:szCs w:val="20"/>
        </w:rPr>
        <w:t xml:space="preserve"> </w:t>
      </w:r>
      <w:r w:rsidRPr="00D06DB3">
        <w:rPr>
          <w:sz w:val="20"/>
          <w:szCs w:val="20"/>
        </w:rPr>
        <w:t>technologies</w:t>
      </w:r>
      <w:r w:rsidR="00AB370F" w:rsidRPr="00D06DB3">
        <w:rPr>
          <w:sz w:val="20"/>
          <w:szCs w:val="20"/>
        </w:rPr>
        <w:t xml:space="preserve"> </w:t>
      </w:r>
      <w:r w:rsidRPr="00D06DB3">
        <w:rPr>
          <w:sz w:val="20"/>
          <w:szCs w:val="20"/>
        </w:rPr>
        <w:t>and</w:t>
      </w:r>
      <w:r w:rsidR="00AB370F" w:rsidRPr="00D06DB3">
        <w:rPr>
          <w:sz w:val="20"/>
          <w:szCs w:val="20"/>
        </w:rPr>
        <w:t xml:space="preserve"> </w:t>
      </w:r>
      <w:r w:rsidRPr="00D06DB3">
        <w:rPr>
          <w:sz w:val="20"/>
          <w:szCs w:val="20"/>
        </w:rPr>
        <w:t>hi-tech</w:t>
      </w:r>
      <w:r w:rsidR="00AB370F" w:rsidRPr="00D06DB3">
        <w:rPr>
          <w:sz w:val="20"/>
          <w:szCs w:val="20"/>
        </w:rPr>
        <w:t xml:space="preserve"> </w:t>
      </w:r>
      <w:r w:rsidRPr="00D06DB3">
        <w:rPr>
          <w:sz w:val="20"/>
          <w:szCs w:val="20"/>
        </w:rPr>
        <w:t>technologies.</w:t>
      </w:r>
      <w:r w:rsidR="00AB370F" w:rsidRPr="00D06DB3">
        <w:rPr>
          <w:sz w:val="20"/>
          <w:szCs w:val="20"/>
        </w:rPr>
        <w:t xml:space="preserve"> </w:t>
      </w:r>
      <w:r w:rsidRPr="00D06DB3">
        <w:rPr>
          <w:sz w:val="20"/>
          <w:szCs w:val="20"/>
        </w:rPr>
        <w:t>In</w:t>
      </w:r>
      <w:r w:rsidR="00AB370F" w:rsidRPr="00D06DB3">
        <w:rPr>
          <w:sz w:val="20"/>
          <w:szCs w:val="20"/>
        </w:rPr>
        <w:t xml:space="preserve"> </w:t>
      </w:r>
      <w:r w:rsidRPr="00D06DB3">
        <w:rPr>
          <w:sz w:val="20"/>
          <w:szCs w:val="20"/>
        </w:rPr>
        <w:t>the</w:t>
      </w:r>
      <w:r w:rsidR="00AB370F" w:rsidRPr="00D06DB3">
        <w:rPr>
          <w:sz w:val="20"/>
          <w:szCs w:val="20"/>
        </w:rPr>
        <w:t xml:space="preserve"> </w:t>
      </w:r>
      <w:r w:rsidRPr="00D06DB3">
        <w:rPr>
          <w:sz w:val="20"/>
          <w:szCs w:val="20"/>
        </w:rPr>
        <w:t>collection:</w:t>
      </w:r>
      <w:r w:rsidR="00AB370F" w:rsidRPr="00D06DB3">
        <w:rPr>
          <w:sz w:val="20"/>
          <w:szCs w:val="20"/>
        </w:rPr>
        <w:t xml:space="preserve"> </w:t>
      </w:r>
      <w:r w:rsidRPr="00D06DB3">
        <w:rPr>
          <w:sz w:val="20"/>
          <w:szCs w:val="20"/>
        </w:rPr>
        <w:t>Regional</w:t>
      </w:r>
      <w:r w:rsidR="00AB370F" w:rsidRPr="00D06DB3">
        <w:rPr>
          <w:sz w:val="20"/>
          <w:szCs w:val="20"/>
        </w:rPr>
        <w:t xml:space="preserve"> </w:t>
      </w:r>
      <w:r w:rsidRPr="00D06DB3">
        <w:rPr>
          <w:sz w:val="20"/>
          <w:szCs w:val="20"/>
        </w:rPr>
        <w:t>informatics</w:t>
      </w:r>
      <w:r w:rsidR="00AB370F" w:rsidRPr="00D06DB3">
        <w:rPr>
          <w:sz w:val="20"/>
          <w:szCs w:val="20"/>
        </w:rPr>
        <w:t xml:space="preserve"> </w:t>
      </w:r>
      <w:r w:rsidRPr="00D06DB3">
        <w:rPr>
          <w:sz w:val="20"/>
          <w:szCs w:val="20"/>
        </w:rPr>
        <w:t>"RI-2014".</w:t>
      </w:r>
      <w:r w:rsidR="00AB370F" w:rsidRPr="00D06DB3">
        <w:rPr>
          <w:sz w:val="20"/>
          <w:szCs w:val="20"/>
        </w:rPr>
        <w:t xml:space="preserve"> </w:t>
      </w:r>
      <w:r w:rsidRPr="00D06DB3">
        <w:rPr>
          <w:sz w:val="20"/>
          <w:szCs w:val="20"/>
        </w:rPr>
        <w:t>Proceedings</w:t>
      </w:r>
      <w:r w:rsidR="00AB370F" w:rsidRPr="00D06DB3">
        <w:rPr>
          <w:sz w:val="20"/>
          <w:szCs w:val="20"/>
        </w:rPr>
        <w:t xml:space="preserve"> </w:t>
      </w:r>
      <w:r w:rsidRPr="00D06DB3">
        <w:rPr>
          <w:sz w:val="20"/>
          <w:szCs w:val="20"/>
        </w:rPr>
        <w:t>of</w:t>
      </w:r>
      <w:r w:rsidR="00AB370F" w:rsidRPr="00D06DB3">
        <w:rPr>
          <w:sz w:val="20"/>
          <w:szCs w:val="20"/>
        </w:rPr>
        <w:t xml:space="preserve"> </w:t>
      </w:r>
      <w:r w:rsidRPr="00D06DB3">
        <w:rPr>
          <w:sz w:val="20"/>
          <w:szCs w:val="20"/>
        </w:rPr>
        <w:t>the</w:t>
      </w:r>
      <w:r w:rsidR="00AB370F" w:rsidRPr="00D06DB3">
        <w:rPr>
          <w:sz w:val="20"/>
          <w:szCs w:val="20"/>
        </w:rPr>
        <w:t xml:space="preserve"> </w:t>
      </w:r>
      <w:r w:rsidRPr="00D06DB3">
        <w:rPr>
          <w:sz w:val="20"/>
          <w:szCs w:val="20"/>
        </w:rPr>
        <w:t>XIV</w:t>
      </w:r>
      <w:r w:rsidR="00AB370F" w:rsidRPr="00D06DB3">
        <w:rPr>
          <w:sz w:val="20"/>
          <w:szCs w:val="20"/>
        </w:rPr>
        <w:t xml:space="preserve"> </w:t>
      </w:r>
      <w:r w:rsidRPr="00D06DB3">
        <w:rPr>
          <w:sz w:val="20"/>
          <w:szCs w:val="20"/>
        </w:rPr>
        <w:t>St.</w:t>
      </w:r>
      <w:r w:rsidR="00AB370F" w:rsidRPr="00D06DB3">
        <w:rPr>
          <w:sz w:val="20"/>
          <w:szCs w:val="20"/>
        </w:rPr>
        <w:t xml:space="preserve"> </w:t>
      </w:r>
      <w:r w:rsidRPr="00D06DB3">
        <w:rPr>
          <w:sz w:val="20"/>
          <w:szCs w:val="20"/>
        </w:rPr>
        <w:t>Petersburg</w:t>
      </w:r>
      <w:r w:rsidR="00AB370F" w:rsidRPr="00D06DB3">
        <w:rPr>
          <w:sz w:val="20"/>
          <w:szCs w:val="20"/>
        </w:rPr>
        <w:t xml:space="preserve"> </w:t>
      </w:r>
      <w:r w:rsidRPr="00D06DB3">
        <w:rPr>
          <w:sz w:val="20"/>
          <w:szCs w:val="20"/>
        </w:rPr>
        <w:t>International</w:t>
      </w:r>
      <w:r w:rsidR="00AB370F" w:rsidRPr="00D06DB3">
        <w:rPr>
          <w:sz w:val="20"/>
          <w:szCs w:val="20"/>
        </w:rPr>
        <w:t xml:space="preserve"> </w:t>
      </w:r>
      <w:r w:rsidRPr="00D06DB3">
        <w:rPr>
          <w:sz w:val="20"/>
          <w:szCs w:val="20"/>
        </w:rPr>
        <w:t>Conference.</w:t>
      </w:r>
      <w:r w:rsidR="00AB370F" w:rsidRPr="00D06DB3">
        <w:rPr>
          <w:sz w:val="20"/>
          <w:szCs w:val="20"/>
        </w:rPr>
        <w:t xml:space="preserve"> </w:t>
      </w:r>
      <w:r w:rsidRPr="00D06DB3">
        <w:rPr>
          <w:sz w:val="20"/>
          <w:szCs w:val="20"/>
        </w:rPr>
        <w:t>2014.</w:t>
      </w:r>
      <w:r w:rsidR="00AB370F" w:rsidRPr="00D06DB3">
        <w:rPr>
          <w:sz w:val="20"/>
          <w:szCs w:val="20"/>
        </w:rPr>
        <w:t xml:space="preserve"> </w:t>
      </w:r>
      <w:r w:rsidRPr="00D06DB3">
        <w:rPr>
          <w:sz w:val="20"/>
          <w:szCs w:val="20"/>
        </w:rPr>
        <w:t>347</w:t>
      </w:r>
      <w:r w:rsidR="00AB370F" w:rsidRPr="00D06DB3">
        <w:rPr>
          <w:sz w:val="20"/>
          <w:szCs w:val="20"/>
        </w:rPr>
        <w:t xml:space="preserve"> </w:t>
      </w:r>
      <w:r w:rsidRPr="00D06DB3">
        <w:rPr>
          <w:sz w:val="20"/>
          <w:szCs w:val="20"/>
        </w:rPr>
        <w:t>p.</w:t>
      </w:r>
    </w:p>
    <w:p w:rsidR="00015471" w:rsidRPr="00D06DB3" w:rsidRDefault="00015471" w:rsidP="00DF4EBA">
      <w:pPr>
        <w:numPr>
          <w:ilvl w:val="0"/>
          <w:numId w:val="4"/>
        </w:numPr>
        <w:tabs>
          <w:tab w:val="clear" w:pos="720"/>
        </w:tabs>
        <w:suppressAutoHyphens w:val="0"/>
        <w:snapToGrid w:val="0"/>
        <w:ind w:left="425" w:hanging="425"/>
        <w:jc w:val="both"/>
        <w:rPr>
          <w:sz w:val="20"/>
          <w:szCs w:val="20"/>
        </w:rPr>
      </w:pPr>
      <w:r w:rsidRPr="00D06DB3">
        <w:rPr>
          <w:sz w:val="20"/>
          <w:szCs w:val="20"/>
        </w:rPr>
        <w:t>Shodmonova</w:t>
      </w:r>
      <w:r w:rsidR="00AB370F" w:rsidRPr="00D06DB3">
        <w:rPr>
          <w:sz w:val="20"/>
          <w:szCs w:val="20"/>
        </w:rPr>
        <w:t xml:space="preserve"> </w:t>
      </w:r>
      <w:r w:rsidRPr="00D06DB3">
        <w:rPr>
          <w:sz w:val="20"/>
          <w:szCs w:val="20"/>
        </w:rPr>
        <w:t>S.</w:t>
      </w:r>
      <w:r w:rsidR="00AB370F" w:rsidRPr="00D06DB3">
        <w:rPr>
          <w:sz w:val="20"/>
          <w:szCs w:val="20"/>
        </w:rPr>
        <w:t xml:space="preserve"> </w:t>
      </w:r>
      <w:r w:rsidRPr="00D06DB3">
        <w:rPr>
          <w:sz w:val="20"/>
          <w:szCs w:val="20"/>
        </w:rPr>
        <w:t>Formation</w:t>
      </w:r>
      <w:r w:rsidR="00AB370F" w:rsidRPr="00D06DB3">
        <w:rPr>
          <w:sz w:val="20"/>
          <w:szCs w:val="20"/>
        </w:rPr>
        <w:t xml:space="preserve"> </w:t>
      </w:r>
      <w:r w:rsidRPr="00D06DB3">
        <w:rPr>
          <w:sz w:val="20"/>
          <w:szCs w:val="20"/>
        </w:rPr>
        <w:t>and</w:t>
      </w:r>
      <w:r w:rsidR="00AB370F" w:rsidRPr="00D06DB3">
        <w:rPr>
          <w:sz w:val="20"/>
          <w:szCs w:val="20"/>
        </w:rPr>
        <w:t xml:space="preserve"> </w:t>
      </w:r>
      <w:r w:rsidRPr="00D06DB3">
        <w:rPr>
          <w:sz w:val="20"/>
          <w:szCs w:val="20"/>
        </w:rPr>
        <w:t>development</w:t>
      </w:r>
      <w:r w:rsidR="00AB370F" w:rsidRPr="00D06DB3">
        <w:rPr>
          <w:sz w:val="20"/>
          <w:szCs w:val="20"/>
        </w:rPr>
        <w:t xml:space="preserve"> </w:t>
      </w:r>
      <w:r w:rsidRPr="00D06DB3">
        <w:rPr>
          <w:sz w:val="20"/>
          <w:szCs w:val="20"/>
        </w:rPr>
        <w:t>of</w:t>
      </w:r>
      <w:r w:rsidR="00AB370F" w:rsidRPr="00D06DB3">
        <w:rPr>
          <w:sz w:val="20"/>
          <w:szCs w:val="20"/>
        </w:rPr>
        <w:t xml:space="preserve"> </w:t>
      </w:r>
      <w:r w:rsidRPr="00D06DB3">
        <w:rPr>
          <w:sz w:val="20"/>
          <w:szCs w:val="20"/>
        </w:rPr>
        <w:t>independence</w:t>
      </w:r>
      <w:r w:rsidR="00AB370F" w:rsidRPr="00D06DB3">
        <w:rPr>
          <w:sz w:val="20"/>
          <w:szCs w:val="20"/>
        </w:rPr>
        <w:t xml:space="preserve"> </w:t>
      </w:r>
      <w:r w:rsidRPr="00D06DB3">
        <w:rPr>
          <w:sz w:val="20"/>
          <w:szCs w:val="20"/>
        </w:rPr>
        <w:t>thinking</w:t>
      </w:r>
      <w:r w:rsidR="00AB370F" w:rsidRPr="00D06DB3">
        <w:rPr>
          <w:sz w:val="20"/>
          <w:szCs w:val="20"/>
        </w:rPr>
        <w:t xml:space="preserve"> </w:t>
      </w:r>
      <w:r w:rsidRPr="00D06DB3">
        <w:rPr>
          <w:sz w:val="20"/>
          <w:szCs w:val="20"/>
        </w:rPr>
        <w:t>in</w:t>
      </w:r>
      <w:r w:rsidR="00AB370F" w:rsidRPr="00D06DB3">
        <w:rPr>
          <w:sz w:val="20"/>
          <w:szCs w:val="20"/>
        </w:rPr>
        <w:t xml:space="preserve"> </w:t>
      </w:r>
      <w:r w:rsidRPr="00D06DB3">
        <w:rPr>
          <w:sz w:val="20"/>
          <w:szCs w:val="20"/>
        </w:rPr>
        <w:t>students</w:t>
      </w:r>
      <w:r w:rsidR="00AB370F" w:rsidRPr="00D06DB3">
        <w:rPr>
          <w:sz w:val="20"/>
          <w:szCs w:val="20"/>
        </w:rPr>
        <w:t xml:space="preserve"> </w:t>
      </w:r>
      <w:r w:rsidRPr="00D06DB3">
        <w:rPr>
          <w:sz w:val="20"/>
          <w:szCs w:val="20"/>
        </w:rPr>
        <w:t>of</w:t>
      </w:r>
      <w:r w:rsidR="00AB370F" w:rsidRPr="00D06DB3">
        <w:rPr>
          <w:sz w:val="20"/>
          <w:szCs w:val="20"/>
        </w:rPr>
        <w:t xml:space="preserve"> </w:t>
      </w:r>
      <w:r w:rsidRPr="00D06DB3">
        <w:rPr>
          <w:sz w:val="20"/>
          <w:szCs w:val="20"/>
        </w:rPr>
        <w:t>higher</w:t>
      </w:r>
      <w:r w:rsidR="00AB370F" w:rsidRPr="00D06DB3">
        <w:rPr>
          <w:sz w:val="20"/>
          <w:szCs w:val="20"/>
        </w:rPr>
        <w:t xml:space="preserve"> </w:t>
      </w:r>
      <w:r w:rsidRPr="00D06DB3">
        <w:rPr>
          <w:sz w:val="20"/>
          <w:szCs w:val="20"/>
        </w:rPr>
        <w:t>educational</w:t>
      </w:r>
      <w:r w:rsidR="00AB370F" w:rsidRPr="00D06DB3">
        <w:rPr>
          <w:sz w:val="20"/>
          <w:szCs w:val="20"/>
        </w:rPr>
        <w:t xml:space="preserve"> </w:t>
      </w:r>
      <w:r w:rsidRPr="00D06DB3">
        <w:rPr>
          <w:sz w:val="20"/>
          <w:szCs w:val="20"/>
        </w:rPr>
        <w:t>institutions</w:t>
      </w:r>
      <w:r w:rsidR="00AB370F" w:rsidRPr="00D06DB3">
        <w:rPr>
          <w:sz w:val="20"/>
          <w:szCs w:val="20"/>
        </w:rPr>
        <w:t xml:space="preserve"> </w:t>
      </w:r>
      <w:r w:rsidRPr="00D06DB3">
        <w:rPr>
          <w:sz w:val="20"/>
          <w:szCs w:val="20"/>
        </w:rPr>
        <w:t>of</w:t>
      </w:r>
      <w:r w:rsidR="00AB370F" w:rsidRPr="00D06DB3">
        <w:rPr>
          <w:sz w:val="20"/>
          <w:szCs w:val="20"/>
        </w:rPr>
        <w:t xml:space="preserve"> </w:t>
      </w:r>
      <w:r w:rsidRPr="00D06DB3">
        <w:rPr>
          <w:sz w:val="20"/>
          <w:szCs w:val="20"/>
        </w:rPr>
        <w:t>professional</w:t>
      </w:r>
      <w:r w:rsidR="00AB370F" w:rsidRPr="00D06DB3">
        <w:rPr>
          <w:sz w:val="20"/>
          <w:szCs w:val="20"/>
        </w:rPr>
        <w:t xml:space="preserve"> </w:t>
      </w:r>
      <w:r w:rsidRPr="00D06DB3">
        <w:rPr>
          <w:sz w:val="20"/>
          <w:szCs w:val="20"/>
        </w:rPr>
        <w:t>direction.</w:t>
      </w:r>
      <w:r w:rsidR="00AB370F" w:rsidRPr="00D06DB3">
        <w:rPr>
          <w:sz w:val="20"/>
          <w:szCs w:val="20"/>
        </w:rPr>
        <w:t xml:space="preserve"> </w:t>
      </w:r>
      <w:r w:rsidRPr="00D06DB3">
        <w:rPr>
          <w:sz w:val="20"/>
          <w:szCs w:val="20"/>
        </w:rPr>
        <w:t>Dis.</w:t>
      </w:r>
      <w:r w:rsidR="00AB370F" w:rsidRPr="00D06DB3">
        <w:rPr>
          <w:sz w:val="20"/>
          <w:szCs w:val="20"/>
        </w:rPr>
        <w:t>.</w:t>
      </w:r>
      <w:r w:rsidRPr="00D06DB3">
        <w:rPr>
          <w:sz w:val="20"/>
          <w:szCs w:val="20"/>
        </w:rPr>
        <w:t>...</w:t>
      </w:r>
      <w:r w:rsidR="00AB370F" w:rsidRPr="00D06DB3">
        <w:rPr>
          <w:sz w:val="20"/>
          <w:szCs w:val="20"/>
        </w:rPr>
        <w:t xml:space="preserve"> </w:t>
      </w:r>
      <w:r w:rsidRPr="00D06DB3">
        <w:rPr>
          <w:sz w:val="20"/>
          <w:szCs w:val="20"/>
        </w:rPr>
        <w:t>doctors</w:t>
      </w:r>
      <w:r w:rsidR="00AB370F" w:rsidRPr="00D06DB3">
        <w:rPr>
          <w:sz w:val="20"/>
          <w:szCs w:val="20"/>
        </w:rPr>
        <w:t xml:space="preserve"> </w:t>
      </w:r>
      <w:r w:rsidRPr="00D06DB3">
        <w:rPr>
          <w:sz w:val="20"/>
          <w:szCs w:val="20"/>
        </w:rPr>
        <w:t>of</w:t>
      </w:r>
      <w:r w:rsidR="00AB370F" w:rsidRPr="00D06DB3">
        <w:rPr>
          <w:sz w:val="20"/>
          <w:szCs w:val="20"/>
        </w:rPr>
        <w:t xml:space="preserve"> </w:t>
      </w:r>
      <w:r w:rsidRPr="00D06DB3">
        <w:rPr>
          <w:sz w:val="20"/>
          <w:szCs w:val="20"/>
        </w:rPr>
        <w:t>pedagogical</w:t>
      </w:r>
      <w:r w:rsidR="00AB370F" w:rsidRPr="00D06DB3">
        <w:rPr>
          <w:sz w:val="20"/>
          <w:szCs w:val="20"/>
        </w:rPr>
        <w:t xml:space="preserve"> </w:t>
      </w:r>
      <w:r w:rsidRPr="00D06DB3">
        <w:rPr>
          <w:sz w:val="20"/>
          <w:szCs w:val="20"/>
        </w:rPr>
        <w:t>sciences.</w:t>
      </w:r>
      <w:r w:rsidR="00AB370F" w:rsidRPr="00D06DB3">
        <w:rPr>
          <w:sz w:val="20"/>
          <w:szCs w:val="20"/>
        </w:rPr>
        <w:t xml:space="preserve"> </w:t>
      </w:r>
      <w:r w:rsidRPr="00D06DB3">
        <w:rPr>
          <w:sz w:val="20"/>
          <w:szCs w:val="20"/>
        </w:rPr>
        <w:t>-</w:t>
      </w:r>
      <w:r w:rsidR="00AB370F" w:rsidRPr="00D06DB3">
        <w:rPr>
          <w:sz w:val="20"/>
          <w:szCs w:val="20"/>
        </w:rPr>
        <w:t xml:space="preserve"> </w:t>
      </w:r>
      <w:r w:rsidRPr="00D06DB3">
        <w:rPr>
          <w:sz w:val="20"/>
          <w:szCs w:val="20"/>
        </w:rPr>
        <w:t>Tashkent,</w:t>
      </w:r>
      <w:r w:rsidR="00AB370F" w:rsidRPr="00D06DB3">
        <w:rPr>
          <w:sz w:val="20"/>
          <w:szCs w:val="20"/>
        </w:rPr>
        <w:t xml:space="preserve"> </w:t>
      </w:r>
      <w:r w:rsidRPr="00D06DB3">
        <w:rPr>
          <w:sz w:val="20"/>
          <w:szCs w:val="20"/>
        </w:rPr>
        <w:t>2010.</w:t>
      </w:r>
    </w:p>
    <w:p w:rsidR="00015471" w:rsidRPr="00D06DB3" w:rsidRDefault="00015471" w:rsidP="00DF4EBA">
      <w:pPr>
        <w:numPr>
          <w:ilvl w:val="0"/>
          <w:numId w:val="4"/>
        </w:numPr>
        <w:tabs>
          <w:tab w:val="clear" w:pos="720"/>
        </w:tabs>
        <w:suppressAutoHyphens w:val="0"/>
        <w:snapToGrid w:val="0"/>
        <w:ind w:left="425" w:hanging="425"/>
        <w:jc w:val="both"/>
        <w:rPr>
          <w:sz w:val="20"/>
          <w:szCs w:val="20"/>
        </w:rPr>
      </w:pPr>
      <w:r w:rsidRPr="00D06DB3">
        <w:rPr>
          <w:sz w:val="20"/>
          <w:szCs w:val="20"/>
        </w:rPr>
        <w:t>Mirziyoev</w:t>
      </w:r>
      <w:r w:rsidR="00AB370F" w:rsidRPr="00D06DB3">
        <w:rPr>
          <w:sz w:val="20"/>
          <w:szCs w:val="20"/>
        </w:rPr>
        <w:t xml:space="preserve"> </w:t>
      </w:r>
      <w:r w:rsidRPr="00D06DB3">
        <w:rPr>
          <w:sz w:val="20"/>
          <w:szCs w:val="20"/>
        </w:rPr>
        <w:t>Sh.M.</w:t>
      </w:r>
      <w:r w:rsidR="00AB370F" w:rsidRPr="00D06DB3">
        <w:rPr>
          <w:sz w:val="20"/>
          <w:szCs w:val="20"/>
        </w:rPr>
        <w:t xml:space="preserve"> </w:t>
      </w:r>
      <w:r w:rsidRPr="00D06DB3">
        <w:rPr>
          <w:sz w:val="20"/>
          <w:szCs w:val="20"/>
        </w:rPr>
        <w:t>Together</w:t>
      </w:r>
      <w:r w:rsidR="00AB370F" w:rsidRPr="00D06DB3">
        <w:rPr>
          <w:sz w:val="20"/>
          <w:szCs w:val="20"/>
        </w:rPr>
        <w:t xml:space="preserve"> </w:t>
      </w:r>
      <w:r w:rsidRPr="00D06DB3">
        <w:rPr>
          <w:sz w:val="20"/>
          <w:szCs w:val="20"/>
        </w:rPr>
        <w:t>we</w:t>
      </w:r>
      <w:r w:rsidR="00AB370F" w:rsidRPr="00D06DB3">
        <w:rPr>
          <w:sz w:val="20"/>
          <w:szCs w:val="20"/>
        </w:rPr>
        <w:t xml:space="preserve"> </w:t>
      </w:r>
      <w:r w:rsidRPr="00D06DB3">
        <w:rPr>
          <w:sz w:val="20"/>
          <w:szCs w:val="20"/>
        </w:rPr>
        <w:t>will</w:t>
      </w:r>
      <w:r w:rsidR="00AB370F" w:rsidRPr="00D06DB3">
        <w:rPr>
          <w:sz w:val="20"/>
          <w:szCs w:val="20"/>
        </w:rPr>
        <w:t xml:space="preserve"> </w:t>
      </w:r>
      <w:r w:rsidRPr="00D06DB3">
        <w:rPr>
          <w:sz w:val="20"/>
          <w:szCs w:val="20"/>
        </w:rPr>
        <w:t>build</w:t>
      </w:r>
      <w:r w:rsidR="00AB370F" w:rsidRPr="00D06DB3">
        <w:rPr>
          <w:sz w:val="20"/>
          <w:szCs w:val="20"/>
        </w:rPr>
        <w:t xml:space="preserve"> </w:t>
      </w:r>
      <w:r w:rsidRPr="00D06DB3">
        <w:rPr>
          <w:sz w:val="20"/>
          <w:szCs w:val="20"/>
        </w:rPr>
        <w:t>a</w:t>
      </w:r>
      <w:r w:rsidR="00AB370F" w:rsidRPr="00D06DB3">
        <w:rPr>
          <w:sz w:val="20"/>
          <w:szCs w:val="20"/>
        </w:rPr>
        <w:t xml:space="preserve"> </w:t>
      </w:r>
      <w:r w:rsidRPr="00D06DB3">
        <w:rPr>
          <w:sz w:val="20"/>
          <w:szCs w:val="20"/>
        </w:rPr>
        <w:t>free,</w:t>
      </w:r>
      <w:r w:rsidR="00AB370F" w:rsidRPr="00D06DB3">
        <w:rPr>
          <w:sz w:val="20"/>
          <w:szCs w:val="20"/>
        </w:rPr>
        <w:t xml:space="preserve"> </w:t>
      </w:r>
      <w:r w:rsidRPr="00D06DB3">
        <w:rPr>
          <w:sz w:val="20"/>
          <w:szCs w:val="20"/>
        </w:rPr>
        <w:t>democratic</w:t>
      </w:r>
      <w:r w:rsidR="00AB370F" w:rsidRPr="00D06DB3">
        <w:rPr>
          <w:sz w:val="20"/>
          <w:szCs w:val="20"/>
        </w:rPr>
        <w:t xml:space="preserve"> </w:t>
      </w:r>
      <w:r w:rsidRPr="00D06DB3">
        <w:rPr>
          <w:sz w:val="20"/>
          <w:szCs w:val="20"/>
        </w:rPr>
        <w:t>and</w:t>
      </w:r>
      <w:r w:rsidR="00AB370F" w:rsidRPr="00D06DB3">
        <w:rPr>
          <w:sz w:val="20"/>
          <w:szCs w:val="20"/>
        </w:rPr>
        <w:t xml:space="preserve"> </w:t>
      </w:r>
      <w:r w:rsidRPr="00D06DB3">
        <w:rPr>
          <w:sz w:val="20"/>
          <w:szCs w:val="20"/>
        </w:rPr>
        <w:t>prosperous</w:t>
      </w:r>
      <w:r w:rsidR="00AB370F" w:rsidRPr="00D06DB3">
        <w:rPr>
          <w:sz w:val="20"/>
          <w:szCs w:val="20"/>
        </w:rPr>
        <w:t xml:space="preserve"> </w:t>
      </w:r>
      <w:r w:rsidRPr="00D06DB3">
        <w:rPr>
          <w:sz w:val="20"/>
          <w:szCs w:val="20"/>
        </w:rPr>
        <w:t>state</w:t>
      </w:r>
      <w:r w:rsidR="00AB370F" w:rsidRPr="00D06DB3">
        <w:rPr>
          <w:sz w:val="20"/>
          <w:szCs w:val="20"/>
        </w:rPr>
        <w:t xml:space="preserve"> </w:t>
      </w:r>
      <w:r w:rsidRPr="00D06DB3">
        <w:rPr>
          <w:sz w:val="20"/>
          <w:szCs w:val="20"/>
        </w:rPr>
        <w:t>of</w:t>
      </w:r>
      <w:r w:rsidR="00AB370F" w:rsidRPr="00D06DB3">
        <w:rPr>
          <w:sz w:val="20"/>
          <w:szCs w:val="20"/>
        </w:rPr>
        <w:t xml:space="preserve"> </w:t>
      </w:r>
      <w:r w:rsidRPr="00D06DB3">
        <w:rPr>
          <w:sz w:val="20"/>
          <w:szCs w:val="20"/>
        </w:rPr>
        <w:t>Uzbekistan.</w:t>
      </w:r>
      <w:r w:rsidR="00AB370F" w:rsidRPr="00D06DB3">
        <w:rPr>
          <w:sz w:val="20"/>
          <w:szCs w:val="20"/>
        </w:rPr>
        <w:t xml:space="preserve"> </w:t>
      </w:r>
      <w:r w:rsidRPr="00D06DB3">
        <w:rPr>
          <w:sz w:val="20"/>
          <w:szCs w:val="20"/>
        </w:rPr>
        <w:t>-</w:t>
      </w:r>
      <w:r w:rsidR="00AB370F" w:rsidRPr="00D06DB3">
        <w:rPr>
          <w:sz w:val="20"/>
          <w:szCs w:val="20"/>
        </w:rPr>
        <w:t xml:space="preserve"> </w:t>
      </w:r>
      <w:r w:rsidRPr="00D06DB3">
        <w:rPr>
          <w:sz w:val="20"/>
          <w:szCs w:val="20"/>
        </w:rPr>
        <w:t>Tashkent:</w:t>
      </w:r>
      <w:r w:rsidR="00AB370F" w:rsidRPr="00D06DB3">
        <w:rPr>
          <w:sz w:val="20"/>
          <w:szCs w:val="20"/>
        </w:rPr>
        <w:t xml:space="preserve"> </w:t>
      </w:r>
      <w:r w:rsidRPr="00D06DB3">
        <w:rPr>
          <w:sz w:val="20"/>
          <w:szCs w:val="20"/>
        </w:rPr>
        <w:t>“Uzbekistan”,</w:t>
      </w:r>
      <w:r w:rsidR="00AB370F" w:rsidRPr="00D06DB3">
        <w:rPr>
          <w:sz w:val="20"/>
          <w:szCs w:val="20"/>
        </w:rPr>
        <w:t xml:space="preserve"> </w:t>
      </w:r>
      <w:r w:rsidRPr="00D06DB3">
        <w:rPr>
          <w:sz w:val="20"/>
          <w:szCs w:val="20"/>
        </w:rPr>
        <w:t>2018.</w:t>
      </w:r>
      <w:r w:rsidR="00AB370F" w:rsidRPr="00D06DB3">
        <w:rPr>
          <w:sz w:val="20"/>
          <w:szCs w:val="20"/>
        </w:rPr>
        <w:t xml:space="preserve"> </w:t>
      </w:r>
      <w:r w:rsidRPr="00D06DB3">
        <w:rPr>
          <w:sz w:val="20"/>
          <w:szCs w:val="20"/>
        </w:rPr>
        <w:t>-</w:t>
      </w:r>
      <w:r w:rsidR="00AB370F" w:rsidRPr="00D06DB3">
        <w:rPr>
          <w:sz w:val="20"/>
          <w:szCs w:val="20"/>
        </w:rPr>
        <w:t xml:space="preserve"> </w:t>
      </w:r>
      <w:r w:rsidRPr="00D06DB3">
        <w:rPr>
          <w:sz w:val="20"/>
          <w:szCs w:val="20"/>
        </w:rPr>
        <w:t>54</w:t>
      </w:r>
      <w:r w:rsidR="00AB370F" w:rsidRPr="00D06DB3">
        <w:rPr>
          <w:sz w:val="20"/>
          <w:szCs w:val="20"/>
        </w:rPr>
        <w:t xml:space="preserve"> </w:t>
      </w:r>
      <w:r w:rsidRPr="00D06DB3">
        <w:rPr>
          <w:sz w:val="20"/>
          <w:szCs w:val="20"/>
        </w:rPr>
        <w:t>p.</w:t>
      </w:r>
    </w:p>
    <w:p w:rsidR="00015471" w:rsidRPr="00D06DB3" w:rsidRDefault="00015471" w:rsidP="00DF4EBA">
      <w:pPr>
        <w:numPr>
          <w:ilvl w:val="0"/>
          <w:numId w:val="4"/>
        </w:numPr>
        <w:tabs>
          <w:tab w:val="clear" w:pos="720"/>
        </w:tabs>
        <w:suppressAutoHyphens w:val="0"/>
        <w:snapToGrid w:val="0"/>
        <w:ind w:left="425" w:hanging="425"/>
        <w:jc w:val="both"/>
        <w:rPr>
          <w:sz w:val="20"/>
          <w:szCs w:val="20"/>
        </w:rPr>
      </w:pPr>
      <w:r w:rsidRPr="00D06DB3">
        <w:rPr>
          <w:sz w:val="20"/>
          <w:szCs w:val="20"/>
        </w:rPr>
        <w:t>Mirziyoev</w:t>
      </w:r>
      <w:r w:rsidR="00AB370F" w:rsidRPr="00D06DB3">
        <w:rPr>
          <w:sz w:val="20"/>
          <w:szCs w:val="20"/>
        </w:rPr>
        <w:t xml:space="preserve"> </w:t>
      </w:r>
      <w:r w:rsidRPr="00D06DB3">
        <w:rPr>
          <w:sz w:val="20"/>
          <w:szCs w:val="20"/>
        </w:rPr>
        <w:t>Sh.M.</w:t>
      </w:r>
      <w:r w:rsidR="00AB370F" w:rsidRPr="00D06DB3">
        <w:rPr>
          <w:sz w:val="20"/>
          <w:szCs w:val="20"/>
        </w:rPr>
        <w:t xml:space="preserve"> </w:t>
      </w:r>
      <w:r w:rsidRPr="00D06DB3">
        <w:rPr>
          <w:sz w:val="20"/>
          <w:szCs w:val="20"/>
        </w:rPr>
        <w:t>The</w:t>
      </w:r>
      <w:r w:rsidR="00AB370F" w:rsidRPr="00D06DB3">
        <w:rPr>
          <w:sz w:val="20"/>
          <w:szCs w:val="20"/>
        </w:rPr>
        <w:t xml:space="preserve"> </w:t>
      </w:r>
      <w:r w:rsidRPr="00D06DB3">
        <w:rPr>
          <w:sz w:val="20"/>
          <w:szCs w:val="20"/>
        </w:rPr>
        <w:t>Constitution</w:t>
      </w:r>
      <w:r w:rsidR="00AB370F" w:rsidRPr="00D06DB3">
        <w:rPr>
          <w:sz w:val="20"/>
          <w:szCs w:val="20"/>
        </w:rPr>
        <w:t xml:space="preserve"> </w:t>
      </w:r>
      <w:r w:rsidRPr="00D06DB3">
        <w:rPr>
          <w:sz w:val="20"/>
          <w:szCs w:val="20"/>
        </w:rPr>
        <w:t>is</w:t>
      </w:r>
      <w:r w:rsidR="00AB370F" w:rsidRPr="00D06DB3">
        <w:rPr>
          <w:sz w:val="20"/>
          <w:szCs w:val="20"/>
        </w:rPr>
        <w:t xml:space="preserve"> </w:t>
      </w:r>
      <w:r w:rsidRPr="00D06DB3">
        <w:rPr>
          <w:sz w:val="20"/>
          <w:szCs w:val="20"/>
        </w:rPr>
        <w:t>the</w:t>
      </w:r>
      <w:r w:rsidR="00AB370F" w:rsidRPr="00D06DB3">
        <w:rPr>
          <w:sz w:val="20"/>
          <w:szCs w:val="20"/>
        </w:rPr>
        <w:t xml:space="preserve"> </w:t>
      </w:r>
      <w:r w:rsidRPr="00D06DB3">
        <w:rPr>
          <w:sz w:val="20"/>
          <w:szCs w:val="20"/>
        </w:rPr>
        <w:t>basis</w:t>
      </w:r>
      <w:r w:rsidR="00AB370F" w:rsidRPr="00D06DB3">
        <w:rPr>
          <w:sz w:val="20"/>
          <w:szCs w:val="20"/>
        </w:rPr>
        <w:t xml:space="preserve"> </w:t>
      </w:r>
      <w:r w:rsidRPr="00D06DB3">
        <w:rPr>
          <w:sz w:val="20"/>
          <w:szCs w:val="20"/>
        </w:rPr>
        <w:t>of</w:t>
      </w:r>
      <w:r w:rsidR="00AB370F" w:rsidRPr="00D06DB3">
        <w:rPr>
          <w:sz w:val="20"/>
          <w:szCs w:val="20"/>
        </w:rPr>
        <w:t xml:space="preserve"> </w:t>
      </w:r>
      <w:r w:rsidRPr="00D06DB3">
        <w:rPr>
          <w:sz w:val="20"/>
          <w:szCs w:val="20"/>
        </w:rPr>
        <w:t>our</w:t>
      </w:r>
      <w:r w:rsidR="00AB370F" w:rsidRPr="00D06DB3">
        <w:rPr>
          <w:sz w:val="20"/>
          <w:szCs w:val="20"/>
        </w:rPr>
        <w:t xml:space="preserve"> </w:t>
      </w:r>
      <w:r w:rsidRPr="00D06DB3">
        <w:rPr>
          <w:sz w:val="20"/>
          <w:szCs w:val="20"/>
        </w:rPr>
        <w:t>free</w:t>
      </w:r>
      <w:r w:rsidR="00AB370F" w:rsidRPr="00D06DB3">
        <w:rPr>
          <w:sz w:val="20"/>
          <w:szCs w:val="20"/>
        </w:rPr>
        <w:t xml:space="preserve"> </w:t>
      </w:r>
      <w:r w:rsidRPr="00D06DB3">
        <w:rPr>
          <w:sz w:val="20"/>
          <w:szCs w:val="20"/>
        </w:rPr>
        <w:t>and</w:t>
      </w:r>
      <w:r w:rsidR="00AB370F" w:rsidRPr="00D06DB3">
        <w:rPr>
          <w:sz w:val="20"/>
          <w:szCs w:val="20"/>
        </w:rPr>
        <w:t xml:space="preserve"> </w:t>
      </w:r>
      <w:r w:rsidRPr="00D06DB3">
        <w:rPr>
          <w:sz w:val="20"/>
          <w:szCs w:val="20"/>
        </w:rPr>
        <w:t>prosperous</w:t>
      </w:r>
      <w:r w:rsidR="00AB370F" w:rsidRPr="00D06DB3">
        <w:rPr>
          <w:sz w:val="20"/>
          <w:szCs w:val="20"/>
        </w:rPr>
        <w:t xml:space="preserve"> </w:t>
      </w:r>
      <w:r w:rsidRPr="00D06DB3">
        <w:rPr>
          <w:sz w:val="20"/>
          <w:szCs w:val="20"/>
        </w:rPr>
        <w:t>life,</w:t>
      </w:r>
      <w:r w:rsidR="00AB370F" w:rsidRPr="00D06DB3">
        <w:rPr>
          <w:sz w:val="20"/>
          <w:szCs w:val="20"/>
        </w:rPr>
        <w:t xml:space="preserve"> </w:t>
      </w:r>
      <w:r w:rsidRPr="00D06DB3">
        <w:rPr>
          <w:sz w:val="20"/>
          <w:szCs w:val="20"/>
        </w:rPr>
        <w:t>further</w:t>
      </w:r>
      <w:r w:rsidR="00AB370F" w:rsidRPr="00D06DB3">
        <w:rPr>
          <w:sz w:val="20"/>
          <w:szCs w:val="20"/>
        </w:rPr>
        <w:t xml:space="preserve"> </w:t>
      </w:r>
      <w:r w:rsidRPr="00D06DB3">
        <w:rPr>
          <w:sz w:val="20"/>
          <w:szCs w:val="20"/>
        </w:rPr>
        <w:t>development</w:t>
      </w:r>
      <w:r w:rsidR="00AB370F" w:rsidRPr="00D06DB3">
        <w:rPr>
          <w:sz w:val="20"/>
          <w:szCs w:val="20"/>
        </w:rPr>
        <w:t xml:space="preserve"> </w:t>
      </w:r>
      <w:r w:rsidRPr="00D06DB3">
        <w:rPr>
          <w:sz w:val="20"/>
          <w:szCs w:val="20"/>
        </w:rPr>
        <w:t>and</w:t>
      </w:r>
      <w:r w:rsidR="00AB370F" w:rsidRPr="00D06DB3">
        <w:rPr>
          <w:sz w:val="20"/>
          <w:szCs w:val="20"/>
        </w:rPr>
        <w:t xml:space="preserve"> </w:t>
      </w:r>
      <w:r w:rsidRPr="00D06DB3">
        <w:rPr>
          <w:sz w:val="20"/>
          <w:szCs w:val="20"/>
        </w:rPr>
        <w:t>prosperity</w:t>
      </w:r>
      <w:r w:rsidR="00AB370F" w:rsidRPr="00D06DB3">
        <w:rPr>
          <w:sz w:val="20"/>
          <w:szCs w:val="20"/>
        </w:rPr>
        <w:t xml:space="preserve"> </w:t>
      </w:r>
      <w:r w:rsidRPr="00D06DB3">
        <w:rPr>
          <w:sz w:val="20"/>
          <w:szCs w:val="20"/>
        </w:rPr>
        <w:t>of</w:t>
      </w:r>
      <w:r w:rsidR="00AB370F" w:rsidRPr="00D06DB3">
        <w:rPr>
          <w:sz w:val="20"/>
          <w:szCs w:val="20"/>
        </w:rPr>
        <w:t xml:space="preserve"> </w:t>
      </w:r>
      <w:r w:rsidRPr="00D06DB3">
        <w:rPr>
          <w:sz w:val="20"/>
          <w:szCs w:val="20"/>
        </w:rPr>
        <w:t>the</w:t>
      </w:r>
      <w:r w:rsidR="00AB370F" w:rsidRPr="00D06DB3">
        <w:rPr>
          <w:sz w:val="20"/>
          <w:szCs w:val="20"/>
        </w:rPr>
        <w:t xml:space="preserve"> </w:t>
      </w:r>
      <w:r w:rsidRPr="00D06DB3">
        <w:rPr>
          <w:sz w:val="20"/>
          <w:szCs w:val="20"/>
        </w:rPr>
        <w:t>country.</w:t>
      </w:r>
      <w:r w:rsidR="00AB370F" w:rsidRPr="00D06DB3">
        <w:rPr>
          <w:sz w:val="20"/>
          <w:szCs w:val="20"/>
        </w:rPr>
        <w:t xml:space="preserve"> </w:t>
      </w:r>
      <w:r w:rsidRPr="00D06DB3">
        <w:rPr>
          <w:sz w:val="20"/>
          <w:szCs w:val="20"/>
        </w:rPr>
        <w:t>-</w:t>
      </w:r>
      <w:r w:rsidR="00AB370F" w:rsidRPr="00D06DB3">
        <w:rPr>
          <w:sz w:val="20"/>
          <w:szCs w:val="20"/>
        </w:rPr>
        <w:t xml:space="preserve"> </w:t>
      </w:r>
      <w:r w:rsidRPr="00D06DB3">
        <w:rPr>
          <w:sz w:val="20"/>
          <w:szCs w:val="20"/>
        </w:rPr>
        <w:t>Tashkent:</w:t>
      </w:r>
      <w:r w:rsidR="00AB370F" w:rsidRPr="00D06DB3">
        <w:rPr>
          <w:sz w:val="20"/>
          <w:szCs w:val="20"/>
        </w:rPr>
        <w:t xml:space="preserve"> </w:t>
      </w:r>
      <w:r w:rsidRPr="00D06DB3">
        <w:rPr>
          <w:sz w:val="20"/>
          <w:szCs w:val="20"/>
        </w:rPr>
        <w:t>“Uzbekistan”,</w:t>
      </w:r>
      <w:r w:rsidR="00AB370F" w:rsidRPr="00D06DB3">
        <w:rPr>
          <w:sz w:val="20"/>
          <w:szCs w:val="20"/>
        </w:rPr>
        <w:t xml:space="preserve"> </w:t>
      </w:r>
      <w:r w:rsidRPr="00D06DB3">
        <w:rPr>
          <w:sz w:val="20"/>
          <w:szCs w:val="20"/>
        </w:rPr>
        <w:t>2018.</w:t>
      </w:r>
      <w:r w:rsidR="00AB370F" w:rsidRPr="00D06DB3">
        <w:rPr>
          <w:sz w:val="20"/>
          <w:szCs w:val="20"/>
        </w:rPr>
        <w:t xml:space="preserve"> </w:t>
      </w:r>
      <w:r w:rsidRPr="00D06DB3">
        <w:rPr>
          <w:sz w:val="20"/>
          <w:szCs w:val="20"/>
        </w:rPr>
        <w:t>-</w:t>
      </w:r>
      <w:r w:rsidR="00AB370F" w:rsidRPr="00D06DB3">
        <w:rPr>
          <w:sz w:val="20"/>
          <w:szCs w:val="20"/>
        </w:rPr>
        <w:t xml:space="preserve"> </w:t>
      </w:r>
      <w:r w:rsidRPr="00D06DB3">
        <w:rPr>
          <w:sz w:val="20"/>
          <w:szCs w:val="20"/>
        </w:rPr>
        <w:t>64</w:t>
      </w:r>
      <w:r w:rsidR="00AB370F" w:rsidRPr="00D06DB3">
        <w:rPr>
          <w:sz w:val="20"/>
          <w:szCs w:val="20"/>
        </w:rPr>
        <w:t xml:space="preserve"> </w:t>
      </w:r>
      <w:r w:rsidRPr="00D06DB3">
        <w:rPr>
          <w:sz w:val="20"/>
          <w:szCs w:val="20"/>
        </w:rPr>
        <w:t>p.</w:t>
      </w:r>
    </w:p>
    <w:p w:rsidR="00015471" w:rsidRPr="00D06DB3" w:rsidRDefault="00015471" w:rsidP="00DF4EBA">
      <w:pPr>
        <w:numPr>
          <w:ilvl w:val="0"/>
          <w:numId w:val="4"/>
        </w:numPr>
        <w:tabs>
          <w:tab w:val="clear" w:pos="720"/>
        </w:tabs>
        <w:suppressAutoHyphens w:val="0"/>
        <w:snapToGrid w:val="0"/>
        <w:ind w:left="425" w:hanging="425"/>
        <w:jc w:val="both"/>
        <w:rPr>
          <w:sz w:val="20"/>
          <w:szCs w:val="20"/>
        </w:rPr>
      </w:pPr>
      <w:r w:rsidRPr="00D06DB3">
        <w:rPr>
          <w:sz w:val="20"/>
          <w:szCs w:val="20"/>
        </w:rPr>
        <w:t>Zagvyazinsky</w:t>
      </w:r>
      <w:r w:rsidR="00AB370F" w:rsidRPr="00D06DB3">
        <w:rPr>
          <w:sz w:val="20"/>
          <w:szCs w:val="20"/>
        </w:rPr>
        <w:t xml:space="preserve"> </w:t>
      </w:r>
      <w:r w:rsidRPr="00D06DB3">
        <w:rPr>
          <w:sz w:val="20"/>
          <w:szCs w:val="20"/>
        </w:rPr>
        <w:t>V.I.</w:t>
      </w:r>
      <w:r w:rsidR="00AB370F" w:rsidRPr="00D06DB3">
        <w:rPr>
          <w:sz w:val="20"/>
          <w:szCs w:val="20"/>
        </w:rPr>
        <w:t xml:space="preserve"> </w:t>
      </w:r>
      <w:r w:rsidRPr="00D06DB3">
        <w:rPr>
          <w:sz w:val="20"/>
          <w:szCs w:val="20"/>
        </w:rPr>
        <w:t>Learning</w:t>
      </w:r>
      <w:r w:rsidR="00AB370F" w:rsidRPr="00D06DB3">
        <w:rPr>
          <w:sz w:val="20"/>
          <w:szCs w:val="20"/>
        </w:rPr>
        <w:t xml:space="preserve"> </w:t>
      </w:r>
      <w:r w:rsidRPr="00D06DB3">
        <w:rPr>
          <w:sz w:val="20"/>
          <w:szCs w:val="20"/>
        </w:rPr>
        <w:t>Theory:</w:t>
      </w:r>
      <w:r w:rsidR="00AB370F" w:rsidRPr="00D06DB3">
        <w:rPr>
          <w:sz w:val="20"/>
          <w:szCs w:val="20"/>
        </w:rPr>
        <w:t xml:space="preserve"> </w:t>
      </w:r>
      <w:r w:rsidRPr="00D06DB3">
        <w:rPr>
          <w:sz w:val="20"/>
          <w:szCs w:val="20"/>
        </w:rPr>
        <w:t>Modern</w:t>
      </w:r>
      <w:r w:rsidR="00AB370F" w:rsidRPr="00D06DB3">
        <w:rPr>
          <w:sz w:val="20"/>
          <w:szCs w:val="20"/>
        </w:rPr>
        <w:t xml:space="preserve"> </w:t>
      </w:r>
      <w:r w:rsidRPr="00D06DB3">
        <w:rPr>
          <w:sz w:val="20"/>
          <w:szCs w:val="20"/>
        </w:rPr>
        <w:t>Interpretation.</w:t>
      </w:r>
      <w:r w:rsidR="00AB370F" w:rsidRPr="00D06DB3">
        <w:rPr>
          <w:sz w:val="20"/>
          <w:szCs w:val="20"/>
        </w:rPr>
        <w:t xml:space="preserve"> </w:t>
      </w:r>
      <w:r w:rsidRPr="00D06DB3">
        <w:rPr>
          <w:sz w:val="20"/>
          <w:szCs w:val="20"/>
        </w:rPr>
        <w:t>-</w:t>
      </w:r>
      <w:r w:rsidR="00AB370F" w:rsidRPr="00D06DB3">
        <w:rPr>
          <w:sz w:val="20"/>
          <w:szCs w:val="20"/>
        </w:rPr>
        <w:t xml:space="preserve"> </w:t>
      </w:r>
      <w:r w:rsidRPr="00D06DB3">
        <w:rPr>
          <w:sz w:val="20"/>
          <w:szCs w:val="20"/>
        </w:rPr>
        <w:t>M</w:t>
      </w:r>
      <w:r w:rsidR="00AB370F" w:rsidRPr="00D06DB3">
        <w:rPr>
          <w:sz w:val="20"/>
          <w:szCs w:val="20"/>
        </w:rPr>
        <w:t>.</w:t>
      </w:r>
      <w:r w:rsidRPr="00D06DB3">
        <w:rPr>
          <w:sz w:val="20"/>
          <w:szCs w:val="20"/>
        </w:rPr>
        <w:t>:</w:t>
      </w:r>
      <w:r w:rsidR="00AB370F" w:rsidRPr="00D06DB3">
        <w:rPr>
          <w:sz w:val="20"/>
          <w:szCs w:val="20"/>
        </w:rPr>
        <w:t xml:space="preserve"> </w:t>
      </w:r>
      <w:r w:rsidRPr="00D06DB3">
        <w:rPr>
          <w:sz w:val="20"/>
          <w:szCs w:val="20"/>
        </w:rPr>
        <w:t>Academy,</w:t>
      </w:r>
      <w:r w:rsidR="00AB370F" w:rsidRPr="00D06DB3">
        <w:rPr>
          <w:sz w:val="20"/>
          <w:szCs w:val="20"/>
        </w:rPr>
        <w:t xml:space="preserve"> </w:t>
      </w:r>
      <w:r w:rsidRPr="00D06DB3">
        <w:rPr>
          <w:sz w:val="20"/>
          <w:szCs w:val="20"/>
        </w:rPr>
        <w:t>2013.</w:t>
      </w:r>
      <w:r w:rsidR="00AB370F" w:rsidRPr="00D06DB3">
        <w:rPr>
          <w:sz w:val="20"/>
          <w:szCs w:val="20"/>
        </w:rPr>
        <w:t xml:space="preserve"> </w:t>
      </w:r>
      <w:r w:rsidRPr="00D06DB3">
        <w:rPr>
          <w:sz w:val="20"/>
          <w:szCs w:val="20"/>
        </w:rPr>
        <w:t>–</w:t>
      </w:r>
      <w:r w:rsidR="00AB370F" w:rsidRPr="00D06DB3">
        <w:rPr>
          <w:sz w:val="20"/>
          <w:szCs w:val="20"/>
        </w:rPr>
        <w:t xml:space="preserve"> </w:t>
      </w:r>
      <w:r w:rsidRPr="00D06DB3">
        <w:rPr>
          <w:sz w:val="20"/>
          <w:szCs w:val="20"/>
        </w:rPr>
        <w:t>192</w:t>
      </w:r>
      <w:r w:rsidR="00AB370F" w:rsidRPr="00D06DB3">
        <w:rPr>
          <w:sz w:val="20"/>
          <w:szCs w:val="20"/>
        </w:rPr>
        <w:t xml:space="preserve"> </w:t>
      </w:r>
      <w:r w:rsidRPr="00D06DB3">
        <w:rPr>
          <w:sz w:val="20"/>
          <w:szCs w:val="20"/>
        </w:rPr>
        <w:t>p.</w:t>
      </w:r>
    </w:p>
    <w:p w:rsidR="00015471" w:rsidRPr="00D06DB3" w:rsidRDefault="00015471" w:rsidP="00DF4EBA">
      <w:pPr>
        <w:numPr>
          <w:ilvl w:val="0"/>
          <w:numId w:val="4"/>
        </w:numPr>
        <w:tabs>
          <w:tab w:val="clear" w:pos="720"/>
        </w:tabs>
        <w:suppressAutoHyphens w:val="0"/>
        <w:snapToGrid w:val="0"/>
        <w:ind w:left="425" w:hanging="425"/>
        <w:jc w:val="both"/>
        <w:rPr>
          <w:sz w:val="20"/>
          <w:szCs w:val="20"/>
        </w:rPr>
      </w:pPr>
      <w:r w:rsidRPr="00D06DB3">
        <w:rPr>
          <w:sz w:val="20"/>
          <w:szCs w:val="20"/>
        </w:rPr>
        <w:t>Magzumov</w:t>
      </w:r>
      <w:r w:rsidR="00AB370F" w:rsidRPr="00D06DB3">
        <w:rPr>
          <w:sz w:val="20"/>
          <w:szCs w:val="20"/>
        </w:rPr>
        <w:t xml:space="preserve"> </w:t>
      </w:r>
      <w:r w:rsidRPr="00D06DB3">
        <w:rPr>
          <w:sz w:val="20"/>
          <w:szCs w:val="20"/>
        </w:rPr>
        <w:t>PT,</w:t>
      </w:r>
      <w:r w:rsidR="00AB370F" w:rsidRPr="00D06DB3">
        <w:rPr>
          <w:sz w:val="20"/>
          <w:szCs w:val="20"/>
        </w:rPr>
        <w:t xml:space="preserve"> </w:t>
      </w:r>
      <w:r w:rsidRPr="00D06DB3">
        <w:rPr>
          <w:sz w:val="20"/>
          <w:szCs w:val="20"/>
        </w:rPr>
        <w:t>Baubekova</w:t>
      </w:r>
      <w:r w:rsidR="00AB370F" w:rsidRPr="00D06DB3">
        <w:rPr>
          <w:sz w:val="20"/>
          <w:szCs w:val="20"/>
        </w:rPr>
        <w:t xml:space="preserve"> </w:t>
      </w:r>
      <w:r w:rsidRPr="00D06DB3">
        <w:rPr>
          <w:sz w:val="20"/>
          <w:szCs w:val="20"/>
        </w:rPr>
        <w:t>Z.ZH.</w:t>
      </w:r>
      <w:r w:rsidR="00AB370F" w:rsidRPr="00D06DB3">
        <w:rPr>
          <w:sz w:val="20"/>
          <w:szCs w:val="20"/>
        </w:rPr>
        <w:t xml:space="preserve"> </w:t>
      </w:r>
      <w:r w:rsidRPr="00D06DB3">
        <w:rPr>
          <w:sz w:val="20"/>
          <w:szCs w:val="20"/>
        </w:rPr>
        <w:t>Pedagogical</w:t>
      </w:r>
      <w:r w:rsidR="00AB370F" w:rsidRPr="00D06DB3">
        <w:rPr>
          <w:sz w:val="20"/>
          <w:szCs w:val="20"/>
        </w:rPr>
        <w:t xml:space="preserve"> </w:t>
      </w:r>
      <w:r w:rsidRPr="00D06DB3">
        <w:rPr>
          <w:sz w:val="20"/>
          <w:szCs w:val="20"/>
        </w:rPr>
        <w:t>skill.</w:t>
      </w:r>
      <w:r w:rsidR="00AB370F" w:rsidRPr="00D06DB3">
        <w:rPr>
          <w:sz w:val="20"/>
          <w:szCs w:val="20"/>
        </w:rPr>
        <w:t xml:space="preserve"> </w:t>
      </w:r>
      <w:r w:rsidRPr="00D06DB3">
        <w:rPr>
          <w:sz w:val="20"/>
          <w:szCs w:val="20"/>
        </w:rPr>
        <w:t>Tutorial.</w:t>
      </w:r>
      <w:r w:rsidR="00AB370F" w:rsidRPr="00D06DB3">
        <w:rPr>
          <w:sz w:val="20"/>
          <w:szCs w:val="20"/>
        </w:rPr>
        <w:t xml:space="preserve"> </w:t>
      </w:r>
      <w:r w:rsidRPr="00D06DB3">
        <w:rPr>
          <w:sz w:val="20"/>
          <w:szCs w:val="20"/>
        </w:rPr>
        <w:t>-</w:t>
      </w:r>
      <w:r w:rsidR="00AB370F" w:rsidRPr="00D06DB3">
        <w:rPr>
          <w:sz w:val="20"/>
          <w:szCs w:val="20"/>
        </w:rPr>
        <w:t xml:space="preserve"> </w:t>
      </w:r>
      <w:r w:rsidRPr="00D06DB3">
        <w:rPr>
          <w:sz w:val="20"/>
          <w:szCs w:val="20"/>
        </w:rPr>
        <w:t>T</w:t>
      </w:r>
      <w:r w:rsidR="00AB370F" w:rsidRPr="00D06DB3">
        <w:rPr>
          <w:sz w:val="20"/>
          <w:szCs w:val="20"/>
        </w:rPr>
        <w:t>.</w:t>
      </w:r>
      <w:r w:rsidRPr="00D06DB3">
        <w:rPr>
          <w:sz w:val="20"/>
          <w:szCs w:val="20"/>
        </w:rPr>
        <w:t>:</w:t>
      </w:r>
      <w:r w:rsidR="00AB370F" w:rsidRPr="00D06DB3">
        <w:rPr>
          <w:sz w:val="20"/>
          <w:szCs w:val="20"/>
        </w:rPr>
        <w:t xml:space="preserve"> </w:t>
      </w:r>
      <w:r w:rsidRPr="00D06DB3">
        <w:rPr>
          <w:sz w:val="20"/>
          <w:szCs w:val="20"/>
        </w:rPr>
        <w:t>2015</w:t>
      </w:r>
      <w:r w:rsidR="00AB370F" w:rsidRPr="00D06DB3">
        <w:rPr>
          <w:sz w:val="20"/>
          <w:szCs w:val="20"/>
        </w:rPr>
        <w:t xml:space="preserve"> </w:t>
      </w:r>
      <w:r w:rsidRPr="00D06DB3">
        <w:rPr>
          <w:sz w:val="20"/>
          <w:szCs w:val="20"/>
        </w:rPr>
        <w:t>–</w:t>
      </w:r>
      <w:r w:rsidR="00AB370F" w:rsidRPr="00D06DB3">
        <w:rPr>
          <w:sz w:val="20"/>
          <w:szCs w:val="20"/>
        </w:rPr>
        <w:t xml:space="preserve"> </w:t>
      </w:r>
      <w:r w:rsidRPr="00D06DB3">
        <w:rPr>
          <w:sz w:val="20"/>
          <w:szCs w:val="20"/>
        </w:rPr>
        <w:t>63</w:t>
      </w:r>
      <w:r w:rsidR="00AB370F" w:rsidRPr="00D06DB3">
        <w:rPr>
          <w:sz w:val="20"/>
          <w:szCs w:val="20"/>
        </w:rPr>
        <w:t xml:space="preserve"> </w:t>
      </w:r>
      <w:r w:rsidRPr="00D06DB3">
        <w:rPr>
          <w:sz w:val="20"/>
          <w:szCs w:val="20"/>
        </w:rPr>
        <w:t>p.</w:t>
      </w:r>
    </w:p>
    <w:p w:rsidR="004D0467" w:rsidRPr="00D06DB3" w:rsidRDefault="00015471" w:rsidP="00DF4EBA">
      <w:pPr>
        <w:pStyle w:val="ListParagraph"/>
        <w:numPr>
          <w:ilvl w:val="0"/>
          <w:numId w:val="4"/>
        </w:numPr>
        <w:tabs>
          <w:tab w:val="clear" w:pos="720"/>
        </w:tabs>
        <w:suppressAutoHyphens w:val="0"/>
        <w:snapToGrid w:val="0"/>
        <w:ind w:left="425" w:firstLineChars="0" w:hanging="425"/>
        <w:jc w:val="both"/>
        <w:rPr>
          <w:sz w:val="20"/>
          <w:szCs w:val="20"/>
        </w:rPr>
      </w:pPr>
      <w:r w:rsidRPr="00D06DB3">
        <w:rPr>
          <w:sz w:val="20"/>
          <w:szCs w:val="20"/>
        </w:rPr>
        <w:t>Matrosov</w:t>
      </w:r>
      <w:r w:rsidR="00AB370F" w:rsidRPr="00D06DB3">
        <w:rPr>
          <w:sz w:val="20"/>
          <w:szCs w:val="20"/>
        </w:rPr>
        <w:t xml:space="preserve"> </w:t>
      </w:r>
      <w:r w:rsidRPr="00D06DB3">
        <w:rPr>
          <w:sz w:val="20"/>
          <w:szCs w:val="20"/>
        </w:rPr>
        <w:t>V.L.,</w:t>
      </w:r>
      <w:r w:rsidR="00AB370F" w:rsidRPr="00D06DB3">
        <w:rPr>
          <w:sz w:val="20"/>
          <w:szCs w:val="20"/>
        </w:rPr>
        <w:t xml:space="preserve"> </w:t>
      </w:r>
      <w:r w:rsidRPr="00D06DB3">
        <w:rPr>
          <w:sz w:val="20"/>
          <w:szCs w:val="20"/>
        </w:rPr>
        <w:t>Troinev</w:t>
      </w:r>
      <w:r w:rsidR="00AB370F" w:rsidRPr="00D06DB3">
        <w:rPr>
          <w:sz w:val="20"/>
          <w:szCs w:val="20"/>
        </w:rPr>
        <w:t xml:space="preserve"> </w:t>
      </w:r>
      <w:r w:rsidRPr="00D06DB3">
        <w:rPr>
          <w:sz w:val="20"/>
          <w:szCs w:val="20"/>
        </w:rPr>
        <w:t>V.A.</w:t>
      </w:r>
      <w:r w:rsidR="00AB370F" w:rsidRPr="00D06DB3">
        <w:rPr>
          <w:sz w:val="20"/>
          <w:szCs w:val="20"/>
        </w:rPr>
        <w:t xml:space="preserve"> </w:t>
      </w:r>
      <w:r w:rsidRPr="00D06DB3">
        <w:rPr>
          <w:sz w:val="20"/>
          <w:szCs w:val="20"/>
        </w:rPr>
        <w:t>Troinev</w:t>
      </w:r>
      <w:r w:rsidR="00AB370F" w:rsidRPr="00D06DB3">
        <w:rPr>
          <w:sz w:val="20"/>
          <w:szCs w:val="20"/>
        </w:rPr>
        <w:t xml:space="preserve"> </w:t>
      </w:r>
      <w:r w:rsidRPr="00D06DB3">
        <w:rPr>
          <w:sz w:val="20"/>
          <w:szCs w:val="20"/>
        </w:rPr>
        <w:t>I.V.</w:t>
      </w:r>
      <w:r w:rsidR="00AB370F" w:rsidRPr="00D06DB3">
        <w:rPr>
          <w:sz w:val="20"/>
          <w:szCs w:val="20"/>
        </w:rPr>
        <w:t xml:space="preserve"> </w:t>
      </w:r>
      <w:r w:rsidRPr="00D06DB3">
        <w:rPr>
          <w:sz w:val="20"/>
          <w:szCs w:val="20"/>
        </w:rPr>
        <w:t>Intensive</w:t>
      </w:r>
      <w:r w:rsidR="00AB370F" w:rsidRPr="00D06DB3">
        <w:rPr>
          <w:sz w:val="20"/>
          <w:szCs w:val="20"/>
        </w:rPr>
        <w:t xml:space="preserve"> </w:t>
      </w:r>
      <w:r w:rsidRPr="00D06DB3">
        <w:rPr>
          <w:sz w:val="20"/>
          <w:szCs w:val="20"/>
        </w:rPr>
        <w:t>pedagogical</w:t>
      </w:r>
      <w:r w:rsidR="00AB370F" w:rsidRPr="00D06DB3">
        <w:rPr>
          <w:sz w:val="20"/>
          <w:szCs w:val="20"/>
        </w:rPr>
        <w:t xml:space="preserve"> </w:t>
      </w:r>
      <w:r w:rsidRPr="00D06DB3">
        <w:rPr>
          <w:sz w:val="20"/>
          <w:szCs w:val="20"/>
        </w:rPr>
        <w:t>and</w:t>
      </w:r>
      <w:r w:rsidR="00AB370F" w:rsidRPr="00D06DB3">
        <w:rPr>
          <w:sz w:val="20"/>
          <w:szCs w:val="20"/>
        </w:rPr>
        <w:t xml:space="preserve"> </w:t>
      </w:r>
      <w:r w:rsidRPr="00D06DB3">
        <w:rPr>
          <w:sz w:val="20"/>
          <w:szCs w:val="20"/>
        </w:rPr>
        <w:t>information</w:t>
      </w:r>
      <w:r w:rsidR="00AB370F" w:rsidRPr="00D06DB3">
        <w:rPr>
          <w:sz w:val="20"/>
          <w:szCs w:val="20"/>
        </w:rPr>
        <w:t xml:space="preserve"> </w:t>
      </w:r>
      <w:r w:rsidRPr="00D06DB3">
        <w:rPr>
          <w:sz w:val="20"/>
          <w:szCs w:val="20"/>
        </w:rPr>
        <w:t>technologies.</w:t>
      </w:r>
      <w:r w:rsidR="00AB370F" w:rsidRPr="00D06DB3">
        <w:rPr>
          <w:sz w:val="20"/>
          <w:szCs w:val="20"/>
        </w:rPr>
        <w:t xml:space="preserve"> </w:t>
      </w:r>
      <w:r w:rsidRPr="00D06DB3">
        <w:rPr>
          <w:sz w:val="20"/>
          <w:szCs w:val="20"/>
        </w:rPr>
        <w:t>Organization</w:t>
      </w:r>
      <w:r w:rsidR="00AB370F" w:rsidRPr="00D06DB3">
        <w:rPr>
          <w:sz w:val="20"/>
          <w:szCs w:val="20"/>
        </w:rPr>
        <w:t xml:space="preserve"> </w:t>
      </w:r>
      <w:r w:rsidRPr="00D06DB3">
        <w:rPr>
          <w:sz w:val="20"/>
          <w:szCs w:val="20"/>
        </w:rPr>
        <w:t>of</w:t>
      </w:r>
      <w:r w:rsidR="00AB370F" w:rsidRPr="00D06DB3">
        <w:rPr>
          <w:sz w:val="20"/>
          <w:szCs w:val="20"/>
        </w:rPr>
        <w:t xml:space="preserve"> </w:t>
      </w:r>
      <w:r w:rsidRPr="00D06DB3">
        <w:rPr>
          <w:sz w:val="20"/>
          <w:szCs w:val="20"/>
        </w:rPr>
        <w:t>management</w:t>
      </w:r>
      <w:r w:rsidR="00AB370F" w:rsidRPr="00D06DB3">
        <w:rPr>
          <w:sz w:val="20"/>
          <w:szCs w:val="20"/>
        </w:rPr>
        <w:t xml:space="preserve"> </w:t>
      </w:r>
      <w:r w:rsidRPr="00D06DB3">
        <w:rPr>
          <w:sz w:val="20"/>
          <w:szCs w:val="20"/>
        </w:rPr>
        <w:t>training,</w:t>
      </w:r>
      <w:r w:rsidR="00AB370F" w:rsidRPr="00D06DB3">
        <w:rPr>
          <w:sz w:val="20"/>
          <w:szCs w:val="20"/>
        </w:rPr>
        <w:t xml:space="preserve"> </w:t>
      </w:r>
      <w:r w:rsidRPr="00D06DB3">
        <w:rPr>
          <w:sz w:val="20"/>
          <w:szCs w:val="20"/>
        </w:rPr>
        <w:t>v.1.-</w:t>
      </w:r>
      <w:r w:rsidR="00AB370F" w:rsidRPr="00D06DB3">
        <w:rPr>
          <w:sz w:val="20"/>
          <w:szCs w:val="20"/>
        </w:rPr>
        <w:t xml:space="preserve"> </w:t>
      </w:r>
      <w:r w:rsidRPr="00D06DB3">
        <w:rPr>
          <w:sz w:val="20"/>
          <w:szCs w:val="20"/>
        </w:rPr>
        <w:t>M</w:t>
      </w:r>
      <w:r w:rsidR="00AB370F" w:rsidRPr="00D06DB3">
        <w:rPr>
          <w:sz w:val="20"/>
          <w:szCs w:val="20"/>
        </w:rPr>
        <w:t>.</w:t>
      </w:r>
      <w:r w:rsidRPr="00D06DB3">
        <w:rPr>
          <w:sz w:val="20"/>
          <w:szCs w:val="20"/>
        </w:rPr>
        <w:t>:</w:t>
      </w:r>
      <w:r w:rsidR="00AB370F" w:rsidRPr="00D06DB3">
        <w:rPr>
          <w:sz w:val="20"/>
          <w:szCs w:val="20"/>
        </w:rPr>
        <w:t xml:space="preserve"> </w:t>
      </w:r>
      <w:r w:rsidRPr="00D06DB3">
        <w:rPr>
          <w:sz w:val="20"/>
          <w:szCs w:val="20"/>
        </w:rPr>
        <w:t>Prometheus,</w:t>
      </w:r>
      <w:r w:rsidR="00AB370F" w:rsidRPr="00D06DB3">
        <w:rPr>
          <w:sz w:val="20"/>
          <w:szCs w:val="20"/>
        </w:rPr>
        <w:t xml:space="preserve"> </w:t>
      </w:r>
      <w:r w:rsidRPr="00D06DB3">
        <w:rPr>
          <w:sz w:val="20"/>
          <w:szCs w:val="20"/>
        </w:rPr>
        <w:t>2010.</w:t>
      </w:r>
      <w:r w:rsidR="00AB370F" w:rsidRPr="00D06DB3">
        <w:rPr>
          <w:sz w:val="20"/>
          <w:szCs w:val="20"/>
        </w:rPr>
        <w:t xml:space="preserve"> </w:t>
      </w:r>
      <w:r w:rsidRPr="00D06DB3">
        <w:rPr>
          <w:sz w:val="20"/>
          <w:szCs w:val="20"/>
        </w:rPr>
        <w:t>354</w:t>
      </w:r>
      <w:r w:rsidR="00AB370F" w:rsidRPr="00D06DB3">
        <w:rPr>
          <w:sz w:val="20"/>
          <w:szCs w:val="20"/>
        </w:rPr>
        <w:t xml:space="preserve"> </w:t>
      </w:r>
      <w:r w:rsidRPr="00D06DB3">
        <w:rPr>
          <w:sz w:val="20"/>
          <w:szCs w:val="20"/>
        </w:rPr>
        <w:t>p.</w:t>
      </w:r>
    </w:p>
    <w:p w:rsidR="00DF4EBA" w:rsidRPr="00D06DB3" w:rsidRDefault="00DF4EBA" w:rsidP="00DF4EBA">
      <w:pPr>
        <w:suppressAutoHyphens w:val="0"/>
        <w:snapToGrid w:val="0"/>
        <w:ind w:left="425" w:hanging="425"/>
        <w:jc w:val="both"/>
        <w:rPr>
          <w:sz w:val="20"/>
          <w:szCs w:val="20"/>
        </w:rPr>
        <w:sectPr w:rsidR="00DF4EBA" w:rsidRPr="00D06DB3" w:rsidSect="00DF4EBA">
          <w:footnotePr>
            <w:pos w:val="beneathText"/>
          </w:footnotePr>
          <w:type w:val="continuous"/>
          <w:pgSz w:w="12240" w:h="15840" w:code="1"/>
          <w:pgMar w:top="1440" w:right="1440" w:bottom="1440" w:left="1440" w:header="720" w:footer="720" w:gutter="0"/>
          <w:cols w:num="2" w:space="600"/>
          <w:docGrid w:linePitch="360"/>
        </w:sectPr>
      </w:pPr>
    </w:p>
    <w:p w:rsidR="00B3167C" w:rsidRPr="00D06DB3" w:rsidRDefault="00B3167C" w:rsidP="00DF4EBA">
      <w:pPr>
        <w:suppressAutoHyphens w:val="0"/>
        <w:snapToGrid w:val="0"/>
        <w:ind w:left="425" w:hanging="425"/>
        <w:jc w:val="both"/>
        <w:rPr>
          <w:sz w:val="20"/>
          <w:szCs w:val="20"/>
          <w:lang w:eastAsia="zh-CN"/>
        </w:rPr>
      </w:pPr>
    </w:p>
    <w:p w:rsidR="004D0467" w:rsidRPr="00D06DB3" w:rsidRDefault="00AB370F" w:rsidP="00DF4EBA">
      <w:pPr>
        <w:suppressAutoHyphens w:val="0"/>
        <w:snapToGrid w:val="0"/>
        <w:jc w:val="both"/>
        <w:rPr>
          <w:sz w:val="20"/>
          <w:szCs w:val="20"/>
        </w:rPr>
      </w:pPr>
      <w:r w:rsidRPr="00D06DB3">
        <w:rPr>
          <w:sz w:val="20"/>
          <w:szCs w:val="20"/>
        </w:rPr>
        <w:t>10/17/2019</w:t>
      </w:r>
    </w:p>
    <w:sectPr w:rsidR="004D0467" w:rsidRPr="00D06DB3" w:rsidSect="00AB370F">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4EE" w:rsidRDefault="00C444EE">
      <w:r>
        <w:separator/>
      </w:r>
    </w:p>
  </w:endnote>
  <w:endnote w:type="continuationSeparator" w:id="0">
    <w:p w:rsidR="00C444EE" w:rsidRDefault="00C44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Arial"/>
    <w:charset w:val="00"/>
    <w:family w:val="swiss"/>
    <w:pitch w:val="variable"/>
    <w:sig w:usb0="00000000"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9F6311"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4C2825" w:rsidRDefault="009F6311" w:rsidP="004C2825">
    <w:pPr>
      <w:jc w:val="center"/>
      <w:rPr>
        <w:sz w:val="20"/>
      </w:rPr>
    </w:pPr>
    <w:r w:rsidRPr="004C2825">
      <w:rPr>
        <w:sz w:val="20"/>
      </w:rPr>
      <w:fldChar w:fldCharType="begin"/>
    </w:r>
    <w:r w:rsidR="004C2825" w:rsidRPr="004C2825">
      <w:rPr>
        <w:sz w:val="20"/>
      </w:rPr>
      <w:instrText xml:space="preserve"> page </w:instrText>
    </w:r>
    <w:r w:rsidRPr="004C2825">
      <w:rPr>
        <w:sz w:val="20"/>
      </w:rPr>
      <w:fldChar w:fldCharType="separate"/>
    </w:r>
    <w:r w:rsidR="00D06DB3">
      <w:rPr>
        <w:noProof/>
        <w:sz w:val="20"/>
      </w:rPr>
      <w:t>13</w:t>
    </w:r>
    <w:r w:rsidRPr="004C282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4EE" w:rsidRDefault="00C444EE">
      <w:r>
        <w:separator/>
      </w:r>
    </w:p>
  </w:footnote>
  <w:footnote w:type="continuationSeparator" w:id="0">
    <w:p w:rsidR="00C444EE" w:rsidRDefault="00C44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25" w:rsidRPr="004C2825" w:rsidRDefault="004C2825" w:rsidP="004C2825">
    <w:pPr>
      <w:pBdr>
        <w:bottom w:val="thinThickMediumGap" w:sz="12" w:space="1" w:color="auto"/>
      </w:pBdr>
      <w:tabs>
        <w:tab w:val="left" w:pos="851"/>
        <w:tab w:val="right" w:pos="8364"/>
      </w:tabs>
      <w:adjustRightInd w:val="0"/>
      <w:snapToGrid w:val="0"/>
      <w:jc w:val="both"/>
      <w:rPr>
        <w:iCs/>
        <w:sz w:val="20"/>
        <w:szCs w:val="20"/>
      </w:rPr>
    </w:pPr>
    <w:r w:rsidRPr="004C2825">
      <w:rPr>
        <w:rFonts w:hint="eastAsia"/>
        <w:iCs/>
        <w:color w:val="000000"/>
        <w:sz w:val="20"/>
        <w:szCs w:val="20"/>
      </w:rPr>
      <w:tab/>
    </w:r>
    <w:r w:rsidRPr="004C2825">
      <w:rPr>
        <w:iCs/>
        <w:color w:val="000000"/>
        <w:sz w:val="20"/>
        <w:szCs w:val="20"/>
      </w:rPr>
      <w:t xml:space="preserve">Researcher </w:t>
    </w:r>
    <w:r w:rsidRPr="004C2825">
      <w:rPr>
        <w:iCs/>
        <w:sz w:val="20"/>
        <w:szCs w:val="20"/>
      </w:rPr>
      <w:t>201</w:t>
    </w:r>
    <w:r w:rsidRPr="004C2825">
      <w:rPr>
        <w:rFonts w:hint="eastAsia"/>
        <w:iCs/>
        <w:sz w:val="20"/>
        <w:szCs w:val="20"/>
      </w:rPr>
      <w:t>9</w:t>
    </w:r>
    <w:r w:rsidRPr="004C2825">
      <w:rPr>
        <w:iCs/>
        <w:sz w:val="20"/>
        <w:szCs w:val="20"/>
      </w:rPr>
      <w:t>;</w:t>
    </w:r>
    <w:r w:rsidRPr="004C2825">
      <w:rPr>
        <w:rFonts w:hint="eastAsia"/>
        <w:iCs/>
        <w:sz w:val="20"/>
        <w:szCs w:val="20"/>
      </w:rPr>
      <w:t>11</w:t>
    </w:r>
    <w:r w:rsidRPr="004C2825">
      <w:rPr>
        <w:iCs/>
        <w:sz w:val="20"/>
        <w:szCs w:val="20"/>
      </w:rPr>
      <w:t>(</w:t>
    </w:r>
    <w:r w:rsidRPr="004C2825">
      <w:rPr>
        <w:rFonts w:hint="eastAsia"/>
        <w:iCs/>
        <w:sz w:val="20"/>
        <w:szCs w:val="20"/>
      </w:rPr>
      <w:t>10</w:t>
    </w:r>
    <w:r w:rsidRPr="004C2825">
      <w:rPr>
        <w:iCs/>
        <w:sz w:val="20"/>
        <w:szCs w:val="20"/>
      </w:rPr>
      <w:t xml:space="preserve">)  </w:t>
    </w:r>
    <w:r w:rsidRPr="004C2825">
      <w:rPr>
        <w:rFonts w:hint="eastAsia"/>
        <w:iCs/>
        <w:sz w:val="20"/>
        <w:szCs w:val="20"/>
      </w:rPr>
      <w:t xml:space="preserve"> </w:t>
    </w:r>
    <w:r w:rsidRPr="004C2825">
      <w:rPr>
        <w:iCs/>
        <w:sz w:val="20"/>
        <w:szCs w:val="20"/>
      </w:rPr>
      <w:t xml:space="preserve"> </w:t>
    </w:r>
    <w:r w:rsidRPr="004C2825">
      <w:rPr>
        <w:rFonts w:hint="eastAsia"/>
        <w:iCs/>
        <w:sz w:val="20"/>
        <w:szCs w:val="20"/>
      </w:rPr>
      <w:tab/>
    </w:r>
    <w:r w:rsidRPr="004C2825">
      <w:rPr>
        <w:iCs/>
        <w:sz w:val="20"/>
        <w:szCs w:val="20"/>
      </w:rPr>
      <w:t xml:space="preserve">    </w:t>
    </w:r>
    <w:r w:rsidRPr="004C2825">
      <w:rPr>
        <w:sz w:val="20"/>
        <w:szCs w:val="20"/>
      </w:rPr>
      <w:t xml:space="preserve"> </w:t>
    </w:r>
    <w:hyperlink r:id="rId1" w:history="1">
      <w:r w:rsidRPr="004C2825">
        <w:rPr>
          <w:rStyle w:val="Hyperlink"/>
          <w:sz w:val="20"/>
          <w:szCs w:val="20"/>
        </w:rPr>
        <w:t>http://www.sciencepub.net/researcher</w:t>
      </w:r>
    </w:hyperlink>
    <w:r w:rsidRPr="004C2825">
      <w:rPr>
        <w:rFonts w:hint="eastAsia"/>
        <w:sz w:val="20"/>
      </w:rPr>
      <w:t xml:space="preserve">   </w:t>
    </w:r>
    <w:r w:rsidRPr="004C2825">
      <w:rPr>
        <w:rFonts w:hint="eastAsia"/>
        <w:b/>
        <w:i/>
        <w:color w:val="FF0000"/>
        <w:sz w:val="20"/>
        <w:szCs w:val="20"/>
        <w:bdr w:val="single" w:sz="4" w:space="0" w:color="FF0000"/>
      </w:rPr>
      <w:t>RSJ</w:t>
    </w:r>
  </w:p>
  <w:p w:rsidR="004C2825" w:rsidRPr="004C2825" w:rsidRDefault="004C2825" w:rsidP="004C2825">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44805C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10"/>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15471"/>
    <w:rsid w:val="0006091F"/>
    <w:rsid w:val="00080CE9"/>
    <w:rsid w:val="000827B7"/>
    <w:rsid w:val="000844D7"/>
    <w:rsid w:val="00086790"/>
    <w:rsid w:val="00090A06"/>
    <w:rsid w:val="000A0250"/>
    <w:rsid w:val="000B46C6"/>
    <w:rsid w:val="000C06CD"/>
    <w:rsid w:val="00101735"/>
    <w:rsid w:val="0016388F"/>
    <w:rsid w:val="001817C7"/>
    <w:rsid w:val="00183764"/>
    <w:rsid w:val="001964D0"/>
    <w:rsid w:val="001B41B8"/>
    <w:rsid w:val="001B4DED"/>
    <w:rsid w:val="001B650D"/>
    <w:rsid w:val="001C3D42"/>
    <w:rsid w:val="001D2843"/>
    <w:rsid w:val="00205E97"/>
    <w:rsid w:val="00245C21"/>
    <w:rsid w:val="002721F1"/>
    <w:rsid w:val="00282FA1"/>
    <w:rsid w:val="002B5613"/>
    <w:rsid w:val="002D3558"/>
    <w:rsid w:val="002D589A"/>
    <w:rsid w:val="002F20CD"/>
    <w:rsid w:val="002F49EF"/>
    <w:rsid w:val="00314F95"/>
    <w:rsid w:val="003169A5"/>
    <w:rsid w:val="00322FAB"/>
    <w:rsid w:val="00330D12"/>
    <w:rsid w:val="00345581"/>
    <w:rsid w:val="0034702D"/>
    <w:rsid w:val="00352EF8"/>
    <w:rsid w:val="003679A0"/>
    <w:rsid w:val="00394B65"/>
    <w:rsid w:val="003A785E"/>
    <w:rsid w:val="003B55FF"/>
    <w:rsid w:val="003B651F"/>
    <w:rsid w:val="003C0116"/>
    <w:rsid w:val="003C4C28"/>
    <w:rsid w:val="003E7FC6"/>
    <w:rsid w:val="0043645D"/>
    <w:rsid w:val="00454A59"/>
    <w:rsid w:val="00456753"/>
    <w:rsid w:val="004642A3"/>
    <w:rsid w:val="00471E57"/>
    <w:rsid w:val="00480715"/>
    <w:rsid w:val="0049143E"/>
    <w:rsid w:val="004B2AF2"/>
    <w:rsid w:val="004C2825"/>
    <w:rsid w:val="004C3A14"/>
    <w:rsid w:val="004C7E2A"/>
    <w:rsid w:val="004D01D3"/>
    <w:rsid w:val="004D0467"/>
    <w:rsid w:val="004F4AFB"/>
    <w:rsid w:val="00520D1A"/>
    <w:rsid w:val="0052512B"/>
    <w:rsid w:val="00553F9B"/>
    <w:rsid w:val="00593132"/>
    <w:rsid w:val="005949A8"/>
    <w:rsid w:val="005A21B0"/>
    <w:rsid w:val="005A5E42"/>
    <w:rsid w:val="005C2F35"/>
    <w:rsid w:val="005C3D58"/>
    <w:rsid w:val="005D1DA6"/>
    <w:rsid w:val="005F11C2"/>
    <w:rsid w:val="005F5E04"/>
    <w:rsid w:val="00633A0E"/>
    <w:rsid w:val="0065209A"/>
    <w:rsid w:val="00657995"/>
    <w:rsid w:val="006871D9"/>
    <w:rsid w:val="006B3DCE"/>
    <w:rsid w:val="006B5399"/>
    <w:rsid w:val="006D5C2E"/>
    <w:rsid w:val="006E6ACB"/>
    <w:rsid w:val="006E7156"/>
    <w:rsid w:val="006F1706"/>
    <w:rsid w:val="007147D7"/>
    <w:rsid w:val="00744442"/>
    <w:rsid w:val="007725E7"/>
    <w:rsid w:val="0078507E"/>
    <w:rsid w:val="007B01CC"/>
    <w:rsid w:val="007D3D09"/>
    <w:rsid w:val="007D746F"/>
    <w:rsid w:val="007F763B"/>
    <w:rsid w:val="008131CF"/>
    <w:rsid w:val="00814FA7"/>
    <w:rsid w:val="008233D0"/>
    <w:rsid w:val="0085007D"/>
    <w:rsid w:val="00875C08"/>
    <w:rsid w:val="008A20AC"/>
    <w:rsid w:val="008A67B6"/>
    <w:rsid w:val="008E4F3A"/>
    <w:rsid w:val="008E5502"/>
    <w:rsid w:val="0091208A"/>
    <w:rsid w:val="00914558"/>
    <w:rsid w:val="00935CF7"/>
    <w:rsid w:val="0094140D"/>
    <w:rsid w:val="009459B3"/>
    <w:rsid w:val="00952EB8"/>
    <w:rsid w:val="00997A8E"/>
    <w:rsid w:val="009A3681"/>
    <w:rsid w:val="009F6311"/>
    <w:rsid w:val="00A1557F"/>
    <w:rsid w:val="00A3476D"/>
    <w:rsid w:val="00A6502A"/>
    <w:rsid w:val="00A67749"/>
    <w:rsid w:val="00AB370F"/>
    <w:rsid w:val="00AE355E"/>
    <w:rsid w:val="00AE4639"/>
    <w:rsid w:val="00B3167C"/>
    <w:rsid w:val="00B36B45"/>
    <w:rsid w:val="00B60E8D"/>
    <w:rsid w:val="00B80C0E"/>
    <w:rsid w:val="00B918AE"/>
    <w:rsid w:val="00B94E19"/>
    <w:rsid w:val="00BB62EF"/>
    <w:rsid w:val="00BB6E0B"/>
    <w:rsid w:val="00BD2A8D"/>
    <w:rsid w:val="00BF6579"/>
    <w:rsid w:val="00BF734B"/>
    <w:rsid w:val="00C0761F"/>
    <w:rsid w:val="00C101C9"/>
    <w:rsid w:val="00C222CC"/>
    <w:rsid w:val="00C235D9"/>
    <w:rsid w:val="00C444EE"/>
    <w:rsid w:val="00C44596"/>
    <w:rsid w:val="00C60D61"/>
    <w:rsid w:val="00C67430"/>
    <w:rsid w:val="00C92003"/>
    <w:rsid w:val="00CA29AE"/>
    <w:rsid w:val="00CC4387"/>
    <w:rsid w:val="00CE7B2F"/>
    <w:rsid w:val="00CF24FB"/>
    <w:rsid w:val="00CF6616"/>
    <w:rsid w:val="00D04C27"/>
    <w:rsid w:val="00D06DB3"/>
    <w:rsid w:val="00D13147"/>
    <w:rsid w:val="00D13F9A"/>
    <w:rsid w:val="00D26F2E"/>
    <w:rsid w:val="00D3777A"/>
    <w:rsid w:val="00D56002"/>
    <w:rsid w:val="00D778C9"/>
    <w:rsid w:val="00D84DE7"/>
    <w:rsid w:val="00DF4EBA"/>
    <w:rsid w:val="00DF6507"/>
    <w:rsid w:val="00DF7353"/>
    <w:rsid w:val="00E015B9"/>
    <w:rsid w:val="00E231CB"/>
    <w:rsid w:val="00E34501"/>
    <w:rsid w:val="00E34DBD"/>
    <w:rsid w:val="00E52EA0"/>
    <w:rsid w:val="00E57761"/>
    <w:rsid w:val="00E617EB"/>
    <w:rsid w:val="00E73E1D"/>
    <w:rsid w:val="00E86416"/>
    <w:rsid w:val="00EB51F4"/>
    <w:rsid w:val="00EC565A"/>
    <w:rsid w:val="00EC5C53"/>
    <w:rsid w:val="00ED4441"/>
    <w:rsid w:val="00ED4A29"/>
    <w:rsid w:val="00ED4ED9"/>
    <w:rsid w:val="00EE1CEE"/>
    <w:rsid w:val="00EE1F4B"/>
    <w:rsid w:val="00F03305"/>
    <w:rsid w:val="00F04B72"/>
    <w:rsid w:val="00F2228B"/>
    <w:rsid w:val="00F50F6E"/>
    <w:rsid w:val="00F62573"/>
    <w:rsid w:val="00F63EEE"/>
    <w:rsid w:val="00F83A62"/>
    <w:rsid w:val="00F97B30"/>
    <w:rsid w:val="00FA6D77"/>
    <w:rsid w:val="00FB27E3"/>
    <w:rsid w:val="00FB5B6A"/>
    <w:rsid w:val="00FC4906"/>
    <w:rsid w:val="00FC6B9B"/>
    <w:rsid w:val="00FF5829"/>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BF734B"/>
    <w:pPr>
      <w:keepNext/>
      <w:numPr>
        <w:numId w:val="1"/>
      </w:numPr>
      <w:outlineLvl w:val="0"/>
    </w:pPr>
    <w:rPr>
      <w:b/>
      <w:bCs/>
      <w:sz w:val="32"/>
    </w:rPr>
  </w:style>
  <w:style w:type="paragraph" w:styleId="Heading2">
    <w:name w:val="heading 2"/>
    <w:basedOn w:val="Normal"/>
    <w:next w:val="Normal"/>
    <w:qFormat/>
    <w:rsid w:val="00BF734B"/>
    <w:pPr>
      <w:keepNext/>
      <w:numPr>
        <w:ilvl w:val="1"/>
        <w:numId w:val="1"/>
      </w:numPr>
      <w:jc w:val="both"/>
      <w:outlineLvl w:val="1"/>
    </w:pPr>
    <w:rPr>
      <w:b/>
      <w:sz w:val="28"/>
    </w:rPr>
  </w:style>
  <w:style w:type="paragraph" w:styleId="Heading3">
    <w:name w:val="heading 3"/>
    <w:basedOn w:val="Normal"/>
    <w:next w:val="Normal"/>
    <w:qFormat/>
    <w:rsid w:val="00BF734B"/>
    <w:pPr>
      <w:keepNext/>
      <w:numPr>
        <w:ilvl w:val="2"/>
        <w:numId w:val="1"/>
      </w:numPr>
      <w:spacing w:line="360" w:lineRule="auto"/>
      <w:jc w:val="both"/>
      <w:outlineLvl w:val="2"/>
    </w:pPr>
    <w:rPr>
      <w:b/>
      <w:bCs/>
    </w:rPr>
  </w:style>
  <w:style w:type="paragraph" w:styleId="Heading6">
    <w:name w:val="heading 6"/>
    <w:basedOn w:val="Normal"/>
    <w:next w:val="Normal"/>
    <w:qFormat/>
    <w:rsid w:val="00BF734B"/>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F734B"/>
  </w:style>
  <w:style w:type="character" w:customStyle="1" w:styleId="WW-Absatz-Standardschriftart">
    <w:name w:val="WW-Absatz-Standardschriftart"/>
    <w:rsid w:val="00BF734B"/>
  </w:style>
  <w:style w:type="character" w:customStyle="1" w:styleId="WW-Absatz-Standardschriftart1">
    <w:name w:val="WW-Absatz-Standardschriftart1"/>
    <w:rsid w:val="00BF734B"/>
  </w:style>
  <w:style w:type="character" w:customStyle="1" w:styleId="WW-Absatz-Standardschriftart11">
    <w:name w:val="WW-Absatz-Standardschriftart11"/>
    <w:rsid w:val="00BF734B"/>
  </w:style>
  <w:style w:type="character" w:customStyle="1" w:styleId="WW-Absatz-Standardschriftart111">
    <w:name w:val="WW-Absatz-Standardschriftart111"/>
    <w:rsid w:val="00BF734B"/>
  </w:style>
  <w:style w:type="character" w:customStyle="1" w:styleId="WW-Absatz-Standardschriftart1111">
    <w:name w:val="WW-Absatz-Standardschriftart1111"/>
    <w:rsid w:val="00BF734B"/>
  </w:style>
  <w:style w:type="character" w:customStyle="1" w:styleId="WW-Absatz-Standardschriftart11111">
    <w:name w:val="WW-Absatz-Standardschriftart11111"/>
    <w:rsid w:val="00BF734B"/>
  </w:style>
  <w:style w:type="character" w:customStyle="1" w:styleId="WW-Absatz-Standardschriftart111111">
    <w:name w:val="WW-Absatz-Standardschriftart111111"/>
    <w:rsid w:val="00BF734B"/>
  </w:style>
  <w:style w:type="character" w:customStyle="1" w:styleId="WW-Absatz-Standardschriftart1111111">
    <w:name w:val="WW-Absatz-Standardschriftart1111111"/>
    <w:rsid w:val="00BF734B"/>
  </w:style>
  <w:style w:type="character" w:customStyle="1" w:styleId="WW-Absatz-Standardschriftart11111111">
    <w:name w:val="WW-Absatz-Standardschriftart11111111"/>
    <w:rsid w:val="00BF734B"/>
  </w:style>
  <w:style w:type="character" w:customStyle="1" w:styleId="WW-Absatz-Standardschriftart111111111">
    <w:name w:val="WW-Absatz-Standardschriftart111111111"/>
    <w:rsid w:val="00BF734B"/>
  </w:style>
  <w:style w:type="character" w:customStyle="1" w:styleId="WW-Absatz-Standardschriftart1111111111">
    <w:name w:val="WW-Absatz-Standardschriftart1111111111"/>
    <w:rsid w:val="00BF734B"/>
  </w:style>
  <w:style w:type="character" w:customStyle="1" w:styleId="WW-Absatz-Standardschriftart11111111111">
    <w:name w:val="WW-Absatz-Standardschriftart11111111111"/>
    <w:rsid w:val="00BF734B"/>
  </w:style>
  <w:style w:type="character" w:customStyle="1" w:styleId="WW-Absatz-Standardschriftart111111111111">
    <w:name w:val="WW-Absatz-Standardschriftart111111111111"/>
    <w:rsid w:val="00BF734B"/>
  </w:style>
  <w:style w:type="character" w:customStyle="1" w:styleId="WW-Absatz-Standardschriftart1111111111111">
    <w:name w:val="WW-Absatz-Standardschriftart1111111111111"/>
    <w:rsid w:val="00BF734B"/>
  </w:style>
  <w:style w:type="character" w:customStyle="1" w:styleId="WW-Absatz-Standardschriftart11111111111111">
    <w:name w:val="WW-Absatz-Standardschriftart11111111111111"/>
    <w:rsid w:val="00BF734B"/>
  </w:style>
  <w:style w:type="character" w:customStyle="1" w:styleId="WW-Absatz-Standardschriftart111111111111111">
    <w:name w:val="WW-Absatz-Standardschriftart111111111111111"/>
    <w:rsid w:val="00BF734B"/>
  </w:style>
  <w:style w:type="character" w:customStyle="1" w:styleId="WW-Absatz-Standardschriftart1111111111111111">
    <w:name w:val="WW-Absatz-Standardschriftart1111111111111111"/>
    <w:rsid w:val="00BF734B"/>
  </w:style>
  <w:style w:type="character" w:customStyle="1" w:styleId="WW8Num1z0">
    <w:name w:val="WW8Num1z0"/>
    <w:rsid w:val="00BF734B"/>
    <w:rPr>
      <w:rFonts w:ascii="Symbol" w:eastAsia="Times New Roman" w:hAnsi="Symbol" w:cs="Times New Roman"/>
    </w:rPr>
  </w:style>
  <w:style w:type="character" w:customStyle="1" w:styleId="WW8Num1z1">
    <w:name w:val="WW8Num1z1"/>
    <w:rsid w:val="00BF734B"/>
    <w:rPr>
      <w:rFonts w:ascii="Courier New" w:hAnsi="Courier New" w:cs="Courier New"/>
    </w:rPr>
  </w:style>
  <w:style w:type="character" w:customStyle="1" w:styleId="WW8Num1z2">
    <w:name w:val="WW8Num1z2"/>
    <w:rsid w:val="00BF734B"/>
    <w:rPr>
      <w:rFonts w:ascii="Wingdings" w:hAnsi="Wingdings"/>
    </w:rPr>
  </w:style>
  <w:style w:type="character" w:customStyle="1" w:styleId="WW8Num1z3">
    <w:name w:val="WW8Num1z3"/>
    <w:rsid w:val="00BF734B"/>
    <w:rPr>
      <w:rFonts w:ascii="Symbol" w:hAnsi="Symbol"/>
    </w:rPr>
  </w:style>
  <w:style w:type="character" w:styleId="PageNumber">
    <w:name w:val="page number"/>
    <w:basedOn w:val="DefaultParagraphFont"/>
    <w:rsid w:val="00BF734B"/>
  </w:style>
  <w:style w:type="character" w:styleId="Hyperlink">
    <w:name w:val="Hyperlink"/>
    <w:basedOn w:val="DefaultParagraphFont"/>
    <w:uiPriority w:val="99"/>
    <w:rsid w:val="00BF734B"/>
    <w:rPr>
      <w:color w:val="0000FF"/>
      <w:u w:val="single"/>
    </w:rPr>
  </w:style>
  <w:style w:type="character" w:styleId="FollowedHyperlink">
    <w:name w:val="FollowedHyperlink"/>
    <w:basedOn w:val="DefaultParagraphFont"/>
    <w:rsid w:val="00BF734B"/>
    <w:rPr>
      <w:color w:val="800080"/>
      <w:u w:val="single"/>
    </w:rPr>
  </w:style>
  <w:style w:type="character" w:customStyle="1" w:styleId="NumberingSymbols">
    <w:name w:val="Numbering Symbols"/>
    <w:rsid w:val="00BF734B"/>
  </w:style>
  <w:style w:type="paragraph" w:customStyle="1" w:styleId="Heading">
    <w:name w:val="Heading"/>
    <w:basedOn w:val="Normal"/>
    <w:next w:val="BodyText"/>
    <w:rsid w:val="00BF734B"/>
    <w:pPr>
      <w:keepNext/>
      <w:spacing w:before="240" w:after="120"/>
    </w:pPr>
    <w:rPr>
      <w:rFonts w:ascii="Nimbus Sans L" w:eastAsia="DejaVu Sans" w:hAnsi="Nimbus Sans L" w:cs="DejaVu Sans"/>
      <w:sz w:val="28"/>
      <w:szCs w:val="28"/>
    </w:rPr>
  </w:style>
  <w:style w:type="paragraph" w:styleId="BodyText">
    <w:name w:val="Body Text"/>
    <w:basedOn w:val="Normal"/>
    <w:rsid w:val="00BF734B"/>
    <w:pPr>
      <w:spacing w:line="360" w:lineRule="auto"/>
    </w:pPr>
  </w:style>
  <w:style w:type="paragraph" w:styleId="List">
    <w:name w:val="List"/>
    <w:basedOn w:val="BodyText"/>
    <w:rsid w:val="00BF734B"/>
  </w:style>
  <w:style w:type="paragraph" w:styleId="Caption">
    <w:name w:val="caption"/>
    <w:basedOn w:val="Normal"/>
    <w:qFormat/>
    <w:rsid w:val="00BF734B"/>
    <w:pPr>
      <w:suppressLineNumbers/>
      <w:spacing w:before="120" w:after="120"/>
    </w:pPr>
    <w:rPr>
      <w:i/>
      <w:iCs/>
    </w:rPr>
  </w:style>
  <w:style w:type="paragraph" w:customStyle="1" w:styleId="Index">
    <w:name w:val="Index"/>
    <w:basedOn w:val="Normal"/>
    <w:rsid w:val="00BF734B"/>
    <w:pPr>
      <w:suppressLineNumbers/>
    </w:pPr>
  </w:style>
  <w:style w:type="paragraph" w:styleId="Header">
    <w:name w:val="header"/>
    <w:basedOn w:val="Normal"/>
    <w:next w:val="Heading1"/>
    <w:link w:val="HeaderChar"/>
    <w:rsid w:val="00BF734B"/>
    <w:pPr>
      <w:tabs>
        <w:tab w:val="center" w:pos="4320"/>
        <w:tab w:val="right" w:pos="8640"/>
      </w:tabs>
    </w:pPr>
  </w:style>
  <w:style w:type="paragraph" w:styleId="BodyTextIndent3">
    <w:name w:val="Body Text Indent 3"/>
    <w:basedOn w:val="Normal"/>
    <w:rsid w:val="00BF734B"/>
    <w:pPr>
      <w:spacing w:line="360" w:lineRule="auto"/>
      <w:ind w:firstLine="720"/>
      <w:jc w:val="both"/>
    </w:pPr>
    <w:rPr>
      <w:b/>
      <w:bCs/>
    </w:rPr>
  </w:style>
  <w:style w:type="paragraph" w:styleId="BodyTextIndent">
    <w:name w:val="Body Text Indent"/>
    <w:basedOn w:val="Normal"/>
    <w:rsid w:val="00BF734B"/>
    <w:pPr>
      <w:ind w:left="540" w:hanging="720"/>
      <w:jc w:val="both"/>
    </w:pPr>
  </w:style>
  <w:style w:type="paragraph" w:styleId="BodyTextIndent2">
    <w:name w:val="Body Text Indent 2"/>
    <w:basedOn w:val="Normal"/>
    <w:rsid w:val="00BF734B"/>
    <w:pPr>
      <w:spacing w:line="360" w:lineRule="auto"/>
      <w:ind w:firstLine="720"/>
      <w:jc w:val="both"/>
    </w:pPr>
  </w:style>
  <w:style w:type="paragraph" w:styleId="BodyText2">
    <w:name w:val="Body Text 2"/>
    <w:basedOn w:val="Normal"/>
    <w:rsid w:val="00BF734B"/>
    <w:pPr>
      <w:spacing w:line="360" w:lineRule="auto"/>
      <w:jc w:val="both"/>
    </w:pPr>
  </w:style>
  <w:style w:type="paragraph" w:styleId="Footer">
    <w:name w:val="footer"/>
    <w:basedOn w:val="Normal"/>
    <w:rsid w:val="00BF734B"/>
    <w:pPr>
      <w:tabs>
        <w:tab w:val="center" w:pos="4320"/>
        <w:tab w:val="right" w:pos="8640"/>
      </w:tabs>
    </w:pPr>
    <w:rPr>
      <w:sz w:val="32"/>
    </w:rPr>
  </w:style>
  <w:style w:type="paragraph" w:customStyle="1" w:styleId="TableContents">
    <w:name w:val="Table Contents"/>
    <w:basedOn w:val="Normal"/>
    <w:rsid w:val="00BF734B"/>
    <w:pPr>
      <w:suppressLineNumbers/>
    </w:pPr>
  </w:style>
  <w:style w:type="paragraph" w:customStyle="1" w:styleId="TableHeading">
    <w:name w:val="Table Heading"/>
    <w:basedOn w:val="TableContents"/>
    <w:rsid w:val="00BF734B"/>
    <w:pPr>
      <w:jc w:val="center"/>
    </w:pPr>
    <w:rPr>
      <w:b/>
      <w:bCs/>
    </w:rPr>
  </w:style>
  <w:style w:type="paragraph" w:customStyle="1" w:styleId="Framecontents">
    <w:name w:val="Frame contents"/>
    <w:basedOn w:val="BodyText"/>
    <w:rsid w:val="00BF734B"/>
  </w:style>
  <w:style w:type="paragraph" w:customStyle="1" w:styleId="Text">
    <w:name w:val="Text"/>
    <w:basedOn w:val="Normal"/>
    <w:rsid w:val="00BF734B"/>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styleId="BalloonText">
    <w:name w:val="Balloon Text"/>
    <w:basedOn w:val="Normal"/>
    <w:link w:val="BalloonTextChar"/>
    <w:uiPriority w:val="99"/>
    <w:semiHidden/>
    <w:unhideWhenUsed/>
    <w:rsid w:val="007147D7"/>
    <w:rPr>
      <w:rFonts w:ascii="Tahoma" w:hAnsi="Tahoma" w:cs="Tahoma"/>
      <w:sz w:val="16"/>
      <w:szCs w:val="16"/>
    </w:rPr>
  </w:style>
  <w:style w:type="character" w:customStyle="1" w:styleId="BalloonTextChar">
    <w:name w:val="Balloon Text Char"/>
    <w:basedOn w:val="DefaultParagraphFont"/>
    <w:link w:val="BalloonText"/>
    <w:uiPriority w:val="99"/>
    <w:semiHidden/>
    <w:rsid w:val="007147D7"/>
    <w:rPr>
      <w:rFonts w:ascii="Tahoma" w:hAnsi="Tahoma" w:cs="Tahoma"/>
      <w:sz w:val="16"/>
      <w:szCs w:val="16"/>
      <w:lang w:eastAsia="ar-SA"/>
    </w:rPr>
  </w:style>
  <w:style w:type="paragraph" w:styleId="ListParagraph">
    <w:name w:val="List Paragraph"/>
    <w:basedOn w:val="Normal"/>
    <w:uiPriority w:val="34"/>
    <w:qFormat/>
    <w:rsid w:val="00DF4EB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81"/>
    <w:pPr>
      <w:suppressAutoHyphens/>
    </w:pPr>
    <w:rPr>
      <w:sz w:val="24"/>
      <w:szCs w:val="24"/>
      <w:lang w:eastAsia="ar-SA"/>
    </w:rPr>
  </w:style>
  <w:style w:type="paragraph" w:styleId="1">
    <w:name w:val="heading 1"/>
    <w:basedOn w:val="a"/>
    <w:next w:val="a"/>
    <w:qFormat/>
    <w:rsid w:val="00BF734B"/>
    <w:pPr>
      <w:keepNext/>
      <w:numPr>
        <w:numId w:val="1"/>
      </w:numPr>
      <w:outlineLvl w:val="0"/>
    </w:pPr>
    <w:rPr>
      <w:b/>
      <w:bCs/>
      <w:sz w:val="32"/>
    </w:rPr>
  </w:style>
  <w:style w:type="paragraph" w:styleId="2">
    <w:name w:val="heading 2"/>
    <w:basedOn w:val="a"/>
    <w:next w:val="a"/>
    <w:qFormat/>
    <w:rsid w:val="00BF734B"/>
    <w:pPr>
      <w:keepNext/>
      <w:numPr>
        <w:ilvl w:val="1"/>
        <w:numId w:val="1"/>
      </w:numPr>
      <w:jc w:val="both"/>
      <w:outlineLvl w:val="1"/>
    </w:pPr>
    <w:rPr>
      <w:b/>
      <w:sz w:val="28"/>
    </w:rPr>
  </w:style>
  <w:style w:type="paragraph" w:styleId="3">
    <w:name w:val="heading 3"/>
    <w:basedOn w:val="a"/>
    <w:next w:val="a"/>
    <w:qFormat/>
    <w:rsid w:val="00BF734B"/>
    <w:pPr>
      <w:keepNext/>
      <w:numPr>
        <w:ilvl w:val="2"/>
        <w:numId w:val="1"/>
      </w:numPr>
      <w:spacing w:line="360" w:lineRule="auto"/>
      <w:jc w:val="both"/>
      <w:outlineLvl w:val="2"/>
    </w:pPr>
    <w:rPr>
      <w:b/>
      <w:bCs/>
    </w:rPr>
  </w:style>
  <w:style w:type="paragraph" w:styleId="6">
    <w:name w:val="heading 6"/>
    <w:basedOn w:val="a"/>
    <w:next w:val="a"/>
    <w:qFormat/>
    <w:rsid w:val="00BF734B"/>
    <w:pPr>
      <w:keepNext/>
      <w:numPr>
        <w:ilvl w:val="5"/>
        <w:numId w:val="1"/>
      </w:numPr>
      <w:jc w:val="center"/>
      <w:outlineLvl w:val="5"/>
    </w:pPr>
    <w:rPr>
      <w:b/>
      <w:bCs/>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F734B"/>
  </w:style>
  <w:style w:type="character" w:customStyle="1" w:styleId="WW-Absatz-Standardschriftart">
    <w:name w:val="WW-Absatz-Standardschriftart"/>
    <w:rsid w:val="00BF734B"/>
  </w:style>
  <w:style w:type="character" w:customStyle="1" w:styleId="WW-Absatz-Standardschriftart1">
    <w:name w:val="WW-Absatz-Standardschriftart1"/>
    <w:rsid w:val="00BF734B"/>
  </w:style>
  <w:style w:type="character" w:customStyle="1" w:styleId="WW-Absatz-Standardschriftart11">
    <w:name w:val="WW-Absatz-Standardschriftart11"/>
    <w:rsid w:val="00BF734B"/>
  </w:style>
  <w:style w:type="character" w:customStyle="1" w:styleId="WW-Absatz-Standardschriftart111">
    <w:name w:val="WW-Absatz-Standardschriftart111"/>
    <w:rsid w:val="00BF734B"/>
  </w:style>
  <w:style w:type="character" w:customStyle="1" w:styleId="WW-Absatz-Standardschriftart1111">
    <w:name w:val="WW-Absatz-Standardschriftart1111"/>
    <w:rsid w:val="00BF734B"/>
  </w:style>
  <w:style w:type="character" w:customStyle="1" w:styleId="WW-Absatz-Standardschriftart11111">
    <w:name w:val="WW-Absatz-Standardschriftart11111"/>
    <w:rsid w:val="00BF734B"/>
  </w:style>
  <w:style w:type="character" w:customStyle="1" w:styleId="WW-Absatz-Standardschriftart111111">
    <w:name w:val="WW-Absatz-Standardschriftart111111"/>
    <w:rsid w:val="00BF734B"/>
  </w:style>
  <w:style w:type="character" w:customStyle="1" w:styleId="WW-Absatz-Standardschriftart1111111">
    <w:name w:val="WW-Absatz-Standardschriftart1111111"/>
    <w:rsid w:val="00BF734B"/>
  </w:style>
  <w:style w:type="character" w:customStyle="1" w:styleId="WW-Absatz-Standardschriftart11111111">
    <w:name w:val="WW-Absatz-Standardschriftart11111111"/>
    <w:rsid w:val="00BF734B"/>
  </w:style>
  <w:style w:type="character" w:customStyle="1" w:styleId="WW-Absatz-Standardschriftart111111111">
    <w:name w:val="WW-Absatz-Standardschriftart111111111"/>
    <w:rsid w:val="00BF734B"/>
  </w:style>
  <w:style w:type="character" w:customStyle="1" w:styleId="WW-Absatz-Standardschriftart1111111111">
    <w:name w:val="WW-Absatz-Standardschriftart1111111111"/>
    <w:rsid w:val="00BF734B"/>
  </w:style>
  <w:style w:type="character" w:customStyle="1" w:styleId="WW-Absatz-Standardschriftart11111111111">
    <w:name w:val="WW-Absatz-Standardschriftart11111111111"/>
    <w:rsid w:val="00BF734B"/>
  </w:style>
  <w:style w:type="character" w:customStyle="1" w:styleId="WW-Absatz-Standardschriftart111111111111">
    <w:name w:val="WW-Absatz-Standardschriftart111111111111"/>
    <w:rsid w:val="00BF734B"/>
  </w:style>
  <w:style w:type="character" w:customStyle="1" w:styleId="WW-Absatz-Standardschriftart1111111111111">
    <w:name w:val="WW-Absatz-Standardschriftart1111111111111"/>
    <w:rsid w:val="00BF734B"/>
  </w:style>
  <w:style w:type="character" w:customStyle="1" w:styleId="WW-Absatz-Standardschriftart11111111111111">
    <w:name w:val="WW-Absatz-Standardschriftart11111111111111"/>
    <w:rsid w:val="00BF734B"/>
  </w:style>
  <w:style w:type="character" w:customStyle="1" w:styleId="WW-Absatz-Standardschriftart111111111111111">
    <w:name w:val="WW-Absatz-Standardschriftart111111111111111"/>
    <w:rsid w:val="00BF734B"/>
  </w:style>
  <w:style w:type="character" w:customStyle="1" w:styleId="WW-Absatz-Standardschriftart1111111111111111">
    <w:name w:val="WW-Absatz-Standardschriftart1111111111111111"/>
    <w:rsid w:val="00BF734B"/>
  </w:style>
  <w:style w:type="character" w:customStyle="1" w:styleId="WW8Num1z0">
    <w:name w:val="WW8Num1z0"/>
    <w:rsid w:val="00BF734B"/>
    <w:rPr>
      <w:rFonts w:ascii="Symbol" w:eastAsia="Times New Roman" w:hAnsi="Symbol" w:cs="Times New Roman"/>
    </w:rPr>
  </w:style>
  <w:style w:type="character" w:customStyle="1" w:styleId="WW8Num1z1">
    <w:name w:val="WW8Num1z1"/>
    <w:rsid w:val="00BF734B"/>
    <w:rPr>
      <w:rFonts w:ascii="Courier New" w:hAnsi="Courier New" w:cs="Courier New"/>
    </w:rPr>
  </w:style>
  <w:style w:type="character" w:customStyle="1" w:styleId="WW8Num1z2">
    <w:name w:val="WW8Num1z2"/>
    <w:rsid w:val="00BF734B"/>
    <w:rPr>
      <w:rFonts w:ascii="Wingdings" w:hAnsi="Wingdings"/>
    </w:rPr>
  </w:style>
  <w:style w:type="character" w:customStyle="1" w:styleId="WW8Num1z3">
    <w:name w:val="WW8Num1z3"/>
    <w:rsid w:val="00BF734B"/>
    <w:rPr>
      <w:rFonts w:ascii="Symbol" w:hAnsi="Symbol"/>
    </w:rPr>
  </w:style>
  <w:style w:type="character" w:styleId="a3">
    <w:name w:val="page number"/>
    <w:basedOn w:val="a0"/>
    <w:rsid w:val="00BF734B"/>
  </w:style>
  <w:style w:type="character" w:styleId="a4">
    <w:name w:val="Hyperlink"/>
    <w:basedOn w:val="a0"/>
    <w:rsid w:val="00BF734B"/>
    <w:rPr>
      <w:color w:val="0000FF"/>
      <w:u w:val="single"/>
    </w:rPr>
  </w:style>
  <w:style w:type="character" w:styleId="a5">
    <w:name w:val="FollowedHyperlink"/>
    <w:basedOn w:val="a0"/>
    <w:rsid w:val="00BF734B"/>
    <w:rPr>
      <w:color w:val="800080"/>
      <w:u w:val="single"/>
    </w:rPr>
  </w:style>
  <w:style w:type="character" w:customStyle="1" w:styleId="NumberingSymbols">
    <w:name w:val="Numbering Symbols"/>
    <w:rsid w:val="00BF734B"/>
  </w:style>
  <w:style w:type="paragraph" w:customStyle="1" w:styleId="Heading">
    <w:name w:val="Heading"/>
    <w:basedOn w:val="a"/>
    <w:next w:val="a6"/>
    <w:rsid w:val="00BF734B"/>
    <w:pPr>
      <w:keepNext/>
      <w:spacing w:before="240" w:after="120"/>
    </w:pPr>
    <w:rPr>
      <w:rFonts w:ascii="Nimbus Sans L" w:eastAsia="DejaVu Sans" w:hAnsi="Nimbus Sans L" w:cs="DejaVu Sans"/>
      <w:sz w:val="28"/>
      <w:szCs w:val="28"/>
    </w:rPr>
  </w:style>
  <w:style w:type="paragraph" w:styleId="a6">
    <w:name w:val="Body Text"/>
    <w:basedOn w:val="a"/>
    <w:rsid w:val="00BF734B"/>
    <w:pPr>
      <w:spacing w:line="360" w:lineRule="auto"/>
    </w:pPr>
  </w:style>
  <w:style w:type="paragraph" w:styleId="a7">
    <w:name w:val="List"/>
    <w:basedOn w:val="a6"/>
    <w:rsid w:val="00BF734B"/>
  </w:style>
  <w:style w:type="paragraph" w:styleId="a8">
    <w:name w:val="caption"/>
    <w:basedOn w:val="a"/>
    <w:qFormat/>
    <w:rsid w:val="00BF734B"/>
    <w:pPr>
      <w:suppressLineNumbers/>
      <w:spacing w:before="120" w:after="120"/>
    </w:pPr>
    <w:rPr>
      <w:i/>
      <w:iCs/>
    </w:rPr>
  </w:style>
  <w:style w:type="paragraph" w:customStyle="1" w:styleId="Index">
    <w:name w:val="Index"/>
    <w:basedOn w:val="a"/>
    <w:rsid w:val="00BF734B"/>
    <w:pPr>
      <w:suppressLineNumbers/>
    </w:pPr>
  </w:style>
  <w:style w:type="paragraph" w:styleId="a9">
    <w:name w:val="header"/>
    <w:basedOn w:val="a"/>
    <w:next w:val="1"/>
    <w:link w:val="aa"/>
    <w:rsid w:val="00BF734B"/>
    <w:pPr>
      <w:tabs>
        <w:tab w:val="center" w:pos="4320"/>
        <w:tab w:val="right" w:pos="8640"/>
      </w:tabs>
    </w:pPr>
  </w:style>
  <w:style w:type="paragraph" w:styleId="30">
    <w:name w:val="Body Text Indent 3"/>
    <w:basedOn w:val="a"/>
    <w:rsid w:val="00BF734B"/>
    <w:pPr>
      <w:spacing w:line="360" w:lineRule="auto"/>
      <w:ind w:firstLine="720"/>
      <w:jc w:val="both"/>
    </w:pPr>
    <w:rPr>
      <w:b/>
      <w:bCs/>
    </w:rPr>
  </w:style>
  <w:style w:type="paragraph" w:styleId="ab">
    <w:name w:val="Body Text Indent"/>
    <w:basedOn w:val="a"/>
    <w:rsid w:val="00BF734B"/>
    <w:pPr>
      <w:ind w:left="540" w:hanging="720"/>
      <w:jc w:val="both"/>
    </w:pPr>
  </w:style>
  <w:style w:type="paragraph" w:styleId="20">
    <w:name w:val="Body Text Indent 2"/>
    <w:basedOn w:val="a"/>
    <w:rsid w:val="00BF734B"/>
    <w:pPr>
      <w:spacing w:line="360" w:lineRule="auto"/>
      <w:ind w:firstLine="720"/>
      <w:jc w:val="both"/>
    </w:pPr>
  </w:style>
  <w:style w:type="paragraph" w:styleId="21">
    <w:name w:val="Body Text 2"/>
    <w:basedOn w:val="a"/>
    <w:rsid w:val="00BF734B"/>
    <w:pPr>
      <w:spacing w:line="360" w:lineRule="auto"/>
      <w:jc w:val="both"/>
    </w:pPr>
  </w:style>
  <w:style w:type="paragraph" w:styleId="ac">
    <w:name w:val="footer"/>
    <w:basedOn w:val="a"/>
    <w:rsid w:val="00BF734B"/>
    <w:pPr>
      <w:tabs>
        <w:tab w:val="center" w:pos="4320"/>
        <w:tab w:val="right" w:pos="8640"/>
      </w:tabs>
    </w:pPr>
    <w:rPr>
      <w:sz w:val="32"/>
    </w:rPr>
  </w:style>
  <w:style w:type="paragraph" w:customStyle="1" w:styleId="TableContents">
    <w:name w:val="Table Contents"/>
    <w:basedOn w:val="a"/>
    <w:rsid w:val="00BF734B"/>
    <w:pPr>
      <w:suppressLineNumbers/>
    </w:pPr>
  </w:style>
  <w:style w:type="paragraph" w:customStyle="1" w:styleId="TableHeading">
    <w:name w:val="Table Heading"/>
    <w:basedOn w:val="TableContents"/>
    <w:rsid w:val="00BF734B"/>
    <w:pPr>
      <w:jc w:val="center"/>
    </w:pPr>
    <w:rPr>
      <w:b/>
      <w:bCs/>
    </w:rPr>
  </w:style>
  <w:style w:type="paragraph" w:customStyle="1" w:styleId="Framecontents">
    <w:name w:val="Frame contents"/>
    <w:basedOn w:val="a6"/>
    <w:rsid w:val="00BF734B"/>
  </w:style>
  <w:style w:type="paragraph" w:customStyle="1" w:styleId="Text">
    <w:name w:val="Text"/>
    <w:basedOn w:val="a"/>
    <w:rsid w:val="00BF734B"/>
    <w:pPr>
      <w:autoSpaceDE w:val="0"/>
      <w:spacing w:line="252" w:lineRule="auto"/>
      <w:ind w:firstLine="202"/>
    </w:pPr>
    <w:rPr>
      <w:rFonts w:eastAsia="PMingLiU"/>
      <w:kern w:val="1"/>
      <w:sz w:val="20"/>
      <w:szCs w:val="20"/>
    </w:rPr>
  </w:style>
  <w:style w:type="character" w:customStyle="1" w:styleId="aa">
    <w:name w:val="Верхний колонтитул Знак"/>
    <w:basedOn w:val="a0"/>
    <w:link w:val="a9"/>
    <w:rsid w:val="00D778C9"/>
    <w:rPr>
      <w:sz w:val="24"/>
      <w:szCs w:val="24"/>
      <w:lang w:eastAsia="ar-SA"/>
    </w:rPr>
  </w:style>
  <w:style w:type="paragraph" w:styleId="ad">
    <w:name w:val="Balloon Text"/>
    <w:basedOn w:val="a"/>
    <w:link w:val="ae"/>
    <w:uiPriority w:val="99"/>
    <w:semiHidden/>
    <w:unhideWhenUsed/>
    <w:rsid w:val="007147D7"/>
    <w:rPr>
      <w:rFonts w:ascii="Tahoma" w:hAnsi="Tahoma" w:cs="Tahoma"/>
      <w:sz w:val="16"/>
      <w:szCs w:val="16"/>
    </w:rPr>
  </w:style>
  <w:style w:type="character" w:customStyle="1" w:styleId="ae">
    <w:name w:val="Текст выноски Знак"/>
    <w:basedOn w:val="a0"/>
    <w:link w:val="ad"/>
    <w:uiPriority w:val="99"/>
    <w:semiHidden/>
    <w:rsid w:val="007147D7"/>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spirantka.030@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dx.doi.org/10.7537/marsrsj111019.02" TargetMode="External"/><Relationship Id="rId14" Type="http://schemas.openxmlformats.org/officeDocument/2006/relationships/hyperlink" Target="mailto:aspirantka.030@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3271</Words>
  <Characters>18651</Characters>
  <Application>Microsoft Office Word</Application>
  <DocSecurity>0</DocSecurity>
  <Lines>155</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Paper</vt:lpstr>
      <vt:lpstr>Paper</vt:lpstr>
    </vt:vector>
  </TitlesOfParts>
  <Manager>Marsland</Manager>
  <Company>Marsland Press</Company>
  <LinksUpToDate>false</LinksUpToDate>
  <CharactersWithSpaces>21879</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852021</vt:i4>
      </vt:variant>
      <vt:variant>
        <vt:i4>0</vt:i4>
      </vt:variant>
      <vt:variant>
        <vt:i4>0</vt:i4>
      </vt:variant>
      <vt:variant>
        <vt:i4>5</vt:i4>
      </vt:variant>
      <vt:variant>
        <vt:lpwstr>mailto:geetakh@gmail.com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3</cp:revision>
  <cp:lastPrinted>2008-06-25T09:46:00Z</cp:lastPrinted>
  <dcterms:created xsi:type="dcterms:W3CDTF">2019-10-20T15:11:00Z</dcterms:created>
  <dcterms:modified xsi:type="dcterms:W3CDTF">2019-10-20T20:12:00Z</dcterms:modified>
  <cp:category>science</cp:category>
</cp:coreProperties>
</file>