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18" w:rsidRPr="00490B2A" w:rsidRDefault="00E95E8F" w:rsidP="00490B2A">
      <w:pPr>
        <w:snapToGrid w:val="0"/>
        <w:spacing w:after="0" w:line="240" w:lineRule="auto"/>
        <w:jc w:val="center"/>
        <w:rPr>
          <w:rFonts w:eastAsiaTheme="minorEastAsia"/>
          <w:b/>
          <w:color w:val="000000" w:themeColor="text1"/>
          <w:sz w:val="20"/>
          <w:szCs w:val="28"/>
          <w:lang w:eastAsia="zh-CN"/>
        </w:rPr>
      </w:pPr>
      <w:bookmarkStart w:id="0" w:name="_Toc473411834"/>
      <w:r w:rsidRPr="00490B2A">
        <w:rPr>
          <w:b/>
          <w:color w:val="000000" w:themeColor="text1"/>
          <w:sz w:val="20"/>
          <w:szCs w:val="28"/>
        </w:rPr>
        <w:t xml:space="preserve">Assessing Vulnerabilities to Natural Disasters of Malgagai Refugee Village Killasaifullah, Balochistan </w:t>
      </w:r>
    </w:p>
    <w:p w:rsidR="00700A18" w:rsidRPr="00490B2A" w:rsidRDefault="00700A18" w:rsidP="00490B2A">
      <w:pPr>
        <w:snapToGrid w:val="0"/>
        <w:spacing w:after="0" w:line="240" w:lineRule="auto"/>
        <w:jc w:val="center"/>
        <w:rPr>
          <w:rFonts w:eastAsiaTheme="minorEastAsia"/>
          <w:b/>
          <w:color w:val="000000" w:themeColor="text1"/>
          <w:sz w:val="20"/>
          <w:szCs w:val="28"/>
          <w:lang w:eastAsia="zh-CN"/>
        </w:rPr>
      </w:pPr>
    </w:p>
    <w:p w:rsidR="00700A18" w:rsidRPr="00490B2A" w:rsidRDefault="00E95E8F" w:rsidP="00490B2A">
      <w:pPr>
        <w:snapToGrid w:val="0"/>
        <w:spacing w:after="0" w:line="240" w:lineRule="auto"/>
        <w:jc w:val="center"/>
        <w:rPr>
          <w:rFonts w:eastAsiaTheme="minorEastAsia"/>
          <w:color w:val="000000" w:themeColor="text1"/>
          <w:sz w:val="20"/>
          <w:lang w:eastAsia="zh-CN"/>
        </w:rPr>
      </w:pPr>
      <w:r w:rsidRPr="00490B2A">
        <w:rPr>
          <w:color w:val="000000" w:themeColor="text1"/>
          <w:sz w:val="20"/>
        </w:rPr>
        <w:t>Jamal-ud-din</w:t>
      </w:r>
      <w:r w:rsidRPr="00490B2A">
        <w:rPr>
          <w:color w:val="000000" w:themeColor="text1"/>
          <w:sz w:val="20"/>
          <w:vertAlign w:val="superscript"/>
        </w:rPr>
        <w:t>1</w:t>
      </w:r>
      <w:r w:rsidRPr="00490B2A">
        <w:rPr>
          <w:color w:val="000000" w:themeColor="text1"/>
          <w:sz w:val="20"/>
        </w:rPr>
        <w:t>, Syed Ainuddin</w:t>
      </w:r>
      <w:r w:rsidRPr="00490B2A">
        <w:rPr>
          <w:color w:val="000000" w:themeColor="text1"/>
          <w:sz w:val="20"/>
          <w:vertAlign w:val="superscript"/>
        </w:rPr>
        <w:t>2</w:t>
      </w:r>
      <w:r w:rsidRPr="00490B2A">
        <w:rPr>
          <w:color w:val="000000" w:themeColor="text1"/>
          <w:sz w:val="20"/>
        </w:rPr>
        <w:t xml:space="preserve"> Ghulam Murtaza</w:t>
      </w:r>
      <w:r w:rsidRPr="00490B2A">
        <w:rPr>
          <w:color w:val="000000" w:themeColor="text1"/>
          <w:sz w:val="20"/>
          <w:vertAlign w:val="superscript"/>
        </w:rPr>
        <w:t>3</w:t>
      </w:r>
      <w:r w:rsidRPr="00490B2A">
        <w:rPr>
          <w:color w:val="000000" w:themeColor="text1"/>
          <w:sz w:val="20"/>
        </w:rPr>
        <w:t>, Shabana Faiz</w:t>
      </w:r>
      <w:r w:rsidRPr="00490B2A">
        <w:rPr>
          <w:color w:val="000000" w:themeColor="text1"/>
          <w:sz w:val="20"/>
          <w:vertAlign w:val="superscript"/>
        </w:rPr>
        <w:t>4</w:t>
      </w:r>
      <w:r w:rsidRPr="00490B2A">
        <w:rPr>
          <w:color w:val="000000" w:themeColor="text1"/>
          <w:sz w:val="20"/>
          <w:vertAlign w:val="subscript"/>
        </w:rPr>
        <w:t xml:space="preserve">, </w:t>
      </w:r>
      <w:r w:rsidRPr="00490B2A">
        <w:rPr>
          <w:color w:val="000000" w:themeColor="text1"/>
          <w:sz w:val="20"/>
        </w:rPr>
        <w:t>Muhammad Ashraf</w:t>
      </w:r>
      <w:r w:rsidRPr="00490B2A">
        <w:rPr>
          <w:color w:val="000000" w:themeColor="text1"/>
          <w:sz w:val="20"/>
          <w:vertAlign w:val="superscript"/>
        </w:rPr>
        <w:t>5</w:t>
      </w:r>
      <w:r w:rsidR="00700A18" w:rsidRPr="00490B2A">
        <w:rPr>
          <w:color w:val="000000" w:themeColor="text1"/>
          <w:sz w:val="20"/>
        </w:rPr>
        <w:t xml:space="preserve"> &amp; </w:t>
      </w:r>
      <w:r w:rsidRPr="00490B2A">
        <w:rPr>
          <w:color w:val="000000" w:themeColor="text1"/>
          <w:sz w:val="20"/>
        </w:rPr>
        <w:t>Abida</w:t>
      </w:r>
      <w:r w:rsidRPr="00490B2A">
        <w:rPr>
          <w:color w:val="000000" w:themeColor="text1"/>
          <w:sz w:val="20"/>
          <w:vertAlign w:val="superscript"/>
        </w:rPr>
        <w:t>6</w:t>
      </w:r>
      <w:r w:rsidR="00311E9E" w:rsidRPr="00490B2A">
        <w:rPr>
          <w:color w:val="000000" w:themeColor="text1"/>
          <w:sz w:val="20"/>
        </w:rPr>
        <w:t>Achakzai</w:t>
      </w:r>
    </w:p>
    <w:p w:rsidR="00700A18" w:rsidRPr="00490B2A" w:rsidRDefault="00700A18" w:rsidP="00490B2A">
      <w:pPr>
        <w:snapToGrid w:val="0"/>
        <w:spacing w:after="0" w:line="240" w:lineRule="auto"/>
        <w:jc w:val="center"/>
        <w:rPr>
          <w:rFonts w:eastAsiaTheme="minorEastAsia"/>
          <w:color w:val="000000" w:themeColor="text1"/>
          <w:sz w:val="20"/>
          <w:lang w:eastAsia="zh-CN"/>
        </w:rPr>
      </w:pPr>
    </w:p>
    <w:p w:rsidR="00E95E8F" w:rsidRPr="00490B2A" w:rsidRDefault="00E95E8F" w:rsidP="00490B2A">
      <w:pPr>
        <w:snapToGrid w:val="0"/>
        <w:spacing w:after="0" w:line="240" w:lineRule="auto"/>
        <w:jc w:val="center"/>
        <w:rPr>
          <w:color w:val="000000" w:themeColor="text1"/>
          <w:sz w:val="20"/>
        </w:rPr>
      </w:pPr>
      <w:r w:rsidRPr="00490B2A">
        <w:rPr>
          <w:color w:val="000000" w:themeColor="text1"/>
          <w:sz w:val="20"/>
          <w:vertAlign w:val="superscript"/>
        </w:rPr>
        <w:t>1</w:t>
      </w:r>
      <w:r w:rsidRPr="00490B2A">
        <w:rPr>
          <w:color w:val="000000" w:themeColor="text1"/>
          <w:sz w:val="20"/>
        </w:rPr>
        <w:t>PhD Scholar: Department of Disaster Management and Development Studies, University of Balochistan</w:t>
      </w:r>
      <w:r w:rsidRPr="00490B2A">
        <w:rPr>
          <w:color w:val="000000" w:themeColor="text1"/>
          <w:sz w:val="20"/>
          <w:szCs w:val="28"/>
        </w:rPr>
        <w:t xml:space="preserve"> </w:t>
      </w:r>
      <w:r w:rsidRPr="00490B2A">
        <w:rPr>
          <w:color w:val="000000" w:themeColor="text1"/>
          <w:sz w:val="20"/>
        </w:rPr>
        <w:t>Quetta</w:t>
      </w:r>
      <w:r w:rsidRPr="00490B2A">
        <w:rPr>
          <w:color w:val="000000" w:themeColor="text1"/>
          <w:sz w:val="20"/>
          <w:szCs w:val="28"/>
        </w:rPr>
        <w:t>. (</w:t>
      </w:r>
      <w:r w:rsidRPr="00490B2A">
        <w:rPr>
          <w:color w:val="000000" w:themeColor="text1"/>
          <w:sz w:val="20"/>
        </w:rPr>
        <w:t xml:space="preserve">Corresponding author) email: </w:t>
      </w:r>
      <w:hyperlink r:id="rId7" w:history="1">
        <w:r w:rsidRPr="00490B2A">
          <w:rPr>
            <w:rStyle w:val="Hyperlink"/>
            <w:sz w:val="20"/>
          </w:rPr>
          <w:t>jamalkakar333@gmail.com</w:t>
        </w:r>
      </w:hyperlink>
      <w:r w:rsidRPr="00490B2A">
        <w:rPr>
          <w:color w:val="000000" w:themeColor="text1"/>
          <w:sz w:val="20"/>
        </w:rPr>
        <w:t xml:space="preserve"> </w:t>
      </w:r>
    </w:p>
    <w:p w:rsidR="00E95E8F" w:rsidRPr="00490B2A" w:rsidRDefault="00E95E8F" w:rsidP="00490B2A">
      <w:pPr>
        <w:snapToGrid w:val="0"/>
        <w:spacing w:after="0" w:line="240" w:lineRule="auto"/>
        <w:jc w:val="center"/>
        <w:rPr>
          <w:color w:val="000000" w:themeColor="text1"/>
          <w:sz w:val="20"/>
        </w:rPr>
      </w:pPr>
      <w:r w:rsidRPr="00490B2A">
        <w:rPr>
          <w:color w:val="000000" w:themeColor="text1"/>
          <w:sz w:val="20"/>
          <w:vertAlign w:val="superscript"/>
        </w:rPr>
        <w:t>2</w:t>
      </w:r>
      <w:r w:rsidRPr="00490B2A">
        <w:rPr>
          <w:color w:val="000000" w:themeColor="text1"/>
          <w:sz w:val="20"/>
        </w:rPr>
        <w:t xml:space="preserve">Associate Professors Chairperson, Department of Disaster Management and Development Studies, University of Balochistan, Quetta email: </w:t>
      </w:r>
      <w:hyperlink r:id="rId8" w:history="1">
        <w:r w:rsidRPr="00490B2A">
          <w:rPr>
            <w:rStyle w:val="Hyperlink"/>
            <w:sz w:val="20"/>
          </w:rPr>
          <w:t>ainuddin.syed77@gmail.com</w:t>
        </w:r>
      </w:hyperlink>
    </w:p>
    <w:p w:rsidR="00E95E8F" w:rsidRPr="00490B2A" w:rsidRDefault="00E95E8F" w:rsidP="00490B2A">
      <w:pPr>
        <w:snapToGrid w:val="0"/>
        <w:spacing w:after="0" w:line="240" w:lineRule="auto"/>
        <w:jc w:val="center"/>
        <w:rPr>
          <w:color w:val="000000" w:themeColor="text1"/>
          <w:sz w:val="20"/>
        </w:rPr>
      </w:pPr>
      <w:r w:rsidRPr="00490B2A">
        <w:rPr>
          <w:color w:val="000000" w:themeColor="text1"/>
          <w:sz w:val="20"/>
          <w:vertAlign w:val="superscript"/>
        </w:rPr>
        <w:t>3</w:t>
      </w:r>
      <w:r w:rsidRPr="00490B2A">
        <w:rPr>
          <w:color w:val="000000" w:themeColor="text1"/>
          <w:sz w:val="20"/>
        </w:rPr>
        <w:t>Assistant Professors, Department of Disaster Management and Development Studies, University of Balochistan, Quetta email:</w:t>
      </w:r>
      <w:r w:rsidRPr="00490B2A">
        <w:rPr>
          <w:sz w:val="20"/>
        </w:rPr>
        <w:t xml:space="preserve"> </w:t>
      </w:r>
      <w:hyperlink r:id="rId9" w:history="1">
        <w:r w:rsidRPr="00490B2A">
          <w:rPr>
            <w:rStyle w:val="Hyperlink"/>
            <w:sz w:val="20"/>
          </w:rPr>
          <w:t>aamach100@gmail.com</w:t>
        </w:r>
      </w:hyperlink>
      <w:r w:rsidRPr="00490B2A">
        <w:rPr>
          <w:color w:val="000000" w:themeColor="text1"/>
          <w:sz w:val="20"/>
        </w:rPr>
        <w:t xml:space="preserve"> </w:t>
      </w:r>
    </w:p>
    <w:p w:rsidR="00E95E8F" w:rsidRPr="00490B2A" w:rsidRDefault="00E95E8F" w:rsidP="00490B2A">
      <w:pPr>
        <w:snapToGrid w:val="0"/>
        <w:spacing w:after="0" w:line="240" w:lineRule="auto"/>
        <w:jc w:val="center"/>
        <w:rPr>
          <w:color w:val="000000" w:themeColor="text1"/>
          <w:sz w:val="20"/>
        </w:rPr>
      </w:pPr>
      <w:r w:rsidRPr="00490B2A">
        <w:rPr>
          <w:color w:val="000000" w:themeColor="text1"/>
          <w:sz w:val="20"/>
          <w:vertAlign w:val="superscript"/>
        </w:rPr>
        <w:t>4</w:t>
      </w:r>
      <w:r w:rsidRPr="00490B2A">
        <w:rPr>
          <w:color w:val="000000" w:themeColor="text1"/>
          <w:sz w:val="20"/>
        </w:rPr>
        <w:t>Chairpers</w:t>
      </w:r>
      <w:r w:rsidR="00311E9E" w:rsidRPr="00490B2A">
        <w:rPr>
          <w:color w:val="000000" w:themeColor="text1"/>
          <w:sz w:val="20"/>
        </w:rPr>
        <w:t>on, Pakistan studies center, Sardar Bahadur Khan Women University</w:t>
      </w:r>
      <w:r w:rsidRPr="00490B2A">
        <w:rPr>
          <w:color w:val="000000" w:themeColor="text1"/>
          <w:sz w:val="20"/>
        </w:rPr>
        <w:t>, Balochistan, Quetta</w:t>
      </w:r>
      <w:r w:rsidR="00311E9E" w:rsidRPr="00490B2A">
        <w:rPr>
          <w:color w:val="000000" w:themeColor="text1"/>
          <w:sz w:val="20"/>
        </w:rPr>
        <w:t>.</w:t>
      </w:r>
      <w:r w:rsidRPr="00490B2A">
        <w:rPr>
          <w:color w:val="000000" w:themeColor="text1"/>
          <w:sz w:val="20"/>
        </w:rPr>
        <w:t xml:space="preserve"> email: </w:t>
      </w:r>
      <w:hyperlink r:id="rId10" w:history="1">
        <w:r w:rsidRPr="00490B2A">
          <w:rPr>
            <w:rStyle w:val="Hyperlink"/>
            <w:rFonts w:eastAsia="Times New Roman"/>
            <w:bCs/>
            <w:sz w:val="20"/>
          </w:rPr>
          <w:t>shabana.faiz@gmail.com</w:t>
        </w:r>
      </w:hyperlink>
      <w:r w:rsidR="00700A18" w:rsidRPr="00490B2A">
        <w:rPr>
          <w:rFonts w:eastAsia="Times New Roman"/>
          <w:bCs/>
          <w:sz w:val="20"/>
        </w:rPr>
        <w:t xml:space="preserve"> </w:t>
      </w:r>
    </w:p>
    <w:p w:rsidR="00E95E8F" w:rsidRPr="00490B2A" w:rsidRDefault="00E95E8F" w:rsidP="00490B2A">
      <w:pPr>
        <w:snapToGrid w:val="0"/>
        <w:spacing w:after="0" w:line="240" w:lineRule="auto"/>
        <w:jc w:val="center"/>
        <w:rPr>
          <w:b/>
          <w:color w:val="000000" w:themeColor="text1"/>
          <w:sz w:val="20"/>
          <w:szCs w:val="28"/>
        </w:rPr>
      </w:pPr>
      <w:r w:rsidRPr="00490B2A">
        <w:rPr>
          <w:color w:val="000000" w:themeColor="text1"/>
          <w:sz w:val="20"/>
          <w:vertAlign w:val="superscript"/>
        </w:rPr>
        <w:t>5</w:t>
      </w:r>
      <w:r w:rsidRPr="00490B2A">
        <w:rPr>
          <w:color w:val="000000" w:themeColor="text1"/>
          <w:sz w:val="20"/>
        </w:rPr>
        <w:t xml:space="preserve">Assistant Professors, Department of Disaster Management and Development Studies, University of Balochistan, Quetta email: </w:t>
      </w:r>
      <w:hyperlink r:id="rId11" w:history="1">
        <w:r w:rsidRPr="00490B2A">
          <w:rPr>
            <w:rStyle w:val="Hyperlink"/>
            <w:sz w:val="20"/>
          </w:rPr>
          <w:t>mashrafh75@gmail.com</w:t>
        </w:r>
      </w:hyperlink>
      <w:r w:rsidR="00700A18" w:rsidRPr="00490B2A">
        <w:rPr>
          <w:color w:val="000000" w:themeColor="text1"/>
          <w:sz w:val="20"/>
        </w:rPr>
        <w:t xml:space="preserve"> </w:t>
      </w:r>
    </w:p>
    <w:p w:rsidR="00700A18" w:rsidRPr="00490B2A" w:rsidRDefault="00E95E8F" w:rsidP="00490B2A">
      <w:pPr>
        <w:snapToGrid w:val="0"/>
        <w:spacing w:after="0" w:line="240" w:lineRule="auto"/>
        <w:jc w:val="center"/>
        <w:rPr>
          <w:b/>
          <w:color w:val="000000" w:themeColor="text1"/>
          <w:sz w:val="20"/>
          <w:szCs w:val="28"/>
        </w:rPr>
      </w:pPr>
      <w:r w:rsidRPr="00490B2A">
        <w:rPr>
          <w:color w:val="000000" w:themeColor="text1"/>
          <w:sz w:val="20"/>
          <w:vertAlign w:val="superscript"/>
        </w:rPr>
        <w:t>6</w:t>
      </w:r>
      <w:r w:rsidR="00311E9E" w:rsidRPr="00490B2A">
        <w:rPr>
          <w:color w:val="000000" w:themeColor="text1"/>
          <w:sz w:val="20"/>
        </w:rPr>
        <w:t>Lecturer Department of Ge</w:t>
      </w:r>
      <w:r w:rsidRPr="00490B2A">
        <w:rPr>
          <w:color w:val="000000" w:themeColor="text1"/>
          <w:sz w:val="20"/>
        </w:rPr>
        <w:t xml:space="preserve">ography, University of Balochistan, Quetta email: </w:t>
      </w:r>
      <w:hyperlink r:id="rId12" w:history="1">
        <w:r w:rsidRPr="00490B2A">
          <w:rPr>
            <w:rStyle w:val="Hyperlink"/>
            <w:sz w:val="20"/>
          </w:rPr>
          <w:t>sher.abid78@gmail.com</w:t>
        </w:r>
      </w:hyperlink>
      <w:r w:rsidRPr="00490B2A">
        <w:rPr>
          <w:color w:val="000000" w:themeColor="text1"/>
          <w:sz w:val="20"/>
        </w:rPr>
        <w:t xml:space="preserve"> </w:t>
      </w:r>
    </w:p>
    <w:p w:rsidR="00700A18" w:rsidRPr="00490B2A" w:rsidRDefault="00700A18" w:rsidP="00490B2A">
      <w:pPr>
        <w:snapToGrid w:val="0"/>
        <w:spacing w:after="0" w:line="240" w:lineRule="auto"/>
        <w:jc w:val="center"/>
        <w:rPr>
          <w:b/>
          <w:color w:val="000000" w:themeColor="text1"/>
          <w:sz w:val="20"/>
          <w:szCs w:val="28"/>
        </w:rPr>
      </w:pPr>
    </w:p>
    <w:p w:rsidR="00B81063" w:rsidRPr="00490B2A" w:rsidRDefault="00AC1CFF" w:rsidP="00490B2A">
      <w:pPr>
        <w:snapToGrid w:val="0"/>
        <w:spacing w:after="0" w:line="240" w:lineRule="auto"/>
        <w:rPr>
          <w:color w:val="000000" w:themeColor="text1"/>
          <w:sz w:val="20"/>
          <w:szCs w:val="28"/>
        </w:rPr>
      </w:pPr>
      <w:r w:rsidRPr="00490B2A">
        <w:rPr>
          <w:b/>
          <w:color w:val="000000" w:themeColor="text1"/>
          <w:sz w:val="20"/>
          <w:szCs w:val="28"/>
        </w:rPr>
        <w:t>Abstract</w:t>
      </w:r>
      <w:r w:rsidR="00490B2A" w:rsidRPr="00490B2A">
        <w:rPr>
          <w:rFonts w:eastAsiaTheme="minorEastAsia"/>
          <w:b/>
          <w:color w:val="000000" w:themeColor="text1"/>
          <w:sz w:val="20"/>
          <w:szCs w:val="28"/>
          <w:lang w:eastAsia="zh-CN"/>
        </w:rPr>
        <w:t xml:space="preserve">: </w:t>
      </w:r>
      <w:r w:rsidRPr="00490B2A">
        <w:rPr>
          <w:color w:val="000000" w:themeColor="text1"/>
          <w:sz w:val="20"/>
          <w:szCs w:val="28"/>
        </w:rPr>
        <w:t>Disaster mostly occurs when vulnerability and hazard hold together. Balochistan is no exception where a number of natural and manmade disasters interface resulting in catastrophes. The main objective of this paper is to assess the vulnerabilities to natural disasters of Malgagai refugee village Killa</w:t>
      </w:r>
      <w:r w:rsidR="00325175" w:rsidRPr="00490B2A">
        <w:rPr>
          <w:color w:val="000000" w:themeColor="text1"/>
          <w:sz w:val="20"/>
          <w:szCs w:val="28"/>
        </w:rPr>
        <w:t>-S</w:t>
      </w:r>
      <w:r w:rsidRPr="00490B2A">
        <w:rPr>
          <w:color w:val="000000" w:themeColor="text1"/>
          <w:sz w:val="20"/>
          <w:szCs w:val="28"/>
        </w:rPr>
        <w:t>aifullah. A questionnaire survey was conducted among 400 households using simple random sampling. Composite community vulnerability index is used to achieve the objective of the study. R</w:t>
      </w:r>
      <w:r w:rsidR="00325175" w:rsidRPr="00490B2A">
        <w:rPr>
          <w:color w:val="000000" w:themeColor="text1"/>
          <w:sz w:val="20"/>
          <w:szCs w:val="28"/>
        </w:rPr>
        <w:t>esults revealed that the study area</w:t>
      </w:r>
      <w:r w:rsidRPr="00490B2A">
        <w:rPr>
          <w:color w:val="000000" w:themeColor="text1"/>
          <w:sz w:val="20"/>
          <w:szCs w:val="28"/>
        </w:rPr>
        <w:t xml:space="preserve"> is vulnerable </w:t>
      </w:r>
      <w:r w:rsidR="00325175" w:rsidRPr="00490B2A">
        <w:rPr>
          <w:color w:val="000000" w:themeColor="text1"/>
          <w:sz w:val="20"/>
          <w:szCs w:val="28"/>
        </w:rPr>
        <w:t>(socially, physically, institutionally and economically) due to lack of education, inadequate resources, poverty, poor building infrastructure, unemployment and lack of awareness and preparedness</w:t>
      </w:r>
      <w:r w:rsidRPr="00490B2A">
        <w:rPr>
          <w:color w:val="000000" w:themeColor="text1"/>
          <w:sz w:val="20"/>
          <w:szCs w:val="28"/>
        </w:rPr>
        <w:t>.</w:t>
      </w:r>
      <w:r w:rsidR="00325175" w:rsidRPr="00490B2A">
        <w:rPr>
          <w:color w:val="000000" w:themeColor="text1"/>
          <w:sz w:val="20"/>
          <w:szCs w:val="28"/>
        </w:rPr>
        <w:t xml:space="preserve"> </w:t>
      </w:r>
      <w:r w:rsidR="00B81063" w:rsidRPr="00490B2A">
        <w:rPr>
          <w:color w:val="000000" w:themeColor="text1"/>
          <w:sz w:val="20"/>
          <w:szCs w:val="28"/>
        </w:rPr>
        <w:t xml:space="preserve">Implementing of risk lessening measures in building infrastructures and carry out essential socio-economic activities (education, multiple sources of income, health, and community trust) is extremely fundamental to lessen the overall vulnerabilities of the study area prone to natural hazards. </w:t>
      </w:r>
    </w:p>
    <w:p w:rsidR="00490B2A" w:rsidRPr="00490B2A" w:rsidRDefault="00490B2A" w:rsidP="00490B2A">
      <w:pPr>
        <w:snapToGrid w:val="0"/>
        <w:spacing w:after="0" w:line="240" w:lineRule="auto"/>
        <w:rPr>
          <w:rFonts w:eastAsiaTheme="minorEastAsia"/>
          <w:color w:val="000000" w:themeColor="text1"/>
          <w:sz w:val="20"/>
          <w:lang w:eastAsia="zh-CN"/>
        </w:rPr>
      </w:pPr>
      <w:r w:rsidRPr="00490B2A">
        <w:rPr>
          <w:sz w:val="20"/>
          <w:szCs w:val="20"/>
        </w:rPr>
        <w:t>[</w:t>
      </w:r>
      <w:r w:rsidRPr="00490B2A">
        <w:rPr>
          <w:color w:val="000000" w:themeColor="text1"/>
          <w:sz w:val="20"/>
        </w:rPr>
        <w:t>Jamal-ud-din, Syed Ainuddin Ghulam Murtaza, Shabana Faiz</w:t>
      </w:r>
      <w:r w:rsidRPr="00490B2A">
        <w:rPr>
          <w:color w:val="000000" w:themeColor="text1"/>
          <w:sz w:val="20"/>
          <w:vertAlign w:val="subscript"/>
        </w:rPr>
        <w:t xml:space="preserve">, </w:t>
      </w:r>
      <w:r w:rsidRPr="00490B2A">
        <w:rPr>
          <w:color w:val="000000" w:themeColor="text1"/>
          <w:sz w:val="20"/>
        </w:rPr>
        <w:t>Muhammad Ashraf &amp; Abid</w:t>
      </w:r>
      <w:r w:rsidR="008957A6" w:rsidRPr="00490B2A">
        <w:rPr>
          <w:color w:val="000000" w:themeColor="text1"/>
          <w:sz w:val="20"/>
        </w:rPr>
        <w:t>a</w:t>
      </w:r>
      <w:r w:rsidR="008957A6">
        <w:rPr>
          <w:color w:val="000000" w:themeColor="text1"/>
          <w:sz w:val="20"/>
        </w:rPr>
        <w:t xml:space="preserve"> </w:t>
      </w:r>
      <w:r w:rsidR="008957A6" w:rsidRPr="00490B2A">
        <w:rPr>
          <w:color w:val="000000" w:themeColor="text1"/>
          <w:sz w:val="20"/>
        </w:rPr>
        <w:t>A</w:t>
      </w:r>
      <w:r w:rsidRPr="00490B2A">
        <w:rPr>
          <w:color w:val="000000" w:themeColor="text1"/>
          <w:sz w:val="20"/>
        </w:rPr>
        <w:t>chakzai</w:t>
      </w:r>
      <w:r w:rsidRPr="00490B2A">
        <w:rPr>
          <w:sz w:val="20"/>
          <w:szCs w:val="20"/>
        </w:rPr>
        <w:t>.</w:t>
      </w:r>
      <w:r w:rsidRPr="00490B2A">
        <w:rPr>
          <w:rFonts w:eastAsiaTheme="minorEastAsia"/>
          <w:b/>
          <w:bCs/>
          <w:sz w:val="20"/>
          <w:szCs w:val="20"/>
          <w:lang w:bidi="fa-IR"/>
        </w:rPr>
        <w:t xml:space="preserve"> </w:t>
      </w:r>
      <w:r w:rsidRPr="00490B2A">
        <w:rPr>
          <w:b/>
          <w:color w:val="000000" w:themeColor="text1"/>
          <w:sz w:val="20"/>
          <w:szCs w:val="28"/>
        </w:rPr>
        <w:t>Assessing Vulnerabilities to Natural Disasters of Malgagai Refugee Village Killasaifullah, Balochistan</w:t>
      </w:r>
      <w:r w:rsidRPr="00490B2A">
        <w:rPr>
          <w:rFonts w:eastAsia="Times New Roman"/>
          <w:b/>
          <w:bCs/>
          <w:sz w:val="20"/>
          <w:szCs w:val="20"/>
          <w:lang w:bidi="fa-IR"/>
        </w:rPr>
        <w:t>.</w:t>
      </w:r>
      <w:r w:rsidRPr="00490B2A">
        <w:rPr>
          <w:bCs/>
          <w:i/>
          <w:sz w:val="20"/>
          <w:szCs w:val="20"/>
        </w:rPr>
        <w:t xml:space="preserve"> Researcher</w:t>
      </w:r>
      <w:r w:rsidRPr="00490B2A">
        <w:rPr>
          <w:bCs/>
          <w:sz w:val="20"/>
          <w:szCs w:val="20"/>
        </w:rPr>
        <w:t xml:space="preserve"> 2019;11(10):</w:t>
      </w:r>
      <w:r w:rsidR="00D031B1">
        <w:rPr>
          <w:noProof/>
          <w:color w:val="000000"/>
          <w:sz w:val="20"/>
          <w:szCs w:val="20"/>
        </w:rPr>
        <w:t>56-63</w:t>
      </w:r>
      <w:r w:rsidRPr="00490B2A">
        <w:rPr>
          <w:bCs/>
          <w:sz w:val="20"/>
          <w:szCs w:val="20"/>
        </w:rPr>
        <w:t xml:space="preserve">]. </w:t>
      </w:r>
      <w:r w:rsidRPr="00490B2A">
        <w:rPr>
          <w:sz w:val="20"/>
          <w:szCs w:val="20"/>
        </w:rPr>
        <w:t>ISSN 1553-9865 (print); ISSN 2163-8950 (online)</w:t>
      </w:r>
      <w:r w:rsidRPr="00490B2A">
        <w:rPr>
          <w:bCs/>
          <w:sz w:val="20"/>
          <w:szCs w:val="20"/>
        </w:rPr>
        <w:t xml:space="preserve">. </w:t>
      </w:r>
      <w:hyperlink r:id="rId13" w:history="1">
        <w:r w:rsidRPr="00490B2A">
          <w:rPr>
            <w:rStyle w:val="Hyperlink"/>
            <w:color w:val="0000FF"/>
            <w:sz w:val="20"/>
            <w:szCs w:val="20"/>
          </w:rPr>
          <w:t>http://www.sciencepub.net/researcher</w:t>
        </w:r>
      </w:hyperlink>
      <w:r w:rsidRPr="00490B2A">
        <w:rPr>
          <w:bCs/>
          <w:sz w:val="20"/>
          <w:szCs w:val="20"/>
        </w:rPr>
        <w:t xml:space="preserve">. </w:t>
      </w:r>
      <w:r w:rsidRPr="00490B2A">
        <w:rPr>
          <w:rFonts w:eastAsiaTheme="minorEastAsia"/>
          <w:bCs/>
          <w:sz w:val="20"/>
          <w:szCs w:val="20"/>
          <w:lang w:eastAsia="zh-CN"/>
        </w:rPr>
        <w:t>9</w:t>
      </w:r>
      <w:r w:rsidRPr="00490B2A">
        <w:rPr>
          <w:bCs/>
          <w:sz w:val="20"/>
          <w:szCs w:val="20"/>
        </w:rPr>
        <w:t xml:space="preserve">. </w:t>
      </w:r>
      <w:r w:rsidRPr="00490B2A">
        <w:rPr>
          <w:color w:val="000000"/>
          <w:sz w:val="20"/>
          <w:szCs w:val="20"/>
          <w:shd w:val="clear" w:color="auto" w:fill="FFFFFF"/>
        </w:rPr>
        <w:t>doi:</w:t>
      </w:r>
      <w:hyperlink r:id="rId14" w:history="1">
        <w:r w:rsidRPr="00490B2A">
          <w:rPr>
            <w:rStyle w:val="Hyperlink"/>
            <w:color w:val="0000FF"/>
            <w:sz w:val="20"/>
            <w:szCs w:val="20"/>
            <w:shd w:val="clear" w:color="auto" w:fill="FFFFFF"/>
          </w:rPr>
          <w:t>10.7537/marsrsj111019.0</w:t>
        </w:r>
        <w:r w:rsidRPr="00490B2A">
          <w:rPr>
            <w:rStyle w:val="Hyperlink"/>
            <w:rFonts w:eastAsiaTheme="minorEastAsia"/>
            <w:color w:val="0000FF"/>
            <w:sz w:val="20"/>
            <w:szCs w:val="20"/>
            <w:shd w:val="clear" w:color="auto" w:fill="FFFFFF"/>
            <w:lang w:eastAsia="zh-CN"/>
          </w:rPr>
          <w:t>9</w:t>
        </w:r>
      </w:hyperlink>
      <w:r w:rsidRPr="00490B2A">
        <w:rPr>
          <w:color w:val="000000"/>
          <w:sz w:val="20"/>
          <w:szCs w:val="20"/>
          <w:shd w:val="clear" w:color="auto" w:fill="FFFFFF"/>
        </w:rPr>
        <w:t>.</w:t>
      </w:r>
    </w:p>
    <w:p w:rsidR="00AC1CFF" w:rsidRPr="00490B2A" w:rsidRDefault="00AC1CFF" w:rsidP="00490B2A">
      <w:pPr>
        <w:snapToGrid w:val="0"/>
        <w:spacing w:after="0" w:line="240" w:lineRule="auto"/>
        <w:rPr>
          <w:color w:val="000000" w:themeColor="text1"/>
          <w:sz w:val="20"/>
          <w:szCs w:val="28"/>
        </w:rPr>
      </w:pPr>
    </w:p>
    <w:p w:rsidR="00AC1CFF" w:rsidRPr="00490B2A" w:rsidRDefault="00AC1CFF" w:rsidP="00490B2A">
      <w:pPr>
        <w:snapToGrid w:val="0"/>
        <w:spacing w:after="0" w:line="240" w:lineRule="auto"/>
        <w:rPr>
          <w:rFonts w:eastAsiaTheme="minorEastAsia"/>
          <w:b/>
          <w:color w:val="000000" w:themeColor="text1"/>
          <w:sz w:val="20"/>
          <w:szCs w:val="28"/>
          <w:lang w:eastAsia="zh-CN"/>
        </w:rPr>
      </w:pPr>
      <w:r w:rsidRPr="00490B2A">
        <w:rPr>
          <w:b/>
          <w:color w:val="000000" w:themeColor="text1"/>
          <w:sz w:val="20"/>
          <w:szCs w:val="28"/>
        </w:rPr>
        <w:t xml:space="preserve">Keywords: </w:t>
      </w:r>
      <w:r w:rsidRPr="00490B2A">
        <w:rPr>
          <w:color w:val="000000" w:themeColor="text1"/>
          <w:sz w:val="20"/>
          <w:szCs w:val="28"/>
        </w:rPr>
        <w:t>Vulnerability, Vulnerability Framework, Refugee, Disaster, Balochistan.</w:t>
      </w:r>
      <w:r w:rsidR="00700A18" w:rsidRPr="00490B2A">
        <w:rPr>
          <w:b/>
          <w:color w:val="000000" w:themeColor="text1"/>
          <w:sz w:val="20"/>
          <w:szCs w:val="28"/>
        </w:rPr>
        <w:t xml:space="preserve"> </w:t>
      </w:r>
    </w:p>
    <w:p w:rsidR="00700A18" w:rsidRPr="00490B2A" w:rsidRDefault="00700A18" w:rsidP="00490B2A">
      <w:pPr>
        <w:snapToGrid w:val="0"/>
        <w:spacing w:after="0" w:line="240" w:lineRule="auto"/>
        <w:rPr>
          <w:rFonts w:eastAsiaTheme="minorEastAsia"/>
          <w:b/>
          <w:color w:val="000000" w:themeColor="text1"/>
          <w:sz w:val="20"/>
          <w:szCs w:val="28"/>
          <w:lang w:eastAsia="zh-CN"/>
        </w:rPr>
      </w:pPr>
    </w:p>
    <w:p w:rsidR="00490B2A" w:rsidRPr="00490B2A" w:rsidRDefault="00490B2A" w:rsidP="00490B2A">
      <w:pPr>
        <w:snapToGrid w:val="0"/>
        <w:spacing w:after="0" w:line="240" w:lineRule="auto"/>
        <w:rPr>
          <w:b/>
          <w:color w:val="000000" w:themeColor="text1"/>
          <w:sz w:val="20"/>
          <w:szCs w:val="28"/>
        </w:rPr>
        <w:sectPr w:rsidR="00490B2A" w:rsidRPr="00490B2A" w:rsidSect="00D031B1">
          <w:headerReference w:type="default" r:id="rId15"/>
          <w:footerReference w:type="default" r:id="rId16"/>
          <w:type w:val="continuous"/>
          <w:pgSz w:w="12240" w:h="15840"/>
          <w:pgMar w:top="1440" w:right="1440" w:bottom="1440" w:left="1440" w:header="720" w:footer="720" w:gutter="0"/>
          <w:pgNumType w:start="56"/>
          <w:cols w:space="720"/>
          <w:docGrid w:linePitch="360"/>
        </w:sectPr>
      </w:pPr>
    </w:p>
    <w:p w:rsidR="00AC1CFF" w:rsidRPr="00490B2A" w:rsidRDefault="00AC1CFF" w:rsidP="00490B2A">
      <w:pPr>
        <w:snapToGrid w:val="0"/>
        <w:spacing w:after="0" w:line="240" w:lineRule="auto"/>
        <w:rPr>
          <w:b/>
          <w:color w:val="000000" w:themeColor="text1"/>
          <w:sz w:val="20"/>
          <w:szCs w:val="28"/>
        </w:rPr>
      </w:pPr>
      <w:r w:rsidRPr="00490B2A">
        <w:rPr>
          <w:b/>
          <w:color w:val="000000" w:themeColor="text1"/>
          <w:sz w:val="20"/>
          <w:szCs w:val="28"/>
        </w:rPr>
        <w:lastRenderedPageBreak/>
        <w:t xml:space="preserve">1 </w:t>
      </w:r>
      <w:r w:rsidRPr="00490B2A">
        <w:rPr>
          <w:b/>
          <w:color w:val="000000" w:themeColor="text1"/>
          <w:sz w:val="20"/>
          <w:szCs w:val="28"/>
        </w:rPr>
        <w:tab/>
        <w:t>Introduction</w:t>
      </w:r>
      <w:bookmarkEnd w:id="0"/>
    </w:p>
    <w:p w:rsidR="00AC1CFF" w:rsidRPr="00490B2A" w:rsidRDefault="00AC1CFF" w:rsidP="00490B2A">
      <w:pPr>
        <w:snapToGrid w:val="0"/>
        <w:spacing w:after="0" w:line="240" w:lineRule="auto"/>
        <w:ind w:firstLine="425"/>
        <w:rPr>
          <w:rFonts w:eastAsiaTheme="minorEastAsia"/>
          <w:color w:val="000000" w:themeColor="text1"/>
          <w:sz w:val="20"/>
          <w:szCs w:val="28"/>
          <w:lang w:eastAsia="zh-CN"/>
        </w:rPr>
      </w:pPr>
      <w:r w:rsidRPr="00490B2A">
        <w:rPr>
          <w:color w:val="000000" w:themeColor="text1"/>
          <w:sz w:val="20"/>
          <w:szCs w:val="28"/>
        </w:rPr>
        <w:t>Disaster mostly occurs when vulnerability and hazard merge</w:t>
      </w:r>
      <w:r w:rsidR="00700A18" w:rsidRPr="00490B2A">
        <w:rPr>
          <w:color w:val="000000" w:themeColor="text1"/>
          <w:sz w:val="20"/>
          <w:szCs w:val="28"/>
        </w:rPr>
        <w:t xml:space="preserve">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"10.1016/j.gloenvcha.2006.02.006", "ISBN" : "09593780", "ISSN" : "09593780", "abstract" : "This paper reviews research traditions of vulnerability to environmental change and the challenges for present vulnerability research in integrating with the domains of resilience and adaptation. Vulnerability is the state of susceptibility to harm from exposure to stresses associated with environmental and social change and from the absence of capacity to adapt. Antecedent traditions include theories of vulnerability as entitlement failure and theories of hazard. Each of these areas has contributed to present formulations of vulnerability to environmental change as a characteristic of social-ecological systems linked to resilience. Research on vulnerability to the impacts of climate change spans all the antecedent and successor traditions. The challenges for vulnerability research are to develop robust and credible measures, to incorporate diverse methods that include perceptions of risk and vulnerability, and to incorporate governance research on the mechanisms that mediate vulnerability and promote adaptive action and resilience. These challenges are common to the domains of vulnerability, adaptation and resilience and form common ground for consilience and integration. \u00a9 2006 Elsevier Ltd. All rights reserved.", "author" : [ { "dropping-particle" : "", "family" : "Adger", "given" : "W. Neil", "non-dropping-particle" : "", "parse-names" : false, "suffix" : "" } ], "container-title" : "Global Environmental Change", "id" : "ITEM-1", "issue" : "3", "issued" : { "date-parts" : [ [ "2006" ] ] }, "page" : "268-281", "title" : "Vulnerability", "type" : "article-journal", "volume" : "16" }, "uris" : [ "http://www.mendeley.com/documents/?uuid=8799b0e5-7dd2-480c-b95b-40bf42d657e0" ] } ], "mendeley" : { "formattedCitation" : "(W. Neil Adger, 2006)", "plainTextFormattedCitation" : "(W. Neil Adger, 2006)", "previouslyFormattedCitation" : "(W. Neil Adger, 2006)"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(W. Neil Adger, 2006)</w:t>
      </w:r>
      <w:r w:rsidR="00B21E1C" w:rsidRPr="00490B2A">
        <w:rPr>
          <w:color w:val="000000" w:themeColor="text1"/>
          <w:sz w:val="20"/>
          <w:szCs w:val="28"/>
        </w:rPr>
        <w:fldChar w:fldCharType="end"/>
      </w:r>
      <w:r w:rsidRPr="00490B2A">
        <w:rPr>
          <w:color w:val="000000" w:themeColor="text1"/>
          <w:sz w:val="20"/>
          <w:szCs w:val="28"/>
        </w:rPr>
        <w:t xml:space="preserve">. </w:t>
      </w:r>
      <w:r w:rsidRPr="00490B2A">
        <w:rPr>
          <w:color w:val="000000" w:themeColor="text1"/>
          <w:sz w:val="20"/>
          <w:szCs w:val="28"/>
          <w:shd w:val="clear" w:color="auto" w:fill="FFFFFF"/>
        </w:rPr>
        <w:t>For the last fifty years</w:t>
      </w:r>
      <w:r w:rsidR="00B81063" w:rsidRPr="00490B2A">
        <w:rPr>
          <w:color w:val="000000" w:themeColor="text1"/>
          <w:sz w:val="20"/>
          <w:szCs w:val="28"/>
          <w:shd w:val="clear" w:color="auto" w:fill="FFFFFF"/>
        </w:rPr>
        <w:t>,</w:t>
      </w:r>
      <w:r w:rsidRPr="00490B2A">
        <w:rPr>
          <w:color w:val="000000" w:themeColor="text1"/>
          <w:sz w:val="20"/>
          <w:szCs w:val="28"/>
          <w:shd w:val="clear" w:color="auto" w:fill="FFFFFF"/>
        </w:rPr>
        <w:t xml:space="preserve"> it has been observed that the natural disasters affected the populations, economies, infrastructures and environments of various communities all over the world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"10.1073/pnas.1231334100", "ISBN" : "00278424", "ISSN" : "0027-8424", "PMID" : "12815106", "abstract" : "The vulnerability framework of the Research and Assessment Systems for Sustainability Program explicitly recognizes the coupled human-environment system and accounts for interactions in the coupling affecting the system's responses to hazards and its vulnerability. This paper illustrates the usefulness of the vulnerability framework through three case studies: the tropical southern Yucat\u00e1n, the arid Yaqui Valley of northwest Mexico, and the pan-Arctic. Together, these examples illustrate the role of external forces in reshaping the systems in question and their vulnerability to environmental hazards, as well as the different capacities of stakeholders, based on their access to social and biophysical capital, to respond to the changes and hazards. The framework proves useful in directing attention to the interacting parts of the coupled system and helps identify gaps in information and understanding relevant to reducing vulnerability in the systems as a whole.", "author" : [ { "dropping-particle" : "", "family" : "Turner", "given" : "B. L.", "non-dropping-particle" : "", "parse-names" : false, "suffix" : "" }, { "dropping-particle" : "", "family" : "Matson", "given" : "P. A.", "non-dropping-particle" : "", "parse-names" : false, "suffix" : "" }, { "dropping-particle" : "", "family" : "McCarthy", "given" : "J. J.", "non-dropping-particle" : "", "parse-names" : false, "suffix" : "" }, { "dropping-particle" : "", "family" : "Corell", "given" : "R. W.", "non-dropping-particle" : "", "parse-names" : false, "suffix" : "" }, { "dropping-particle" : "", "family" : "Christensen", "given" : "L.", "non-dropping-particle" : "", "parse-names" : false, "suffix" : "" }, { "dropping-particle" : "", "family" : "Eckley", "given" : "N.", "non-dropping-particle" : "", "parse-names" : false, "suffix" : "" }, { "dropping-particle" : "", "family" : "Hovelsrud-Broda", "given" : "G. K.", "non-dropping-particle" : "", "parse-names" : false, "suffix" : "" }, { "dropping-particle" : "", "family" : "Kasperson", "given" : "J. X.", "non-dropping-particle" : "", "parse-names" : false, "suffix" : "" }, { "dropping-particle" : "", "family" : "Kasperson", "given" : "R. E.", "non-dropping-particle" : "", "parse-names" : false, "suffix" : "" }, { "dropping-particle" : "", "family" : "Luers", "given" : "A.", "non-dropping-particle" : "", "parse-names" : false, "suffix" : "" }, { "dropping-particle" : "", "family" : "Martello", "given" : "M. L.", "non-dropping-particle" : "", "parse-names" : false, "suffix" : "" }, { "dropping-particle" : "", "family" : "Mathiesen", "given" : "S.", "non-dropping-particle" : "", "parse-names" : false, "suffix" : "" }, { "dropping-particle" : "", "family" : "Naylor", "given" : "R.", "non-dropping-particle" : "", "parse-names" : false, "suffix" : "" }, { "dropping-particle" : "", "family" : "Polsky", "given" : "C.", "non-dropping-particle" : "", "parse-names" : false, "suffix" : "" }, { "dropping-particle" : "", "family" : "Pulsipher", "given" : "A.", "non-dropping-particle" : "", "parse-names" : false, "suffix" : "" }, { "dropping-particle" : "", "family" : "Schiller", "given" : "A.", "non-dropping-particle" : "", "parse-names" : false, "suffix" : "" }, { "dropping-particle" : "", "family" : "Selin", "given" : "H.", "non-dropping-particle" : "", "parse-names" : false, "suffix" : "" }, { "dropping-particle" : "", "family" : "Tyler", "given" : "N.", "non-dropping-particle" : "", "parse-names" : false, "suffix" : "" } ], "container-title" : "Proceedings of the National Academy of Sciences", "id" : "ITEM-1", "issue" : "14", "issued" : { "date-parts" : [ [ "2003" ] ] }, "page" : "8080-8085", "title" : "Illustrating the coupled human-environment system for vulnerability analysis: Three case studies", "type" : "article-journal", "volume" : "100" }, "uris" : [ "http://www.mendeley.com/documents/?uuid=56b038ef-25ba-4ef9-a0fe-31440184a4ef" ] } ], "mendeley" : { "formattedCitation" : "(Turner et al., 2003)", "plainTextFormattedCitation" : "(Turner et al., 2003)", "previouslyFormattedCitation" : "(Turner et al., 2003)"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(Turner et al., 2003)</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Due to high rate of poverty and urbanization</w:t>
      </w:r>
      <w:r w:rsidR="00B81063" w:rsidRPr="00490B2A">
        <w:rPr>
          <w:color w:val="000000" w:themeColor="text1"/>
          <w:sz w:val="20"/>
          <w:szCs w:val="28"/>
          <w:shd w:val="clear" w:color="auto" w:fill="FFFFFF"/>
        </w:rPr>
        <w:t>,</w:t>
      </w:r>
      <w:r w:rsidRPr="00490B2A">
        <w:rPr>
          <w:color w:val="000000" w:themeColor="text1"/>
          <w:sz w:val="20"/>
          <w:szCs w:val="28"/>
          <w:shd w:val="clear" w:color="auto" w:fill="FFFFFF"/>
        </w:rPr>
        <w:t xml:space="preserve"> Asia is known as the supermarket of disasters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"10.1080/09614520802030607", "ISBN" : "0961452080203", "ISSN" : "09614524", "abstract" : "While there is often a heavy emphasis on disaster response, disaster preparedness and mitigation are, rightfully, receiving more attention. In examining the state of preparedness in Indonesia, this article is divided into three sections. First, it reviews the hazards present in the country, such as conflict, earthquakes, and tsunamis. Second, it considers some of the current efforts underway by the government and international community. Finally, the article contends that the disaster-preparedness process is not yet complete. The main challenges remain: improving co-ordination between different organisations, creating a culture of disaster-risk management, implementing appropriate methods, and maintaining momentum on this issue in the future. ABSTRACT FROM AUTHOR Copyright of Development in Practice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"James", "given" : "Eric", "non-dropping-particle" : "", "parse-names" : false, "suffix" : "" } ], "container-title" : "Development in Practice", "id" : "ITEM-1", "issue" : "3", "issued" : { "date-parts" : [ [ "2008" ] ] }, "page" : "424-429", "title" : "Getting ahead of the next disaster: Recent preparedness efforts in Indonesia", "type" : "article", "volume" : "18" }, "uris" : [ "http://www.mendeley.com/documents/?uuid=96620801-a4c6-43d8-8bb6-179c61c6273f" ] } ], "mendeley" : { "formattedCitation" : "(James, 2008)", "plainTextFormattedCitation" : "(James, 2008)", "previouslyFormattedCitation" : "(James, 2008)"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(James, 2008)</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xml:space="preserve">. Pakistan is prone to natural hazards with different levels of vulnerability in both the urban and rural areas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"author" : [ { "dropping-particle" : "", "family" : "Kakar", "given" : "Zainuddin", "non-dropping-particle" : "", "parse-names" : false, "suffix" : "" }, { "dropping-particle" : "", "family" : "Ahmad", "given" : "Maqsood", "non-dropping-particle" : "", "parse-names" : false, "suffix" : "" } ], "id" : "ITEM-1", "issue" : "2", "issued" : { "date-parts" : [ [ "2013" ] ] }, "page" : "135-140", "title" : "Study on the causes of Water Scarcity in Pishin Lora Basin of Balochistan", "type" : "article-journal", "volume" : "4" }, "uris" : [ "http://www.mendeley.com/documents/?uuid=137699f0-0e38-4448-ae10-f14eb2c8a800" ] } ], "mendeley" : { "formattedCitation" : "(Kakar &amp; Ahmad, 2013)", "plainTextFormattedCitation" : "(Kakar &amp; Ahmad, 2013)", "previouslyFormattedCitation" : "(Kakar &amp; Ahmad, 2013)"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(Kakar</w:t>
      </w:r>
      <w:r w:rsidR="00700A18" w:rsidRPr="00490B2A">
        <w:rPr>
          <w:noProof/>
          <w:color w:val="000000" w:themeColor="text1"/>
          <w:sz w:val="20"/>
          <w:szCs w:val="28"/>
          <w:shd w:val="clear" w:color="auto" w:fill="FFFFFF"/>
        </w:rPr>
        <w:t xml:space="preserve"> &amp; </w:t>
      </w:r>
      <w:r w:rsidRPr="00490B2A">
        <w:rPr>
          <w:noProof/>
          <w:color w:val="000000" w:themeColor="text1"/>
          <w:sz w:val="20"/>
          <w:szCs w:val="28"/>
          <w:shd w:val="clear" w:color="auto" w:fill="FFFFFF"/>
        </w:rPr>
        <w:t>Ahmad, 2013)</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w:t>
      </w:r>
      <w:r w:rsidRPr="00490B2A">
        <w:rPr>
          <w:color w:val="000000" w:themeColor="text1"/>
          <w:sz w:val="20"/>
          <w:szCs w:val="28"/>
        </w:rPr>
        <w:t xml:space="preserve"> </w:t>
      </w:r>
      <w:r w:rsidRPr="00490B2A">
        <w:rPr>
          <w:color w:val="000000" w:themeColor="text1"/>
          <w:sz w:val="20"/>
          <w:szCs w:val="28"/>
          <w:shd w:val="clear" w:color="auto" w:fill="FFFFFF"/>
        </w:rPr>
        <w:t xml:space="preserve">Due to increasing trend of disasters, communities become more vulnerable socially, economically, physically and institutionally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"10.1016/j.procs.2015.07.458", "ISBN" : "9183329005", "ISSN" : "18770509", "abstract" : "Complexity of systems are increasing day by day. This leads to more and more vulnerabilities in Systems. Attackers use these vulnerabilities to exploit the victim's system. It is better to find out these vulnerabilities in advance before attacker do. The power of Vulnerability assessment is usually underestimated. While Vulnerability Assessment and Penetration Testing can be used as a cyber-defence technology to provide proactive cyber defence. In this paper we proved Vulnerability Assessment and Penetration Testing (VAPT) as a Cyber defence technology, how we can provide active cyber defence using Vulnerability Assessment and Penetration Testing. We described complete life cycle of Vulnerability Assessment and Penetration Testing on systems or networks and proactive action taken to resolve that vulnerability and stop possible attack. In this paper we have described prevalent Vulnerability assessment techniques and some famous premium/open source VAPT tools. We have described complete process of how to use Vulnerability Assessment and Penetration Testing as a powerful Cyber Defence Technology.", "author" : [ { "dropping-particle" : "", "family" : "Goel", "given" : "Jai Narayan", "non-dropping-particle" : "", "parse-names" : false, "suffix" : "" }, { "dropping-particle" : "", "family" : "Mehtre", "given" : "B M", "non-dropping-particle" : "", "parse-names" : false, "suffix" : "" } ], "container-title" : "Procedia Computer Science", "id" : "ITEM-1", "issued" : { "date-parts" : [ [ "2015" ] ] }, "page" : "710-715", "title" : "Vulnerability Assessment &amp; Penetration Testing as a Cyber Defence Technology", "type" : "paper-conference", "volume" : "57" }, "uris" : [ "http://www.mendeley.com/documents/?uuid=157e5775-44fd-4104-b90e-be6d4450f3da" ] } ], "mendeley" : { "formattedCitation" : "(Goel &amp; Mehtre, 2015)", "plainTextFormattedCitation" : "(Goel &amp; Mehtre, 2015)", "previouslyFormattedCitation" : "(Goel &amp; Mehtre, 2015)"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(Goel</w:t>
      </w:r>
      <w:r w:rsidR="00700A18" w:rsidRPr="00490B2A">
        <w:rPr>
          <w:noProof/>
          <w:color w:val="000000" w:themeColor="text1"/>
          <w:sz w:val="20"/>
          <w:szCs w:val="28"/>
          <w:shd w:val="clear" w:color="auto" w:fill="FFFFFF"/>
        </w:rPr>
        <w:t xml:space="preserve"> &amp; </w:t>
      </w:r>
      <w:r w:rsidRPr="00490B2A">
        <w:rPr>
          <w:noProof/>
          <w:color w:val="000000" w:themeColor="text1"/>
          <w:sz w:val="20"/>
          <w:szCs w:val="28"/>
          <w:shd w:val="clear" w:color="auto" w:fill="FFFFFF"/>
        </w:rPr>
        <w:t>Mehtre, 2015)</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xml:space="preserve">. The experiences gained through recent past disasters like (“Indian Ocean Tsunami 2004, Bam Earthquake 2003, Haiti Earthquake 2009 and Kashmir Earthquake 2005”) and challenges faced by the local and national governments, donors and many other are thinking about prior disaster management activities to reduce the overall disaster risk and their impacts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"10.1007/s11069-012-0201-x", "ISBN" : "0921-030X", "ISSN" : "0921030X", "abstract" : "Resilience is widely used from a variety of research perspectives; however, community resilience in particular is applied to a number of natural hazards and disasters-related studies, programs, and activities. It is also acknowledged that its measurement is cumbersome but not impossible. The prime objective of this paper is to measure the community resilience of an earthquake-prone area in Baluchistan. The article presents the concept of resilience, its approaches, selection of indicators, formulation of subjective assessment method for weighting the indicators, and finally, developing the community resilience index. For the community resilience measurement, a survey was conducted among 200 households in two earthquake risk zones of Quetta city, using simple random sampling method. The overall composite community resilience index revealed that the resilience is low in both the zones\u2014A and B. However, it is revealed that there is a significant difference between the zones when compared against the components and indicators. Community resilience components such as economic, institutional, and physical have received higher index values in Zone B as compared to Zone A. Based on the findings, it is recommended to improve the socioeconomic, institutional, and structural (housing) conditions of the community by raising the community awareness and pre-paredness, implementing building codes, and providing income-generating activities in order to enhance the community resilience to cope up with earthquake hazards in the future.", "author" : [ { "dropping-particle" : "", "family" : "Ainuddin", "given" : "Syed", "non-dropping-particle" : "", "parse-names" : false, "suffix" : "" }, { "dropping-particle" : "", "family" : "Routray", "given" : "Jayant Kumar", "non-dropping-particle" : "", "parse-names" : false, "suffix" : "" } ], "container-title" : "Natural Hazards", "id" : "ITEM-1", "issue" : "2", "issued" : { "date-parts" : [ [ "2012" ] ] }, "page" : "909-937", "title" : "Earthquake hazards and community resilience in Baluchistan", "type" : "article-journal", "volume" : "63" }, "uris" : [ "http://www.mendeley.com/documents/?uuid=f29f9884-61ce-4055-8d79-8ae55c99eedb" ] } ], "mendeley" : { "formattedCitation" : "(Ainuddin &amp; Routray, 2012b)", "plainTextFormattedCitation" : "(Ainuddin &amp; Routray, 2012b)", "previouslyFormattedCitation" : "(Ainuddin &amp; Routray, 2012b)"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(Ainuddin</w:t>
      </w:r>
      <w:r w:rsidR="00700A18" w:rsidRPr="00490B2A">
        <w:rPr>
          <w:noProof/>
          <w:color w:val="000000" w:themeColor="text1"/>
          <w:sz w:val="20"/>
          <w:szCs w:val="28"/>
          <w:shd w:val="clear" w:color="auto" w:fill="FFFFFF"/>
        </w:rPr>
        <w:t xml:space="preserve"> &amp; </w:t>
      </w:r>
      <w:r w:rsidRPr="00490B2A">
        <w:rPr>
          <w:noProof/>
          <w:color w:val="000000" w:themeColor="text1"/>
          <w:sz w:val="20"/>
          <w:szCs w:val="28"/>
          <w:shd w:val="clear" w:color="auto" w:fill="FFFFFF"/>
        </w:rPr>
        <w:t>Routray, 2012b)</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xml:space="preserve">. In disaster management activities paradigm shift from post </w:t>
      </w:r>
      <w:r w:rsidRPr="00490B2A">
        <w:rPr>
          <w:color w:val="000000" w:themeColor="text1"/>
          <w:sz w:val="20"/>
          <w:szCs w:val="28"/>
          <w:shd w:val="clear" w:color="auto" w:fill="FFFFFF"/>
        </w:rPr>
        <w:lastRenderedPageBreak/>
        <w:t xml:space="preserve">disaster activities to prior disaster activities like disaster risk reduction in line with two main Frameworks (Hyogo framework for action 2005-2015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"978-600-6937-11-3", "ISBN" : "978-600-6937-11-3", "ISSN" : "1615-5947", "PMID" : "50303894", "abstract" : "The United Nations International Strategy for Disaster Reduction (UNISDR) Terminology aims to promote common understanding and common usage of disaster risk reduction concepts and to assist the disaster risk reduction efforts of authorities, practitioners and the public. The previous version \u201cTerminology: Basic terms of disaster risk reduction\u201d was published in \u201cLiving with risk: a global review of disaster risk reduction initiatives\u201d in 2004. The following year, the Hyogo Framework for Action 2005-2015 requested the UNISDR to \u201cupdate and widely disseminate international standard terminology related to disaster risk reduction, at least in all official United Nations languages, for use in programme and institutions development, operations, research, training curricula and public information programmes\u201d. The 2009 version is the result of a process of ongoing review by the UNISDR and consultations with a broad range of experts and practitioners in various international venues, regional discussions and national settings. The terms are now defined by a single sentence. The comments paragraph associated with each term is not part of the definition, but is provided to give additional context, qualification and explanation. It should be noted that the terms are not necessarily mutually exclusive, and in some cases may have overlapping meanings. The Terminology has been revised to include words that are central to the contemporary understanding and evolving practice of disaster risk reduction but exclude words that have a common dictionary usage. Also included are a number of emerging new concepts that are not in widespread use but are of growing professional relevance; these terms are marked with a star (*) and their definition may evolve in future. The English version of the 2009 Terminology provides the basis for the preparation of other language versions. Comments and suggestions for future revisions are welcome and should be directed to the UNISDR (see www.unisdr.org).", "author" : [ { "dropping-particle" : "", "family" : "UNISDR", "given" : "", "non-dropping-particle" : "", "parse-names" : false, "suffix" : "" } ], "container-title" : "International Stratergy for Disaster Reduction (ISDR)", "id" : "ITEM-1", "issued" : { "date-parts" : [ [ "2009" ] ] }, "page" : "1-30", "title" : "2009 UNISDR Terminology on Disaster Risk Reduction", "type" : "article-journal" }, "uris" : [ "http://www.mendeley.com/documents/?uuid=9e7cb5e7-e346-495b-a6c5-9c31fc51b697" ] } ], "mendeley" : { "formattedCitation" : "(UNISDR, 2009)", "plainTextFormattedCitation" : "(UNISDR, 2009)", "previouslyFormattedCitation" : "(UNISDR, 2009)"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(UNISDR, 2009)</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xml:space="preserve"> and Sendai Framework 2015-2030 </w:t>
      </w:r>
      <w:r w:rsidR="00B21E1C" w:rsidRPr="00490B2A">
        <w:rPr>
          <w:color w:val="000000" w:themeColor="text1"/>
          <w:sz w:val="20"/>
          <w:szCs w:val="28"/>
          <w:shd w:val="clear" w:color="auto" w:fill="FFFFFF"/>
        </w:rPr>
        <w:fldChar w:fldCharType="begin" w:fldLock="1"/>
      </w:r>
      <w:r w:rsidRPr="00490B2A">
        <w:rPr>
          <w:color w:val="000000" w:themeColor="text1"/>
          <w:sz w:val="20"/>
          <w:szCs w:val="28"/>
          <w:shd w:val="clear" w:color="auto" w:fill="FFFFFF"/>
        </w:rPr>
        <w:instrText>ADDIN CSL_CITATION { "citationItems" : [ { "id" : "ITEM-1", "itemData" : { "DOI" : "10.1007/s13753-015-0050-9", "ISBN" : "1375301500", "ISSN" : "20950055", "abstract" : "The Sendai Framework for Disaster Risk Reduction 2015\u20132030 (SFDRR) is the first global policy framework of the United Nations\u2019 post-2015 agenda. It represents a step in the direction of global policy coherence with explicit reference to health, development, and climate change. To develop SFDRR, the United Nations Office for Disaster Risk Reduction (UNISDR) organized and facilitated several global, regional, national, and intergovernmental negotiations and technical meetings in the period preceding the World Conference on Disaster Risk Reduction (WCDRR) 2015 where SFDRR was adopted. UNISDR also worked with representatives of governments, UN agencies, and scientists to develop targets and indicators for SFDRR and proposed them to member states for negotiation and adoption as measures of progress and achievement in protecting lives and livelihoods. The multiple efforts of the health community in the policy development process, including campaigning for safe schools and hospitals, helped to put people\u2019s mental and physical health, resilience, and well-being higher up the disaster risk reduction (DRR) agenda compared with the Hyogo Framework for Action 2005\u20132015. This article reviews the historical and contemporary policy development process that led to the SFDRR with particular reference to the development of the health theme.", "author" : [ { "dropping-particle" : "", "family" : "Aitsi-Selmi", "given" : "Amina", "non-dropping-particle" : "", "parse-names" : false, "suffix" : "" }, { "dropping-particle" : "", "family" : "Egawa", "given" : "Shinichi", "non-dropping-particle" : "", "parse-names" : false, "suffix" : "" }, { "dropping-particle" : "", "family" : "Sasaki", "given" : "Hiroyuki", "non-dropping-particle" : "", "parse-names" : false, "suffix" : "" }, { "dropping-particle" : "", "family" : "Wannous", "given" : "Chadia", "non-dropping-particle" : "", "parse-names" : false, "suffix" : "" }, { "dropping-particle" : "", "family" : "Murray", "given" : "Virginia", "non-dropping-particle" : "", "parse-names" : false, "suffix" : "" } ], "container-title" : "International Journal of Disaster Risk Science", "id" : "ITEM-1", "issue" : "2", "issued" : { "date-parts" : [ [ "2015" ] ] }, "page" : "164-176", "publisher" : "Beijing Normal University Press", "title" : "The Sendai Framework for Disaster Risk Reduction: Renewing the Global Commitment to People\u2019s Resilience, Health, and Well-being", "type" : "article-journal", "volume" : "6" }, "uris" : [ "http://www.mendeley.com/documents/?uuid=5602fbc5-3c46-4108-8b60-2be087ce3d6d" ] } ], "mendeley" : { "formattedCitation" : "(Aitsi-Selmi, Egawa, Sasaki, Wannous, &amp; Murray, 2015)", "plainTextFormattedCitation" : "(Aitsi-Selmi, Egawa, Sasaki, Wannous, &amp; Murray, 2015)", "previouslyFormattedCitation" : "(Aitsi-Selmi, Egawa, Sasaki, Wannous, &amp; Murray, 2015)" }, "properties" : { "noteIndex" : 0 }, "schema" : "https://github.com/citation-style-language/schema/raw/master/csl-citation.json" }</w:instrText>
      </w:r>
      <w:r w:rsidR="00B21E1C" w:rsidRPr="00490B2A">
        <w:rPr>
          <w:color w:val="000000" w:themeColor="text1"/>
          <w:sz w:val="20"/>
          <w:szCs w:val="28"/>
          <w:shd w:val="clear" w:color="auto" w:fill="FFFFFF"/>
        </w:rPr>
        <w:fldChar w:fldCharType="separate"/>
      </w:r>
      <w:r w:rsidRPr="00490B2A">
        <w:rPr>
          <w:noProof/>
          <w:color w:val="000000" w:themeColor="text1"/>
          <w:sz w:val="20"/>
          <w:szCs w:val="28"/>
          <w:shd w:val="clear" w:color="auto" w:fill="FFFFFF"/>
        </w:rPr>
        <w:t>(Aitsi-Selmi, Egawa, Sasaki, Wannous,</w:t>
      </w:r>
      <w:r w:rsidR="00700A18" w:rsidRPr="00490B2A">
        <w:rPr>
          <w:noProof/>
          <w:color w:val="000000" w:themeColor="text1"/>
          <w:sz w:val="20"/>
          <w:szCs w:val="28"/>
          <w:shd w:val="clear" w:color="auto" w:fill="FFFFFF"/>
        </w:rPr>
        <w:t xml:space="preserve"> &amp; </w:t>
      </w:r>
      <w:r w:rsidRPr="00490B2A">
        <w:rPr>
          <w:noProof/>
          <w:color w:val="000000" w:themeColor="text1"/>
          <w:sz w:val="20"/>
          <w:szCs w:val="28"/>
          <w:shd w:val="clear" w:color="auto" w:fill="FFFFFF"/>
        </w:rPr>
        <w:t>Murray, 2015)</w:t>
      </w:r>
      <w:r w:rsidR="00B21E1C" w:rsidRPr="00490B2A">
        <w:rPr>
          <w:color w:val="000000" w:themeColor="text1"/>
          <w:sz w:val="20"/>
          <w:szCs w:val="28"/>
          <w:shd w:val="clear" w:color="auto" w:fill="FFFFFF"/>
        </w:rPr>
        <w:fldChar w:fldCharType="end"/>
      </w:r>
      <w:r w:rsidRPr="00490B2A">
        <w:rPr>
          <w:color w:val="000000" w:themeColor="text1"/>
          <w:sz w:val="20"/>
          <w:szCs w:val="28"/>
          <w:shd w:val="clear" w:color="auto" w:fill="FFFFFF"/>
        </w:rPr>
        <w:t xml:space="preserve">. Therefore, this paper has made an attempt to assess the community vulnerability in the context of natural hazards in Baluchistan. </w:t>
      </w:r>
      <w:r w:rsidRPr="00490B2A">
        <w:rPr>
          <w:color w:val="000000" w:themeColor="text1"/>
          <w:sz w:val="20"/>
          <w:szCs w:val="28"/>
        </w:rPr>
        <w:t xml:space="preserve">The study area has been typically exposed to natural disasters (flood, Drought, earthquake), on account of its unique geographical conditions. In this paper vulnerability assessment is taken based on four main components social, </w:t>
      </w:r>
      <w:r w:rsidR="00BF723E" w:rsidRPr="00490B2A">
        <w:rPr>
          <w:color w:val="000000" w:themeColor="text1"/>
          <w:sz w:val="20"/>
          <w:szCs w:val="28"/>
        </w:rPr>
        <w:t>economic</w:t>
      </w:r>
      <w:r w:rsidRPr="00490B2A">
        <w:rPr>
          <w:color w:val="000000" w:themeColor="text1"/>
          <w:sz w:val="20"/>
          <w:szCs w:val="28"/>
        </w:rPr>
        <w:t xml:space="preserve"> physical and institutional. The study would be beneficial to addressing the grassroots level problems in the context of natural disasters at community level.</w:t>
      </w:r>
      <w:r w:rsidR="00700A18" w:rsidRPr="00490B2A">
        <w:rPr>
          <w:color w:val="000000" w:themeColor="text1"/>
          <w:sz w:val="20"/>
          <w:szCs w:val="28"/>
        </w:rPr>
        <w:t xml:space="preserve"> </w:t>
      </w:r>
      <w:r w:rsidRPr="00490B2A">
        <w:rPr>
          <w:color w:val="000000" w:themeColor="text1"/>
          <w:sz w:val="20"/>
          <w:szCs w:val="28"/>
        </w:rPr>
        <w:t>Thus it helps in protecting livelihoods and assets during disaster periods.</w:t>
      </w:r>
    </w:p>
    <w:p w:rsidR="00700A18" w:rsidRPr="00490B2A" w:rsidRDefault="00700A18" w:rsidP="00490B2A">
      <w:pPr>
        <w:snapToGrid w:val="0"/>
        <w:spacing w:after="0" w:line="240" w:lineRule="auto"/>
        <w:ind w:firstLine="425"/>
        <w:rPr>
          <w:rFonts w:eastAsiaTheme="minorEastAsia"/>
          <w:color w:val="000000" w:themeColor="text1"/>
          <w:sz w:val="20"/>
          <w:szCs w:val="28"/>
          <w:lang w:eastAsia="zh-CN"/>
        </w:rPr>
      </w:pPr>
    </w:p>
    <w:p w:rsidR="00AC1CFF" w:rsidRPr="00490B2A" w:rsidRDefault="00AC1CFF" w:rsidP="00490B2A">
      <w:pPr>
        <w:snapToGrid w:val="0"/>
        <w:spacing w:after="0" w:line="240" w:lineRule="auto"/>
        <w:rPr>
          <w:b/>
          <w:color w:val="000000" w:themeColor="text1"/>
          <w:sz w:val="20"/>
          <w:szCs w:val="28"/>
        </w:rPr>
      </w:pPr>
      <w:r w:rsidRPr="00490B2A">
        <w:rPr>
          <w:b/>
          <w:color w:val="000000" w:themeColor="text1"/>
          <w:sz w:val="20"/>
          <w:szCs w:val="28"/>
        </w:rPr>
        <w:t>2</w:t>
      </w:r>
      <w:r w:rsidRPr="00490B2A">
        <w:rPr>
          <w:b/>
          <w:color w:val="000000" w:themeColor="text1"/>
          <w:sz w:val="20"/>
          <w:szCs w:val="28"/>
        </w:rPr>
        <w:tab/>
        <w:t>Concepts and Approaches to Vulnerability</w:t>
      </w:r>
    </w:p>
    <w:p w:rsidR="00AC1CFF" w:rsidRPr="00490B2A" w:rsidRDefault="00AC1CFF" w:rsidP="00490B2A">
      <w:pPr>
        <w:snapToGrid w:val="0"/>
        <w:spacing w:after="0" w:line="240" w:lineRule="auto"/>
        <w:rPr>
          <w:b/>
          <w:color w:val="000000" w:themeColor="text1"/>
          <w:sz w:val="20"/>
          <w:szCs w:val="28"/>
        </w:rPr>
      </w:pPr>
      <w:r w:rsidRPr="00490B2A">
        <w:rPr>
          <w:b/>
          <w:color w:val="000000" w:themeColor="text1"/>
          <w:sz w:val="20"/>
          <w:szCs w:val="28"/>
        </w:rPr>
        <w:t>2.1</w:t>
      </w:r>
      <w:r w:rsidRPr="00490B2A">
        <w:rPr>
          <w:b/>
          <w:color w:val="000000" w:themeColor="text1"/>
          <w:sz w:val="20"/>
          <w:szCs w:val="28"/>
        </w:rPr>
        <w:tab/>
        <w:t xml:space="preserve">Vulnerability </w:t>
      </w:r>
    </w:p>
    <w:p w:rsidR="00AC1CFF" w:rsidRPr="00490B2A" w:rsidRDefault="00692900" w:rsidP="00490B2A">
      <w:pPr>
        <w:snapToGrid w:val="0"/>
        <w:spacing w:after="0" w:line="240" w:lineRule="auto"/>
        <w:ind w:firstLine="425"/>
        <w:rPr>
          <w:color w:val="000000" w:themeColor="text1"/>
          <w:sz w:val="20"/>
          <w:szCs w:val="28"/>
        </w:rPr>
      </w:pPr>
      <w:r w:rsidRPr="00490B2A">
        <w:rPr>
          <w:color w:val="000000" w:themeColor="text1"/>
          <w:sz w:val="20"/>
          <w:szCs w:val="28"/>
        </w:rPr>
        <w:t>In the discussion of disasters v</w:t>
      </w:r>
      <w:r w:rsidR="00AC1CFF" w:rsidRPr="00490B2A">
        <w:rPr>
          <w:color w:val="000000" w:themeColor="text1"/>
          <w:sz w:val="20"/>
          <w:szCs w:val="28"/>
        </w:rPr>
        <w:t xml:space="preserve">ulnerability is the most common word </w:t>
      </w:r>
      <w:r w:rsidR="00B21E1C" w:rsidRPr="00490B2A">
        <w:rPr>
          <w:color w:val="000000" w:themeColor="text1"/>
          <w:sz w:val="20"/>
          <w:szCs w:val="28"/>
        </w:rPr>
        <w:fldChar w:fldCharType="begin" w:fldLock="1"/>
      </w:r>
      <w:r w:rsidR="00AC1CFF" w:rsidRPr="00490B2A">
        <w:rPr>
          <w:color w:val="000000" w:themeColor="text1"/>
          <w:sz w:val="20"/>
          <w:szCs w:val="28"/>
        </w:rPr>
        <w:instrText>ADDIN CSL_CITATION { "citationItems" : [ { "id" : "ITEM-1", "itemData" : { "DOI" : "10.13140/2.1.1070.5923", "author" : [ { "dropping-particle" : "", "family" : "Kapoi", "given" : "Kipterer John", "non-dropping-particle" : "", "parse-names" : false, "suffix" : "" }, { "dropping-particle" : "", "family" : "Mundia", "given" : "Ndegwa", "non-dropping-particle" : "", "parse-names" : false, "suffix" : "" } ], "id" : "ITEM-1", "issue" : "May", "issued" : { "date-parts" : [ [ "2014" ] ] }, "page" : "7-10", "title" : "Vulnerability and Drought Risk Assessment for Baringo county livelihoods", "type" : "article-journal", "volume" : "5" }, "uris" : [ "http://www.mendeley.com/documents/?uuid=5b3e3412-4662-43b1-bc45-ce6d8930629b" ] } ], "mendeley" : { "formattedCitation" : "(Kapoi &amp; Mundia, 2014)", "plainTextFormattedCitation" : "(Kapoi &amp; Mundia, 2014)", "previouslyFormattedCitation" : "(Kapoi &amp; Mundia, 2014)" }, "properties" : { "noteIndex" : 0 }, "schema" : "https://github.com/citation-style-language/schema/raw/master/csl-citation.json" }</w:instrText>
      </w:r>
      <w:r w:rsidR="00B21E1C" w:rsidRPr="00490B2A">
        <w:rPr>
          <w:color w:val="000000" w:themeColor="text1"/>
          <w:sz w:val="20"/>
          <w:szCs w:val="28"/>
        </w:rPr>
        <w:fldChar w:fldCharType="separate"/>
      </w:r>
      <w:r w:rsidR="00AC1CFF" w:rsidRPr="00490B2A">
        <w:rPr>
          <w:noProof/>
          <w:color w:val="000000" w:themeColor="text1"/>
          <w:sz w:val="20"/>
          <w:szCs w:val="28"/>
        </w:rPr>
        <w:t>(Kapoi</w:t>
      </w:r>
      <w:r w:rsidR="00700A18" w:rsidRPr="00490B2A">
        <w:rPr>
          <w:noProof/>
          <w:color w:val="000000" w:themeColor="text1"/>
          <w:sz w:val="20"/>
          <w:szCs w:val="28"/>
        </w:rPr>
        <w:t xml:space="preserve"> &amp; </w:t>
      </w:r>
      <w:r w:rsidR="00AC1CFF" w:rsidRPr="00490B2A">
        <w:rPr>
          <w:noProof/>
          <w:color w:val="000000" w:themeColor="text1"/>
          <w:sz w:val="20"/>
          <w:szCs w:val="28"/>
        </w:rPr>
        <w:t>Mundia, 2014)</w:t>
      </w:r>
      <w:r w:rsidR="00B21E1C" w:rsidRPr="00490B2A">
        <w:rPr>
          <w:color w:val="000000" w:themeColor="text1"/>
          <w:sz w:val="20"/>
          <w:szCs w:val="28"/>
        </w:rPr>
        <w:fldChar w:fldCharType="end"/>
      </w:r>
      <w:r w:rsidR="00AC1CFF" w:rsidRPr="00490B2A">
        <w:rPr>
          <w:color w:val="000000" w:themeColor="text1"/>
          <w:sz w:val="20"/>
          <w:szCs w:val="28"/>
        </w:rPr>
        <w:t xml:space="preserve">. In </w:t>
      </w:r>
      <w:r w:rsidRPr="00490B2A">
        <w:rPr>
          <w:color w:val="000000" w:themeColor="text1"/>
          <w:sz w:val="20"/>
          <w:szCs w:val="28"/>
        </w:rPr>
        <w:t xml:space="preserve">the </w:t>
      </w:r>
      <w:r w:rsidR="00AC1CFF" w:rsidRPr="00490B2A">
        <w:rPr>
          <w:color w:val="000000" w:themeColor="text1"/>
          <w:sz w:val="20"/>
          <w:szCs w:val="28"/>
        </w:rPr>
        <w:t>literature</w:t>
      </w:r>
      <w:r w:rsidRPr="00490B2A">
        <w:rPr>
          <w:color w:val="000000" w:themeColor="text1"/>
          <w:sz w:val="20"/>
          <w:szCs w:val="28"/>
        </w:rPr>
        <w:t>,</w:t>
      </w:r>
      <w:r w:rsidR="00700A18" w:rsidRPr="00490B2A">
        <w:rPr>
          <w:color w:val="000000" w:themeColor="text1"/>
          <w:sz w:val="20"/>
          <w:szCs w:val="28"/>
        </w:rPr>
        <w:t xml:space="preserve"> </w:t>
      </w:r>
      <w:r w:rsidR="00AC1CFF" w:rsidRPr="00490B2A">
        <w:rPr>
          <w:color w:val="000000" w:themeColor="text1"/>
          <w:sz w:val="20"/>
          <w:szCs w:val="28"/>
        </w:rPr>
        <w:t xml:space="preserve">vulnerability is defend with the number of </w:t>
      </w:r>
      <w:r w:rsidR="00AC1CFF" w:rsidRPr="00490B2A">
        <w:rPr>
          <w:color w:val="000000" w:themeColor="text1"/>
          <w:sz w:val="20"/>
          <w:szCs w:val="28"/>
        </w:rPr>
        <w:lastRenderedPageBreak/>
        <w:t xml:space="preserve">various definitions but the common definition is “the condition or a set of conditions that make a community susceptible to impacts of the hazards and disasters </w:t>
      </w:r>
      <w:r w:rsidR="00B21E1C" w:rsidRPr="00490B2A">
        <w:rPr>
          <w:color w:val="000000" w:themeColor="text1"/>
          <w:sz w:val="20"/>
          <w:szCs w:val="28"/>
        </w:rPr>
        <w:fldChar w:fldCharType="begin" w:fldLock="1"/>
      </w:r>
      <w:r w:rsidR="00AC1CFF" w:rsidRPr="00490B2A">
        <w:rPr>
          <w:color w:val="000000" w:themeColor="text1"/>
          <w:sz w:val="20"/>
          <w:szCs w:val="28"/>
        </w:rPr>
        <w:instrText>ADDIN CSL_CITATION { "citationItems" : [ { "id" : "ITEM-1", "itemData" : { "DOI" : "978-600-6937-11-3", "ISBN" : "978-600-6937-11-3", "ISSN" : "1615-5947", "PMID" : "50303894", "abstract" : "The United Nations International Strategy for Disaster Reduction (UNISDR) Terminology aims to promote common understanding and common usage of disaster risk reduction concepts and to assist the disaster risk reduction efforts of authorities, practitioners and the public. The previous version \u201cTerminology: Basic terms of disaster risk reduction\u201d was published in \u201cLiving with risk: a global review of disaster risk reduction initiatives\u201d in 2004. The following year, the Hyogo Framework for Action 2005-2015 requested the UNISDR to \u201cupdate and widely disseminate international standard terminology related to disaster risk reduction, at least in all official United Nations languages, for use in programme and institutions development, operations, research, training curricula and public information programmes\u201d. The 2009 version is the result of a process of ongoing review by the UNISDR and consultations with a broad range of experts and practitioners in various international venues, regional discussions and national settings. The terms are now defined by a single sentence. The comments paragraph associated with each term is not part of the definition, but is provided to give additional context, qualification and explanation. It should be noted that the terms are not necessarily mutually exclusive, and in some cases may have overlapping meanings. The Terminology has been revised to include words that are central to the contemporary understanding and evolving practice of disaster risk reduction but exclude words that have a common dictionary usage. Also included are a number of emerging new concepts that are not in widespread use but are of growing professional relevance; these terms are marked with a star (*) and their definition may evolve in future. The English version of the 2009 Terminology provides the basis for the preparation of other language versions. Comments and suggestions for future revisions are welcome and should be directed to the UNISDR (see www.unisdr.org).", "author" : [ { "dropping-particle" : "", "family" : "UNISDR", "given" : "", "non-dropping-particle" : "", "parse-names" : false, "suffix" : "" } ], "container-title" : "International Stratergy for Disaster Reduction (ISDR)", "id" : "ITEM-1", "issued" : { "date-parts" : [ [ "2009" ] ] }, "page" : "1-30", "title" : "2009 UNISDR Terminology on Disaster Risk Reduction", "type" : "article-journal" }, "uris" : [ "http://www.mendeley.com/documents/?uuid=9e7cb5e7-e346-495b-a6c5-9c31fc51b697" ] }, { "id" : "ITEM-2", "itemData" : { "DOI" : "10.1111/j.1467-7660.2007.00441_5.x", "ISBN" : "9280811355\\r9789280811353", "abstract" : "Summary: A seemingly non-stop series of disasters has shown that societies worldwide seem unprepared for the threats posed by natural hazards. The tragic impacts of these events drew short-term attention from policy makers, the media and the general public, but their response was too late to prevent serious harm. Societies need to measure their vulnerabilities in advance, and make adequate provisions. This publication presents a broad range of current approaches to measuring vulnerability and contains concrete experiences and examples from Africa, Asia, the Americas and Europe to illustrate the theoretical analyses.--Publisher's description", "author" : [ { "dropping-particle" : "", "family" : "Birkmann", "given" : "J\u00f6rn", "non-dropping-particle" : "", "parse-names" : false, "suffix" : "" } ], "container-title" : "Measuring vulnerability to natural hazards: towards disaster resilient societies", "id" : "ITEM-2", "issued" : { "date-parts" : [ [ "2006" ] ] }, "page" : "55-77", "title" : "Indicators and criteria for measuring vulnerability: Theoretical bases and requirements", "type" : "article-journal", "volume" : "02" }, "uris" : [ "http://www.mendeley.com/documents/?uuid=7145e02d-5a07-499a-9b71-f372bc7ff33f" ] } ], "mendeley" : { "formattedCitation" : "(Birkmann, 2006; UNISDR, 2009)", "plainTextFormattedCitation" : "(Birkmann, 2006; UNISDR, 2009)", "previouslyFormattedCitation" : "(Birkmann, 2006; UNISDR, 2009)" }, "properties" : { "noteIndex" : 0 }, "schema" : "https://github.com/citation-style-language/schema/raw/master/csl-citation.json" }</w:instrText>
      </w:r>
      <w:r w:rsidR="00B21E1C" w:rsidRPr="00490B2A">
        <w:rPr>
          <w:color w:val="000000" w:themeColor="text1"/>
          <w:sz w:val="20"/>
          <w:szCs w:val="28"/>
        </w:rPr>
        <w:fldChar w:fldCharType="separate"/>
      </w:r>
      <w:r w:rsidR="00AC1CFF" w:rsidRPr="00490B2A">
        <w:rPr>
          <w:noProof/>
          <w:color w:val="000000" w:themeColor="text1"/>
          <w:sz w:val="20"/>
          <w:szCs w:val="28"/>
        </w:rPr>
        <w:t>(Birkmann, 2006; UNISDR, 2009)</w:t>
      </w:r>
      <w:r w:rsidR="00B21E1C" w:rsidRPr="00490B2A">
        <w:rPr>
          <w:color w:val="000000" w:themeColor="text1"/>
          <w:sz w:val="20"/>
          <w:szCs w:val="28"/>
        </w:rPr>
        <w:fldChar w:fldCharType="end"/>
      </w:r>
      <w:r w:rsidR="00AC1CFF" w:rsidRPr="00490B2A">
        <w:rPr>
          <w:color w:val="000000" w:themeColor="text1"/>
          <w:sz w:val="20"/>
          <w:szCs w:val="28"/>
        </w:rPr>
        <w:t xml:space="preserve">. Vulnerability assessment is rare and complex task </w:t>
      </w:r>
      <w:r w:rsidR="00B21E1C" w:rsidRPr="00490B2A">
        <w:rPr>
          <w:color w:val="000000" w:themeColor="text1"/>
          <w:sz w:val="20"/>
          <w:szCs w:val="28"/>
        </w:rPr>
        <w:fldChar w:fldCharType="begin" w:fldLock="1"/>
      </w:r>
      <w:r w:rsidR="00AC1CFF" w:rsidRPr="00490B2A">
        <w:rPr>
          <w:color w:val="000000" w:themeColor="text1"/>
          <w:sz w:val="20"/>
          <w:szCs w:val="28"/>
        </w:rPr>
        <w:instrText>ADDIN CSL_CITATION { "citationItems" : [ { "id" : "ITEM-1", "itemData" : { "DOI" : "10.1016/j.ijdrr.2012.07.003", "ISBN" : "2212-4209", "ISSN" : "22124209", "abstract" : "The development literature on hazards and disasters indicates a visible paradigm shift from hazard assessment to vulnerability analysis and building community resilience. This shift has taken place just after the Kobe Earthquake in 2005, which necessitated the formulation of Hyogo Framework of Actions, the global framework for disaster risk reduction. One of the goals of this framework is to build the resilience of the communities prone to hazards and disasters. The objective of this paper is to analyze and review the frameworks on community resilience in the context of hazards and natural disasters and propose a community resilience framework for an earthquake prone area in Baluchistan, based on the findings of an extensive research carried out on vulnerability and resilience assessment. A household questionnaire survey was conducted among 200 residents of Quetta city, using random sampling method. Based on the findings, the paper has proposed a new community resilience framework, which can be used for upgrading the community preparedness, awareness, and finally leading to community resilience at the local levels. \u00a9 2012 Elsevier Ltd.", "author" : [ { "dropping-particle" : "", "family" : "Ainuddin", "given" : "Syed", "non-dropping-particle" : "", "parse-names" : false, "suffix" : "" }, { "dropping-particle" : "", "family" : "Routray", "given" : "Jayant Kumar", "non-dropping-particle" : "", "parse-names" : false, "suffix" : "" } ], "container-title" : "International Journal of Disaster Risk Reduction", "id" : "ITEM-1", "issue" : "1", "issued" : { "date-parts" : [ [ "2012" ] ] }, "page" : "25-36", "publisher" : "Elsevier", "title" : "Community resilience framework for an earthquake prone area in Baluchistan", "type" : "article-journal", "volume" : "2" }, "uris" : [ "http://www.mendeley.com/documents/?uuid=6173d4c3-682f-4a2a-b006-220b7fee6386" ] } ], "mendeley" : { "formattedCitation" : "(Ainuddin &amp; Routray, 2012a)", "manualFormatting" : "(Ainuddin &amp; Routray, 2012)", "plainTextFormattedCitation" : "(Ainuddin &amp; Routray, 2012a)", "previouslyFormattedCitation" : "(Ainuddin &amp; Routray, 2012a)" }, "properties" : { "noteIndex" : 0 }, "schema" : "https://github.com/citation-style-language/schema/raw/master/csl-citation.json" }</w:instrText>
      </w:r>
      <w:r w:rsidR="00B21E1C" w:rsidRPr="00490B2A">
        <w:rPr>
          <w:color w:val="000000" w:themeColor="text1"/>
          <w:sz w:val="20"/>
          <w:szCs w:val="28"/>
        </w:rPr>
        <w:fldChar w:fldCharType="separate"/>
      </w:r>
      <w:r w:rsidR="00AC1CFF" w:rsidRPr="00490B2A">
        <w:rPr>
          <w:noProof/>
          <w:color w:val="000000" w:themeColor="text1"/>
          <w:sz w:val="20"/>
          <w:szCs w:val="28"/>
        </w:rPr>
        <w:t>(Ainuddin</w:t>
      </w:r>
      <w:r w:rsidR="00700A18" w:rsidRPr="00490B2A">
        <w:rPr>
          <w:noProof/>
          <w:color w:val="000000" w:themeColor="text1"/>
          <w:sz w:val="20"/>
          <w:szCs w:val="28"/>
        </w:rPr>
        <w:t xml:space="preserve"> &amp; </w:t>
      </w:r>
      <w:r w:rsidR="00AC1CFF" w:rsidRPr="00490B2A">
        <w:rPr>
          <w:noProof/>
          <w:color w:val="000000" w:themeColor="text1"/>
          <w:sz w:val="20"/>
          <w:szCs w:val="28"/>
        </w:rPr>
        <w:t>Routray, 2012)</w:t>
      </w:r>
      <w:r w:rsidR="00B21E1C" w:rsidRPr="00490B2A">
        <w:rPr>
          <w:color w:val="000000" w:themeColor="text1"/>
          <w:sz w:val="20"/>
          <w:szCs w:val="28"/>
        </w:rPr>
        <w:fldChar w:fldCharType="end"/>
      </w:r>
      <w:r w:rsidR="00AC1CFF" w:rsidRPr="00490B2A">
        <w:rPr>
          <w:color w:val="000000" w:themeColor="text1"/>
          <w:sz w:val="20"/>
          <w:szCs w:val="28"/>
        </w:rPr>
        <w:t xml:space="preserve">. The advance literature on vulnerability has distinguished the need of addressing the impacts and changes taking place due to overall environmental change. The venerability of any natural hazard may not be addressed alone rather it compared with resilience and sensitivity of such hazard </w:t>
      </w:r>
      <w:r w:rsidR="00B21E1C" w:rsidRPr="00490B2A">
        <w:rPr>
          <w:color w:val="000000" w:themeColor="text1"/>
          <w:sz w:val="20"/>
          <w:szCs w:val="28"/>
        </w:rPr>
        <w:fldChar w:fldCharType="begin" w:fldLock="1"/>
      </w:r>
      <w:r w:rsidR="00AC1CFF" w:rsidRPr="00490B2A">
        <w:rPr>
          <w:color w:val="000000" w:themeColor="text1"/>
          <w:sz w:val="20"/>
          <w:szCs w:val="28"/>
        </w:rPr>
        <w:instrText>ADDIN CSL_CITATION { "citationItems" : [ { "id" : "ITEM-1", "itemData" : { "DOI" : "10.1016/j.gloenvcha.2010.07.003", "ISBN" : "0959-3780", "ISSN" : "09593780", "abstract" : "Vulnerability and resilience constitute different but overlapping research themes embraced by sustainability science. As practiced within this science, the two research themes appear to coalesce around one of the foundational pivots of sustainability, the coupled human-environment system. They differ in regard to their attention to two other pivots, environmental services and the tradeoffs of these services with human outcomes. In this essay I briefly review the emergence of sustainability science and the three foundational pivots relevant to vulnerability and resilience. I outline the distinctions and similarities between the two research themes foremost as practiced within sustainability science and especially in regard to the attention given to the three pivots. I conclude with the observation that improvement in the capacity of vulnerability and resilience research to inform sustainability science may hinge on their linkages in addressing tradeoffs. \u00a9 2010 Elsevier Ltd.", "author" : [ { "dropping-particle" : "", "family" : "Turner", "given" : "B. L.", "non-dropping-particle" : "", "parse-names" : false, "suffix" : "" } ], "container-title" : "Global Environmental Change", "id" : "ITEM-1", "issue" : "4", "issued" : { "date-parts" : [ [ "2010" ] ] }, "page" : "570-576", "publisher" : "Elsevier Ltd", "title" : "Vulnerability and resilience: Coalescing or paralleling approaches for sustainability science?", "type" : "article-journal", "volume" : "20" }, "uris" : [ "http://www.mendeley.com/documents/?uuid=62a8f106-3b10-4342-baf0-ceafb0ebac44" ] } ], "mendeley" : { "formattedCitation" : "(Turner, 2010)", "plainTextFormattedCitation" : "(Turner, 2010)", "previouslyFormattedCitation" : "(Turner, 2010)" }, "properties" : { "noteIndex" : 0 }, "schema" : "https://github.com/citation-style-language/schema/raw/master/csl-citation.json" }</w:instrText>
      </w:r>
      <w:r w:rsidR="00B21E1C" w:rsidRPr="00490B2A">
        <w:rPr>
          <w:color w:val="000000" w:themeColor="text1"/>
          <w:sz w:val="20"/>
          <w:szCs w:val="28"/>
        </w:rPr>
        <w:fldChar w:fldCharType="separate"/>
      </w:r>
      <w:r w:rsidR="00AC1CFF" w:rsidRPr="00490B2A">
        <w:rPr>
          <w:noProof/>
          <w:color w:val="000000" w:themeColor="text1"/>
          <w:sz w:val="20"/>
          <w:szCs w:val="28"/>
        </w:rPr>
        <w:t>(Turner, 2010)</w:t>
      </w:r>
      <w:r w:rsidR="00B21E1C" w:rsidRPr="00490B2A">
        <w:rPr>
          <w:color w:val="000000" w:themeColor="text1"/>
          <w:sz w:val="20"/>
          <w:szCs w:val="28"/>
        </w:rPr>
        <w:fldChar w:fldCharType="end"/>
      </w:r>
      <w:r w:rsidR="00AC1CFF" w:rsidRPr="00490B2A">
        <w:rPr>
          <w:color w:val="000000" w:themeColor="text1"/>
          <w:sz w:val="20"/>
          <w:szCs w:val="28"/>
        </w:rPr>
        <w:t>. Therefore, building resilience to natural disasters need to start at the local level and turn into part of long-term considerations and an essential part of strategies related to economy, water, food security and hazard preparation.</w:t>
      </w:r>
    </w:p>
    <w:p w:rsidR="00AC1CFF" w:rsidRPr="00490B2A" w:rsidRDefault="00AC1CFF" w:rsidP="00490B2A">
      <w:pPr>
        <w:pStyle w:val="Heading2"/>
        <w:numPr>
          <w:ilvl w:val="1"/>
          <w:numId w:val="0"/>
        </w:numPr>
        <w:snapToGrid w:val="0"/>
        <w:spacing w:after="0" w:line="240" w:lineRule="auto"/>
        <w:jc w:val="both"/>
        <w:rPr>
          <w:color w:val="000000" w:themeColor="text1"/>
          <w:sz w:val="20"/>
          <w:szCs w:val="28"/>
        </w:rPr>
      </w:pPr>
      <w:r w:rsidRPr="00490B2A">
        <w:rPr>
          <w:color w:val="000000" w:themeColor="text1"/>
          <w:sz w:val="20"/>
          <w:szCs w:val="28"/>
        </w:rPr>
        <w:t>2.2</w:t>
      </w:r>
      <w:r w:rsidRPr="00490B2A">
        <w:rPr>
          <w:color w:val="000000" w:themeColor="text1"/>
          <w:sz w:val="20"/>
          <w:szCs w:val="28"/>
        </w:rPr>
        <w:tab/>
        <w:t>Vulnerability Assessment</w:t>
      </w:r>
    </w:p>
    <w:p w:rsidR="00AC1CFF"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Vulnerability assessment is multifaceted and varies by nature of hazard and by geographical location, hazard power and the mitigation measures (Structural and Non Structural) of the community respond to a disaster. Researchers have different ideas in the understanding of vulnerability as of different direction, supporting ecology, human ecosystem, spatial study and physical knowledge,</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"10.1016/j.gloenvcha.2006.02.006", "ISBN" : "09593780", "ISSN" : "09593780", "abstract" : "This paper reviews research traditions of vulnerability to environmental change and the challenges for present vulnerability research in integrating with the domains of resilience and adaptation. Vulnerability is the state of susceptibility to harm from exposure to stresses associated with environmental and social change and from the absence of capacity to adapt. Antecedent traditions include theories of vulnerability as entitlement failure and theories of hazard. Each of these areas has contributed to present formulations of vulnerability to environmental change as a characteristic of social-ecological systems linked to resilience. Research on vulnerability to the impacts of climate change spans all the antecedent and successor traditions. The challenges for vulnerability research are to develop robust and credible measures, to incorporate diverse methods that include perceptions of risk and vulnerability, and to incorporate governance research on the mechanisms that mediate vulnerability and promote adaptive action and resilience. These challenges are common to the domains of vulnerability, adaptation and resilience and form common ground for consilience and integration. \u00a9 2006 Elsevier Ltd. All rights reserved.", "author" : [ { "dropping-particle" : "", "family" : "Adger", "given" : "W. Neil", "non-dropping-particle" : "", "parse-names" : false, "suffix" : "" } ], "container-title" : "Global Environmental Change", "id" : "ITEM-1", "issue" : "3", "issued" : { "date-parts" : [ [ "2006" ] ] }, "page" : "268-281", "title" : "Vulnerability", "type" : "article-journal", "volume" : "16" }, "uris" : [ "http://www.mendeley.com/documents/?uuid=8799b0e5-7dd2-480c-b95b-40bf42d657e0" ] } ], "mendeley" : { "formattedCitation" : "(W. Neil Adger, 2006)", "plainTextFormattedCitation" : "(W. Neil Adger, 2006)", "previouslyFormattedCitation" : "(W. Neil Adger, 2006)"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(W. Neil Adger, 2006)</w:t>
      </w:r>
      <w:r w:rsidR="00B21E1C" w:rsidRPr="00490B2A">
        <w:rPr>
          <w:color w:val="000000" w:themeColor="text1"/>
          <w:sz w:val="20"/>
          <w:szCs w:val="28"/>
        </w:rPr>
        <w:fldChar w:fldCharType="end"/>
      </w:r>
      <w:r w:rsidR="00490B2A" w:rsidRPr="00490B2A">
        <w:rPr>
          <w:color w:val="000000" w:themeColor="text1"/>
          <w:sz w:val="20"/>
          <w:szCs w:val="28"/>
        </w:rPr>
        <w:t>.</w:t>
      </w:r>
      <w:r w:rsidR="00490B2A">
        <w:rPr>
          <w:color w:val="000000" w:themeColor="text1"/>
          <w:sz w:val="20"/>
          <w:szCs w:val="28"/>
        </w:rPr>
        <w:t xml:space="preserve"> </w:t>
      </w:r>
      <w:r w:rsidR="00490B2A" w:rsidRPr="00490B2A">
        <w:rPr>
          <w:color w:val="000000" w:themeColor="text1"/>
          <w:sz w:val="20"/>
          <w:szCs w:val="28"/>
        </w:rPr>
        <w:t>W</w:t>
      </w:r>
      <w:r w:rsidRPr="00490B2A">
        <w:rPr>
          <w:color w:val="000000" w:themeColor="text1"/>
          <w:sz w:val="20"/>
          <w:szCs w:val="28"/>
        </w:rPr>
        <w:t>hereas the measurement of vulnerable condition of various institutions, groups, and systems which find out flexibility in the background of ecological variation is a rising latest research problem</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"10.1007/s11069-009-9376-1", "ISBN" : "0921-030X", "ISSN" : "0921030X", "abstract" : "Tsunamis generated by Cascadia subduction zone earthquakes pose significant threats to coastal communities in the U.S. Pacific Northwest. Impacts of future tsunamis to individuals and communities will likely vary due to pre-event socioeconomic and demographic differences. In order to assess social vulnerability to Cascadia tsunamis, we adjust a social vulnerability index based on principal component analysis first developed by Cutter et al. (2003) to operate at the census-block level of geography and focus on community-level comparisons along the Oregon coast. The number of residents from blocks in tsunami-prone areas considered to have higher social vulnerability varies considerably among 26 Oregon cities and most are concentrated in four cities and two unincorporated areas. Variations in the number of residents from census blocks considered to have higher social vulnerability in each city do not strongly correlate with the number of residents or city assets in tsunami-prone areas. Methods presented here will help emergency managers to identify community sub-groups that are more susceptible to loss and to develop risk-reduction strategies that are tailored to local conditions.", "author" : [ { "dropping-particle" : "", "family" : "Wood", "given" : "Nathan J.", "non-dropping-particle" : "", "parse-names" : false, "suffix" : "" }, { "dropping-particle" : "", "family" : "Burton", "given" : "Christopher G.", "non-dropping-particle" : "", "parse-names" : false, "suffix" : "" }, { "dropping-particle" : "", "family" : "Cutter", "given" : "Susan L.", "non-dropping-particle" : "", "parse-names" : false, "suffix" : "" } ], "container-title" : "Natural Hazards", "id" : "ITEM-1", "issue" : "2", "issued" : { "date-parts" : [ [ "2010" ] ] }, "page" : "369-389", "title" : "Community variations in social vulnerability to Cascadia-related tsunamis in the U.S. Pacific Northwest", "type" : "article-journal", "volume" : "52" }, "uris" : [ "http://www.mendeley.com/documents/?uuid=aabae841-1199-4b73-9c16-ea271aba7622" ] } ], "mendeley" : { "formattedCitation" : "(Wood, Burton, &amp; Cutter, 2010)", "plainTextFormattedCitation" : "(Wood, Burton, &amp; Cutter, 2010)", "previouslyFormattedCitation" : "(Wood, Burton, &amp; Cutter, 2010)"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(Wood, Burton,</w:t>
      </w:r>
      <w:r w:rsidR="00700A18" w:rsidRPr="00490B2A">
        <w:rPr>
          <w:noProof/>
          <w:color w:val="000000" w:themeColor="text1"/>
          <w:sz w:val="20"/>
          <w:szCs w:val="28"/>
        </w:rPr>
        <w:t xml:space="preserve"> &amp; </w:t>
      </w:r>
      <w:r w:rsidRPr="00490B2A">
        <w:rPr>
          <w:noProof/>
          <w:color w:val="000000" w:themeColor="text1"/>
          <w:sz w:val="20"/>
          <w:szCs w:val="28"/>
        </w:rPr>
        <w:t>Cutter, 2010)</w:t>
      </w:r>
      <w:r w:rsidR="00B21E1C" w:rsidRPr="00490B2A">
        <w:rPr>
          <w:color w:val="000000" w:themeColor="text1"/>
          <w:sz w:val="20"/>
          <w:szCs w:val="28"/>
        </w:rPr>
        <w:fldChar w:fldCharType="end"/>
      </w:r>
      <w:r w:rsidRPr="00490B2A">
        <w:rPr>
          <w:color w:val="000000" w:themeColor="text1"/>
          <w:sz w:val="20"/>
          <w:szCs w:val="28"/>
        </w:rPr>
        <w:t>.</w:t>
      </w:r>
      <w:r w:rsidR="00700A18" w:rsidRPr="00490B2A">
        <w:rPr>
          <w:color w:val="000000" w:themeColor="text1"/>
          <w:sz w:val="20"/>
          <w:szCs w:val="28"/>
        </w:rPr>
        <w:t xml:space="preserve"> </w:t>
      </w:r>
      <w:r w:rsidRPr="00490B2A">
        <w:rPr>
          <w:color w:val="000000" w:themeColor="text1"/>
          <w:sz w:val="20"/>
          <w:szCs w:val="28"/>
        </w:rPr>
        <w:t xml:space="preserve">Typically vulnerability has been identified mainly with three </w:t>
      </w:r>
      <w:r w:rsidRPr="00490B2A">
        <w:rPr>
          <w:color w:val="000000" w:themeColor="text1"/>
          <w:sz w:val="20"/>
          <w:szCs w:val="28"/>
        </w:rPr>
        <w:lastRenderedPageBreak/>
        <w:t>important ideas</w:t>
      </w:r>
      <w:r w:rsidR="001E06FD">
        <w:rPr>
          <w:rFonts w:eastAsiaTheme="minorEastAsia" w:hint="eastAsia"/>
          <w:color w:val="000000" w:themeColor="text1"/>
          <w:sz w:val="20"/>
          <w:szCs w:val="28"/>
          <w:lang w:eastAsia="zh-CN"/>
        </w:rPr>
        <w:t xml:space="preserve">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"10.1016/j.gloenvcha.2010.07.003", "ISBN" : "0959-3780", "ISSN" : "09593780", "abstract" : "Vulnerability and resilience constitute different but overlapping research themes embraced by sustainability science. As practiced within this science, the two research themes appear to coalesce around one of the foundational pivots of sustainability, the coupled human-environment system. They differ in regard to their attention to two other pivots, environmental services and the tradeoffs of these services with human outcomes. In this essay I briefly review the emergence of sustainability science and the three foundational pivots relevant to vulnerability and resilience. I outline the distinctions and similarities between the two research themes foremost as practiced within sustainability science and especially in regard to the attention given to the three pivots. I conclude with the observation that improvement in the capacity of vulnerability and resilience research to inform sustainability science may hinge on their linkages in addressing tradeoffs. \u00a9 2010 Elsevier Ltd.", "author" : [ { "dropping-particle" : "", "family" : "Turner", "given" : "B. L.", "non-dropping-particle" : "", "parse-names" : false, "suffix" : "" } ], "container-title" : "Global Environmental Change", "id" : "ITEM-1", "issue" : "4", "issued" : { "date-parts" : [ [ "2010" ] ] }, "page" : "570-576", "publisher" : "Elsevier Ltd", "title" : "Vulnerability and resilience: Coalescing or paralleling approaches for sustainability science?", "type" : "article-journal", "volume" : "20" }, "uris" : [ "http://www.mendeley.com/documents/?uuid=62a8f106-3b10-4342-baf0-ceafb0ebac44" ] } ], "mendeley" : { "formattedCitation" : "(Turner, 2010)", "plainTextFormattedCitation" : "(Turner, 2010)", "previouslyFormattedCitation" : "(Turner, 2010)"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(Turner, 2010)</w:t>
      </w:r>
      <w:r w:rsidR="00B21E1C" w:rsidRPr="00490B2A">
        <w:rPr>
          <w:color w:val="000000" w:themeColor="text1"/>
          <w:sz w:val="20"/>
          <w:szCs w:val="28"/>
        </w:rPr>
        <w:fldChar w:fldCharType="end"/>
      </w:r>
      <w:r w:rsidRPr="00490B2A">
        <w:rPr>
          <w:color w:val="000000" w:themeColor="text1"/>
          <w:sz w:val="20"/>
          <w:szCs w:val="28"/>
        </w:rPr>
        <w:t xml:space="preserve">. Firstly vulnerability as disaster practices describes the ways of technological or biophysical risks and identifies the vulnerable condition with the occurrences of risky events and allocation of dangerous circumstances. Secondly it sees vulnerability as community comeback, to examine the collective struggle and coping responses which is fixed in cultural, economic, historical and societal process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"10.1002/pfi.2006.4930450504", "ISBN" : "3981058267", "ISSN" : "1090-8811", "abstract" : "Measuring the Un-Measurable is a short and succinct title as well as an indication of the challenges and difficulties in deriving appropriate methodologies, indicators and criteria to identify,measure and assess vulnerabilities of societies at risk.The most recent mega-events,the 2004 Indian Ocean tsunami and hurricane Katrina in 2005 certainly revealed the vulnerability of societies in developing and developed countries to the impact of natural hazards. Improving risk reduction and disaster preparedness requires first and foremost the identification and assessment of various vulnerabilities of societies, their economy, environmental resource base, and their institutional structures. Thus for effective preparedness strategies and sustainable recovery the development of tools to measure vulnerability is a prerequisite.", "author" : [ { "dropping-particle" : "", "family" : "Birkmann", "given" : "J\u00f6rn", "non-dropping-particle" : "", "parse-names" : false, "suffix" : "" }, { "dropping-particle" : "", "family" : "Wisner", "given" : "Ben", "non-dropping-particle" : "", "parse-names" : false, "suffix" : "" } ], "container-title" : "UNU-EHS", "id" : "ITEM-1", "issued" : { "date-parts" : [ [ "2006" ] ] }, "number-of-pages" : "2006", "title" : "Measuring the Un-Measurable. The Challenge of Vulnerability", "type" : "book", "volume" : "5" }, "uris" : [ "http://www.mendeley.com/documents/?uuid=8ad7ff24-0b2a-4459-b843-4dc08216f5eb" ] } ], "mendeley" : { "formattedCitation" : "(Birkmann &amp; Wisner, 2006)", "plainTextFormattedCitation" : "(Birkmann &amp; Wisner, 2006)", "previouslyFormattedCitation" : "(Birkmann &amp; Wisner, 2006)"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(Birkmann</w:t>
      </w:r>
      <w:r w:rsidR="00700A18" w:rsidRPr="00490B2A">
        <w:rPr>
          <w:noProof/>
          <w:color w:val="000000" w:themeColor="text1"/>
          <w:sz w:val="20"/>
          <w:szCs w:val="28"/>
        </w:rPr>
        <w:t xml:space="preserve"> &amp; </w:t>
      </w:r>
      <w:r w:rsidRPr="00490B2A">
        <w:rPr>
          <w:noProof/>
          <w:color w:val="000000" w:themeColor="text1"/>
          <w:sz w:val="20"/>
          <w:szCs w:val="28"/>
        </w:rPr>
        <w:t>Wisner, 2006)</w:t>
      </w:r>
      <w:r w:rsidR="00B21E1C" w:rsidRPr="00490B2A">
        <w:rPr>
          <w:color w:val="000000" w:themeColor="text1"/>
          <w:sz w:val="20"/>
          <w:szCs w:val="28"/>
        </w:rPr>
        <w:fldChar w:fldCharType="end"/>
      </w:r>
      <w:r w:rsidRPr="00490B2A">
        <w:rPr>
          <w:color w:val="000000" w:themeColor="text1"/>
          <w:sz w:val="20"/>
          <w:szCs w:val="28"/>
        </w:rPr>
        <w:t xml:space="preserve">. “Thirdly the idea of vulnerability of places based on the mixture of the first two instructions apart from physically centered attractive both societal response and biophysical risk in an exacting geographic domain”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"10.1007/s11069-009-9376-1", "ISBN" : "0921-030X", "ISSN" : "0921030X", "abstract" : "Tsunamis generated by Cascadia subduction zone earthquakes pose significant threats to coastal communities in the U.S. Pacific Northwest. Impacts of future tsunamis to individuals and communities will likely vary due to pre-event socioeconomic and demographic differences. In order to assess social vulnerability to Cascadia tsunamis, we adjust a social vulnerability index based on principal component analysis first developed by Cutter et al. (2003) to operate at the census-block level of geography and focus on community-level comparisons along the Oregon coast. The number of residents from blocks in tsunami-prone areas considered to have higher social vulnerability varies considerably among 26 Oregon cities and most are concentrated in four cities and two unincorporated areas. Variations in the number of residents from census blocks considered to have higher social vulnerability in each city do not strongly correlate with the number of residents or city assets in tsunami-prone areas. Methods presented here will help emergency managers to identify community sub-groups that are more susceptible to loss and to develop risk-reduction strategies that are tailored to local conditions.", "author" : [ { "dropping-particle" : "", "family" : "Wood", "given" : "Nathan J.", "non-dropping-particle" : "", "parse-names" : false, "suffix" : "" }, { "dropping-particle" : "", "family" : "Burton", "given" : "Christopher G.", "non-dropping-particle" : "", "parse-names" : false, "suffix" : "" }, { "dropping-particle" : "", "family" : "Cutter", "given" : "Susan L.", "non-dropping-particle" : "", "parse-names" : false, "suffix" : "" } ], "container-title" : "Natural Hazards", "id" : "ITEM-1", "issue" : "2", "issued" : { "date-parts" : [ [ "2010" ] ] }, "page" : "369-389", "title" : "Community variations in social vulnerability to Cascadia-related tsunamis in the U.S. Pacific Northwest", "type" : "article-journal", "volume" : "52" }, "uris" : [ "http://www.mendeley.com/documents/?uuid=aabae841-1199-4b73-9c16-ea271aba7622" ] } ], "mendeley" : { "formattedCitation" : "(Wood et al., 2010)", "plainTextFormattedCitation" : "(Wood et al., 2010)", "previouslyFormattedCitation" : "(Wood et al., 2010)"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(Wood et al., 2010)</w:t>
      </w:r>
      <w:r w:rsidR="00B21E1C" w:rsidRPr="00490B2A">
        <w:rPr>
          <w:color w:val="000000" w:themeColor="text1"/>
          <w:sz w:val="20"/>
          <w:szCs w:val="28"/>
        </w:rPr>
        <w:fldChar w:fldCharType="end"/>
      </w:r>
      <w:r w:rsidRPr="00490B2A">
        <w:rPr>
          <w:color w:val="000000" w:themeColor="text1"/>
          <w:sz w:val="20"/>
          <w:szCs w:val="28"/>
        </w:rPr>
        <w:t>.</w:t>
      </w:r>
    </w:p>
    <w:p w:rsidR="00AC1CFF"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2.3</w:t>
      </w:r>
      <w:r w:rsidRPr="00490B2A">
        <w:rPr>
          <w:color w:val="000000" w:themeColor="text1"/>
          <w:sz w:val="20"/>
          <w:szCs w:val="28"/>
        </w:rPr>
        <w:tab/>
        <w:t>Community Vulnerability Indices</w:t>
      </w:r>
    </w:p>
    <w:p w:rsidR="00AC1CFF" w:rsidRPr="00490B2A" w:rsidRDefault="00AC1CFF" w:rsidP="00490B2A">
      <w:pPr>
        <w:snapToGrid w:val="0"/>
        <w:spacing w:after="0" w:line="240" w:lineRule="auto"/>
        <w:ind w:firstLine="425"/>
        <w:rPr>
          <w:rFonts w:eastAsiaTheme="minorEastAsia"/>
          <w:color w:val="000000" w:themeColor="text1"/>
          <w:sz w:val="20"/>
          <w:szCs w:val="28"/>
          <w:lang w:eastAsia="zh-CN"/>
        </w:rPr>
      </w:pPr>
      <w:r w:rsidRPr="00490B2A">
        <w:rPr>
          <w:color w:val="000000" w:themeColor="text1"/>
          <w:sz w:val="20"/>
          <w:szCs w:val="28"/>
        </w:rPr>
        <w:t>Indices are useful as</w:t>
      </w:r>
      <w:r w:rsidR="00692900" w:rsidRPr="00490B2A">
        <w:rPr>
          <w:color w:val="000000" w:themeColor="text1"/>
          <w:sz w:val="20"/>
          <w:szCs w:val="28"/>
        </w:rPr>
        <w:t xml:space="preserve"> they illustrate </w:t>
      </w:r>
      <w:r w:rsidRPr="00490B2A">
        <w:rPr>
          <w:color w:val="000000" w:themeColor="text1"/>
          <w:sz w:val="20"/>
          <w:szCs w:val="28"/>
        </w:rPr>
        <w:t xml:space="preserve">measurement of various areas throughout disasters, </w:t>
      </w:r>
      <w:r w:rsidR="00692900" w:rsidRPr="00490B2A">
        <w:rPr>
          <w:color w:val="000000" w:themeColor="text1"/>
          <w:sz w:val="20"/>
          <w:szCs w:val="28"/>
        </w:rPr>
        <w:t xml:space="preserve">such as </w:t>
      </w:r>
      <w:r w:rsidRPr="00490B2A">
        <w:rPr>
          <w:color w:val="000000" w:themeColor="text1"/>
          <w:sz w:val="20"/>
          <w:szCs w:val="28"/>
        </w:rPr>
        <w:t xml:space="preserve">deficiency, societal development, quality of life, scarcity and human growth. Indices are used at different level globally, regionally and locally such as Cutter’s social vulnerability index is the most popular index for the vulnerability assessment. </w:t>
      </w:r>
      <w:r w:rsidR="00AF6858" w:rsidRPr="00490B2A">
        <w:rPr>
          <w:color w:val="000000" w:themeColor="text1"/>
          <w:sz w:val="20"/>
          <w:szCs w:val="28"/>
        </w:rPr>
        <w:t>In this article v</w:t>
      </w:r>
      <w:r w:rsidRPr="00490B2A">
        <w:rPr>
          <w:color w:val="000000" w:themeColor="text1"/>
          <w:sz w:val="20"/>
          <w:szCs w:val="28"/>
        </w:rPr>
        <w:t xml:space="preserve">ulnerability weighted index is used for the assessment of vulnerability. The overall study is based on four main general components as social, </w:t>
      </w:r>
      <w:r w:rsidR="00B24A1D" w:rsidRPr="00490B2A">
        <w:rPr>
          <w:color w:val="000000" w:themeColor="text1"/>
          <w:sz w:val="20"/>
          <w:szCs w:val="28"/>
        </w:rPr>
        <w:t>economic</w:t>
      </w:r>
      <w:r w:rsidRPr="00490B2A">
        <w:rPr>
          <w:color w:val="000000" w:themeColor="text1"/>
          <w:sz w:val="20"/>
          <w:szCs w:val="28"/>
        </w:rPr>
        <w:t xml:space="preserve">, institutional and physical. Every component is further divided into different sets of indicators and variables as shown in table 4.1 and 4.2. </w:t>
      </w:r>
    </w:p>
    <w:p w:rsidR="00490B2A" w:rsidRPr="00490B2A" w:rsidRDefault="00490B2A" w:rsidP="00490B2A">
      <w:pPr>
        <w:snapToGrid w:val="0"/>
        <w:spacing w:after="0" w:line="240" w:lineRule="auto"/>
        <w:ind w:firstLine="425"/>
        <w:rPr>
          <w:rFonts w:eastAsiaTheme="minorEastAsia"/>
          <w:color w:val="000000" w:themeColor="text1"/>
          <w:sz w:val="20"/>
          <w:szCs w:val="28"/>
          <w:lang w:eastAsia="zh-CN"/>
        </w:rPr>
      </w:pPr>
    </w:p>
    <w:p w:rsidR="00AC1CFF" w:rsidRPr="00490B2A" w:rsidRDefault="00AC1CFF" w:rsidP="00490B2A">
      <w:pPr>
        <w:snapToGrid w:val="0"/>
        <w:spacing w:after="0" w:line="240" w:lineRule="auto"/>
        <w:rPr>
          <w:color w:val="000000" w:themeColor="text1"/>
          <w:sz w:val="20"/>
          <w:szCs w:val="28"/>
        </w:rPr>
      </w:pPr>
      <w:r w:rsidRPr="00490B2A">
        <w:rPr>
          <w:b/>
          <w:color w:val="000000" w:themeColor="text1"/>
          <w:sz w:val="20"/>
          <w:szCs w:val="28"/>
        </w:rPr>
        <w:t xml:space="preserve">3 </w:t>
      </w:r>
      <w:r w:rsidRPr="00490B2A">
        <w:rPr>
          <w:b/>
          <w:color w:val="000000" w:themeColor="text1"/>
          <w:sz w:val="20"/>
          <w:szCs w:val="28"/>
        </w:rPr>
        <w:tab/>
        <w:t>Study Area and Methodology</w:t>
      </w:r>
      <w:r w:rsidR="00700A18" w:rsidRPr="00490B2A">
        <w:rPr>
          <w:b/>
          <w:color w:val="000000" w:themeColor="text1"/>
          <w:sz w:val="20"/>
          <w:szCs w:val="28"/>
        </w:rPr>
        <w:t xml:space="preserve"> </w:t>
      </w:r>
    </w:p>
    <w:p w:rsidR="00AC1CFF" w:rsidRPr="00490B2A" w:rsidRDefault="00AC1CFF" w:rsidP="00490B2A">
      <w:pPr>
        <w:snapToGrid w:val="0"/>
        <w:spacing w:after="0" w:line="240" w:lineRule="auto"/>
        <w:rPr>
          <w:b/>
          <w:color w:val="000000" w:themeColor="text1"/>
          <w:sz w:val="20"/>
          <w:szCs w:val="28"/>
        </w:rPr>
      </w:pPr>
      <w:r w:rsidRPr="00490B2A">
        <w:rPr>
          <w:b/>
          <w:color w:val="000000" w:themeColor="text1"/>
          <w:sz w:val="20"/>
          <w:szCs w:val="28"/>
        </w:rPr>
        <w:t>3.1</w:t>
      </w:r>
      <w:r w:rsidRPr="00490B2A">
        <w:rPr>
          <w:b/>
          <w:color w:val="000000" w:themeColor="text1"/>
          <w:sz w:val="20"/>
          <w:szCs w:val="28"/>
        </w:rPr>
        <w:tab/>
        <w:t>Study Area</w:t>
      </w:r>
    </w:p>
    <w:p w:rsidR="00490B2A" w:rsidRPr="00490B2A" w:rsidRDefault="00490B2A" w:rsidP="00490B2A">
      <w:pPr>
        <w:snapToGrid w:val="0"/>
        <w:spacing w:after="0" w:line="240" w:lineRule="auto"/>
        <w:jc w:val="center"/>
        <w:rPr>
          <w:color w:val="000000" w:themeColor="text1"/>
          <w:sz w:val="20"/>
          <w:szCs w:val="28"/>
        </w:rPr>
        <w:sectPr w:rsidR="00490B2A" w:rsidRPr="00490B2A" w:rsidSect="00490B2A">
          <w:type w:val="continuous"/>
          <w:pgSz w:w="12240" w:h="15840"/>
          <w:pgMar w:top="1440" w:right="1440" w:bottom="1440" w:left="1440" w:header="720" w:footer="720" w:gutter="0"/>
          <w:cols w:num="2" w:space="600"/>
          <w:docGrid w:linePitch="360"/>
        </w:sectPr>
      </w:pPr>
    </w:p>
    <w:p w:rsidR="00490B2A" w:rsidRPr="00490B2A" w:rsidRDefault="00490B2A" w:rsidP="00490B2A">
      <w:pPr>
        <w:snapToGrid w:val="0"/>
        <w:spacing w:after="0" w:line="240" w:lineRule="auto"/>
        <w:jc w:val="center"/>
        <w:rPr>
          <w:rFonts w:eastAsiaTheme="minorEastAsia"/>
          <w:color w:val="000000" w:themeColor="text1"/>
          <w:sz w:val="20"/>
          <w:szCs w:val="28"/>
          <w:lang w:eastAsia="zh-CN"/>
        </w:rPr>
      </w:pPr>
    </w:p>
    <w:p w:rsidR="00AC1CFF" w:rsidRPr="00490B2A" w:rsidRDefault="00AC1CFF" w:rsidP="00490B2A">
      <w:pPr>
        <w:snapToGrid w:val="0"/>
        <w:spacing w:after="0" w:line="240" w:lineRule="auto"/>
        <w:jc w:val="center"/>
        <w:rPr>
          <w:color w:val="000000" w:themeColor="text1"/>
          <w:sz w:val="20"/>
          <w:szCs w:val="28"/>
        </w:rPr>
      </w:pPr>
      <w:r w:rsidRPr="00490B2A">
        <w:rPr>
          <w:noProof/>
          <w:color w:val="000000" w:themeColor="text1"/>
          <w:sz w:val="20"/>
          <w:szCs w:val="28"/>
          <w:lang w:eastAsia="zh-CN"/>
        </w:rPr>
        <w:drawing>
          <wp:inline distT="0" distB="0" distL="0" distR="0">
            <wp:extent cx="5037979" cy="312898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037560" cy="3128724"/>
                    </a:xfrm>
                    <a:prstGeom prst="rect">
                      <a:avLst/>
                    </a:prstGeom>
                    <a:noFill/>
                    <a:ln w="9525">
                      <a:noFill/>
                      <a:miter lim="800000"/>
                      <a:headEnd/>
                      <a:tailEnd/>
                    </a:ln>
                  </pic:spPr>
                </pic:pic>
              </a:graphicData>
            </a:graphic>
          </wp:inline>
        </w:drawing>
      </w:r>
    </w:p>
    <w:p w:rsidR="00700A18" w:rsidRPr="00490B2A" w:rsidRDefault="000F1902" w:rsidP="00490B2A">
      <w:pPr>
        <w:snapToGrid w:val="0"/>
        <w:spacing w:after="0" w:line="240" w:lineRule="auto"/>
        <w:jc w:val="center"/>
        <w:rPr>
          <w:rFonts w:eastAsiaTheme="minorEastAsia"/>
          <w:color w:val="000000" w:themeColor="text1"/>
          <w:sz w:val="20"/>
          <w:szCs w:val="28"/>
          <w:lang w:eastAsia="zh-CN"/>
        </w:rPr>
      </w:pPr>
      <w:r w:rsidRPr="00490B2A">
        <w:rPr>
          <w:b/>
          <w:color w:val="000000" w:themeColor="text1"/>
          <w:sz w:val="20"/>
          <w:szCs w:val="28"/>
        </w:rPr>
        <w:t xml:space="preserve">Figure </w:t>
      </w:r>
      <w:r w:rsidR="00B21E1C" w:rsidRPr="00490B2A">
        <w:rPr>
          <w:b/>
          <w:color w:val="000000" w:themeColor="text1"/>
          <w:sz w:val="20"/>
          <w:szCs w:val="28"/>
        </w:rPr>
        <w:fldChar w:fldCharType="begin"/>
      </w:r>
      <w:r w:rsidR="00AC1CFF" w:rsidRPr="00490B2A">
        <w:rPr>
          <w:b/>
          <w:color w:val="000000" w:themeColor="text1"/>
          <w:sz w:val="20"/>
          <w:szCs w:val="28"/>
        </w:rPr>
        <w:instrText xml:space="preserve"> SEQ Figure \* ARABIC \s 1 </w:instrText>
      </w:r>
      <w:r w:rsidR="00B21E1C" w:rsidRPr="00490B2A">
        <w:rPr>
          <w:b/>
          <w:color w:val="000000" w:themeColor="text1"/>
          <w:sz w:val="20"/>
          <w:szCs w:val="28"/>
        </w:rPr>
        <w:fldChar w:fldCharType="separate"/>
      </w:r>
      <w:r w:rsidR="00AC1CFF" w:rsidRPr="00490B2A">
        <w:rPr>
          <w:b/>
          <w:noProof/>
          <w:color w:val="000000" w:themeColor="text1"/>
          <w:sz w:val="20"/>
          <w:szCs w:val="28"/>
        </w:rPr>
        <w:t>1</w:t>
      </w:r>
      <w:r w:rsidR="00B21E1C" w:rsidRPr="00490B2A">
        <w:rPr>
          <w:b/>
          <w:color w:val="000000" w:themeColor="text1"/>
          <w:sz w:val="20"/>
          <w:szCs w:val="28"/>
        </w:rPr>
        <w:fldChar w:fldCharType="end"/>
      </w:r>
      <w:r w:rsidR="00AC1CFF" w:rsidRPr="00490B2A">
        <w:rPr>
          <w:color w:val="000000" w:themeColor="text1"/>
          <w:sz w:val="20"/>
          <w:szCs w:val="28"/>
        </w:rPr>
        <w:t>: Study Area Map</w:t>
      </w:r>
    </w:p>
    <w:p w:rsidR="00490B2A" w:rsidRDefault="00490B2A" w:rsidP="00490B2A">
      <w:pPr>
        <w:snapToGrid w:val="0"/>
        <w:spacing w:after="0" w:line="240" w:lineRule="auto"/>
        <w:rPr>
          <w:rFonts w:eastAsiaTheme="minorEastAsia" w:hint="eastAsia"/>
          <w:b/>
          <w:color w:val="000000" w:themeColor="text1"/>
          <w:sz w:val="20"/>
          <w:szCs w:val="28"/>
          <w:lang w:eastAsia="zh-CN"/>
        </w:rPr>
      </w:pPr>
    </w:p>
    <w:p w:rsidR="00CA0430" w:rsidRPr="00490B2A" w:rsidRDefault="00CA0430" w:rsidP="00490B2A">
      <w:pPr>
        <w:snapToGrid w:val="0"/>
        <w:spacing w:after="0" w:line="240" w:lineRule="auto"/>
        <w:rPr>
          <w:rFonts w:eastAsiaTheme="minorEastAsia"/>
          <w:b/>
          <w:color w:val="000000" w:themeColor="text1"/>
          <w:sz w:val="20"/>
          <w:szCs w:val="28"/>
          <w:lang w:eastAsia="zh-CN"/>
        </w:rPr>
        <w:sectPr w:rsidR="00CA0430" w:rsidRPr="00490B2A" w:rsidSect="00700A18">
          <w:type w:val="continuous"/>
          <w:pgSz w:w="12240" w:h="15840"/>
          <w:pgMar w:top="1440" w:right="1440" w:bottom="1440" w:left="1440" w:header="720" w:footer="720" w:gutter="0"/>
          <w:cols w:space="720"/>
          <w:docGrid w:linePitch="360"/>
        </w:sectPr>
      </w:pPr>
    </w:p>
    <w:p w:rsidR="00490B2A" w:rsidRPr="00490B2A" w:rsidRDefault="00490B2A" w:rsidP="00490B2A">
      <w:pPr>
        <w:snapToGrid w:val="0"/>
        <w:spacing w:after="0" w:line="240" w:lineRule="auto"/>
        <w:ind w:firstLine="425"/>
        <w:rPr>
          <w:rFonts w:eastAsiaTheme="minorEastAsia"/>
          <w:b/>
          <w:color w:val="000000" w:themeColor="text1"/>
          <w:sz w:val="20"/>
          <w:szCs w:val="28"/>
          <w:lang w:eastAsia="zh-CN"/>
        </w:rPr>
      </w:pPr>
      <w:r w:rsidRPr="00490B2A">
        <w:rPr>
          <w:color w:val="000000" w:themeColor="text1"/>
          <w:sz w:val="20"/>
          <w:szCs w:val="28"/>
        </w:rPr>
        <w:lastRenderedPageBreak/>
        <w:t xml:space="preserve">The study area is situated in district killa-Saifullah tahseel Muslim Bagh. The village was severely affected by different natural hazards (drought, flood, earthquake etc). The total area of Killasaifullah district is 6,831 Square kilometers and is situated at (“67°17'37- 69°22'54" East longitude, and 30°30'35"- 31°37'10" North latitudes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"author" : [ { "dropping-particle" : "", "family" : "Development", "given" : "Planning &amp;", "non-dropping-particle" : "", "parse-names" : false, "suffix" : "" }, { "dropping-particle" : "", "family" : "Department", "given" : "Government of Balochistan", "non-dropping-particle" : "", "parse-names" : false, "suffix" : "" }, { "dropping-particle" : "", "family" : "UNICEF", "given" : "in Collaboration with", "non-dropping-particle" : "", "parse-names" : false, "suffix" : "" } ], "container-title" : "District Development profile 2011", "id" : "ITEM-1", "issue" : "July 18, 2011", "issued" : { "date-parts" : [ [ "2009" ] ] }, "page" : "73", "title" : "District Development Report", "type" : "article-journal" }, "uris" : [ "http://www.mendeley.com/documents/?uuid=886de4aa-95d9-4aec-b715-17b0fc7e8bfb" ] } ], "mendeley" : { "formattedCitation" : "(Development, Department, &amp; UNICEF, 2009)", "plainTextFormattedCitation" : "(Development, Department, &amp; UNICEF, 2009)", "previouslyFormattedCitation" : "(Development, Department, &amp; UNICEF, 2009)"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(Development, Department, &amp; UNICEF, 2009)</w:t>
      </w:r>
      <w:r w:rsidR="00B21E1C" w:rsidRPr="00490B2A">
        <w:rPr>
          <w:color w:val="000000" w:themeColor="text1"/>
          <w:sz w:val="20"/>
          <w:szCs w:val="28"/>
        </w:rPr>
        <w:fldChar w:fldCharType="end"/>
      </w:r>
      <w:r w:rsidRPr="00490B2A">
        <w:rPr>
          <w:color w:val="000000" w:themeColor="text1"/>
          <w:sz w:val="20"/>
          <w:szCs w:val="28"/>
        </w:rPr>
        <w:t>.</w:t>
      </w:r>
    </w:p>
    <w:p w:rsidR="00AC1CFF" w:rsidRPr="00490B2A" w:rsidRDefault="00490B2A" w:rsidP="00490B2A">
      <w:pPr>
        <w:snapToGrid w:val="0"/>
        <w:spacing w:after="0" w:line="240" w:lineRule="auto"/>
        <w:rPr>
          <w:color w:val="000000" w:themeColor="text1"/>
          <w:sz w:val="20"/>
          <w:szCs w:val="28"/>
        </w:rPr>
      </w:pPr>
      <w:r w:rsidRPr="00490B2A">
        <w:rPr>
          <w:b/>
          <w:color w:val="000000" w:themeColor="text1"/>
          <w:sz w:val="20"/>
          <w:szCs w:val="28"/>
        </w:rPr>
        <w:t>3.2</w:t>
      </w:r>
      <w:r w:rsidRPr="00490B2A">
        <w:rPr>
          <w:rFonts w:eastAsiaTheme="minorEastAsia"/>
          <w:b/>
          <w:color w:val="000000" w:themeColor="text1"/>
          <w:sz w:val="20"/>
          <w:szCs w:val="28"/>
          <w:lang w:eastAsia="zh-CN"/>
        </w:rPr>
        <w:tab/>
      </w:r>
      <w:r w:rsidR="00AC1CFF" w:rsidRPr="00490B2A">
        <w:rPr>
          <w:b/>
          <w:color w:val="000000" w:themeColor="text1"/>
          <w:sz w:val="20"/>
          <w:szCs w:val="28"/>
        </w:rPr>
        <w:t>Data Collection Tools</w:t>
      </w:r>
      <w:r w:rsidR="00700A18" w:rsidRPr="00490B2A">
        <w:rPr>
          <w:b/>
          <w:color w:val="000000" w:themeColor="text1"/>
          <w:sz w:val="20"/>
          <w:szCs w:val="28"/>
        </w:rPr>
        <w:t xml:space="preserve"> </w:t>
      </w:r>
    </w:p>
    <w:p w:rsidR="00AC1CFF" w:rsidRPr="008957A6" w:rsidRDefault="00AC1CFF" w:rsidP="00490B2A">
      <w:pPr>
        <w:snapToGrid w:val="0"/>
        <w:spacing w:after="0" w:line="240" w:lineRule="auto"/>
        <w:ind w:firstLine="425"/>
        <w:rPr>
          <w:rFonts w:eastAsiaTheme="minorEastAsia"/>
          <w:color w:val="000000" w:themeColor="text1"/>
          <w:sz w:val="20"/>
          <w:szCs w:val="28"/>
          <w:lang w:eastAsia="zh-CN"/>
        </w:rPr>
      </w:pPr>
      <w:r w:rsidRPr="00490B2A">
        <w:rPr>
          <w:color w:val="000000" w:themeColor="text1"/>
          <w:sz w:val="20"/>
          <w:szCs w:val="28"/>
        </w:rPr>
        <w:t>In order to achieve the objective of the paper, data was collected through both primary and secondary data sources. Primary data was collected through observation, household questionnaire survey and key informant interview.</w:t>
      </w:r>
      <w:r w:rsidR="00700A18" w:rsidRPr="00490B2A">
        <w:rPr>
          <w:color w:val="000000" w:themeColor="text1"/>
          <w:sz w:val="20"/>
          <w:szCs w:val="28"/>
        </w:rPr>
        <w:t xml:space="preserve"> </w:t>
      </w:r>
      <w:r w:rsidRPr="00490B2A">
        <w:rPr>
          <w:color w:val="000000" w:themeColor="text1"/>
          <w:sz w:val="20"/>
          <w:szCs w:val="28"/>
        </w:rPr>
        <w:t>Secondary data was collected from various sources like, District profile of killasaifullah, Provincial Disaster Management Authority (PDMA), United Nation Higher Commissioner for Refugees (UNHCR), Killasaifull</w:t>
      </w:r>
      <w:r w:rsidR="009225CA" w:rsidRPr="00490B2A">
        <w:rPr>
          <w:color w:val="000000" w:themeColor="text1"/>
          <w:sz w:val="20"/>
          <w:szCs w:val="28"/>
        </w:rPr>
        <w:t>ah district education planning d</w:t>
      </w:r>
      <w:r w:rsidRPr="00490B2A">
        <w:rPr>
          <w:color w:val="000000" w:themeColor="text1"/>
          <w:sz w:val="20"/>
          <w:szCs w:val="28"/>
        </w:rPr>
        <w:t xml:space="preserve">epartments and from the community center of Malgagai village. </w:t>
      </w:r>
      <w:r w:rsidR="009225CA" w:rsidRPr="00490B2A">
        <w:rPr>
          <w:color w:val="000000" w:themeColor="text1"/>
          <w:sz w:val="20"/>
          <w:szCs w:val="28"/>
        </w:rPr>
        <w:t xml:space="preserve">400 respondents were selected and were personally interviewed </w:t>
      </w:r>
      <w:r w:rsidRPr="00490B2A">
        <w:rPr>
          <w:color w:val="000000" w:themeColor="text1"/>
          <w:sz w:val="20"/>
          <w:szCs w:val="28"/>
        </w:rPr>
        <w:t>using simple random sampling</w:t>
      </w:r>
      <w:r w:rsidR="009225CA" w:rsidRPr="00490B2A">
        <w:rPr>
          <w:color w:val="000000" w:themeColor="text1"/>
          <w:sz w:val="20"/>
          <w:szCs w:val="28"/>
        </w:rPr>
        <w:t xml:space="preserve"> techniques</w:t>
      </w:r>
      <w:r w:rsidRPr="00490B2A">
        <w:rPr>
          <w:color w:val="000000" w:themeColor="text1"/>
          <w:sz w:val="20"/>
          <w:szCs w:val="28"/>
        </w:rPr>
        <w:t xml:space="preserve">. The total population of the village was </w:t>
      </w:r>
      <w:r w:rsidR="009225CA" w:rsidRPr="00490B2A">
        <w:rPr>
          <w:color w:val="000000" w:themeColor="text1"/>
          <w:sz w:val="20"/>
          <w:szCs w:val="28"/>
        </w:rPr>
        <w:t>around</w:t>
      </w:r>
      <w:r w:rsidRPr="00490B2A">
        <w:rPr>
          <w:color w:val="000000" w:themeColor="text1"/>
          <w:sz w:val="20"/>
          <w:szCs w:val="28"/>
        </w:rPr>
        <w:t xml:space="preserve"> </w:t>
      </w:r>
      <w:r w:rsidR="009225CA" w:rsidRPr="00490B2A">
        <w:rPr>
          <w:color w:val="000000" w:themeColor="text1"/>
          <w:sz w:val="20"/>
          <w:szCs w:val="28"/>
        </w:rPr>
        <w:t>10000</w:t>
      </w:r>
      <w:r w:rsidRPr="00490B2A">
        <w:rPr>
          <w:color w:val="000000" w:themeColor="text1"/>
          <w:sz w:val="20"/>
          <w:szCs w:val="28"/>
        </w:rPr>
        <w:t xml:space="preserve"> thousand individuals (UNHCR, 2015). </w:t>
      </w:r>
      <w:r w:rsidRPr="00490B2A">
        <w:rPr>
          <w:rFonts w:eastAsia="Arial Unicode MS"/>
          <w:color w:val="000000" w:themeColor="text1"/>
          <w:sz w:val="20"/>
          <w:szCs w:val="28"/>
        </w:rPr>
        <w:t xml:space="preserve">The sample size was collected </w:t>
      </w:r>
      <w:r w:rsidR="009225CA" w:rsidRPr="00490B2A">
        <w:rPr>
          <w:color w:val="000000" w:themeColor="text1"/>
          <w:sz w:val="20"/>
          <w:szCs w:val="28"/>
        </w:rPr>
        <w:t>o</w:t>
      </w:r>
      <w:r w:rsidRPr="00490B2A">
        <w:rPr>
          <w:color w:val="000000" w:themeColor="text1"/>
          <w:sz w:val="20"/>
          <w:szCs w:val="28"/>
        </w:rPr>
        <w:t xml:space="preserve">n the basis of Arkin and Colton formula (1963) given as. </w:t>
      </w:r>
      <w:r w:rsidR="008957A6">
        <w:rPr>
          <w:rFonts w:eastAsiaTheme="minorEastAsia" w:hint="eastAsia"/>
          <w:color w:val="000000" w:themeColor="text1"/>
          <w:sz w:val="20"/>
          <w:szCs w:val="28"/>
          <w:lang w:eastAsia="zh-CN"/>
        </w:rPr>
        <w:t xml:space="preserve"> </w:t>
      </w:r>
    </w:p>
    <w:p w:rsidR="00490B2A" w:rsidRPr="00490B2A" w:rsidRDefault="00490B2A" w:rsidP="00490B2A">
      <w:pPr>
        <w:snapToGrid w:val="0"/>
        <w:spacing w:after="0" w:line="240" w:lineRule="auto"/>
        <w:ind w:firstLine="425"/>
        <w:rPr>
          <w:rFonts w:eastAsiaTheme="minorEastAsia"/>
          <w:color w:val="000000" w:themeColor="text1"/>
          <w:sz w:val="20"/>
          <w:szCs w:val="28"/>
          <w:lang w:eastAsia="zh-CN"/>
        </w:rPr>
      </w:pP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m:oMath>
        <m:r>
          <w:rPr>
            <w:rFonts w:ascii="Cambria Math" w:hAnsi="Cambria Math"/>
            <w:color w:val="000000" w:themeColor="text1"/>
            <w:sz w:val="20"/>
            <w:szCs w:val="28"/>
          </w:rPr>
          <m:t>n</m:t>
        </m:r>
        <m:r>
          <w:rPr>
            <w:rFonts w:ascii="Cambria Math"/>
            <w:color w:val="000000" w:themeColor="text1"/>
            <w:sz w:val="20"/>
            <w:szCs w:val="28"/>
          </w:rPr>
          <m:t>=</m:t>
        </m:r>
        <m:f>
          <m:fPr>
            <m:ctrlPr>
              <w:rPr>
                <w:rFonts w:ascii="Cambria Math" w:hAnsi="Cambria Math"/>
                <w:i/>
                <w:color w:val="000000" w:themeColor="text1"/>
                <w:sz w:val="20"/>
                <w:szCs w:val="28"/>
              </w:rPr>
            </m:ctrlPr>
          </m:fPr>
          <m:num>
            <m:r>
              <w:rPr>
                <w:rFonts w:ascii="Cambria Math" w:hAnsi="Cambria Math"/>
                <w:color w:val="000000" w:themeColor="text1"/>
                <w:sz w:val="20"/>
                <w:szCs w:val="28"/>
              </w:rPr>
              <m:t>N</m:t>
            </m:r>
            <m:sSup>
              <m:sSupPr>
                <m:ctrlPr>
                  <w:rPr>
                    <w:rFonts w:ascii="Cambria Math" w:hAnsi="Cambria Math"/>
                    <w:i/>
                    <w:color w:val="000000" w:themeColor="text1"/>
                    <w:sz w:val="20"/>
                    <w:szCs w:val="28"/>
                  </w:rPr>
                </m:ctrlPr>
              </m:sSupPr>
              <m:e>
                <m:r>
                  <w:rPr>
                    <w:rFonts w:ascii="Cambria Math" w:hAnsi="Cambria Math"/>
                    <w:color w:val="000000" w:themeColor="text1"/>
                    <w:sz w:val="20"/>
                    <w:szCs w:val="28"/>
                  </w:rPr>
                  <m:t>Z</m:t>
                </m:r>
              </m:e>
              <m:sup>
                <m:r>
                  <w:rPr>
                    <w:rFonts w:ascii="Cambria Math"/>
                    <w:color w:val="000000" w:themeColor="text1"/>
                    <w:sz w:val="20"/>
                    <w:szCs w:val="28"/>
                  </w:rPr>
                  <m:t>2</m:t>
                </m:r>
              </m:sup>
            </m:sSup>
            <m:r>
              <w:rPr>
                <w:rFonts w:ascii="Cambria Math"/>
                <w:color w:val="000000" w:themeColor="text1"/>
                <w:sz w:val="20"/>
                <w:szCs w:val="28"/>
              </w:rPr>
              <m:t>×</m:t>
            </m:r>
            <m:r>
              <w:rPr>
                <w:rFonts w:ascii="Cambria Math" w:hAnsi="Cambria Math"/>
                <w:color w:val="000000" w:themeColor="text1"/>
                <w:sz w:val="20"/>
                <w:szCs w:val="28"/>
              </w:rPr>
              <m:t>P</m:t>
            </m:r>
            <m:r>
              <w:rPr>
                <w:rFonts w:ascii="Cambria Math"/>
                <w:color w:val="000000" w:themeColor="text1"/>
                <w:sz w:val="20"/>
                <w:szCs w:val="28"/>
              </w:rPr>
              <m:t>×</m:t>
            </m:r>
            <m:r>
              <w:rPr>
                <w:rFonts w:ascii="Cambria Math"/>
                <w:color w:val="000000" w:themeColor="text1"/>
                <w:sz w:val="20"/>
                <w:szCs w:val="28"/>
              </w:rPr>
              <m:t>(1</m:t>
            </m:r>
            <m:r>
              <w:rPr>
                <w:rFonts w:ascii="Cambria Math"/>
                <w:color w:val="000000" w:themeColor="text1"/>
                <w:sz w:val="20"/>
                <w:szCs w:val="28"/>
              </w:rPr>
              <m:t>-</m:t>
            </m:r>
            <m:r>
              <w:rPr>
                <w:rFonts w:ascii="Cambria Math" w:hAnsi="Cambria Math"/>
                <w:color w:val="000000" w:themeColor="text1"/>
                <w:sz w:val="20"/>
                <w:szCs w:val="28"/>
              </w:rPr>
              <m:t>P</m:t>
            </m:r>
            <m:r>
              <w:rPr>
                <w:rFonts w:ascii="Cambria Math"/>
                <w:color w:val="000000" w:themeColor="text1"/>
                <w:sz w:val="20"/>
                <w:szCs w:val="28"/>
              </w:rPr>
              <m:t>)</m:t>
            </m:r>
          </m:num>
          <m:den>
            <m:r>
              <w:rPr>
                <w:rFonts w:ascii="Cambria Math" w:hAnsi="Cambria Math"/>
                <w:color w:val="000000" w:themeColor="text1"/>
                <w:sz w:val="20"/>
                <w:szCs w:val="28"/>
              </w:rPr>
              <m:t>N</m:t>
            </m:r>
            <m:sSup>
              <m:sSupPr>
                <m:ctrlPr>
                  <w:rPr>
                    <w:rFonts w:ascii="Cambria Math" w:hAnsi="Cambria Math"/>
                    <w:i/>
                    <w:color w:val="000000" w:themeColor="text1"/>
                    <w:sz w:val="20"/>
                    <w:szCs w:val="28"/>
                  </w:rPr>
                </m:ctrlPr>
              </m:sSupPr>
              <m:e>
                <m:r>
                  <w:rPr>
                    <w:rFonts w:ascii="Cambria Math" w:hAnsi="Cambria Math"/>
                    <w:color w:val="000000" w:themeColor="text1"/>
                    <w:sz w:val="20"/>
                    <w:szCs w:val="28"/>
                  </w:rPr>
                  <m:t>e</m:t>
                </m:r>
              </m:e>
              <m:sup>
                <m:r>
                  <w:rPr>
                    <w:rFonts w:ascii="Cambria Math"/>
                    <w:color w:val="000000" w:themeColor="text1"/>
                    <w:sz w:val="20"/>
                    <w:szCs w:val="28"/>
                  </w:rPr>
                  <m:t>2</m:t>
                </m:r>
              </m:sup>
            </m:sSup>
            <m:r>
              <w:rPr>
                <w:rFonts w:ascii="Cambria Math"/>
                <w:color w:val="000000" w:themeColor="text1"/>
                <w:sz w:val="20"/>
                <w:szCs w:val="28"/>
              </w:rPr>
              <m:t>+{</m:t>
            </m:r>
            <m:sSup>
              <m:sSupPr>
                <m:ctrlPr>
                  <w:rPr>
                    <w:rFonts w:ascii="Cambria Math" w:hAnsi="Cambria Math"/>
                    <w:i/>
                    <w:color w:val="000000" w:themeColor="text1"/>
                    <w:sz w:val="20"/>
                    <w:szCs w:val="28"/>
                  </w:rPr>
                </m:ctrlPr>
              </m:sSupPr>
              <m:e>
                <m:r>
                  <w:rPr>
                    <w:rFonts w:ascii="Cambria Math" w:hAnsi="Cambria Math"/>
                    <w:color w:val="000000" w:themeColor="text1"/>
                    <w:sz w:val="20"/>
                    <w:szCs w:val="28"/>
                  </w:rPr>
                  <m:t>Z</m:t>
                </m:r>
              </m:e>
              <m:sup>
                <m:r>
                  <w:rPr>
                    <w:rFonts w:ascii="Cambria Math"/>
                    <w:color w:val="000000" w:themeColor="text1"/>
                    <w:sz w:val="20"/>
                    <w:szCs w:val="28"/>
                  </w:rPr>
                  <m:t>2</m:t>
                </m:r>
              </m:sup>
            </m:sSup>
            <m:r>
              <w:rPr>
                <w:rFonts w:ascii="Cambria Math"/>
                <w:color w:val="000000" w:themeColor="text1"/>
                <w:sz w:val="20"/>
                <w:szCs w:val="28"/>
              </w:rPr>
              <m:t>×</m:t>
            </m:r>
            <m:r>
              <w:rPr>
                <w:rFonts w:ascii="Cambria Math" w:hAnsi="Cambria Math"/>
                <w:color w:val="000000" w:themeColor="text1"/>
                <w:sz w:val="20"/>
                <w:szCs w:val="28"/>
              </w:rPr>
              <m:t>P</m:t>
            </m:r>
            <m:r>
              <w:rPr>
                <w:rFonts w:ascii="Cambria Math"/>
                <w:color w:val="000000" w:themeColor="text1"/>
                <w:sz w:val="20"/>
                <w:szCs w:val="28"/>
              </w:rPr>
              <m:t>×</m:t>
            </m:r>
            <m:r>
              <w:rPr>
                <w:rFonts w:ascii="Cambria Math"/>
                <w:color w:val="000000" w:themeColor="text1"/>
                <w:sz w:val="20"/>
                <w:szCs w:val="28"/>
              </w:rPr>
              <m:t>(1</m:t>
            </m:r>
            <m:r>
              <w:rPr>
                <w:rFonts w:ascii="Cambria Math"/>
                <w:color w:val="000000" w:themeColor="text1"/>
                <w:sz w:val="20"/>
                <w:szCs w:val="28"/>
              </w:rPr>
              <m:t>-</m:t>
            </m:r>
            <m:r>
              <w:rPr>
                <w:rFonts w:ascii="Cambria Math" w:hAnsi="Cambria Math"/>
                <w:color w:val="000000" w:themeColor="text1"/>
                <w:sz w:val="20"/>
                <w:szCs w:val="28"/>
              </w:rPr>
              <m:t>P</m:t>
            </m:r>
            <m:r>
              <w:rPr>
                <w:rFonts w:ascii="Cambria Math"/>
                <w:color w:val="000000" w:themeColor="text1"/>
                <w:sz w:val="20"/>
                <w:szCs w:val="28"/>
              </w:rPr>
              <m:t>)}</m:t>
            </m:r>
          </m:den>
        </m:f>
      </m:oMath>
      <w:r w:rsidRPr="00490B2A">
        <w:rPr>
          <w:color w:val="000000" w:themeColor="text1"/>
          <w:sz w:val="20"/>
          <w:szCs w:val="28"/>
        </w:rPr>
        <w:t xml:space="preserve"> </w:t>
      </w:r>
    </w:p>
    <w:p w:rsidR="00490B2A" w:rsidRDefault="00490B2A" w:rsidP="00490B2A">
      <w:pPr>
        <w:snapToGrid w:val="0"/>
        <w:spacing w:after="0" w:line="240" w:lineRule="auto"/>
        <w:ind w:firstLine="425"/>
        <w:rPr>
          <w:rFonts w:eastAsiaTheme="minorEastAsia"/>
          <w:color w:val="000000" w:themeColor="text1"/>
          <w:sz w:val="20"/>
          <w:szCs w:val="28"/>
          <w:lang w:eastAsia="zh-CN"/>
        </w:rPr>
      </w:pPr>
    </w:p>
    <w:p w:rsidR="00700A18"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Where n = Sample size</w:t>
      </w:r>
    </w:p>
    <w:p w:rsidR="00700A18"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N = Population size</w:t>
      </w:r>
    </w:p>
    <w:p w:rsidR="00700A18"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Z = Confidence Level (95%=1.96)</w:t>
      </w:r>
    </w:p>
    <w:p w:rsidR="00700A18"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P = Degree of Variability (50%)</w:t>
      </w:r>
    </w:p>
    <w:p w:rsidR="00AC1CFF"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t>e = Level of precision or sampling error which is ±5%</w:t>
      </w:r>
    </w:p>
    <w:p w:rsidR="00AC1CFF" w:rsidRPr="00490B2A" w:rsidRDefault="00096B66" w:rsidP="00490B2A">
      <w:pPr>
        <w:snapToGrid w:val="0"/>
        <w:spacing w:after="0" w:line="240" w:lineRule="auto"/>
        <w:ind w:firstLine="425"/>
        <w:rPr>
          <w:color w:val="000000" w:themeColor="text1"/>
          <w:sz w:val="20"/>
          <w:szCs w:val="28"/>
        </w:rPr>
      </w:pPr>
      <w:r w:rsidRPr="00490B2A">
        <w:rPr>
          <w:color w:val="000000" w:themeColor="text1"/>
          <w:sz w:val="20"/>
          <w:szCs w:val="28"/>
        </w:rPr>
        <w:t>The unit of analysis in this study is the household head and only male household were accessible for interview due to religious and customary values of the society. Inferential</w:t>
      </w:r>
      <w:r w:rsidR="00AC1CFF" w:rsidRPr="00490B2A">
        <w:rPr>
          <w:color w:val="000000" w:themeColor="text1"/>
          <w:sz w:val="20"/>
          <w:szCs w:val="28"/>
        </w:rPr>
        <w:t xml:space="preserve"> and descriptive statistics is used</w:t>
      </w:r>
      <w:r w:rsidRPr="00490B2A">
        <w:rPr>
          <w:color w:val="000000" w:themeColor="text1"/>
          <w:sz w:val="20"/>
          <w:szCs w:val="28"/>
        </w:rPr>
        <w:t xml:space="preserve"> for data analysis using Statistical Package for Social Sciences (SPSS)</w:t>
      </w:r>
      <w:r w:rsidR="00AC1CFF" w:rsidRPr="00490B2A">
        <w:rPr>
          <w:color w:val="000000" w:themeColor="text1"/>
          <w:sz w:val="20"/>
          <w:szCs w:val="28"/>
        </w:rPr>
        <w:t xml:space="preserve">. </w:t>
      </w:r>
      <w:r w:rsidRPr="00490B2A">
        <w:rPr>
          <w:color w:val="000000" w:themeColor="text1"/>
          <w:sz w:val="20"/>
          <w:szCs w:val="28"/>
        </w:rPr>
        <w:t xml:space="preserve">In addition Geographical Information System GIS) is used to show the spatial picture of the study area. </w:t>
      </w:r>
    </w:p>
    <w:p w:rsidR="00AC1CFF" w:rsidRPr="00490B2A" w:rsidRDefault="00AC1CFF" w:rsidP="00490B2A">
      <w:pPr>
        <w:snapToGrid w:val="0"/>
        <w:spacing w:after="0" w:line="240" w:lineRule="auto"/>
        <w:rPr>
          <w:color w:val="000000" w:themeColor="text1"/>
          <w:sz w:val="20"/>
          <w:szCs w:val="28"/>
        </w:rPr>
      </w:pPr>
      <w:r w:rsidRPr="00490B2A">
        <w:rPr>
          <w:b/>
          <w:color w:val="000000" w:themeColor="text1"/>
          <w:sz w:val="20"/>
          <w:szCs w:val="28"/>
        </w:rPr>
        <w:t>4</w:t>
      </w:r>
      <w:r w:rsidRPr="00490B2A">
        <w:rPr>
          <w:b/>
          <w:color w:val="000000" w:themeColor="text1"/>
          <w:sz w:val="20"/>
          <w:szCs w:val="28"/>
        </w:rPr>
        <w:tab/>
        <w:t>Data and Methods</w:t>
      </w:r>
    </w:p>
    <w:p w:rsidR="00AC1CFF" w:rsidRPr="00490B2A" w:rsidRDefault="00AC1CFF" w:rsidP="00490B2A">
      <w:pPr>
        <w:snapToGrid w:val="0"/>
        <w:spacing w:after="0" w:line="240" w:lineRule="auto"/>
        <w:rPr>
          <w:b/>
          <w:color w:val="000000" w:themeColor="text1"/>
          <w:sz w:val="20"/>
          <w:szCs w:val="28"/>
        </w:rPr>
      </w:pPr>
      <w:r w:rsidRPr="00490B2A">
        <w:rPr>
          <w:b/>
          <w:color w:val="000000" w:themeColor="text1"/>
          <w:sz w:val="20"/>
          <w:szCs w:val="28"/>
        </w:rPr>
        <w:t>4.1</w:t>
      </w:r>
      <w:r w:rsidRPr="00490B2A">
        <w:rPr>
          <w:b/>
          <w:color w:val="000000" w:themeColor="text1"/>
          <w:sz w:val="20"/>
          <w:szCs w:val="28"/>
        </w:rPr>
        <w:tab/>
        <w:t xml:space="preserve">Selection of Indicators </w:t>
      </w:r>
    </w:p>
    <w:p w:rsidR="00AC1CFF" w:rsidRPr="00490B2A" w:rsidRDefault="00AC1CFF" w:rsidP="00490B2A">
      <w:pPr>
        <w:snapToGrid w:val="0"/>
        <w:spacing w:after="0" w:line="240" w:lineRule="auto"/>
        <w:ind w:firstLine="425"/>
        <w:rPr>
          <w:color w:val="000000" w:themeColor="text1"/>
          <w:sz w:val="20"/>
          <w:szCs w:val="28"/>
        </w:rPr>
      </w:pPr>
      <w:r w:rsidRPr="00490B2A">
        <w:rPr>
          <w:color w:val="000000" w:themeColor="text1"/>
          <w:sz w:val="20"/>
          <w:szCs w:val="28"/>
        </w:rPr>
        <w:lastRenderedPageBreak/>
        <w:t xml:space="preserve">Generally vulnerability is a compound idea, which </w:t>
      </w:r>
      <w:r w:rsidR="005829AA" w:rsidRPr="00490B2A">
        <w:rPr>
          <w:color w:val="000000" w:themeColor="text1"/>
          <w:sz w:val="20"/>
          <w:szCs w:val="28"/>
        </w:rPr>
        <w:t xml:space="preserve">is based on </w:t>
      </w:r>
      <w:r w:rsidRPr="00490B2A">
        <w:rPr>
          <w:color w:val="000000" w:themeColor="text1"/>
          <w:sz w:val="20"/>
          <w:szCs w:val="28"/>
        </w:rPr>
        <w:t>institutional, financial, social, infrastructural, and envir</w:t>
      </w:r>
      <w:r w:rsidR="005829AA" w:rsidRPr="00490B2A">
        <w:rPr>
          <w:color w:val="000000" w:themeColor="text1"/>
          <w:sz w:val="20"/>
          <w:szCs w:val="28"/>
        </w:rPr>
        <w:t>onmental community fundamentals.</w:t>
      </w:r>
      <w:r w:rsidRPr="00490B2A">
        <w:rPr>
          <w:color w:val="000000" w:themeColor="text1"/>
          <w:sz w:val="20"/>
          <w:szCs w:val="28"/>
        </w:rPr>
        <w:t xml:space="preserve"> </w:t>
      </w:r>
      <w:r w:rsidR="005829AA" w:rsidRPr="00490B2A">
        <w:rPr>
          <w:color w:val="000000" w:themeColor="text1"/>
          <w:sz w:val="20"/>
          <w:szCs w:val="28"/>
        </w:rPr>
        <w:t>Four main compo</w:t>
      </w:r>
      <w:r w:rsidRPr="00490B2A">
        <w:rPr>
          <w:color w:val="000000" w:themeColor="text1"/>
          <w:sz w:val="20"/>
          <w:szCs w:val="28"/>
        </w:rPr>
        <w:t xml:space="preserve">nents </w:t>
      </w:r>
      <w:r w:rsidR="005829AA" w:rsidRPr="00490B2A">
        <w:rPr>
          <w:color w:val="000000" w:themeColor="text1"/>
          <w:sz w:val="20"/>
          <w:szCs w:val="28"/>
        </w:rPr>
        <w:t xml:space="preserve">of vulnerability that includes </w:t>
      </w:r>
      <w:r w:rsidRPr="00490B2A">
        <w:rPr>
          <w:color w:val="000000" w:themeColor="text1"/>
          <w:sz w:val="20"/>
          <w:szCs w:val="28"/>
        </w:rPr>
        <w:t xml:space="preserve">economic, social, physical and institutional </w:t>
      </w:r>
      <w:r w:rsidR="005829AA" w:rsidRPr="00490B2A">
        <w:rPr>
          <w:color w:val="000000" w:themeColor="text1"/>
          <w:sz w:val="20"/>
          <w:szCs w:val="28"/>
        </w:rPr>
        <w:t xml:space="preserve">are selected for vulnerability assessment of the study area. </w:t>
      </w:r>
      <w:r w:rsidRPr="00490B2A">
        <w:rPr>
          <w:color w:val="000000" w:themeColor="text1"/>
          <w:sz w:val="20"/>
          <w:szCs w:val="28"/>
        </w:rPr>
        <w:t xml:space="preserve">All </w:t>
      </w:r>
      <w:r w:rsidR="005829AA" w:rsidRPr="00490B2A">
        <w:rPr>
          <w:color w:val="000000" w:themeColor="text1"/>
          <w:sz w:val="20"/>
          <w:szCs w:val="28"/>
        </w:rPr>
        <w:t>these</w:t>
      </w:r>
      <w:r w:rsidRPr="00490B2A">
        <w:rPr>
          <w:color w:val="000000" w:themeColor="text1"/>
          <w:sz w:val="20"/>
          <w:szCs w:val="28"/>
        </w:rPr>
        <w:t xml:space="preserve"> have various sets of indicators depending on the widespread prior researches on vulnerability mostly associated to natural hazards. Every value of the primary data was used in percentages to remove complexity associated to various units of measurements, for community vulnerability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"10.1007/s11069-012-0201-x", "ISBN" : "0921-030X", "ISSN" : "0921030X", "abstract" : "Resilience is widely used from a variety of research perspectives; however, community resilience in particular is applied to a number of natural hazards and disasters-related studies, programs, and activities. It is also acknowledged that its measurement is cumbersome but not impossible. The prime objective of this paper is to measure the community resilience of an earthquake-prone area in Baluchistan. The article presents the concept of resilience, its approaches, selection of indicators, formulation of subjective assessment method for weighting the indicators, and finally, developing the community resilience index. For the community resilience measurement, a survey was conducted among 200 households in two earthquake risk zones of Quetta city, using simple random sampling method. The overall composite community resilience index revealed that the resilience is low in both the zones\u2014A and B. However, it is revealed that there is a significant difference between the zones when compared against the components and indicators. Community resilience components such as economic, institutional, and physical have received higher index values in Zone B as compared to Zone A. Based on the findings, it is recommended to improve the socioeconomic, institutional, and structural (housing) conditions of the community by raising the community awareness and pre-paredness, implementing building codes, and providing income-generating activities in order to enhance the community resilience to cope up with earthquake hazards in the future.", "author" : [ { "dropping-particle" : "", "family" : "Ainuddin", "given" : "Syed", "non-dropping-particle" : "", "parse-names" : false, "suffix" : "" }, { "dropping-particle" : "", "family" : "Routray", "given" : "Jayant Kumar", "non-dropping-particle" : "", "parse-names" : false, "suffix" : "" } ], "container-title" : "Natural Hazards", "id" : "ITEM-1", "issue" : "2", "issued" : { "date-parts" : [ [ "2012" ] ] }, "page" : "909-937", "title" : "Earthquake hazards and community resilience in Baluchistan", "type" : "article-journal", "volume" : "63" }, "uris" : [ "http://www.mendeley.com/documents/?uuid=f29f9884-61ce-4055-8d79-8ae55c99eedb" ] } ], "mendeley" : { "formattedCitation" : "(Ainuddin &amp; Routray, 2012b)", "plainTextFormattedCitation" : "(Ainuddin &amp; Routray, 2012b)", "previouslyFormattedCitation" : "(Ainuddin &amp; Routray, 2012b)"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(Ainuddin</w:t>
      </w:r>
      <w:r w:rsidR="00700A18" w:rsidRPr="00490B2A">
        <w:rPr>
          <w:noProof/>
          <w:color w:val="000000" w:themeColor="text1"/>
          <w:sz w:val="20"/>
          <w:szCs w:val="28"/>
        </w:rPr>
        <w:t xml:space="preserve"> &amp; </w:t>
      </w:r>
      <w:r w:rsidRPr="00490B2A">
        <w:rPr>
          <w:noProof/>
          <w:color w:val="000000" w:themeColor="text1"/>
          <w:sz w:val="20"/>
          <w:szCs w:val="28"/>
        </w:rPr>
        <w:t>Routray, 2012b)</w:t>
      </w:r>
      <w:r w:rsidR="00B21E1C" w:rsidRPr="00490B2A">
        <w:rPr>
          <w:color w:val="000000" w:themeColor="text1"/>
          <w:sz w:val="20"/>
          <w:szCs w:val="28"/>
        </w:rPr>
        <w:fldChar w:fldCharType="end"/>
      </w:r>
      <w:r w:rsidRPr="00490B2A">
        <w:rPr>
          <w:color w:val="000000" w:themeColor="text1"/>
          <w:sz w:val="20"/>
          <w:szCs w:val="28"/>
        </w:rPr>
        <w:t xml:space="preserve">. </w:t>
      </w:r>
    </w:p>
    <w:p w:rsidR="00AC1CFF" w:rsidRPr="00490B2A" w:rsidRDefault="00AC1CFF" w:rsidP="00490B2A">
      <w:pPr>
        <w:widowControl w:val="0"/>
        <w:autoSpaceDE w:val="0"/>
        <w:autoSpaceDN w:val="0"/>
        <w:adjustRightInd w:val="0"/>
        <w:snapToGrid w:val="0"/>
        <w:spacing w:after="0" w:line="240" w:lineRule="auto"/>
        <w:ind w:firstLine="425"/>
        <w:rPr>
          <w:b/>
          <w:color w:val="000000" w:themeColor="text1"/>
          <w:sz w:val="20"/>
          <w:szCs w:val="28"/>
        </w:rPr>
      </w:pPr>
      <w:r w:rsidRPr="00490B2A">
        <w:rPr>
          <w:color w:val="000000" w:themeColor="text1"/>
          <w:sz w:val="20"/>
          <w:szCs w:val="28"/>
        </w:rPr>
        <w:t xml:space="preserve">The first sub-component of the community vulnerability is the social vulnerability, </w:t>
      </w:r>
      <w:r w:rsidR="00B56E90" w:rsidRPr="00490B2A">
        <w:rPr>
          <w:color w:val="000000" w:themeColor="text1"/>
          <w:sz w:val="20"/>
          <w:szCs w:val="28"/>
        </w:rPr>
        <w:t>of the people/community that suffers</w:t>
      </w:r>
      <w:r w:rsidRPr="00490B2A">
        <w:rPr>
          <w:color w:val="000000" w:themeColor="text1"/>
          <w:sz w:val="20"/>
          <w:szCs w:val="28"/>
        </w:rPr>
        <w:t xml:space="preserve"> from natural hazard, </w:t>
      </w:r>
      <w:r w:rsidR="00B56E90" w:rsidRPr="00490B2A">
        <w:rPr>
          <w:color w:val="000000" w:themeColor="text1"/>
          <w:sz w:val="20"/>
          <w:szCs w:val="28"/>
        </w:rPr>
        <w:t xml:space="preserve">and can be assessed through different social aspect </w:t>
      </w:r>
      <w:r w:rsidRPr="00490B2A">
        <w:rPr>
          <w:color w:val="000000" w:themeColor="text1"/>
          <w:sz w:val="20"/>
          <w:szCs w:val="28"/>
        </w:rPr>
        <w:t xml:space="preserve">such as peoples educational level, age distribution of the individuals in a family, people interactions and community trust during disaster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"ITEM-1", "issue" : "2", "issued" : { "date-parts" : [ [ "2003" ] ] }, "page" : "242-261", "title" : "Social vulnerability to environmental hazards", "type" : "article-journal", "volume" : "84" }, "uris" : [ "http://www.mendeley.com/documents/?uuid=31196603-07de-4ed5-bca2-94268ebb1246" ] } ], "mendeley" : { "formattedCitation" : "(Cutter et al., 2003)", "plainTextFormattedCitation" : "(Cutter et al., 2003)", "previouslyFormattedCitation" : "(Cutter et al., 2003)"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(Cutter et al., 2003)</w:t>
      </w:r>
      <w:r w:rsidR="00B21E1C" w:rsidRPr="00490B2A">
        <w:rPr>
          <w:color w:val="000000" w:themeColor="text1"/>
          <w:sz w:val="20"/>
          <w:szCs w:val="28"/>
        </w:rPr>
        <w:fldChar w:fldCharType="end"/>
      </w:r>
      <w:r w:rsidRPr="00490B2A">
        <w:rPr>
          <w:color w:val="000000" w:themeColor="text1"/>
          <w:sz w:val="20"/>
          <w:szCs w:val="28"/>
        </w:rPr>
        <w:t xml:space="preserve">. Economic vulnerability is the second component of the community vulnerability; </w:t>
      </w:r>
      <w:r w:rsidR="00B56E90" w:rsidRPr="00490B2A">
        <w:rPr>
          <w:color w:val="000000" w:themeColor="text1"/>
          <w:sz w:val="20"/>
          <w:szCs w:val="28"/>
        </w:rPr>
        <w:t>and it assess</w:t>
      </w:r>
      <w:r w:rsidRPr="00490B2A">
        <w:rPr>
          <w:color w:val="000000" w:themeColor="text1"/>
          <w:sz w:val="20"/>
          <w:szCs w:val="28"/>
        </w:rPr>
        <w:t xml:space="preserve"> the community vulnerability in terms of financial system, </w:t>
      </w:r>
      <w:r w:rsidR="00B56E90" w:rsidRPr="00490B2A">
        <w:rPr>
          <w:color w:val="000000" w:themeColor="text1"/>
          <w:sz w:val="20"/>
          <w:szCs w:val="28"/>
        </w:rPr>
        <w:t>such as</w:t>
      </w:r>
      <w:r w:rsidRPr="00490B2A">
        <w:rPr>
          <w:color w:val="000000" w:themeColor="text1"/>
          <w:sz w:val="20"/>
          <w:szCs w:val="28"/>
        </w:rPr>
        <w:t xml:space="preserve"> people with low level of income, families without diversified source of income, life insurance and families without savings. The low level of financial system attracts the overall community towards vulnerability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"https://doi.org/10.2202/1547-7355.1131", "ISBN" : "0-415-25215-6", "abstract" : "Presently in its second edition, \"At Risk\" stands as a primary text in risk and vulnerability studies. The authors focus on the political and economic causes of disaster, arguing that vulnerability is at the foundation of risks and recovery practices. Through focusing on natural hazards, such as floods, earthquakes, and volcanoes, \"At Risk\" demonstrates how social groups with little economic or political power are the most at risk during times of disaster. The author's \"Pressure and Release\" model for risk and hazard progression is an interesting addition to disaster scholarship", "author" : [ { "dropping-particle" : "", "family" : "Wisner", "given" : "Ben", "non-dropping-particle" : "", "parse-names" : false, "suffix" : "" }, { "dropping-particle" : "", "family" : "Blaikie", "given" : "Piers", "non-dropping-particle" : "", "parse-names" : false, "suffix" : "" }, { "dropping-particle" : "", "family" : "Cannon", "given" : "Terry", "non-dropping-particle" : "", "parse-names" : false, "suffix" : "" }, { "dropping-particle" : "", "family" : "Davis", "given" : "Ian", "non-dropping-particle" : "", "parse-names" : false, "suffix" : "" } ], "container-title" : "Journal of Homeland Security and Emergency Management", "id" : "ITEM-1", "issue" : "2", "issued" : { "date-parts" : [ [ "2004" ] ] }, "title" : "At Risk \u2013 Natural Hazards, People\u2019s Vulnerability and Disasters second edition: Routledge, London", "type" : "article-journal", "volume" : "2" }, "uris" : [ "http://www.mendeley.com/documents/?uuid=58b38b99-a6af-4b93-ada3-d4b5aac19922" ] }, { "id" : "ITEM-2",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"ITEM-2", "issue" : "7", "issued" : { "date-parts" : [ [ "2008" ] ] }, "page" : "2301-6", "title" : "Temporal and spatial changes in social vulnerability to natural hazards", "type" : "article-journal", "volume" : "105" }, "uris" : [ "http://www.mendeley.com/documents/?uuid=3d428226-3967-4855-86f4-a61dfc160ab5" ] } ], "mendeley" : { "formattedCitation" : "(Cutter &amp; Finch, 2008; Wisner et al., 2004)", "plainTextFormattedCitation" : "(Cutter &amp; Finch, 2008; Wisner et al., 2004)", "previouslyFormattedCitation" : "(Cutter &amp; Finch, 2008; Wisner et al., 2004)"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(Cutter</w:t>
      </w:r>
      <w:r w:rsidR="00700A18" w:rsidRPr="00490B2A">
        <w:rPr>
          <w:noProof/>
          <w:color w:val="000000" w:themeColor="text1"/>
          <w:sz w:val="20"/>
          <w:szCs w:val="28"/>
        </w:rPr>
        <w:t xml:space="preserve"> &amp; </w:t>
      </w:r>
      <w:r w:rsidRPr="00490B2A">
        <w:rPr>
          <w:noProof/>
          <w:color w:val="000000" w:themeColor="text1"/>
          <w:sz w:val="20"/>
          <w:szCs w:val="28"/>
        </w:rPr>
        <w:t>Finch, 2008; Wisner et al., 2004)</w:t>
      </w:r>
      <w:r w:rsidR="00B21E1C" w:rsidRPr="00490B2A">
        <w:rPr>
          <w:color w:val="000000" w:themeColor="text1"/>
          <w:sz w:val="20"/>
          <w:szCs w:val="28"/>
        </w:rPr>
        <w:fldChar w:fldCharType="end"/>
      </w:r>
      <w:r w:rsidRPr="00490B2A">
        <w:rPr>
          <w:color w:val="000000" w:themeColor="text1"/>
          <w:sz w:val="20"/>
          <w:szCs w:val="28"/>
        </w:rPr>
        <w:t>. The third component of community vulnerability is the institutional vulnerability that identifies the vulnerabilities associated to inst</w:t>
      </w:r>
      <w:r w:rsidR="00B56E90" w:rsidRPr="00490B2A">
        <w:rPr>
          <w:color w:val="000000" w:themeColor="text1"/>
          <w:sz w:val="20"/>
          <w:szCs w:val="28"/>
        </w:rPr>
        <w:t>itutions</w:t>
      </w:r>
      <w:r w:rsidRPr="00490B2A">
        <w:rPr>
          <w:color w:val="000000" w:themeColor="text1"/>
          <w:sz w:val="20"/>
          <w:szCs w:val="28"/>
        </w:rPr>
        <w:t xml:space="preserve"> </w:t>
      </w:r>
      <w:r w:rsidR="00B56E90" w:rsidRPr="00490B2A">
        <w:rPr>
          <w:color w:val="000000" w:themeColor="text1"/>
          <w:sz w:val="20"/>
          <w:szCs w:val="28"/>
        </w:rPr>
        <w:t>such as</w:t>
      </w:r>
      <w:r w:rsidRPr="00490B2A">
        <w:rPr>
          <w:color w:val="000000" w:themeColor="text1"/>
          <w:sz w:val="20"/>
          <w:szCs w:val="28"/>
        </w:rPr>
        <w:t xml:space="preserve"> preparation for disaster, mitigation measures and public awareness and preparedness. The fourth component of the community vulnerability is the physical vulnerability, which identifies the physical and geographical vulnerabilities of the study area, such as physically vulnerable location, vulnerable housing structures and housing locations in a river-bed or at the foot of mountain in rural areas that make the particular area vulnerable during earthquake and in flooding situation </w:t>
      </w:r>
      <w:r w:rsidR="00B21E1C" w:rsidRPr="00490B2A">
        <w:rPr>
          <w:color w:val="000000" w:themeColor="text1"/>
          <w:sz w:val="20"/>
          <w:szCs w:val="28"/>
        </w:rPr>
        <w:fldChar w:fldCharType="begin" w:fldLock="1"/>
      </w:r>
      <w:r w:rsidRPr="00490B2A">
        <w:rPr>
          <w:color w:val="000000" w:themeColor="text1"/>
          <w:sz w:val="20"/>
          <w:szCs w:val="28"/>
        </w:rPr>
        <w:instrText>ADDIN CSL_CITATION { "citationItems" : [ { "id" : "ITEM-1", "itemData" : { "DOI" : "10.1073/pnas.1231334100", "ISBN" : "00278424", "ISSN" : "0027-8424", "PMID" : "12815106", "abstract" : "The vulnerability framework of the Research and Assessment Systems for Sustainability Program explicitly recognizes the coupled human-environment system and accounts for interactions in the coupling affecting the system's responses to hazards and its vulnerability. This paper illustrates the usefulness of the vulnerability framework through three case studies: the tropical southern Yucat\u00e1n, the arid Yaqui Valley of northwest Mexico, and the pan-Arctic. Together, these examples illustrate the role of external forces in reshaping the systems in question and their vulnerability to environmental hazards, as well as the different capacities of stakeholders, based on their access to social and biophysical capital, to respond to the changes and hazards. The framework proves useful in directing attention to the interacting parts of the coupled system and helps identify gaps in information and understanding relevant to reducing vulnerability in the systems as a whole.", "author" : [ { "dropping-particle" : "", "family" : "Turner", "given" : "B. L.", "non-dropping-particle" : "", "parse-names" : false, "suffix" : "" }, { "dropping-particle" : "", "family" : "Matson", "given" : "P. A.", "non-dropping-particle" : "", "parse-names" : false, "suffix" : "" }, { "dropping-particle" : "", "family" : "McCarthy", "given" : "J. J.", "non-dropping-particle" : "", "parse-names" : false, "suffix" : "" }, { "dropping-particle" : "", "family" : "Corell", "given" : "R. W.", "non-dropping-particle" : "", "parse-names" : false, "suffix" : "" }, { "dropping-particle" : "", "family" : "Christensen", "given" : "L.", "non-dropping-particle" : "", "parse-names" : false, "suffix" : "" }, { "dropping-particle" : "", "family" : "Eckley", "given" : "N.", "non-dropping-particle" : "", "parse-names" : false, "suffix" : "" }, { "dropping-particle" : "", "family" : "Hovelsrud-Broda", "given" : "G. K.", "non-dropping-particle" : "", "parse-names" : false, "suffix" : "" }, { "dropping-particle" : "", "family" : "Kasperson", "given" : "J. X.", "non-dropping-particle" : "", "parse-names" : false, "suffix" : "" }, { "dropping-particle" : "", "family" : "Kasperson", "given" : "R. E.", "non-dropping-particle" : "", "parse-names" : false, "suffix" : "" }, { "dropping-particle" : "", "family" : "Luers", "given" : "A.", "non-dropping-particle" : "", "parse-names" : false, "suffix" : "" }, { "dropping-particle" : "", "family" : "Martello", "given" : "M. L.", "non-dropping-particle" : "", "parse-names" : false, "suffix" : "" }, { "dropping-particle" : "", "family" : "Mathiesen", "given" : "S.", "non-dropping-particle" : "", "parse-names" : false, "suffix" : "" }, { "dropping-particle" : "", "family" : "Naylor", "given" : "R.", "non-dropping-particle" : "", "parse-names" : false, "suffix" : "" }, { "dropping-particle" : "", "family" : "Polsky", "given" : "C.", "non-dropping-particle" : "", "parse-names" : false, "suffix" : "" }, { "dropping-particle" : "", "family" : "Pulsipher", "given" : "A.", "non-dropping-particle" : "", "parse-names" : false, "suffix" : "" }, { "dropping-particle" : "", "family" : "Schiller", "given" : "A.", "non-dropping-particle" : "", "parse-names" : false, "suffix" : "" }, { "dropping-particle" : "", "family" : "Selin", "given" : "H.", "non-dropping-particle" : "", "parse-names" : false, "suffix" : "" }, { "dropping-particle" : "", "family" : "Tyler", "given" : "N.", "non-dropping-particle" : "", "parse-names" : false, "suffix" : "" } ], "container-title" : "Proceedings of the National Academy of Sciences", "id" : "ITEM-1", "issue" : "14", "issued" : { "date-parts" : [ [ "2003" ] ] }, "page" : "8080-8085", "title" : "Illustrating the coupled human-environment system for vulnerability analysis: Three case studies", "type" : "article-journal", "volume" : "100" }, "uris" : [ "http://www.mendeley.com/documents/?uuid=56b038ef-25ba-4ef9-a0fe-31440184a4ef" ] }, { "id" : "ITEM-2", "itemData" : { "DOI" : "https://doi.org/10.2202/1547-7355.1131", "ISBN" : "0-415-25215-6", "abstract" : "Presently in its second edition, \"At Risk\" stands as a primary text in risk and vulnerability studies. The authors focus on the political and economic causes of disaster, arguing that vulnerability is at the foundation of risks and recovery practices. Through focusing on natural hazards, such as floods, earthquakes, and volcanoes, \"At Risk\" demonstrates how social groups with little economic or political power are the most at risk during times of disaster. The author's \"Pressure and Release\" model for risk and hazard progression is an interesting addition to disaster scholarship", "author" : [ { "dropping-particle" : "", "family" : "Wisner", "given" : "Ben", "non-dropping-particle" : "", "parse-names" : false, "suffix" : "" }, { "dropping-particle" : "", "family" : "Blaikie", "given" : "Piers", "non-dropping-particle" : "", "parse-names" : false, "suffix" : "" }, { "dropping-particle" : "", "family" : "Cannon", "given" : "Terry", "non-dropping-particle" : "", "parse-names" : false, "suffix" : "" }, { "dropping-particle" : "", "family" : "Davis", "given" : "Ian", "non-dropping-particle" : "", "parse-names" : false, "suffix" : "" } ], "container-title" : "Journal of Homeland Security and Emergency Management", "id" : "ITEM-2", "issue" : "2", "issued" : { "date-parts" : [ [ "2004" ] ] }, "title" : "At Risk \u2013 Natural Hazards, People\u2019s Vulnerability and Disasters second edition: Routledge, London", "type" : "article-journal", "volume" : "2" }, "uris" : [ "http://www.mendeley.com/documents/?uuid=58b38b99-a6af-4b93-ada3-d4b5aac19922" ] }, { "id" : "ITEM-3", "itemData" : { "DOI" : "10.1108/09653561211202683", "ISBN" : "0965-3562", "ISSN" : "0965-3562", "abstract" : "Purpose - Balochistan is one of the earthquake disaster prone areas in Pakistan. Earthquakes adversely affect people and their economy, therefore disaster preparedness especially at the community level is imperative to avoid future damages. The purpose of this paper is to examine the issues associated with community preparedness in earthquake prone areas and recommend upgrading the community preparedness, and improving coordination between provincial and national agencies during disasters and seismic emergencies. Design/methodology/approach - The study is based on field visits. Observations, key informant interviews and group discussions were conducted to analyze the preparedness, both at community and organizational levels. Findings - Disaster impacts are still handled by provincial level organizations in Balochistan. Disaster management authorities do not implement any activities related to preparedness at local levels, and focus more on reactive and top-down approaches. On the other hand, community is vulnerable to multiple hazards associated with earthquakes. The study reveals that the available institutional framework does not meet community needs. Both the government institutes and communities are not well prepared, therefore communities get affected from time to time due to earthquake hazards in Balochistan. Practical implications - Disaster management authorities should implement projects and activities at the local levels to empower communities for disaster preparedness and for disaster risk reduction. Originality/value - The paper concludes that for efficient preparedness the coordination should be improved between the provincial and national level agencies and community preparedness needs to be enhanced for upgrading people's awareness and defensive mechanism for safeguarding their lives with reference to seismic emergencies.", "author" : [ { "dropping-particle" : "", "family" : "Ainuddin", "given" : "Syed", "non-dropping-particle" : "", "parse-names" : false, "suffix" : "" }, { "dropping-particle" : "", "family" : "Routray", "given" : "Jayant Kumar", "non-dropping-particle" : "", "parse-names" : false, "suffix" : "" } ], "container-title" : "Disaster Prevention and Management: An International Journal", "id" : "ITEM-3", "issue" : "1", "issued" : { "date-parts" : [ [ "2012" ] ] }, "page" : "22-36", "title" : "Institutional framework, key stakeholders and community preparedness for earthquake induced disaster management in Balochistan", "type" : "article-journal", "volume" : "21" }, "uris" : [ "http://www.mendeley.com/documents/?uuid=b6ff8918-0965-4815-84d5-2e87d9a0374a" ] }, { "id" : "ITEM-4",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"ITEM-4", "issue" : "7", "issued" : { "date-parts" : [ [ "2008" ] ] }, "page" : "2301-6", "title" : "Temporal and spatial changes in social vulnerability to natural hazards", "type" : "article-journal", "volume" : "105" }, "uris" : [ "http://www.mendeley.com/documents/?uuid=3d428226-3967-4855-86f4-a61dfc160ab5" ] } ], "mendeley" : { "formattedCitation" : "(Ainuddin &amp; Routray, 2012c; Cutter &amp; Finch, 2008; Turner et al., 2003; Wisner et al., 2004)", "plainTextFormattedCitation" : "(Ainuddin &amp; Routray, 2012c; Cutter &amp; Finch, 2008; Turner et al., 2003; Wisner et al., 2004)" }, "properties" : { "noteIndex" : 0 }, "schema" : "https://github.com/citation-style-language/schema/raw/master/csl-citation.json" }</w:instrText>
      </w:r>
      <w:r w:rsidR="00B21E1C" w:rsidRPr="00490B2A">
        <w:rPr>
          <w:color w:val="000000" w:themeColor="text1"/>
          <w:sz w:val="20"/>
          <w:szCs w:val="28"/>
        </w:rPr>
        <w:fldChar w:fldCharType="separate"/>
      </w:r>
      <w:r w:rsidRPr="00490B2A">
        <w:rPr>
          <w:noProof/>
          <w:color w:val="000000" w:themeColor="text1"/>
          <w:sz w:val="20"/>
          <w:szCs w:val="28"/>
        </w:rPr>
        <w:t>(Ainuddin</w:t>
      </w:r>
      <w:r w:rsidR="00700A18" w:rsidRPr="00490B2A">
        <w:rPr>
          <w:noProof/>
          <w:color w:val="000000" w:themeColor="text1"/>
          <w:sz w:val="20"/>
          <w:szCs w:val="28"/>
        </w:rPr>
        <w:t xml:space="preserve"> &amp; </w:t>
      </w:r>
      <w:r w:rsidRPr="00490B2A">
        <w:rPr>
          <w:noProof/>
          <w:color w:val="000000" w:themeColor="text1"/>
          <w:sz w:val="20"/>
          <w:szCs w:val="28"/>
        </w:rPr>
        <w:t>Routray, 2012c; Cutter</w:t>
      </w:r>
      <w:r w:rsidR="00700A18" w:rsidRPr="00490B2A">
        <w:rPr>
          <w:noProof/>
          <w:color w:val="000000" w:themeColor="text1"/>
          <w:sz w:val="20"/>
          <w:szCs w:val="28"/>
        </w:rPr>
        <w:t xml:space="preserve"> &amp; </w:t>
      </w:r>
      <w:r w:rsidRPr="00490B2A">
        <w:rPr>
          <w:noProof/>
          <w:color w:val="000000" w:themeColor="text1"/>
          <w:sz w:val="20"/>
          <w:szCs w:val="28"/>
        </w:rPr>
        <w:t>Finch, 2008; Turner et al., 2003; Wisner et al., 2004)</w:t>
      </w:r>
      <w:r w:rsidR="00B21E1C" w:rsidRPr="00490B2A">
        <w:rPr>
          <w:color w:val="000000" w:themeColor="text1"/>
          <w:sz w:val="20"/>
          <w:szCs w:val="28"/>
        </w:rPr>
        <w:fldChar w:fldCharType="end"/>
      </w:r>
      <w:r w:rsidRPr="00490B2A">
        <w:rPr>
          <w:color w:val="000000" w:themeColor="text1"/>
          <w:sz w:val="20"/>
          <w:szCs w:val="28"/>
        </w:rPr>
        <w:t xml:space="preserve">. </w:t>
      </w:r>
      <w:r w:rsidR="00B56E90" w:rsidRPr="00490B2A">
        <w:rPr>
          <w:color w:val="000000" w:themeColor="text1"/>
          <w:sz w:val="20"/>
          <w:szCs w:val="28"/>
        </w:rPr>
        <w:t>In order to assess the community vulnerability, following indicators from these four components of vulnerability have been selected for further investigation (see Table 1).</w:t>
      </w:r>
      <w:r w:rsidR="00B56E90" w:rsidRPr="00490B2A">
        <w:rPr>
          <w:b/>
          <w:color w:val="000000" w:themeColor="text1"/>
          <w:sz w:val="20"/>
          <w:szCs w:val="28"/>
        </w:rPr>
        <w:t xml:space="preserve"> </w:t>
      </w:r>
    </w:p>
    <w:p w:rsidR="00490B2A" w:rsidRPr="00490B2A" w:rsidRDefault="00490B2A" w:rsidP="00490B2A">
      <w:pPr>
        <w:snapToGrid w:val="0"/>
        <w:spacing w:after="0" w:line="240" w:lineRule="auto"/>
        <w:jc w:val="center"/>
        <w:rPr>
          <w:color w:val="000000" w:themeColor="text1"/>
          <w:sz w:val="20"/>
          <w:szCs w:val="28"/>
        </w:rPr>
        <w:sectPr w:rsidR="00490B2A" w:rsidRPr="00490B2A" w:rsidSect="00490B2A">
          <w:type w:val="continuous"/>
          <w:pgSz w:w="12240" w:h="15840"/>
          <w:pgMar w:top="1440" w:right="1440" w:bottom="1440" w:left="1440" w:header="720" w:footer="720" w:gutter="0"/>
          <w:cols w:num="2" w:space="600"/>
          <w:docGrid w:linePitch="360"/>
        </w:sectPr>
      </w:pPr>
    </w:p>
    <w:p w:rsidR="00AC1CFF" w:rsidRPr="00490B2A" w:rsidRDefault="00AC1CFF" w:rsidP="00490B2A">
      <w:pPr>
        <w:snapToGrid w:val="0"/>
        <w:spacing w:after="0" w:line="240" w:lineRule="auto"/>
        <w:jc w:val="center"/>
        <w:rPr>
          <w:color w:val="000000" w:themeColor="text1"/>
          <w:sz w:val="20"/>
          <w:szCs w:val="28"/>
        </w:rPr>
      </w:pPr>
    </w:p>
    <w:p w:rsidR="00AC1CFF" w:rsidRPr="00490B2A" w:rsidRDefault="000F1902" w:rsidP="00490B2A">
      <w:pPr>
        <w:widowControl w:val="0"/>
        <w:autoSpaceDE w:val="0"/>
        <w:autoSpaceDN w:val="0"/>
        <w:adjustRightInd w:val="0"/>
        <w:snapToGrid w:val="0"/>
        <w:spacing w:after="0" w:line="240" w:lineRule="auto"/>
        <w:jc w:val="center"/>
        <w:rPr>
          <w:b/>
          <w:color w:val="000000" w:themeColor="text1"/>
          <w:sz w:val="20"/>
          <w:szCs w:val="28"/>
        </w:rPr>
      </w:pPr>
      <w:r w:rsidRPr="00490B2A">
        <w:rPr>
          <w:b/>
          <w:color w:val="000000" w:themeColor="text1"/>
          <w:sz w:val="20"/>
          <w:szCs w:val="28"/>
        </w:rPr>
        <w:t>Table 1</w:t>
      </w:r>
      <w:r w:rsidR="00AC1CFF" w:rsidRPr="00490B2A">
        <w:rPr>
          <w:b/>
          <w:color w:val="000000" w:themeColor="text1"/>
          <w:sz w:val="20"/>
          <w:szCs w:val="28"/>
        </w:rPr>
        <w:t>: Variables selected for constructing community vulnerability index</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413"/>
        <w:gridCol w:w="4216"/>
        <w:gridCol w:w="836"/>
        <w:gridCol w:w="3009"/>
      </w:tblGrid>
      <w:tr w:rsidR="00AC1CFF" w:rsidRPr="00490B2A" w:rsidTr="00490B2A">
        <w:trPr>
          <w:tblHeade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Category</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Variables/indicators</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Effects</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Justification</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Social Vulnerability</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Educational level</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people with high school and above education</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without any education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"ITEM-2", "issue" : "1-2", "issued" : { "date-parts" : [ [ "2008" ] ] }, "page" : "127-150", "title" : "Community resilience as a metaphor, theory, set of capacities, and strategy for disaster readiness", "type" : "article-journal", "volume" : "41" }, "uris" : [ "http://www.mendeley.com/documents/?uuid=31728692-8c71-4e8e-8660-b102122b740e" ] }, { "id" : "ITEM-3", "itemData" : { "ISSN" : "2159-8142", "abstract" : "Various research methods can be appropriate for social justice aims. Quantitative, qualitative, and mixed-method approaches offer different kinds of strengths in advancing a social justice agenda. This article recaptures and expands upon the ideas presented by the authors of this special issue, recommending best practices in research for social justice in the following areas: (a) cultural competence and the role of the researcher(s); (b) formulating the focus of the research; (c) selection of the underlying paradigm and research method/design; (d) the research team: formation, process, and issues of power; (e) power and relationship with research participants; and (f) data gathering, analysis, and reporting. [ABSTRACT FROM AUTHOR]", "author" : [ { "dropping-particle" : "", "family" : "Fassinger", "given" : "Ruth", "non-dropping-particle" : "", "parse-names" : false, "suffix" : "" }, { "dropping-particle" : "", "family" : "Morrow", "given" : "Susan L", "non-dropping-particle" : "", "parse-names" : false, "suffix" : "" } ], "container-title" : "Journal for Social Action in Counseling &amp; Psychology", "id" : "ITEM-3", "issue" : "2", "issued" : { "date-parts" : [ [ "2013" ] ] }, "page" : "69-83", "title" : "Toward best practices in quantitative, qualitative, and mixed- method research: A social justice perspective.", "type" : "article-journal", "volume" : "5" }, "uris" : [ "http://www.mendeley.com/documents/?uuid=c4a73d5d-60e6-4499-9967-0ab9e384c9c3" ] } ], "mendeley" : { "formattedCitation" : "(Cutter &amp; Finch, 2008; Fassinger &amp; Morrow, 2013; Norris, Stevens, Pfefferbaum, Wyche, &amp; Pfefferbaum, 2008)", "plainTextFormattedCitation" : "(Cutter &amp; Finch, 2008; Fassinger &amp; Morrow, 2013; Norris, Stevens, Pfefferbaum, Wyche, &amp; Pfefferbaum, 2008)", "previouslyFormattedCitation" : "(Cutter &amp; Finch, 2008; Fassinger &amp; Morrow, 2013; Norris, Stevens, Pfefferbaum, Wyche, &amp; Pfefferbaum,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w:t>
            </w:r>
            <w:r w:rsidR="00700A18" w:rsidRPr="00490B2A">
              <w:rPr>
                <w:color w:val="000000" w:themeColor="text1"/>
                <w:sz w:val="19"/>
                <w:szCs w:val="19"/>
              </w:rPr>
              <w:t xml:space="preserve"> &amp; </w:t>
            </w:r>
            <w:r w:rsidRPr="00490B2A">
              <w:rPr>
                <w:color w:val="000000" w:themeColor="text1"/>
                <w:sz w:val="19"/>
                <w:szCs w:val="19"/>
              </w:rPr>
              <w:t>Finch, 2008; Fassinger</w:t>
            </w:r>
            <w:r w:rsidR="00700A18" w:rsidRPr="00490B2A">
              <w:rPr>
                <w:color w:val="000000" w:themeColor="text1"/>
                <w:sz w:val="19"/>
                <w:szCs w:val="19"/>
              </w:rPr>
              <w:t xml:space="preserve"> &amp; </w:t>
            </w:r>
            <w:r w:rsidRPr="00490B2A">
              <w:rPr>
                <w:color w:val="000000" w:themeColor="text1"/>
                <w:sz w:val="19"/>
                <w:szCs w:val="19"/>
              </w:rPr>
              <w:t>Morrow, 2013; Norris, Stevens, Pfefferbaum, Wyche,</w:t>
            </w:r>
            <w:r w:rsidR="00700A18" w:rsidRPr="00490B2A">
              <w:rPr>
                <w:color w:val="000000" w:themeColor="text1"/>
                <w:sz w:val="19"/>
                <w:szCs w:val="19"/>
              </w:rPr>
              <w:t xml:space="preserve"> &amp; </w:t>
            </w:r>
            <w:r w:rsidRPr="00490B2A">
              <w:rPr>
                <w:color w:val="000000" w:themeColor="text1"/>
                <w:sz w:val="19"/>
                <w:szCs w:val="19"/>
              </w:rPr>
              <w:t>Pfefferbaum, 2008)</w:t>
            </w:r>
            <w:r w:rsidR="00B21E1C" w:rsidRPr="00490B2A">
              <w:rPr>
                <w:color w:val="000000" w:themeColor="text1"/>
                <w:sz w:val="19"/>
                <w:szCs w:val="19"/>
              </w:rPr>
              <w:fldChar w:fldCharType="end"/>
            </w:r>
            <w:r w:rsidRPr="00490B2A">
              <w:rPr>
                <w:color w:val="000000" w:themeColor="text1"/>
                <w:sz w:val="19"/>
                <w:szCs w:val="19"/>
              </w:rPr>
              <w:t xml:space="preserve">. </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Negative</w:t>
            </w:r>
            <w:r w:rsidR="00700A18" w:rsidRPr="00490B2A">
              <w:rPr>
                <w:color w:val="000000" w:themeColor="text1"/>
                <w:sz w:val="19"/>
                <w:szCs w:val="19"/>
              </w:rPr>
              <w:t xml:space="preserve"> </w:t>
            </w: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Positive</w:t>
            </w:r>
            <w:r w:rsidR="00700A18" w:rsidRPr="00490B2A">
              <w:rPr>
                <w:color w:val="000000" w:themeColor="text1"/>
                <w:sz w:val="19"/>
                <w:szCs w:val="19"/>
              </w:rPr>
              <w:t xml:space="preser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Higher the education level plays a vital role in a community for understanding the disaster management activates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Age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above 60 years of age and below 15 years of age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"10.3763/ehaz.1999.0103", "ISBN" : "1464-2867", "ISSN" : "18780059", "abstract" : "Recent hazard literature frequently refers to sustainability and resilience as the guiding principles behind effective hazard planning. Certainly, structurally organizing communities to minimize effects of disasters and to recover quickly by restoring socio-economic vitality are laudable goals. However, while anticipating such outcomes is relatively easy from a theoretical standpoint, practical implementation of comprehensive plans is much more elusive. Indeed, relationships between community sustainability/resilience and hazards are complex involving many social, economic, political and physical factors. A conceptual framework for analysis of sustainability and resilience, then, is described based on three theoretical models, a mitigation model, a recovery model, and a structural-cognitive model. This framework is examined using data from Florida, USA, where local context, social and political activities, and economic concerns present difficulties in application. The question remains, therefore, to what extent can communities truly develop sustainable and resilient characteristics? (C) 1999 Elsevier Science Ltd.", "author" : [ { "dropping-particle" : "", "family" : "Tobin", "given" : "Graham A.", "non-dropping-particle" : "", "parse-names" : false, "suffix" : "" } ], "container-title" : "Environmental Hazards", "id" : "ITEM-1", "issue" : "1", "issued" : { "date-parts" : [ [ "1999" ] ] }, "page" : "13-25", "title" : "Sustainability and community resilience: The holy grail of hazards planning?", "type" : "article-journal", "volume" : "1" }, "uris" : [ "http://www.mendeley.com/documents/?uuid=01696b08-a9cb-4ce0-9f5f-d7e56f7d3767" ] }, { "id" : "ITEM-2",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"ITEM-2", "issue" : "2", "issued" : { "date-parts" : [ [ "2003" ] ] }, "page" : "242-261", "title" : "Social vulnerability to environmental hazards", "type" : "article-journal", "volume" : "84" }, "uris" : [ "http://www.mendeley.com/documents/?uuid=31196603-07de-4ed5-bca2-94268ebb1246" ] }, { "id" : "ITEM-3",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"ITEM-3", "issue" : "7", "issued" : { "date-parts" : [ [ "2008" ] ] }, "page" : "2301-6", "title" : "Temporal and spatial changes in social vulnerability to natural hazards", "type" : "article-journal", "volume" : "105" }, "uris" : [ "http://www.mendeley.com/documents/?uuid=3d428226-3967-4855-86f4-a61dfc160ab5" ] }, { "id" : "ITEM-4", "itemData" : { "ISSN" : "2159-8142", "abstract" : "Various research methods can be appropriate for social justice aims. Quantitative, qualitative, and mixed-method approaches offer different kinds of strengths in advancing a social justice agenda. This article recaptures and expands upon the ideas presented by the authors of this special issue, recommending best practices in research for social justice in the following areas: (a) cultural competence and the role of the researcher(s); (b) formulating the focus of the research; (c) selection of the underlying paradigm and research method/design; (d) the research team: formation, process, and issues of power; (e) power and relationship with research participants; and (f) data gathering, analysis, and reporting. [ABSTRACT FROM AUTHOR]", "author" : [ { "dropping-particle" : "", "family" : "Fassinger", "given" : "Ruth", "non-dropping-particle" : "", "parse-names" : false, "suffix" : "" }, { "dropping-particle" : "", "family" : "Morrow", "given" : "Susan L", "non-dropping-particle" : "", "parse-names" : false, "suffix" : "" } ], "container-title" : "Journal for Social Action in Counseling &amp; Psychology", "id" : "ITEM-4", "issue" : "2", "issued" : { "date-parts" : [ [ "2013" ] ] }, "page" : "69-83", "title" : "Toward best practices in quantitative, qualitative, and mixed- method research: A social justice perspective.", "type" : "article-journal", "volume" : "5" }, "uris" : [ "http://www.mendeley.com/documents/?uuid=c4a73d5d-60e6-4499-9967-0ab9e384c9c3" ] } ], "mendeley" : { "formattedCitation" : "(Cutter et al., 2003; Cutter &amp; Finch, 2008; Fassinger &amp; Morrow, 2013; Tobin, 1999)", "plainTextFormattedCitation" : "(Cutter et al., 2003; Cutter &amp; Finch, 2008; Fassinger &amp; Morrow, 2013; Tobin, 1999)", "previouslyFormattedCitation" : "(Cutter et al., 2003; Cutter &amp; Finch, 2008; Fassinger &amp; Morrow, 2013; Tobin, 1999)"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et al., 2003; Cutter</w:t>
            </w:r>
            <w:r w:rsidR="00700A18" w:rsidRPr="00490B2A">
              <w:rPr>
                <w:color w:val="000000" w:themeColor="text1"/>
                <w:sz w:val="19"/>
                <w:szCs w:val="19"/>
              </w:rPr>
              <w:t xml:space="preserve"> &amp; </w:t>
            </w:r>
            <w:r w:rsidRPr="00490B2A">
              <w:rPr>
                <w:color w:val="000000" w:themeColor="text1"/>
                <w:sz w:val="19"/>
                <w:szCs w:val="19"/>
              </w:rPr>
              <w:t xml:space="preserve">Finch, </w:t>
            </w:r>
            <w:r w:rsidRPr="00490B2A">
              <w:rPr>
                <w:color w:val="000000" w:themeColor="text1"/>
                <w:sz w:val="19"/>
                <w:szCs w:val="19"/>
              </w:rPr>
              <w:lastRenderedPageBreak/>
              <w:t>2008; Fassinger</w:t>
            </w:r>
            <w:r w:rsidR="00700A18" w:rsidRPr="00490B2A">
              <w:rPr>
                <w:color w:val="000000" w:themeColor="text1"/>
                <w:sz w:val="19"/>
                <w:szCs w:val="19"/>
              </w:rPr>
              <w:t xml:space="preserve"> &amp; </w:t>
            </w:r>
            <w:r w:rsidRPr="00490B2A">
              <w:rPr>
                <w:color w:val="000000" w:themeColor="text1"/>
                <w:sz w:val="19"/>
                <w:szCs w:val="19"/>
              </w:rPr>
              <w:t>Morrow, 2013; Tobin, 1999)</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lastRenderedPageBreak/>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Higher the ratio of aged people and under 15 years of children’s having </w:t>
            </w:r>
            <w:r w:rsidRPr="00490B2A">
              <w:rPr>
                <w:color w:val="000000" w:themeColor="text1"/>
                <w:sz w:val="19"/>
                <w:szCs w:val="19"/>
              </w:rPr>
              <w:lastRenderedPageBreak/>
              <w:t>constraints during evocation.</w:t>
            </w:r>
            <w:r w:rsidR="00700A18" w:rsidRPr="00490B2A">
              <w:rPr>
                <w:color w:val="000000" w:themeColor="text1"/>
                <w:sz w:val="19"/>
                <w:szCs w:val="19"/>
              </w:rPr>
              <w:t xml:space="preserve">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lastRenderedPageBreak/>
              <w:t xml:space="preserve">Health Insurance </w:t>
            </w: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Disability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Percentage of people with health insurance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"ISSN" : "0749-0208", "abstract" : "Over the next 60 years, coastal erosion may claim one out of four houses within 500 teet of the U.S. shoreline. To the homeowners living within this narrow strip, the risk posed by erosion is comparable to the risk from flooding. These are the findings of a recent study by The H. John Heinz III Center tin Science, Economics and the Environment, prepared for the U.S. Congress and funded primarily by the Federal Emergency Management Agency (FEMAJ.Other key economic and policy findings are summarized, as well. Underpinning these findings are: 1) detailed projections of shoreline movement over the next 60 years (first published in a special issue of this Journal), 2) an extensive engineering and economic data set on over 10,000 structures located within 500 teet of the Nation's shorelines, and 3) a model that uses these detailed data to estimate ocnnomic costs needed by the FEMA for setting flood insurance rates. Extrapolating nationwide, roughly 87,000 homes and the land on which they are built will be lost to erosion over the next 60 years. We explain the procedures for making such extrapolations, using a national shoreline change data set from Dolan and May and 1990 Census block group data on dwelling densities. ADDITIONAL", "author" : [ { "dropping-particle" : "", "family" : "Friedman", "given" : "Robert M", "non-dropping-particle" : "", "parse-names" : false, "suffix" : "" }, { "dropping-particle" : "V", "family" : "Dunn", "given" : "Stephen", "non-dropping-particle" : "", "parse-names" : false, "suffix" : "" }, { "dropping-particle" : "", "family" : "Merrell Jr", "given" : "William J", "non-dropping-particle" : "", "parse-names" : false, "suffix" : "" } ], "container-title" : "Journal of Coastal Research", "id" : "ITEM-2", "issue" : "3", "issued" : { "date-parts" : [ [ "2002" ] ] }, "page" : "568-575", "title" : "Summary of the Heinz center report on coastal erosion and the National Flood Insurance Program", "type" : "article-journal", "volume" : "18" }, "uris" : [ "http://www.mendeley.com/documents/?uuid=c4b0d074-1958-46cf-a2d4-6ceba49e75e2" ] } ], "mendeley" : { "formattedCitation" : "(Cutter &amp; Finch, 2008; Friedman, Dunn, &amp; Merrell Jr, 2002)", "plainTextFormattedCitation" : "(Cutter &amp; Finch, 2008; Friedman, Dunn, &amp; Merrell Jr, 2002)", "previouslyFormattedCitation" : "(Cutter &amp; Finch, 2008; Friedman, Dunn, &amp; Merrell Jr, 2002)"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w:t>
            </w:r>
            <w:r w:rsidR="00700A18" w:rsidRPr="00490B2A">
              <w:rPr>
                <w:color w:val="000000" w:themeColor="text1"/>
                <w:sz w:val="19"/>
                <w:szCs w:val="19"/>
              </w:rPr>
              <w:t xml:space="preserve"> &amp; </w:t>
            </w:r>
            <w:r w:rsidRPr="00490B2A">
              <w:rPr>
                <w:color w:val="000000" w:themeColor="text1"/>
                <w:sz w:val="19"/>
                <w:szCs w:val="19"/>
              </w:rPr>
              <w:t>Finch, 2008; Friedman, Dunn,</w:t>
            </w:r>
            <w:r w:rsidR="00700A18" w:rsidRPr="00490B2A">
              <w:rPr>
                <w:color w:val="000000" w:themeColor="text1"/>
                <w:sz w:val="19"/>
                <w:szCs w:val="19"/>
              </w:rPr>
              <w:t xml:space="preserve"> &amp; </w:t>
            </w:r>
            <w:r w:rsidRPr="00490B2A">
              <w:rPr>
                <w:color w:val="000000" w:themeColor="text1"/>
                <w:sz w:val="19"/>
                <w:szCs w:val="19"/>
              </w:rPr>
              <w:t>Merrell Jr, 2002)</w:t>
            </w:r>
            <w:r w:rsidR="00B21E1C" w:rsidRPr="00490B2A">
              <w:rPr>
                <w:color w:val="000000" w:themeColor="text1"/>
                <w:sz w:val="19"/>
                <w:szCs w:val="19"/>
              </w:rPr>
              <w:fldChar w:fldCharType="end"/>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 any mental or physical disability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"10.1007/s11069-009-9376-1", "ISBN" : "0921-030X", "ISSN" : "0921030X", "abstract" : "Tsunamis generated by Cascadia subduction zone earthquakes pose significant threats to coastal communities in the U.S. Pacific Northwest. Impacts of future tsunamis to individuals and communities will likely vary due to pre-event socioeconomic and demographic differences. In order to assess social vulnerability to Cascadia tsunamis, we adjust a social vulnerability index based on principal component analysis first developed by Cutter et al. (2003) to operate at the census-block level of geography and focus on community-level comparisons along the Oregon coast. The number of residents from blocks in tsunami-prone areas considered to have higher social vulnerability varies considerably among 26 Oregon cities and most are concentrated in four cities and two unincorporated areas. Variations in the number of residents from census blocks considered to have higher social vulnerability in each city do not strongly correlate with the number of residents or city assets in tsunami-prone areas. Methods presented here will help emergency managers to identify community sub-groups that are more susceptible to loss and to develop risk-reduction strategies that are tailored to local conditions.", "author" : [ { "dropping-particle" : "", "family" : "Wood", "given" : "Nathan J.", "non-dropping-particle" : "", "parse-names" : false, "suffix" : "" }, { "dropping-particle" : "", "family" : "Burton", "given" : "Christopher G.", "non-dropping-particle" : "", "parse-names" : false, "suffix" : "" }, { "dropping-particle" : "", "family" : "Cutter", "given" : "Susan L.", "non-dropping-particle" : "", "parse-names" : false, "suffix" : "" } ], "container-title" : "Natural Hazards", "id" : "ITEM-1", "issue" : "2", "issued" : { "date-parts" : [ [ "2010" ] ] }, "page" : "369-389", "title" : "Community variations in social vulnerability to Cascadia-related tsunamis in the U.S. Pacific Northwest", "type" : "article-journal", "volume" : "52" }, "uris" : [ "http://www.mendeley.com/documents/?uuid=aabae841-1199-4b73-9c16-ea271aba7622" ] } ], "mendeley" : { "formattedCitation" : "(Wood et al., 2010)", "plainTextFormattedCitation" : "(Wood et al., 2010)", "previouslyFormattedCitation" : "(Wood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(Wood et al., 2010)</w:t>
            </w:r>
            <w:r w:rsidR="00B21E1C" w:rsidRPr="00490B2A">
              <w:rPr>
                <w:color w:val="000000" w:themeColor="text1"/>
                <w:sz w:val="19"/>
                <w:szCs w:val="19"/>
              </w:rPr>
              <w:fldChar w:fldCharType="end"/>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Negative </w:t>
            </w:r>
          </w:p>
          <w:p w:rsidR="00700A18" w:rsidRPr="00490B2A" w:rsidRDefault="00700A18" w:rsidP="00490B2A">
            <w:pPr>
              <w:snapToGrid w:val="0"/>
              <w:spacing w:line="240" w:lineRule="auto"/>
              <w:rPr>
                <w:color w:val="000000" w:themeColor="text1"/>
                <w:sz w:val="19"/>
                <w:szCs w:val="19"/>
              </w:rPr>
            </w:pPr>
          </w:p>
          <w:p w:rsidR="00700A18" w:rsidRPr="00490B2A" w:rsidRDefault="00700A18"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Health insurance facilitates the people of the community aftermath of a disaster.</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Disabled persons will increase the household finance during disaster.</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Social capital</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Community trust during disasters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"ITEM-1", "issue" : "1-2", "issued" : { "date-parts" : [ [ "2008" ] ] }, "page" : "127-150", "title" : "Community resilience as a metaphor, theory, set of capacities, and strategy for disaster readiness", "type" : "article-journal", "volume" : "41" }, "uris" : [ "http://www.mendeley.com/documents/?uuid=31728692-8c71-4e8e-8660-b102122b740e" ] }, { "id" : "ITEM-2",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"ITEM-2", "issue" : "2", "issued" : { "date-parts" : [ [ "2003" ] ] }, "page" : "242-261", "title" : "Social vulnerability to environmental hazards", "type" : "article-journal", "volume" : "84" }, "uris" : [ "http://www.mendeley.com/documents/?uuid=31196603-07de-4ed5-bca2-94268ebb1246" ] } ], "mendeley" : { "formattedCitation" : "(Cutter et al., 2003; Norris et al., 2008)", "plainTextFormattedCitation" : "(Cutter et al., 2003; Norris et al., 2008)", "previouslyFormattedCitation" : "(Cutter et al., 2003; Norris et al.,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et al., 2003; Norris et al., 2008)</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Negative</w:t>
            </w:r>
            <w:r w:rsidR="00700A18" w:rsidRPr="00490B2A">
              <w:rPr>
                <w:color w:val="000000" w:themeColor="text1"/>
                <w:sz w:val="19"/>
                <w:szCs w:val="19"/>
              </w:rPr>
              <w:t xml:space="preser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Community trust facilitates the cooperation and coordination during emergencies.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Economic Vulnerability</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Employment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people without employment occupation</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"ITEM-1", "issue" : "2", "issued" : { "date-parts" : [ [ "2003" ] ] }, "page" : "242-261", "title" : "Social vulnerability to environmental hazards", "type" : "article-journal", "volume" : "84" }, "uris" : [ "http://www.mendeley.com/documents/?uuid=31196603-07de-4ed5-bca2-94268ebb1246" ] }, { "id" : "ITEM-2", "itemData" : { "DOI" : "10.17226/9834", "ISBN" : "0309171970", "abstract" : "Facing the Unexpected presents the wealth of information derived from disasters around the world over the past 25 years. The authors explore how these findings can improve disaster programs, identify remaining research needs, and discuss disaster within the broader context of sustainable development.How do different people think about disaster? Are we more likely to panic or to respond with altruism? Why are 110 people killed in a Valujet crash considered disaster victims while the 50,000 killed annually in traffic accidents in the U.S. are not? At the crossroads of social, cultural, and economic factors, this book examines these and other compelling questions.The authors review the influences that shape the U.S. governmental system for disaster planning and response, the effectiveness of local emergency agencies, and the level of professionalism in the field. They also compare technological versus natural disaster and examine the impact of technology on disaster programs.", "author" : [ { "dropping-particle" : "", "family" : "Tierney", "given" : "Kathleen J.", "non-dropping-particle" : "", "parse-names" : false, "suffix" : "" }, { "dropping-particle" : "", "family" : "Lindell", "given" : "Michael K.", "non-dropping-particle" : "", "parse-names" : false, "suffix" : "" }, { "dropping-particle" : "", "family" : "Perry", "given" : "Ronald W.", "non-dropping-particle" : "", "parse-names" : false, "suffix" : "" }, { "dropping-particle" : "", "family" : "Tierney", "given" : "Kathleen J.", "non-dropping-particle" : "", "parse-names" : false, "suffix" : "" }, { "dropping-particle" : "", "family" : "Lindell", "given" : "Michael K.", "non-dropping-particle" : "", "parse-names" : false, "suffix" : "" }, { "dropping-particle" : "", "family" : "Perry", "given" : "Ronald W.", "non-dropping-particle" : "", "parse-names" : false, "suffix" : "" }, { "dropping-particle" : "", "family" : "Press", "given" : "Joseph Henry", "non-dropping-particle" : "", "parse-names" : false, "suffix" : "" } ], "container-title" : "Natural Hazards and Disasters", "id" : "ITEM-2", "issue" : "October", "issued" : { "date-parts" : [ [ "2001" ] ] }, "number-of-pages" : "281", "title" : "Facing the Unexpected: Disaster Preparedness and Response in the United States", "type" : "book", "volume" : "2001" }, "uris" : [ "http://www.mendeley.com/documents/?uuid=8191c793-f7b2-40d8-a853-bcf86dc642ca" ] } ], "mendeley" : { "formattedCitation" : "(Cutter et al., 2003; Tierney et al., 2001)", "plainTextFormattedCitation" : "(Cutter et al., 2003; Tierney et al., 2001)", "previouslyFormattedCitation" : "(Cutter et al., 2003; Tierney et al., 2001)"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et al., 2003; Tierney et al., 2001)</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Employment occupation increases the will-being of the people and reduces the poverty level.</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Category</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Variables/indicators</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Effects</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Justification</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Multiple source of income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without diversified source of income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"ITEM-1", "issue" : "1-2", "issued" : { "date-parts" : [ [ "2008" ] ] }, "page" : "127-150", "title" : "Community resilience as a metaphor, theory, set of capacities, and strategy for disaster readiness", "type" : "article-journal", "volume" : "41" }, "uris" : [ "http://www.mendeley.com/documents/?uuid=31728692-8c71-4e8e-8660-b102122b740e" ] }, { "id" : "ITEM-2",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"ITEM-2", "issue" : "1", "issued" : { "date-parts" : [ [ "2010" ] ] }, "title" : "Disaster Resilience Indicators for Benchmarking Baseline Conditions", "type" : "article-journal", "volume" : "7" }, "uris" : [ "http://www.mendeley.com/documents/?uuid=e85febef-7707-4c10-b203-ebb29f9a045d" ] }, { "id" : "ITEM-3", "itemData" : { "DOI" : "10.1191/030913200701540465", "ISBN" : "0309-1325", "ISSN" : "03091325", "PMID" : "4166074", "abstract" : "This article defines social resilience as the ability of groups or communities to cope with external stresses and disturbances as a result of social, political and environmental change. This definition highlights social resilience in relation to the concept of ecological resilience which is a characteristic of ecosystems to maintain themselves in the face of disturbance. There is a clear link between social and ecological resilience, particularly for social groups or communities that are dependent on ecological and environmental resources for their livelihoods. But it is not clear whether resilient ecosystems enable resilient communities in such situations. This article examines whether resilience is a useful characteristic for describing the social and economic situation of social groups and explores potential links between social resilience and ecological resilience. The origins of this interdisciplinary study in human ecology, ecological economics and rural sociology are reviewed, and a study of the impacts of ecological change on a resource-dependent community in contemporary coastal Vietnam in terms of the resilience of its institu-tions is outlined.", "author" : [ { "dropping-particle" : "", "family" : "Adger", "given" : "W. N.", "non-dropping-particle" : "", "parse-names" : false, "suffix" : "" } ], "container-title" : "Progress in Human Geography", "id" : "ITEM-3", "issue" : "3", "issued" : { "date-parts" : [ [ "2000" ] ] }, "page" : "347-364", "title" : "Social and ecological resilience: Are they related?", "type" : "article-journal", "volume" : "24" }, "uris" : [ "http://www.mendeley.com/documents/?uuid=174086b4-71c2-4eed-8569-9ebfc7379836" ] } ], "mendeley" : { "formattedCitation" : "(W. N. Adger, 2000; Cutter, Burton, &amp; Emrich, 2010; Norris et al., 2008)", "plainTextFormattedCitation" : "(W. N. Adger, 2000; Cutter, Burton, &amp; Emrich, 2010; Norris et al., 2008)", "previouslyFormattedCitation" : "(W. N. Adger, 2000; Cutter, Burton, &amp; Emrich, 2010; Norris et al.,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(W. N. Adger, 2000; Cutter, Burton,</w:t>
            </w:r>
            <w:r w:rsidR="00700A18" w:rsidRPr="00490B2A">
              <w:rPr>
                <w:color w:val="000000" w:themeColor="text1"/>
                <w:sz w:val="19"/>
                <w:szCs w:val="19"/>
              </w:rPr>
              <w:t xml:space="preserve"> &amp; </w:t>
            </w:r>
            <w:r w:rsidRPr="00490B2A">
              <w:rPr>
                <w:color w:val="000000" w:themeColor="text1"/>
                <w:sz w:val="19"/>
                <w:szCs w:val="19"/>
              </w:rPr>
              <w:t>Emrich, 2010; Norris et al., 2008)</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Multiple sources of income provide alternatives to the community at rehabilitation and recovery stage.</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Income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below poverty line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"10.1016/S0143-6228(97)00049-0", "ISBN" : "0582210054 (pbk)", "ISSN" : "02807270", "abstract" : "Regions at Risk provides an introduction to hazards, human vulnerability and disaster, paying particular attention to the more severe or novel risks and disaster that affect the general public. The book is split into two parts, the first of which gives an overview of the field of risk and disaster in terms of three perspectives: hazards perspective; vulnerability perspective and the active perspective. The second part illustrates and develops these ideas in relation to some of the more severe dangers and disasters of the twentienth century, for example, earthquake risk, cities at risk and the civil disasters of war. It provides essential reading for senior undergraduates of hazard, disaster and risk courses, as part of geography, environmental science, resource management or development studies degree. It also provides valuable reading for those concerned with issues of public safety, services, insurable environmental risks and disaster relief.", "author" : [ { "dropping-particle" : "", "family" : "Hewitt", "given" : "Kenneth", "non-dropping-particle" : "", "parse-names" : false, "suffix" : "" } ], "container-title" : "Themes in resource management.", "id" : "ITEM-1", "issued" : { "date-parts" : [ [ "1997" ] ] }, "number-of-pages" : "xx, 389 p.", "title" : "Regions of Risk : a Geographical Introduction to Disasters", "type" : "book" }, "uris" : [ "http://www.mendeley.com/documents/?uuid=1bfcf71f-4302-47fb-bd63-926b7b7dcaf8"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Mitchell, &amp; Scott, 2000; Hewitt, 1997)", "plainTextFormattedCitation" : "(Cutter, Mitchell, &amp; Scott, 2000; Hewitt, 1997)", "previouslyFormattedCitation" : "(Cutter, Mitchell, &amp; Scott, 2000; Hewitt, 1997)"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Mitchell,</w:t>
            </w:r>
            <w:r w:rsidR="00700A18" w:rsidRPr="00490B2A">
              <w:rPr>
                <w:color w:val="000000" w:themeColor="text1"/>
                <w:sz w:val="19"/>
                <w:szCs w:val="19"/>
              </w:rPr>
              <w:t xml:space="preserve"> &amp; </w:t>
            </w:r>
            <w:r w:rsidRPr="00490B2A">
              <w:rPr>
                <w:color w:val="000000" w:themeColor="text1"/>
                <w:sz w:val="19"/>
                <w:szCs w:val="19"/>
              </w:rPr>
              <w:t>Scott, 2000; Hewitt, 1997)</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 People with below urban poverty line may be impacted more than those who with above poverty line.</w:t>
            </w:r>
          </w:p>
          <w:p w:rsidR="00AC1CFF" w:rsidRPr="00490B2A" w:rsidRDefault="00AC1CFF" w:rsidP="00490B2A">
            <w:pPr>
              <w:snapToGrid w:val="0"/>
              <w:spacing w:line="240" w:lineRule="auto"/>
              <w:rPr>
                <w:color w:val="000000" w:themeColor="text1"/>
                <w:sz w:val="19"/>
                <w:szCs w:val="19"/>
              </w:rPr>
            </w:pP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Institutional Vulnerability </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Mitigation</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 hazard mitigation plan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&amp; Finch, 2008; Cutter et al., 2000)", "plainTextFormattedCitation" : "(Cutter &amp; Finch, 2008; Cutter et al., 2000)", "previouslyFormattedCitation" : "(Cutter &amp; Finch, 2008; Cutter et al., 2000)"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w:t>
            </w:r>
            <w:r w:rsidR="00700A18" w:rsidRPr="00490B2A">
              <w:rPr>
                <w:color w:val="000000" w:themeColor="text1"/>
                <w:sz w:val="19"/>
                <w:szCs w:val="19"/>
              </w:rPr>
              <w:t xml:space="preserve"> &amp; </w:t>
            </w:r>
            <w:r w:rsidRPr="00490B2A">
              <w:rPr>
                <w:color w:val="000000" w:themeColor="text1"/>
                <w:sz w:val="19"/>
                <w:szCs w:val="19"/>
              </w:rPr>
              <w:t>Finch, 2008; Cutter et al., 2000)</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Negative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Mitigation plans reduce the high impacts of losses from disasters</w:t>
            </w:r>
            <w:r w:rsidR="00700A18" w:rsidRPr="00490B2A">
              <w:rPr>
                <w:color w:val="000000" w:themeColor="text1"/>
                <w:sz w:val="19"/>
                <w:szCs w:val="19"/>
              </w:rPr>
              <w:t xml:space="preserve">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Awareness building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without mock drills and training programs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"10.1108/EUM0000000005930", "ISBN" : "09653562", "ISSN" : "0965-3562", "PMID" : "214379043", "abstract" : "With regard to their utility in predicting the adoption of household hazard preparations, traditional approaches to public education directed at increasing awareness and/or risk perception have proven ineffective. Discusses reasons why this may have occurred from public education, vulnerability analysis, and community resilience perspectives and outlines strategies for enhancing preparedness. Describes a model of resilience to hazard effects that has been tested in different communities and for different hazards toxic waste, environmental degradation and volcanic hazards). Drawing upon the health education literature, introduces a model for promoting the adoption on preparatory behaviour. Discusses links between these models, and the need for their implementation within a community development framework.", "author" : [ { "dropping-particle" : "", "family" : "Paton", "given" : "Douglas", "non-dropping-particle" : "", "parse-names" : false, "suffix" : "" }, { "dropping-particle" : "", "family" : "Johnston", "given" : "David", "non-dropping-particle" : "", "parse-names" : false, "suffix" : "" } ], "container-title" : "Disaster Prevention and Management: An International Journal", "id" : "ITEM-1", "issue" : "4", "issued" : { "date-parts" : [ [ "2001" ] ] }, "page" : "270-277", "title" : "Disasters and communities: vulnerability, resilience and preparedness", "type" : "article-journal", "volume" : "10" }, "uris" : [ "http://www.mendeley.com/documents/?uuid=5b3d6ba4-7997-4824-9fff-323ca03668a5" ] } ], "mendeley" : { "formattedCitation" : "(Paton &amp; Johnston, 2001)", "plainTextFormattedCitation" : "(Paton &amp; Johnston, 2001)", "previouslyFormattedCitation" : "(Paton &amp; Johnston, 2001)"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(Paton</w:t>
            </w:r>
            <w:r w:rsidR="00700A18" w:rsidRPr="00490B2A">
              <w:rPr>
                <w:color w:val="000000" w:themeColor="text1"/>
                <w:sz w:val="19"/>
                <w:szCs w:val="19"/>
              </w:rPr>
              <w:t xml:space="preserve"> &amp; </w:t>
            </w:r>
            <w:r w:rsidRPr="00490B2A">
              <w:rPr>
                <w:color w:val="000000" w:themeColor="text1"/>
                <w:sz w:val="19"/>
                <w:szCs w:val="19"/>
              </w:rPr>
              <w:t>Johnston, 2001)</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Prior disaster activities lessen the overall affects of a disaster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Physical Vulnerability </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Shelter facility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people facilitated with vacant shelters</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"ITEM-1", "issue" : "1", "issued" : { "date-parts" : [ [ "2010" ] ] }, "title" : "Disaster Resilience Indicators for Benchmarking Baseline Conditions", "type" : "article-journal", "volume" : "7" }, "uris" : [ "http://www.mendeley.com/documents/?uuid=e85febef-7707-4c10-b203-ebb29f9a045d" ] } ], "mendeley" : { "formattedCitation" : "(Cutter et al., 2010)", "plainTextFormattedCitation" : "(Cutter et al., 2010)", "previouslyFormattedCitation" : "(Cutter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et al., 2010)</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Negative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Vacant shelters helps in the aftermath of a disaster particularly in earthquake.</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Vulnerable Structures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Percentage of houses with vulnerable structures</w:t>
            </w:r>
            <w:r w:rsidR="00700A18" w:rsidRPr="00490B2A">
              <w:rPr>
                <w:color w:val="000000" w:themeColor="text1"/>
                <w:sz w:val="19"/>
                <w:szCs w:val="19"/>
              </w:rPr>
              <w:t xml:space="preserv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"ITEM-1", "issue" : "1", "issued" : { "date-parts" : [ [ "2010" ] ] }, "title" : "Disaster Resilience Indicators for Benchmarking Baseline Conditions", "type" : "article-journal", "volume" : "7" }, "uris" : [ "http://www.mendeley.com/documents/?uuid=e85febef-7707-4c10-b203-ebb29f9a045d" ] } ], "mendeley" : { "formattedCitation" : "(Cutter et al., 2010)", "plainTextFormattedCitation" : "(Cutter et al., 2010)", "previouslyFormattedCitation" : "(Cutter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 et al., 2010)</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Vulnerable housing structures make the community more vulnerable </w:t>
            </w:r>
          </w:p>
        </w:tc>
      </w:tr>
      <w:tr w:rsidR="00AC1CFF" w:rsidRPr="00490B2A" w:rsidTr="00700A18">
        <w:trPr>
          <w:jc w:val="center"/>
        </w:trPr>
        <w:tc>
          <w:tcPr>
            <w:tcW w:w="74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Location </w:t>
            </w:r>
          </w:p>
        </w:tc>
        <w:tc>
          <w:tcPr>
            <w:tcW w:w="2225"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housing units at the foot of mountain and at river-beds for rural areas</w:t>
            </w:r>
            <w:r w:rsidR="00700A18" w:rsidRPr="00490B2A">
              <w:rPr>
                <w:color w:val="000000" w:themeColor="text1"/>
                <w:sz w:val="19"/>
                <w:szCs w:val="19"/>
              </w:rPr>
              <w:t xml:space="preserv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&amp; Finch, 2008; Cutter et al., 2000)", "plainTextFormattedCitation" : "(Cutter &amp; Finch, 2008; Cutter et al., 2000)", "previouslyFormattedCitation" : "(Cutter &amp; Finch, 2008; Cutter et al., 2000)"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color w:val="000000" w:themeColor="text1"/>
                <w:sz w:val="19"/>
                <w:szCs w:val="19"/>
              </w:rPr>
              <w:t>(Cutter</w:t>
            </w:r>
            <w:r w:rsidR="00700A18" w:rsidRPr="00490B2A">
              <w:rPr>
                <w:color w:val="000000" w:themeColor="text1"/>
                <w:sz w:val="19"/>
                <w:szCs w:val="19"/>
              </w:rPr>
              <w:t xml:space="preserve"> &amp; </w:t>
            </w:r>
            <w:r w:rsidRPr="00490B2A">
              <w:rPr>
                <w:color w:val="000000" w:themeColor="text1"/>
                <w:sz w:val="19"/>
                <w:szCs w:val="19"/>
              </w:rPr>
              <w:t>Finch, 2008; Cutter et al., 2000)</w:t>
            </w:r>
            <w:r w:rsidR="00B21E1C" w:rsidRPr="00490B2A">
              <w:rPr>
                <w:color w:val="000000" w:themeColor="text1"/>
                <w:sz w:val="19"/>
                <w:szCs w:val="19"/>
              </w:rPr>
              <w:fldChar w:fldCharType="end"/>
            </w:r>
            <w:r w:rsidRPr="00490B2A">
              <w:rPr>
                <w:color w:val="000000" w:themeColor="text1"/>
                <w:sz w:val="19"/>
                <w:szCs w:val="19"/>
              </w:rPr>
              <w:t>.</w:t>
            </w:r>
          </w:p>
        </w:tc>
        <w:tc>
          <w:tcPr>
            <w:tcW w:w="441"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Positive </w:t>
            </w:r>
          </w:p>
        </w:tc>
        <w:tc>
          <w:tcPr>
            <w:tcW w:w="1588"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more density provide less vacant places around the housing units</w:t>
            </w:r>
            <w:r w:rsidR="00700A18" w:rsidRPr="00490B2A">
              <w:rPr>
                <w:color w:val="000000" w:themeColor="text1"/>
                <w:sz w:val="19"/>
                <w:szCs w:val="19"/>
              </w:rPr>
              <w:t xml:space="preserve"> </w:t>
            </w:r>
          </w:p>
        </w:tc>
      </w:tr>
    </w:tbl>
    <w:p w:rsidR="00AC1CFF" w:rsidRPr="00490B2A" w:rsidRDefault="00AC1CFF" w:rsidP="00490B2A">
      <w:pPr>
        <w:snapToGrid w:val="0"/>
        <w:spacing w:after="0" w:line="240" w:lineRule="auto"/>
        <w:ind w:firstLine="425"/>
        <w:rPr>
          <w:color w:val="000000" w:themeColor="text1"/>
          <w:sz w:val="20"/>
          <w:szCs w:val="28"/>
        </w:rPr>
      </w:pPr>
    </w:p>
    <w:p w:rsidR="00AC1CFF" w:rsidRPr="00490B2A" w:rsidRDefault="000F1902" w:rsidP="00490B2A">
      <w:pPr>
        <w:snapToGrid w:val="0"/>
        <w:spacing w:after="0" w:line="240" w:lineRule="auto"/>
        <w:jc w:val="center"/>
        <w:rPr>
          <w:b/>
          <w:color w:val="000000" w:themeColor="text1"/>
          <w:sz w:val="20"/>
          <w:szCs w:val="28"/>
        </w:rPr>
      </w:pPr>
      <w:r w:rsidRPr="00490B2A">
        <w:rPr>
          <w:b/>
          <w:color w:val="000000" w:themeColor="text1"/>
          <w:sz w:val="20"/>
          <w:szCs w:val="28"/>
        </w:rPr>
        <w:t xml:space="preserve">Table </w:t>
      </w:r>
      <w:r w:rsidR="00AC1CFF" w:rsidRPr="00490B2A">
        <w:rPr>
          <w:b/>
          <w:color w:val="000000" w:themeColor="text1"/>
          <w:sz w:val="20"/>
          <w:szCs w:val="28"/>
        </w:rPr>
        <w:t>2:</w:t>
      </w:r>
      <w:r w:rsidR="00700A18" w:rsidRPr="00490B2A">
        <w:rPr>
          <w:b/>
          <w:color w:val="000000" w:themeColor="text1"/>
          <w:sz w:val="20"/>
          <w:szCs w:val="28"/>
        </w:rPr>
        <w:t xml:space="preserve"> </w:t>
      </w:r>
      <w:r w:rsidR="009D5595" w:rsidRPr="00490B2A">
        <w:rPr>
          <w:b/>
          <w:color w:val="000000" w:themeColor="text1"/>
          <w:sz w:val="20"/>
          <w:szCs w:val="28"/>
        </w:rPr>
        <w:t>W</w:t>
      </w:r>
      <w:r w:rsidR="00AC1CFF" w:rsidRPr="00490B2A">
        <w:rPr>
          <w:b/>
          <w:color w:val="000000" w:themeColor="text1"/>
          <w:sz w:val="20"/>
          <w:szCs w:val="28"/>
        </w:rPr>
        <w:t>eighting of indicators for vulnerability index</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08"/>
        <w:gridCol w:w="5457"/>
        <w:gridCol w:w="2209"/>
      </w:tblGrid>
      <w:tr w:rsidR="00AC1CFF" w:rsidRPr="00490B2A" w:rsidTr="00490B2A">
        <w:trPr>
          <w:tblHeade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Category</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Variables/indicators</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 xml:space="preserve">Optimum level of vulnerability in % </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Social Vulnerability</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Educational level</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people with high school and above education</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without any education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"ITEM-2", "issue" : "1-2", "issued" : { "date-parts" : [ [ "2008" ] ] }, "page" : "127-150", "title" : "Community resilience as a metaphor, theory, set of capacities, and strategy for disaster readiness", "type" : "article-journal", "volume" : "41" }, "uris" : [ "http://www.mendeley.com/documents/?uuid=31728692-8c71-4e8e-8660-b102122b740e" ] }, { "id" : "ITEM-3", "itemData" : { "ISSN" : "2159-8142", "abstract" : "Various research methods can be appropriate for social justice aims. Quantitative, qualitative, and mixed-method approaches offer different kinds of strengths in advancing a social justice agenda. This article recaptures and expands upon the ideas presented by the authors of this special issue, recommending best practices in research for social justice in the following areas: (a) cultural competence and the role of the researcher(s); (b) formulating the focus of the research; (c) selection of the underlying paradigm and research method/design; (d) the research team: formation, process, and issues of power; (e) power and relationship with research participants; and (f) data gathering, analysis, and reporting. [ABSTRACT FROM AUTHOR]", "author" : [ { "dropping-particle" : "", "family" : "Fassinger", "given" : "Ruth", "non-dropping-particle" : "", "parse-names" : false, "suffix" : "" }, { "dropping-particle" : "", "family" : "Morrow", "given" : "Susan L", "non-dropping-particle" : "", "parse-names" : false, "suffix" : "" } ], "container-title" : "Journal for Social Action in Counseling &amp; Psychology", "id" : "ITEM-3", "issue" : "2", "issued" : { "date-parts" : [ [ "2013" ] ] }, "page" : "69-83", "title" : "Toward best practices in quantitative, qualitative, and mixed- method research: A social justice perspective.", "type" : "article-journal", "volume" : "5" }, "uris" : [ "http://www.mendeley.com/documents/?uuid=c4a73d5d-60e6-4499-9967-0ab9e384c9c3" ] } ], "mendeley" : { "formattedCitation" : "(Cutter &amp; Finch, 2008; Fassinger &amp; Morrow, 2013; Norris et al., 2008)", "plainTextFormattedCitation" : "(Cutter &amp; Finch, 2008; Fassinger &amp; Morrow, 2013; Norris et al., 2008)", "previouslyFormattedCitation" : "(Cutter &amp; Finch, 2008; Fassinger &amp; Morrow, 2013; Norris et al.,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w:t>
            </w:r>
            <w:r w:rsidR="00700A18" w:rsidRPr="00490B2A">
              <w:rPr>
                <w:noProof/>
                <w:color w:val="000000" w:themeColor="text1"/>
                <w:sz w:val="19"/>
                <w:szCs w:val="19"/>
              </w:rPr>
              <w:t xml:space="preserve"> &amp; </w:t>
            </w:r>
            <w:r w:rsidRPr="00490B2A">
              <w:rPr>
                <w:noProof/>
                <w:color w:val="000000" w:themeColor="text1"/>
                <w:sz w:val="19"/>
                <w:szCs w:val="19"/>
              </w:rPr>
              <w:t>Finch, 2008; Fassinger</w:t>
            </w:r>
            <w:r w:rsidR="00700A18" w:rsidRPr="00490B2A">
              <w:rPr>
                <w:noProof/>
                <w:color w:val="000000" w:themeColor="text1"/>
                <w:sz w:val="19"/>
                <w:szCs w:val="19"/>
              </w:rPr>
              <w:t xml:space="preserve"> &amp; </w:t>
            </w:r>
            <w:r w:rsidRPr="00490B2A">
              <w:rPr>
                <w:noProof/>
                <w:color w:val="000000" w:themeColor="text1"/>
                <w:sz w:val="19"/>
                <w:szCs w:val="19"/>
              </w:rPr>
              <w:t>Morrow, 2013; Norris et al., 2008)</w:t>
            </w:r>
            <w:r w:rsidR="00B21E1C" w:rsidRPr="00490B2A">
              <w:rPr>
                <w:color w:val="000000" w:themeColor="text1"/>
                <w:sz w:val="19"/>
                <w:szCs w:val="19"/>
              </w:rPr>
              <w:fldChar w:fldCharType="end"/>
            </w:r>
            <w:r w:rsidRPr="00490B2A">
              <w:rPr>
                <w:color w:val="000000" w:themeColor="text1"/>
                <w:sz w:val="19"/>
                <w:szCs w:val="19"/>
              </w:rPr>
              <w:t xml:space="preserve">. </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60</w:t>
            </w: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50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Age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above 60 years of age </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and below 15 years of age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"10.3763/ehaz.1999.0103", "ISBN" : "1464-2867", "ISSN" : "18780059", "abstract" : "Recent hazard literature frequently refers to sustainability and resilience as the guiding principles behind effective hazard planning. Certainly, structurally organizing communities to minimize effects of disasters and to recover quickly by restoring socio-economic vitality are laudable goals. However, while anticipating such outcomes is relatively easy from a theoretical standpoint, practical implementation of comprehensive plans is much more elusive. Indeed, relationships between community sustainability/resilience and hazards are complex involving many social, economic, political and physical factors. A conceptual framework for analysis of sustainability and resilience, then, is described based on three theoretical models, a mitigation model, a recovery model, and a structural-cognitive model. This framework is examined using data from Florida, USA, where local context, social and political activities, and economic concerns present difficulties in application. The question remains, therefore, to what extent can communities truly develop sustainable and resilient characteristics? (C) 1999 Elsevier Science Ltd.", "author" : [ { "dropping-particle" : "", "family" : "Tobin", "given" : "Graham A.", "non-dropping-particle" : "", "parse-names" : false, "suffix" : "" } ], "container-title" : "Environmental Hazards", "id" : "ITEM-1", "issue" : "1", "issued" : { "date-parts" : [ [ "1999" ] ] }, "page" : "13-25", "title" : "Sustainability and community resilience: The holy grail of hazards planning?", "type" : "article-journal", "volume" : "1" }, "uris" : [ "http://www.mendeley.com/documents/?uuid=01696b08-a9cb-4ce0-9f5f-d7e56f7d3767" ] }, { "id" : "ITEM-2",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"ITEM-2", "issue" : "2", "issued" : { "date-parts" : [ [ "2003" ] ] }, "page" : "242-261", "title" : "Social vulnerability to environmental hazards", "type" : "article-journal", "volume" : "84" }, "uris" : [ "http://www.mendeley.com/documents/?uuid=31196603-07de-4ed5-bca2-94268ebb1246" ] }, { "id" : "ITEM-3",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"ITEM-3", "issue" : "7", "issued" : { "date-parts" : [ [ "2008" ] ] }, "page" : "2301-6", "title" : "Temporal and spatial changes in social vulnerability to natural hazards", "type" : "article-journal", "volume" : "105" }, "uris" : [ "http://www.mendeley.com/documents/?uuid=3d428226-3967-4855-86f4-a61dfc160ab5" ] }, { "id" : "ITEM-4", "itemData" : { "ISSN" : "2159-8142", "abstract" : "Various research methods can be appropriate for social justice aims. Quantitative, qualitative, and mixed-method approaches offer different kinds of strengths in advancing a social justice agenda. This article recaptures and expands upon the ideas presented by the authors of this special issue, recommending best practices in research for social justice in the following areas: (a) cultural competence and the role of the researcher(s); (b) formulating the focus of the research; (c) selection of the underlying paradigm and research method/design; (d) the research team: formation, process, and issues of power; (e) power and relationship with research participants; and (f) data gathering, analysis, and reporting. [ABSTRACT FROM AUTHOR]", "author" : [ { "dropping-particle" : "", "family" : "Fassinger", "given" : "Ruth", "non-dropping-particle" : "", "parse-names" : false, "suffix" : "" }, { "dropping-particle" : "", "family" : "Morrow", "given" : "Susan L", "non-dropping-particle" : "", "parse-names" : false, "suffix" : "" } ], "container-title" : "Journal for Social Action in Counseling &amp; Psychology", "id" : "ITEM-4", "issue" : "2", "issued" : { "date-parts" : [ [ "2013" ] ] }, "page" : "69-83", "title" : "Toward best practices in quantitative, qualitative, and mixed- method research: A social justice perspective.", "type" : "article-journal", "volume" : "5" }, "uris" : [ "http://www.mendeley.com/documents/?uuid=c4a73d5d-60e6-4499-9967-0ab9e384c9c3" ] } ], "mendeley" : { "formattedCitation" : "(Cutter et al., 2003; Cutter &amp; Finch, 2008; Fassinger &amp; Morrow, 2013; Tobin, 1999)", "plainTextFormattedCitation" : "(Cutter et al., 2003; Cutter &amp; Finch, 2008; Fassinger &amp; Morrow, 2013; Tobin, 1999)", "previouslyFormattedCitation" : "(Cutter et al., 2003; Cutter &amp; Finch, 2008; Fassinger &amp; Morrow, 2013; Tobin, 1999)"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2003; Cutter</w:t>
            </w:r>
            <w:r w:rsidR="00700A18" w:rsidRPr="00490B2A">
              <w:rPr>
                <w:noProof/>
                <w:color w:val="000000" w:themeColor="text1"/>
                <w:sz w:val="19"/>
                <w:szCs w:val="19"/>
              </w:rPr>
              <w:t xml:space="preserve"> &amp; </w:t>
            </w:r>
            <w:r w:rsidRPr="00490B2A">
              <w:rPr>
                <w:noProof/>
                <w:color w:val="000000" w:themeColor="text1"/>
                <w:sz w:val="19"/>
                <w:szCs w:val="19"/>
              </w:rPr>
              <w:t>Finch, 2008; Fassinger</w:t>
            </w:r>
            <w:r w:rsidR="00700A18" w:rsidRPr="00490B2A">
              <w:rPr>
                <w:noProof/>
                <w:color w:val="000000" w:themeColor="text1"/>
                <w:sz w:val="19"/>
                <w:szCs w:val="19"/>
              </w:rPr>
              <w:t xml:space="preserve"> &amp; </w:t>
            </w:r>
            <w:r w:rsidRPr="00490B2A">
              <w:rPr>
                <w:noProof/>
                <w:color w:val="000000" w:themeColor="text1"/>
                <w:sz w:val="19"/>
                <w:szCs w:val="19"/>
              </w:rPr>
              <w:t>Morrow, 2013; Tobin, 1999)</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15</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20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Health Insurance </w:t>
            </w: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Disability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Percentage of people with health insurance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"ISSN" : "0749-0208", "abstract" : "Over the next 60 years, coastal erosion may claim one out of four houses within 500 teet of the U.S. shoreline. To the homeowners living within this narrow strip, the risk posed by erosion is comparable to the risk from flooding. These are the findings of a recent study by The H. John Heinz III Center tin Science, Economics and the Environment, prepared for the U.S. Congress and funded primarily by the Federal Emergency Management Agency (FEMAJ.Other key economic and policy findings are summarized, as well. Underpinning these findings are: 1) detailed projections of shoreline movement over the next 60 years (first published in a special issue of this Journal), 2) an extensive engineering and economic data set on over 10,000 structures located within 500 teet of the Nation's shorelines, and 3) a model that uses these detailed data to estimate ocnnomic costs needed by the FEMA for setting flood insurance rates. Extrapolating nationwide, roughly 87,000 homes and the land on which they are built will be lost to erosion over the next 60 years. We explain the procedures for making such extrapolations, using a national shoreline change data set from Dolan and May and 1990 Census block group data on dwelling densities. ADDITIONAL", "author" : [ { "dropping-particle" : "", "family" : "Friedman", "given" : "Robert M", "non-dropping-particle" : "", "parse-names" : false, "suffix" : "" }, { "dropping-particle" : "V", "family" : "Dunn", "given" : "Stephen", "non-dropping-particle" : "", "parse-names" : false, "suffix" : "" }, { "dropping-particle" : "", "family" : "Merrell Jr", "given" : "William J", "non-dropping-particle" : "", "parse-names" : false, "suffix" : "" } ], "container-title" : "Journal of Coastal Research", "id" : "ITEM-2", "issue" : "3", "issued" : { "date-parts" : [ [ "2002" ] ] }, "page" : "568-575", "title" : "Summary of the Heinz center report on coastal erosion and the National Flood Insurance Program", "type" : "article-journal", "volume" : "18" }, "uris" : [ "http://www.mendeley.com/documents/?uuid=c4b0d074-1958-46cf-a2d4-6ceba49e75e2" ] } ], "mendeley" : { "formattedCitation" : "(Cutter &amp; Finch, 2008; Friedman et al., 2002)", "plainTextFormattedCitation" : "(Cutter &amp; Finch, 2008; Friedman et al., 2002)", "previouslyFormattedCitation" : "(Cutter &amp; Finch, 2008; Friedman et al., 2002)"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w:t>
            </w:r>
            <w:r w:rsidR="00700A18" w:rsidRPr="00490B2A">
              <w:rPr>
                <w:noProof/>
                <w:color w:val="000000" w:themeColor="text1"/>
                <w:sz w:val="19"/>
                <w:szCs w:val="19"/>
              </w:rPr>
              <w:t xml:space="preserve"> &amp; </w:t>
            </w:r>
            <w:r w:rsidRPr="00490B2A">
              <w:rPr>
                <w:noProof/>
                <w:color w:val="000000" w:themeColor="text1"/>
                <w:sz w:val="19"/>
                <w:szCs w:val="19"/>
              </w:rPr>
              <w:t>Finch, 2008; Friedman et al., 2002)</w:t>
            </w:r>
            <w:r w:rsidR="00B21E1C" w:rsidRPr="00490B2A">
              <w:rPr>
                <w:color w:val="000000" w:themeColor="text1"/>
                <w:sz w:val="19"/>
                <w:szCs w:val="19"/>
              </w:rPr>
              <w:fldChar w:fldCharType="end"/>
            </w:r>
            <w:r w:rsidRPr="00490B2A">
              <w:rPr>
                <w:color w:val="000000" w:themeColor="text1"/>
                <w:sz w:val="19"/>
                <w:szCs w:val="19"/>
              </w:rPr>
              <w:t>.</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without any mental or physical disability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"10.1007/s11069-009-9376-1", "ISBN" : "0921-030X", "ISSN" : "0921030X", "abstract" : "Tsunamis generated by Cascadia subduction zone earthquakes pose significant threats to coastal communities in the U.S. Pacific Northwest. Impacts of future tsunamis to individuals and communities will likely vary due to pre-event socioeconomic and demographic differences. In order to assess social vulnerability to Cascadia tsunamis, we adjust a social vulnerability index based on principal component analysis first developed by Cutter et al. (2003) to operate at the census-block level of geography and focus on community-level comparisons along the Oregon coast. The number of residents from blocks in tsunami-prone areas considered to have higher social vulnerability varies considerably among 26 Oregon cities and most are concentrated in four cities and two unincorporated areas. Variations in the number of residents from census blocks considered to have higher social vulnerability in each city do not strongly correlate with the number of residents or city assets in tsunami-prone areas. Methods presented here will help emergency managers to identify community sub-groups that are more susceptible to loss and to develop risk-reduction strategies that are tailored to local conditions.", "author" : [ { "dropping-particle" : "", "family" : "Wood", "given" : "Nathan J.", "non-dropping-particle" : "", "parse-names" : false, "suffix" : "" }, { "dropping-particle" : "", "family" : "Burton", "given" : "Christopher G.", "non-dropping-particle" : "", "parse-names" : false, "suffix" : "" }, { "dropping-particle" : "", "family" : "Cutter", "given" : "Susan L.", "non-dropping-particle" : "", "parse-names" : false, "suffix" : "" } ], "container-title" : "Natural Hazards", "id" : "ITEM-1", "issue" : "2", "issued" : { "date-parts" : [ [ "2010" ] ] }, "page" : "369-389", "title" : "Community variations in social vulnerability to Cascadia-related tsunamis in the U.S. Pacific Northwest", "type" : "article-journal", "volume" : "52" }, "uris" : [ "http://www.mendeley.com/documents/?uuid=aabae841-1199-4b73-9c16-ea271aba7622" ] } ], "mendeley" : { "formattedCitation" : "(Wood et al., 2010)", "plainTextFormattedCitation" : "(Wood et al., 2010)", "previouslyFormattedCitation" : "(Wood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(Wood et al., 2010)</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50</w:t>
            </w: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75</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Social capital</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Community trust during disasters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"ITEM-1", "issue" : "1-2", "issued" : { "date-parts" : [ [ "2008" ] ] }, "page" : "127-150", "title" : "Community resilience as a metaphor, theory, set of capacities, and strategy for disaster readiness", "type" : "article-journal", "volume" : "41" }, "uris" : [ "http://www.mendeley.com/documents/?uuid=31728692-8c71-4e8e-8660-b102122b740e" ] }, { "id" : "ITEM-2",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"ITEM-2", "issue" : "2", "issued" : { "date-parts" : [ [ "2003" ] ] }, "page" : "242-261", "title" : "Social vulnerability to environmental hazards", "type" : "article-journal", "volume" : "84" }, "uris" : [ "http://www.mendeley.com/documents/?uuid=31196603-07de-4ed5-bca2-94268ebb1246" ] } ], "mendeley" : { "formattedCitation" : "(Cutter et al., 2003; Norris et al., 2008)", "plainTextFormattedCitation" : "(Cutter et al., 2003; Norris et al., 2008)", "previouslyFormattedCitation" : "(Cutter et al., 2003; Norris et al.,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2003; Norris et al., 2008)</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50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Economic Vulnerability</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Employment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 employment occupation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"10.1111/1540-6237.8402002", "ISBN" : "1540-6237", "ISSN" : "00384941", "PMID" : "9841166", "abstract" : "Objective. County-level socioeconomic and demographic data were used to construct an index of social vulnerability to environmental hazards, called the Social Vulnerability Index (SoVI) for the United States based on 1990 data. Methods. Using a factor analytic approach, 42 variables were reduced to 11 independent factors that accounted for about 76 percent of the variance. These factors were placed in an additive model to compute a summary score\u2014the Social Vulnerability Index. Results. There are some distinct spatial patterns in the SoVI, with the most vulnerable counties clustered in metropolitan counties in the east, south Texas, and the Mississippi Delta region. Conclusion. Those factors that contribute to the overall score often are different for each county, underscoring the interactive nature of social vulnerability\u2014some components increase vulnerability; others moderate the effects.", "author" : [ { "dropping-particle" : "", "family" : "Cutter", "given" : "Susan L.", "non-dropping-particle" : "", "parse-names" : false, "suffix" : "" }, { "dropping-particle" : "", "family" : "Boruff", "given" : "Bryan J.", "non-dropping-particle" : "", "parse-names" : false, "suffix" : "" }, { "dropping-particle" : "", "family" : "Shirley", "given" : "W. Lynn", "non-dropping-particle" : "", "parse-names" : false, "suffix" : "" } ], "container-title" : "Social Science Quarterly", "id" : "ITEM-1", "issue" : "2", "issued" : { "date-parts" : [ [ "2003" ] ] }, "page" : "242-261", "title" : "Social vulnerability to environmental hazards", "type" : "article-journal", "volume" : "84" }, "uris" : [ "http://www.mendeley.com/documents/?uuid=31196603-07de-4ed5-bca2-94268ebb1246" ] }, { "id" : "ITEM-2", "itemData" : { "DOI" : "10.17226/9834", "ISBN" : "0309171970", "abstract" : "Facing the Unexpected presents the wealth of information derived from disasters around the world over the past 25 years. The authors explore how these findings can improve disaster programs, identify remaining research needs, and discuss disaster within the broader context of sustainable development.How do different people think about disaster? Are we more likely to panic or to respond with altruism? Why are 110 people killed in a Valujet crash considered disaster victims while the 50,000 killed annually in traffic accidents in the U.S. are not? At the crossroads of social, cultural, and economic factors, this book examines these and other compelling questions.The authors review the influences that shape the U.S. governmental system for disaster planning and response, the effectiveness of local emergency agencies, and the level of professionalism in the field. They also compare technological versus natural disaster and examine the impact of technology on disaster programs.", "author" : [ { "dropping-particle" : "", "family" : "Tierney", "given" : "Kathleen J.", "non-dropping-particle" : "", "parse-names" : false, "suffix" : "" }, { "dropping-particle" : "", "family" : "Lindell", "given" : "Michael K.", "non-dropping-particle" : "", "parse-names" : false, "suffix" : "" }, { "dropping-particle" : "", "family" : "Perry", "given" : "Ronald W.", "non-dropping-particle" : "", "parse-names" : false, "suffix" : "" }, { "dropping-particle" : "", "family" : "Tierney", "given" : "Kathleen J.", "non-dropping-particle" : "", "parse-names" : false, "suffix" : "" }, { "dropping-particle" : "", "family" : "Lindell", "given" : "Michael K.", "non-dropping-particle" : "", "parse-names" : false, "suffix" : "" }, { "dropping-particle" : "", "family" : "Perry", "given" : "Ronald W.", "non-dropping-particle" : "", "parse-names" : false, "suffix" : "" }, { "dropping-particle" : "", "family" : "Press", "given" : "Joseph Henry", "non-dropping-particle" : "", "parse-names" : false, "suffix" : "" } ], "container-title" : "Natural Hazards and Disasters", "id" : "ITEM-2", "issue" : "October", "issued" : { "date-parts" : [ [ "2001" ] ] }, "number-of-pages" : "281", "title" : "Facing the Unexpected: Disaster Preparedness and Response in the United States", "type" : "book", "volume" : "2001" }, "uris" : [ "http://www.mendeley.com/documents/?uuid=8191c793-f7b2-40d8-a853-bcf86dc642ca" ] } ], "mendeley" : { "formattedCitation" : "(Cutter et al., 2003; Tierney et al., 2001)", "plainTextFormattedCitation" : "(Cutter et al., 2003; Tierney et al., 2001)", "previouslyFormattedCitation" : "(Cutter et al., 2003; Tierney et al., 2001)"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2003; Tierney et al., 2001)</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50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Multiple source of income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with diversified source of income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"10.1007/s10464-007-9156-6", "ISBN" : "0091-0562 (Print)", "ISSN" : "00910562", "PMID" : "18157631", "abstract" : "Communities have the potential to function effectively and adapt successfully in the aftermath of disasters. Drawing upon literatures in several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 "author" : [ { "dropping-particle" : "", "family" : "Norris", "given" : "Fran H.", "non-dropping-particle" : "", "parse-names" : false, "suffix" : "" }, { "dropping-particle" : "", "family" : "Stevens", "given" : "Susan P.", "non-dropping-particle" : "", "parse-names" : false, "suffix" : "" }, { "dropping-particle" : "", "family" : "Pfefferbaum", "given" : "Betty", "non-dropping-particle" : "", "parse-names" : false, "suffix" : "" }, { "dropping-particle" : "", "family" : "Wyche", "given" : "Karen F.", "non-dropping-particle" : "", "parse-names" : false, "suffix" : "" }, { "dropping-particle" : "", "family" : "Pfefferbaum", "given" : "Rose L.", "non-dropping-particle" : "", "parse-names" : false, "suffix" : "" } ], "container-title" : "American Journal of Community Psychology", "id" : "ITEM-1", "issue" : "1-2", "issued" : { "date-parts" : [ [ "2008" ] ] }, "page" : "127-150", "title" : "Community resilience as a metaphor, theory, set of capacities, and strategy for disaster readiness", "type" : "article-journal", "volume" : "41" }, "uris" : [ "http://www.mendeley.com/documents/?uuid=31728692-8c71-4e8e-8660-b102122b740e" ] }, { "id" : "ITEM-2",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"ITEM-2", "issue" : "1", "issued" : { "date-parts" : [ [ "2010" ] ] }, "title" : "Disaster Resilience Indicators for Benchmarking Baseline Conditions", "type" : "article-journal", "volume" : "7" }, "uris" : [ "http://www.mendeley.com/documents/?uuid=e85febef-7707-4c10-b203-ebb29f9a045d" ] }, { "id" : "ITEM-3", "itemData" : { "DOI" : "10.1191/030913200701540465", "ISBN" : "0309-1325", "ISSN" : "03091325", "PMID" : "4166074", "abstract" : "This article defines social resilience as the ability of groups or communities to cope with external stresses and disturbances as a result of social, political and environmental change. This definition highlights social resilience in relation to the concept of ecological resilience which is a characteristic of ecosystems to maintain themselves in the face of disturbance. There is a clear link between social and ecological resilience, particularly for social groups or communities that are dependent on ecological and environmental resources for their livelihoods. But it is not clear whether resilient ecosystems enable resilient communities in such situations. This article examines whether resilience is a useful characteristic for describing the social and economic situation of social groups and explores potential links between social resilience and ecological resilience. The origins of this interdisciplinary study in human ecology, ecological economics and rural sociology are reviewed, and a study of the impacts of ecological change on a resource-dependent community in contemporary coastal Vietnam in terms of the resilience of its institu-tions is outlined.", "author" : [ { "dropping-particle" : "", "family" : "Adger", "given" : "W. N.", "non-dropping-particle" : "", "parse-names" : false, "suffix" : "" } ], "container-title" : "Progress in Human Geography", "id" : "ITEM-3", "issue" : "3", "issued" : { "date-parts" : [ [ "2000" ] ] }, "page" : "347-364", "title" : "Social and ecological resilience: Are they related?", "type" : "article-journal", "volume" : "24" }, "uris" : [ "http://www.mendeley.com/documents/?uuid=174086b4-71c2-4eed-8569-9ebfc7379836" ] } ], "mendeley" : { "formattedCitation" : "(W. N. Adger, 2000; Cutter et al., 2010; Norris et al., 2008)", "plainTextFormattedCitation" : "(W. N. Adger, 2000; Cutter et al., 2010; Norris et al., 2008)", "previouslyFormattedCitation" : "(W. N. Adger, 2000; Cutter et al., 2010; Norris et al., 2008)"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(W. N. Adger, 2000; Cutter et al., 2010; Norris et al., 2008)</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50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Income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below poverty line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"10.1016/S0143-6228(97)00049-0", "ISBN" : "0582210054 (pbk)", "ISSN" : "02807270", "abstract" : "Regions at Risk provides an introduction to hazards, human vulnerability and disaster, paying particular attention to the more severe or novel risks and disaster that affect the general public. The book is split into two parts, the first of which gives an overview of the field of risk and disaster in terms of three perspectives: hazards perspective; vulnerability perspective and the active perspective. The second part illustrates and develops these ideas in relation to some of the more severe dangers and disasters of the twentienth century, for example, earthquake risk, cities at risk and the civil disasters of war. It provides essential reading for senior undergraduates of hazard, disaster and risk courses, as part of geography, environmental science, resource management or development studies degree. It also provides valuable reading for those concerned with issues of public safety, services, insurable environmental risks and disaster relief.", "author" : [ { "dropping-particle" : "", "family" : "Hewitt", "given" : "Kenneth", "non-dropping-particle" : "", "parse-names" : false, "suffix" : "" } ], "container-title" : "Themes in resource management.", "id" : "ITEM-1", "issued" : { "date-parts" : [ [ "1997" ] ] }, "number-of-pages" : "xx, 389 p.", "title" : "Regions of Risk : a Geographical Introduction to Disasters", "type" : "book" }, "uris" : [ "http://www.mendeley.com/documents/?uuid=1bfcf71f-4302-47fb-bd63-926b7b7dcaf8"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et al., 2000; Hewitt, 1997)", "plainTextFormattedCitation" : "(Cutter et al., 2000; Hewitt, 1997)", "previouslyFormattedCitation" : "(Cutter et al., 2000; Hewitt, 1997)"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2000; Hewitt, 1997)</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60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 xml:space="preserve">Institutional </w:t>
            </w:r>
            <w:r w:rsidRPr="00490B2A">
              <w:rPr>
                <w:b/>
                <w:color w:val="000000" w:themeColor="text1"/>
                <w:sz w:val="19"/>
                <w:szCs w:val="19"/>
              </w:rPr>
              <w:lastRenderedPageBreak/>
              <w:t xml:space="preserve">Vulnerability </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Mitigation</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lastRenderedPageBreak/>
              <w:t>Percent of people with hazard mitigation plan</w:t>
            </w:r>
            <w:r w:rsidR="00700A18" w:rsidRPr="00490B2A">
              <w:rPr>
                <w:color w:val="000000" w:themeColor="text1"/>
                <w:sz w:val="19"/>
                <w:szCs w:val="19"/>
              </w:rPr>
              <w:t xml:space="preserv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&amp; Finch, 2008; Cutter et al., 2000)", "plainTextFormattedCitation" : "(Cutter &amp; Finch, 2008; Cutter et al., 2000)", "previouslyFormattedCitation" : "(Cutter &amp; Finch, 2008; Cutter et al., 2000)"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w:t>
            </w:r>
            <w:r w:rsidR="00700A18" w:rsidRPr="00490B2A">
              <w:rPr>
                <w:noProof/>
                <w:color w:val="000000" w:themeColor="text1"/>
                <w:sz w:val="19"/>
                <w:szCs w:val="19"/>
              </w:rPr>
              <w:t xml:space="preserve"> &amp; </w:t>
            </w:r>
            <w:r w:rsidRPr="00490B2A">
              <w:rPr>
                <w:noProof/>
                <w:color w:val="000000" w:themeColor="text1"/>
                <w:sz w:val="19"/>
                <w:szCs w:val="19"/>
              </w:rPr>
              <w:t xml:space="preserve">Finch, 2008; </w:t>
            </w:r>
            <w:r w:rsidRPr="00490B2A">
              <w:rPr>
                <w:noProof/>
                <w:color w:val="000000" w:themeColor="text1"/>
                <w:sz w:val="19"/>
                <w:szCs w:val="19"/>
              </w:rPr>
              <w:lastRenderedPageBreak/>
              <w:t>Cutter et al., 2000)</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lastRenderedPageBreak/>
              <w:t>50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lastRenderedPageBreak/>
              <w:t xml:space="preserve">Awareness building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 of people without mock drills and training programs</w:t>
            </w:r>
            <w:r w:rsidR="00700A18" w:rsidRPr="00490B2A">
              <w:rPr>
                <w:color w:val="000000" w:themeColor="text1"/>
                <w:sz w:val="19"/>
                <w:szCs w:val="19"/>
              </w:rPr>
              <w:t xml:space="preserv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"10.1108/EUM0000000005930", "ISBN" : "09653562", "ISSN" : "0965-3562", "PMID" : "214379043", "abstract" : "With regard to their utility in predicting the adoption of household hazard preparations, traditional approaches to public education directed at increasing awareness and/or risk perception have proven ineffective. Discusses reasons why this may have occurred from public education, vulnerability analysis, and community resilience perspectives and outlines strategies for enhancing preparedness. Describes a model of resilience to hazard effects that has been tested in different communities and for different hazards toxic waste, environmental degradation and volcanic hazards). Drawing upon the health education literature, introduces a model for promoting the adoption on preparatory behaviour. Discusses links between these models, and the need for their implementation within a community development framework.", "author" : [ { "dropping-particle" : "", "family" : "Paton", "given" : "Douglas", "non-dropping-particle" : "", "parse-names" : false, "suffix" : "" }, { "dropping-particle" : "", "family" : "Johnston", "given" : "David", "non-dropping-particle" : "", "parse-names" : false, "suffix" : "" } ], "container-title" : "Disaster Prevention and Management: An International Journal", "id" : "ITEM-1", "issue" : "4", "issued" : { "date-parts" : [ [ "2001" ] ] }, "page" : "270-277", "title" : "Disasters and communities: vulnerability, resilience and preparedness", "type" : "article-journal", "volume" : "10" }, "uris" : [ "http://www.mendeley.com/documents/?uuid=5b3d6ba4-7997-4824-9fff-323ca03668a5" ] } ], "mendeley" : { "formattedCitation" : "(Paton &amp; Johnston, 2001)", "plainTextFormattedCitation" : "(Paton &amp; Johnston, 2001)", "previouslyFormattedCitation" : "(Paton &amp; Johnston, 2001)"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(Paton</w:t>
            </w:r>
            <w:r w:rsidR="00700A18" w:rsidRPr="00490B2A">
              <w:rPr>
                <w:noProof/>
                <w:color w:val="000000" w:themeColor="text1"/>
                <w:sz w:val="19"/>
                <w:szCs w:val="19"/>
              </w:rPr>
              <w:t xml:space="preserve"> &amp; </w:t>
            </w:r>
            <w:r w:rsidRPr="00490B2A">
              <w:rPr>
                <w:noProof/>
                <w:color w:val="000000" w:themeColor="text1"/>
                <w:sz w:val="19"/>
                <w:szCs w:val="19"/>
              </w:rPr>
              <w:t>Johnston, 2001)</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60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b/>
                <w:color w:val="000000" w:themeColor="text1"/>
                <w:sz w:val="19"/>
                <w:szCs w:val="19"/>
              </w:rPr>
            </w:pPr>
            <w:r w:rsidRPr="00490B2A">
              <w:rPr>
                <w:b/>
                <w:color w:val="000000" w:themeColor="text1"/>
                <w:sz w:val="19"/>
                <w:szCs w:val="19"/>
              </w:rPr>
              <w:t xml:space="preserve">Physical Vulnerability </w:t>
            </w:r>
          </w:p>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Shelter facility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people facilitated with vacant shelters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"ITEM-1", "issue" : "1", "issued" : { "date-parts" : [ [ "2010" ] ] }, "title" : "Disaster Resilience Indicators for Benchmarking Baseline Conditions", "type" : "article-journal", "volume" : "7" }, "uris" : [ "http://www.mendeley.com/documents/?uuid=e85febef-7707-4c10-b203-ebb29f9a045d" ] } ], "mendeley" : { "formattedCitation" : "(Cutter et al., 2010)", "plainTextFormattedCitation" : "(Cutter et al., 2010)", "previouslyFormattedCitation" : "(Cutter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2010)</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60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Vulnerable Structures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Percentage of houses with vulnerable structures</w:t>
            </w:r>
            <w:r w:rsidR="00700A18" w:rsidRPr="00490B2A">
              <w:rPr>
                <w:color w:val="000000" w:themeColor="text1"/>
                <w:sz w:val="19"/>
                <w:szCs w:val="19"/>
              </w:rPr>
              <w:t xml:space="preserve">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"10.2202/1547-7355.1732", "ISBN" : "1547-7355", "ISSN" : "1547-7355", "abstract" : "There is considerable federal interest in disaster resilience as a mechanism for mitigating the impacts to local communities, yet the identification of metrics and standards for measuring resilience remain a challenge. This paper provides a methodology and a set of indicators for measuring baseline characteristics of communities that foster resilience. By establishing baseline conditions, it becomes possible to monitor changes in resilience over time in particular places and to compare one place to another. We apply our methodology to counties within the Southeastern United States as a proof of concept. The results show that spatial variations in disaster resilience exist and are especially evident in the rural/urban divide, where metropolitan areas have higher levels of resilience than rural counties. However, the individual drivers of the disaster resilience (or lack thereof)\u2014social, economic, institutional, infrastructure, and community capacities\u2014vary widely.", "author" : [ { "dropping-particle" : "", "family" : "Cutter", "given" : "Susan L.", "non-dropping-particle" : "", "parse-names" : false, "suffix" : "" }, { "dropping-particle" : "", "family" : "Burton", "given" : "Christopher G.", "non-dropping-particle" : "", "parse-names" : false, "suffix" : "" }, { "dropping-particle" : "", "family" : "Emrich", "given" : "Christopher T.", "non-dropping-particle" : "", "parse-names" : false, "suffix" : "" } ], "container-title" : "Journal of Homeland Security and Emergency Management", "id" : "ITEM-1", "issue" : "1", "issued" : { "date-parts" : [ [ "2010" ] ] }, "title" : "Disaster Resilience Indicators for Benchmarking Baseline Conditions", "type" : "article-journal", "volume" : "7" }, "uris" : [ "http://www.mendeley.com/documents/?uuid=e85febef-7707-4c10-b203-ebb29f9a045d" ] } ], "mendeley" : { "formattedCitation" : "(Cutter et al., 2010)", "plainTextFormattedCitation" : "(Cutter et al., 2010)", "previouslyFormattedCitation" : "(Cutter et al., 2010)"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 et al., 2010)</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30</w:t>
            </w:r>
          </w:p>
        </w:tc>
      </w:tr>
      <w:tr w:rsidR="00AC1CFF" w:rsidRPr="00490B2A" w:rsidTr="00700A18">
        <w:trPr>
          <w:jc w:val="center"/>
        </w:trPr>
        <w:tc>
          <w:tcPr>
            <w:tcW w:w="954"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Location </w:t>
            </w:r>
          </w:p>
        </w:tc>
        <w:tc>
          <w:tcPr>
            <w:tcW w:w="2880"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 xml:space="preserve">Percent of housing units at the foot of mountain and at river-beds </w:t>
            </w:r>
            <w:r w:rsidR="00B21E1C" w:rsidRPr="00490B2A">
              <w:rPr>
                <w:color w:val="000000" w:themeColor="text1"/>
                <w:sz w:val="19"/>
                <w:szCs w:val="19"/>
              </w:rPr>
              <w:fldChar w:fldCharType="begin" w:fldLock="1"/>
            </w:r>
            <w:r w:rsidRPr="00490B2A">
              <w:rPr>
                <w:color w:val="000000" w:themeColor="text1"/>
                <w:sz w:val="19"/>
                <w:szCs w:val="19"/>
              </w:rPr>
              <w:instrText>ADDIN CSL_CITATION { "citationItems" : [ { "id" : "ITEM-1", "itemData" : { "DOI" : "10.1073/pnas.0710375105", "ISBN" : "&lt;null&gt;", "ISSN" : "1091-6490", "PMID" : "18268336", "abstract" : "During the past four decades (1960-2000), the United States experienced major transformations in population size, development patterns, economic conditions, and social characteristics. These social, economic, and built-environment changes altered the American hazardscape in profound ways, with more people living in high-hazard areas than ever before. To improve emergency management, it is important to recognize the variability in the vulnerable populations exposed to hazards and to develop place-based emergency plans accordingly. The concept of social vulnerability identifies sensitive populations that may be less likely to respond to, cope with, and recover from a natural disaster. Social vulnerability is complex and dynamic, changing over space and through time. This paper presents empirical evidence on the spatial and temporal patterns in social vulnerability in the United States from 1960 to the present. Using counties as our study unit, we found that those components that consistently increased social vulnerability for all time periods were density (urban), race/ethnicity, and socioeconomic status. The spatial patterning of social vulnerability, although initially concentrated in certain geographic regions, has become more dispersed over time. The national trend shows a steady reduction in social vulnerability, but there is considerable regional variability, with many counties increasing in social vulnerability during the past five decades.", "author" : [ { "dropping-particle" : "", "family" : "Cutter", "given" : "Susan L", "non-dropping-particle" : "", "parse-names" : false, "suffix" : "" }, { "dropping-particle" : "", "family" : "Finch", "given" : "Christina", "non-dropping-particle" : "", "parse-names" : false, "suffix" : "" } ], "container-title" : "Proceedings of the National Academy of Sciences of the United States of America", "id" : "ITEM-1", "issue" : "7", "issued" : { "date-parts" : [ [ "2008" ] ] }, "page" : "2301-6", "title" : "Temporal and spatial changes in social vulnerability to natural hazards", "type" : "article-journal", "volume" : "105" }, "uris" : [ "http://www.mendeley.com/documents/?uuid=3d428226-3967-4855-86f4-a61dfc160ab5" ] }, { "id" : "ITEM-2", "itemData" : { "DOI" : "10.1111/0004-5608.00219", "ISBN" : "9781849771542", "ISSN" : "00045608", "PMID" : "18268336",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142.58.129.109 on Mon, 28 Dec 2015 23:24:04 UTC All use subject to JSTOR Terms and Conditions", "author" : [ { "dropping-particle" : "", "family" : "Cutter", "given" : "Susan L.", "non-dropping-particle" : "", "parse-names" : false, "suffix" : "" }, { "dropping-particle" : "", "family" : "Mitchell", "given" : "Jerry T.", "non-dropping-particle" : "", "parse-names" : false, "suffix" : "" }, { "dropping-particle" : "", "family" : "Scott", "given" : "Michael S.", "non-dropping-particle" : "", "parse-names" : false, "suffix" : "" } ], "container-title" : "Annals of the Association of American Geographers", "id" : "ITEM-2", "issue" : "4", "issued" : { "date-parts" : [ [ "2000" ] ] }, "page" : "713-737", "title" : "Revealing the vulnerability of people and places: A case study of georgetown county, South Carolina", "type" : "article-journal", "volume" : "90" }, "uris" : [ "http://www.mendeley.com/documents/?uuid=3a1dea1a-a0c2-4b13-9448-41beb24e132c" ] } ], "mendeley" : { "formattedCitation" : "(Cutter &amp; Finch, 2008; Cutter et al., 2000)", "plainTextFormattedCitation" : "(Cutter &amp; Finch, 2008; Cutter et al., 2000)", "previouslyFormattedCitation" : "(Cutter &amp; Finch, 2008; Cutter et al., 2000)" }, "properties" : { "noteIndex" : 0 }, "schema" : "https://github.com/citation-style-language/schema/raw/master/csl-citation.json" }</w:instrText>
            </w:r>
            <w:r w:rsidR="00B21E1C" w:rsidRPr="00490B2A">
              <w:rPr>
                <w:color w:val="000000" w:themeColor="text1"/>
                <w:sz w:val="19"/>
                <w:szCs w:val="19"/>
              </w:rPr>
              <w:fldChar w:fldCharType="separate"/>
            </w:r>
            <w:r w:rsidRPr="00490B2A">
              <w:rPr>
                <w:noProof/>
                <w:color w:val="000000" w:themeColor="text1"/>
                <w:sz w:val="19"/>
                <w:szCs w:val="19"/>
              </w:rPr>
              <w:t>(Cutter</w:t>
            </w:r>
            <w:r w:rsidR="00700A18" w:rsidRPr="00490B2A">
              <w:rPr>
                <w:noProof/>
                <w:color w:val="000000" w:themeColor="text1"/>
                <w:sz w:val="19"/>
                <w:szCs w:val="19"/>
              </w:rPr>
              <w:t xml:space="preserve"> &amp; </w:t>
            </w:r>
            <w:r w:rsidRPr="00490B2A">
              <w:rPr>
                <w:noProof/>
                <w:color w:val="000000" w:themeColor="text1"/>
                <w:sz w:val="19"/>
                <w:szCs w:val="19"/>
              </w:rPr>
              <w:t>Finch, 2008; Cutter et al., 2000)</w:t>
            </w:r>
            <w:r w:rsidR="00B21E1C" w:rsidRPr="00490B2A">
              <w:rPr>
                <w:color w:val="000000" w:themeColor="text1"/>
                <w:sz w:val="19"/>
                <w:szCs w:val="19"/>
              </w:rPr>
              <w:fldChar w:fldCharType="end"/>
            </w:r>
            <w:r w:rsidRPr="00490B2A">
              <w:rPr>
                <w:color w:val="000000" w:themeColor="text1"/>
                <w:sz w:val="19"/>
                <w:szCs w:val="19"/>
              </w:rPr>
              <w:t>.</w:t>
            </w:r>
          </w:p>
        </w:tc>
        <w:tc>
          <w:tcPr>
            <w:tcW w:w="1166" w:type="pct"/>
            <w:tcBorders>
              <w:top w:val="single" w:sz="4" w:space="0" w:color="auto"/>
              <w:bottom w:val="single" w:sz="4" w:space="0" w:color="auto"/>
            </w:tcBorders>
            <w:vAlign w:val="center"/>
          </w:tcPr>
          <w:p w:rsidR="00AC1CFF" w:rsidRPr="00490B2A" w:rsidRDefault="00AC1CFF" w:rsidP="00490B2A">
            <w:pPr>
              <w:snapToGrid w:val="0"/>
              <w:spacing w:line="240" w:lineRule="auto"/>
              <w:rPr>
                <w:color w:val="000000" w:themeColor="text1"/>
                <w:sz w:val="19"/>
                <w:szCs w:val="19"/>
              </w:rPr>
            </w:pPr>
            <w:r w:rsidRPr="00490B2A">
              <w:rPr>
                <w:color w:val="000000" w:themeColor="text1"/>
                <w:sz w:val="19"/>
                <w:szCs w:val="19"/>
              </w:rPr>
              <w:t>40</w:t>
            </w:r>
          </w:p>
        </w:tc>
      </w:tr>
    </w:tbl>
    <w:p w:rsidR="00AC1CFF" w:rsidRPr="00490B2A" w:rsidRDefault="00AC1CFF" w:rsidP="00490B2A">
      <w:pPr>
        <w:snapToGrid w:val="0"/>
        <w:spacing w:after="0" w:line="240" w:lineRule="auto"/>
        <w:ind w:firstLine="425"/>
        <w:rPr>
          <w:color w:val="000000" w:themeColor="text1"/>
          <w:sz w:val="20"/>
          <w:szCs w:val="28"/>
        </w:rPr>
      </w:pPr>
    </w:p>
    <w:p w:rsidR="00490B2A" w:rsidRPr="00490B2A" w:rsidRDefault="00490B2A" w:rsidP="00490B2A">
      <w:pPr>
        <w:widowControl w:val="0"/>
        <w:autoSpaceDE w:val="0"/>
        <w:autoSpaceDN w:val="0"/>
        <w:adjustRightInd w:val="0"/>
        <w:snapToGrid w:val="0"/>
        <w:spacing w:after="0" w:line="240" w:lineRule="auto"/>
        <w:ind w:firstLine="425"/>
        <w:rPr>
          <w:color w:val="000000" w:themeColor="text1"/>
          <w:sz w:val="20"/>
          <w:szCs w:val="28"/>
        </w:rPr>
        <w:sectPr w:rsidR="00490B2A" w:rsidRPr="00490B2A" w:rsidSect="00700A18">
          <w:type w:val="continuous"/>
          <w:pgSz w:w="12240" w:h="15840"/>
          <w:pgMar w:top="1440" w:right="1440" w:bottom="1440" w:left="1440" w:header="720" w:footer="720" w:gutter="0"/>
          <w:cols w:space="720"/>
          <w:docGrid w:linePitch="360"/>
        </w:sectPr>
      </w:pPr>
    </w:p>
    <w:p w:rsidR="00AC1CFF" w:rsidRPr="00490B2A" w:rsidRDefault="00AC1CFF" w:rsidP="00490B2A">
      <w:pPr>
        <w:widowControl w:val="0"/>
        <w:autoSpaceDE w:val="0"/>
        <w:autoSpaceDN w:val="0"/>
        <w:adjustRightInd w:val="0"/>
        <w:snapToGrid w:val="0"/>
        <w:spacing w:after="0" w:line="240" w:lineRule="auto"/>
        <w:rPr>
          <w:b/>
          <w:color w:val="000000" w:themeColor="text1"/>
          <w:sz w:val="20"/>
          <w:szCs w:val="28"/>
        </w:rPr>
      </w:pPr>
      <w:r w:rsidRPr="00490B2A">
        <w:rPr>
          <w:b/>
          <w:color w:val="000000" w:themeColor="text1"/>
          <w:sz w:val="20"/>
          <w:szCs w:val="28"/>
        </w:rPr>
        <w:lastRenderedPageBreak/>
        <w:t>4.2</w:t>
      </w:r>
      <w:r w:rsidRPr="00490B2A">
        <w:rPr>
          <w:b/>
          <w:color w:val="000000" w:themeColor="text1"/>
          <w:sz w:val="20"/>
          <w:szCs w:val="28"/>
        </w:rPr>
        <w:tab/>
        <w:t xml:space="preserve">Numerical Analysis for Vulnerability Index </w:t>
      </w:r>
    </w:p>
    <w:p w:rsidR="00AC1CFF" w:rsidRPr="00490B2A" w:rsidRDefault="00AC1CFF" w:rsidP="00490B2A">
      <w:pPr>
        <w:snapToGrid w:val="0"/>
        <w:spacing w:after="0" w:line="240" w:lineRule="auto"/>
        <w:ind w:firstLine="425"/>
        <w:rPr>
          <w:rFonts w:eastAsiaTheme="minorHAnsi"/>
          <w:color w:val="000000" w:themeColor="text1"/>
          <w:sz w:val="20"/>
          <w:szCs w:val="28"/>
        </w:rPr>
      </w:pPr>
      <w:r w:rsidRPr="00490B2A">
        <w:rPr>
          <w:rFonts w:eastAsiaTheme="minorHAnsi"/>
          <w:color w:val="000000" w:themeColor="text1"/>
          <w:sz w:val="20"/>
          <w:szCs w:val="28"/>
        </w:rPr>
        <w:t>Community vulnerability index mainly based on four main journal components as discussed in previous sections. Each component is further divided into different sets of indicators and variables. All the va</w:t>
      </w:r>
      <w:r w:rsidR="009D5595" w:rsidRPr="00490B2A">
        <w:rPr>
          <w:rFonts w:eastAsiaTheme="minorHAnsi"/>
          <w:color w:val="000000" w:themeColor="text1"/>
          <w:sz w:val="20"/>
          <w:szCs w:val="28"/>
        </w:rPr>
        <w:t xml:space="preserve">lue of indicators is taken in </w:t>
      </w:r>
      <w:r w:rsidRPr="00490B2A">
        <w:rPr>
          <w:rFonts w:eastAsiaTheme="minorHAnsi"/>
          <w:color w:val="000000" w:themeColor="text1"/>
          <w:sz w:val="20"/>
          <w:szCs w:val="28"/>
        </w:rPr>
        <w:t>percentages. The interpretation of the indices is illustrated as, larger the value of the indicator, larger is the weight and index value, and lastly greater is the vulnerable of that particular variable within a component. Numerically vulnerability factor index is assessed as.</w:t>
      </w:r>
    </w:p>
    <w:p w:rsidR="00AC1CFF" w:rsidRPr="00490B2A" w:rsidRDefault="00AC1CFF" w:rsidP="00490B2A">
      <w:pPr>
        <w:snapToGrid w:val="0"/>
        <w:spacing w:after="0" w:line="240" w:lineRule="auto"/>
        <w:ind w:firstLine="425"/>
        <w:rPr>
          <w:rFonts w:eastAsiaTheme="minorHAnsi"/>
          <w:color w:val="000000" w:themeColor="text1"/>
          <w:sz w:val="20"/>
          <w:szCs w:val="28"/>
        </w:rPr>
      </w:pPr>
      <w:r w:rsidRPr="00490B2A">
        <w:rPr>
          <w:rFonts w:eastAsiaTheme="minorHAnsi"/>
          <w:color w:val="000000" w:themeColor="text1"/>
          <w:sz w:val="20"/>
          <w:szCs w:val="28"/>
        </w:rPr>
        <w:t>Vulnera</w:t>
      </w:r>
      <w:r w:rsidR="008B02DD" w:rsidRPr="00490B2A">
        <w:rPr>
          <w:rFonts w:eastAsiaTheme="minorHAnsi"/>
          <w:color w:val="000000" w:themeColor="text1"/>
          <w:sz w:val="20"/>
          <w:szCs w:val="28"/>
        </w:rPr>
        <w:t>bility Factor Index (VFI) of i</w:t>
      </w:r>
      <w:r w:rsidR="008B02DD" w:rsidRPr="00490B2A">
        <w:rPr>
          <w:rFonts w:eastAsiaTheme="minorHAnsi"/>
          <w:color w:val="000000" w:themeColor="text1"/>
          <w:sz w:val="20"/>
          <w:szCs w:val="28"/>
          <w:vertAlign w:val="superscript"/>
        </w:rPr>
        <w:t>th</w:t>
      </w:r>
      <w:r w:rsidRPr="00490B2A">
        <w:rPr>
          <w:rFonts w:eastAsiaTheme="minorHAnsi"/>
          <w:color w:val="000000" w:themeColor="text1"/>
          <w:sz w:val="20"/>
          <w:szCs w:val="28"/>
        </w:rPr>
        <w:t xml:space="preserve"> positiv</w:t>
      </w:r>
      <w:r w:rsidR="008B02DD" w:rsidRPr="00490B2A">
        <w:rPr>
          <w:rFonts w:eastAsiaTheme="minorHAnsi"/>
          <w:color w:val="000000" w:themeColor="text1"/>
          <w:sz w:val="20"/>
          <w:szCs w:val="28"/>
        </w:rPr>
        <w:t>e indicator = % Value of the i</w:t>
      </w:r>
      <w:r w:rsidR="008B02DD" w:rsidRPr="00490B2A">
        <w:rPr>
          <w:rFonts w:eastAsiaTheme="minorHAnsi"/>
          <w:color w:val="000000" w:themeColor="text1"/>
          <w:sz w:val="20"/>
          <w:szCs w:val="28"/>
          <w:vertAlign w:val="superscript"/>
        </w:rPr>
        <w:t>th</w:t>
      </w:r>
      <w:r w:rsidRPr="00490B2A">
        <w:rPr>
          <w:rFonts w:eastAsiaTheme="minorHAnsi"/>
          <w:color w:val="000000" w:themeColor="text1"/>
          <w:sz w:val="20"/>
          <w:szCs w:val="28"/>
        </w:rPr>
        <w:t xml:space="preserve"> indicator (real) / % </w:t>
      </w:r>
      <w:r w:rsidRPr="00490B2A">
        <w:rPr>
          <w:rFonts w:eastAsiaTheme="minorHAnsi"/>
          <w:color w:val="000000" w:themeColor="text1"/>
          <w:sz w:val="20"/>
          <w:szCs w:val="28"/>
        </w:rPr>
        <w:lastRenderedPageBreak/>
        <w:t>value taken as the level</w:t>
      </w:r>
      <w:r w:rsidR="008B02DD" w:rsidRPr="00490B2A">
        <w:rPr>
          <w:rFonts w:eastAsiaTheme="minorHAnsi"/>
          <w:color w:val="000000" w:themeColor="text1"/>
          <w:sz w:val="20"/>
          <w:szCs w:val="28"/>
        </w:rPr>
        <w:t xml:space="preserve"> of the vulnerability of the i</w:t>
      </w:r>
      <w:r w:rsidR="008B02DD" w:rsidRPr="00490B2A">
        <w:rPr>
          <w:rFonts w:eastAsiaTheme="minorHAnsi"/>
          <w:color w:val="000000" w:themeColor="text1"/>
          <w:sz w:val="20"/>
          <w:szCs w:val="28"/>
          <w:vertAlign w:val="superscript"/>
        </w:rPr>
        <w:t>th</w:t>
      </w:r>
      <w:r w:rsidRPr="00490B2A">
        <w:rPr>
          <w:rFonts w:eastAsiaTheme="minorHAnsi"/>
          <w:color w:val="000000" w:themeColor="text1"/>
          <w:sz w:val="20"/>
          <w:szCs w:val="28"/>
        </w:rPr>
        <w:t xml:space="preserve"> indicator </w:t>
      </w:r>
    </w:p>
    <w:p w:rsidR="00AC1CFF" w:rsidRPr="00490B2A" w:rsidRDefault="00AC1CFF" w:rsidP="00490B2A">
      <w:pPr>
        <w:snapToGrid w:val="0"/>
        <w:spacing w:after="0" w:line="240" w:lineRule="auto"/>
        <w:ind w:firstLine="425"/>
        <w:rPr>
          <w:rFonts w:eastAsiaTheme="minorHAnsi"/>
          <w:color w:val="000000" w:themeColor="text1"/>
          <w:sz w:val="20"/>
          <w:szCs w:val="28"/>
        </w:rPr>
      </w:pPr>
      <w:r w:rsidRPr="00490B2A">
        <w:rPr>
          <w:rFonts w:eastAsiaTheme="minorHAnsi"/>
          <w:color w:val="000000" w:themeColor="text1"/>
          <w:sz w:val="20"/>
          <w:szCs w:val="28"/>
        </w:rPr>
        <w:t>Vulnera</w:t>
      </w:r>
      <w:r w:rsidR="008B02DD" w:rsidRPr="00490B2A">
        <w:rPr>
          <w:rFonts w:eastAsiaTheme="minorHAnsi"/>
          <w:color w:val="000000" w:themeColor="text1"/>
          <w:sz w:val="20"/>
          <w:szCs w:val="28"/>
        </w:rPr>
        <w:t>bility Factor Index (VFI) of i</w:t>
      </w:r>
      <w:r w:rsidR="008B02DD" w:rsidRPr="00490B2A">
        <w:rPr>
          <w:rFonts w:eastAsiaTheme="minorHAnsi"/>
          <w:color w:val="000000" w:themeColor="text1"/>
          <w:sz w:val="20"/>
          <w:szCs w:val="28"/>
          <w:vertAlign w:val="superscript"/>
        </w:rPr>
        <w:t>th</w:t>
      </w:r>
      <w:r w:rsidRPr="00490B2A">
        <w:rPr>
          <w:rFonts w:eastAsiaTheme="minorHAnsi"/>
          <w:color w:val="000000" w:themeColor="text1"/>
          <w:sz w:val="20"/>
          <w:szCs w:val="28"/>
        </w:rPr>
        <w:t xml:space="preserve"> negative indicator = % Value taken as the level of vulnerability of th</w:t>
      </w:r>
      <w:r w:rsidR="008B02DD" w:rsidRPr="00490B2A">
        <w:rPr>
          <w:rFonts w:eastAsiaTheme="minorHAnsi"/>
          <w:color w:val="000000" w:themeColor="text1"/>
          <w:sz w:val="20"/>
          <w:szCs w:val="28"/>
        </w:rPr>
        <w:t>e indicator / % value of the i</w:t>
      </w:r>
      <w:r w:rsidR="008B02DD" w:rsidRPr="00490B2A">
        <w:rPr>
          <w:rFonts w:eastAsiaTheme="minorHAnsi"/>
          <w:color w:val="000000" w:themeColor="text1"/>
          <w:sz w:val="20"/>
          <w:szCs w:val="28"/>
          <w:vertAlign w:val="superscript"/>
        </w:rPr>
        <w:t>th</w:t>
      </w:r>
      <w:r w:rsidRPr="00490B2A">
        <w:rPr>
          <w:rFonts w:eastAsiaTheme="minorHAnsi"/>
          <w:color w:val="000000" w:themeColor="text1"/>
          <w:sz w:val="20"/>
          <w:szCs w:val="28"/>
        </w:rPr>
        <w:t xml:space="preserve"> indicator (real): </w:t>
      </w:r>
    </w:p>
    <w:p w:rsidR="00AC1CFF" w:rsidRPr="00490B2A" w:rsidRDefault="00AC1CFF" w:rsidP="00490B2A">
      <w:pPr>
        <w:snapToGrid w:val="0"/>
        <w:spacing w:after="0" w:line="240" w:lineRule="auto"/>
        <w:ind w:firstLine="425"/>
        <w:rPr>
          <w:rFonts w:eastAsiaTheme="minorHAnsi"/>
          <w:color w:val="000000" w:themeColor="text1"/>
          <w:sz w:val="20"/>
          <w:szCs w:val="28"/>
        </w:rPr>
      </w:pPr>
      <w:r w:rsidRPr="00490B2A">
        <w:rPr>
          <w:rFonts w:eastAsiaTheme="minorHAnsi"/>
          <w:color w:val="000000" w:themeColor="text1"/>
          <w:sz w:val="20"/>
          <w:szCs w:val="28"/>
        </w:rPr>
        <w:t>Small value approximately approach to zero is to be considered low vulnerable and greater values near to one or greater than one is considered high vulnerable.</w:t>
      </w:r>
    </w:p>
    <w:p w:rsidR="00AC1CFF" w:rsidRPr="00490B2A" w:rsidRDefault="00AC1CFF" w:rsidP="00490B2A">
      <w:pPr>
        <w:snapToGrid w:val="0"/>
        <w:spacing w:after="0" w:line="240" w:lineRule="auto"/>
        <w:ind w:firstLine="425"/>
        <w:rPr>
          <w:rFonts w:eastAsiaTheme="minorHAnsi"/>
          <w:color w:val="000000" w:themeColor="text1"/>
          <w:sz w:val="20"/>
          <w:szCs w:val="28"/>
        </w:rPr>
      </w:pPr>
      <w:r w:rsidRPr="00490B2A">
        <w:rPr>
          <w:rFonts w:eastAsiaTheme="minorHAnsi"/>
          <w:color w:val="000000" w:themeColor="text1"/>
          <w:sz w:val="20"/>
          <w:szCs w:val="28"/>
        </w:rPr>
        <w:t xml:space="preserve">In journal there are many indicators and variables contributing to vulnerability, but in the current study indicators and variables are selected according to the existing situation </w:t>
      </w:r>
      <w:r w:rsidR="008B02DD" w:rsidRPr="00490B2A">
        <w:rPr>
          <w:rFonts w:eastAsiaTheme="minorHAnsi"/>
          <w:color w:val="000000" w:themeColor="text1"/>
          <w:sz w:val="20"/>
          <w:szCs w:val="28"/>
        </w:rPr>
        <w:t xml:space="preserve">and availability of the data in the </w:t>
      </w:r>
      <w:r w:rsidRPr="00490B2A">
        <w:rPr>
          <w:rFonts w:eastAsiaTheme="minorHAnsi"/>
          <w:color w:val="000000" w:themeColor="text1"/>
          <w:sz w:val="20"/>
          <w:szCs w:val="28"/>
        </w:rPr>
        <w:t>study area.</w:t>
      </w:r>
    </w:p>
    <w:p w:rsidR="00490B2A" w:rsidRPr="00490B2A" w:rsidRDefault="00490B2A" w:rsidP="00490B2A">
      <w:pPr>
        <w:snapToGrid w:val="0"/>
        <w:spacing w:after="0" w:line="240" w:lineRule="auto"/>
        <w:jc w:val="center"/>
        <w:rPr>
          <w:b/>
          <w:color w:val="000000" w:themeColor="text1"/>
          <w:sz w:val="20"/>
          <w:szCs w:val="28"/>
        </w:rPr>
        <w:sectPr w:rsidR="00490B2A" w:rsidRPr="00490B2A" w:rsidSect="00490B2A">
          <w:type w:val="continuous"/>
          <w:pgSz w:w="12240" w:h="15840"/>
          <w:pgMar w:top="1440" w:right="1440" w:bottom="1440" w:left="1440" w:header="720" w:footer="720" w:gutter="0"/>
          <w:cols w:num="2" w:space="600"/>
          <w:docGrid w:linePitch="360"/>
        </w:sectPr>
      </w:pPr>
    </w:p>
    <w:p w:rsidR="00490B2A" w:rsidRDefault="00490B2A" w:rsidP="00490B2A">
      <w:pPr>
        <w:snapToGrid w:val="0"/>
        <w:spacing w:after="0" w:line="240" w:lineRule="auto"/>
        <w:jc w:val="center"/>
        <w:rPr>
          <w:rFonts w:eastAsiaTheme="minorEastAsia"/>
          <w:b/>
          <w:color w:val="000000" w:themeColor="text1"/>
          <w:sz w:val="20"/>
          <w:szCs w:val="28"/>
          <w:lang w:eastAsia="zh-CN"/>
        </w:rPr>
      </w:pPr>
    </w:p>
    <w:p w:rsidR="00AC1CFF" w:rsidRPr="00490B2A" w:rsidRDefault="004176B1" w:rsidP="00490B2A">
      <w:pPr>
        <w:snapToGrid w:val="0"/>
        <w:spacing w:after="0" w:line="240" w:lineRule="auto"/>
        <w:jc w:val="center"/>
        <w:rPr>
          <w:b/>
          <w:color w:val="000000" w:themeColor="text1"/>
          <w:sz w:val="20"/>
          <w:szCs w:val="28"/>
        </w:rPr>
      </w:pPr>
      <w:r w:rsidRPr="00490B2A">
        <w:rPr>
          <w:b/>
          <w:color w:val="000000" w:themeColor="text1"/>
          <w:sz w:val="20"/>
          <w:szCs w:val="28"/>
        </w:rPr>
        <w:t xml:space="preserve">Table </w:t>
      </w:r>
      <w:r w:rsidR="00AC1CFF" w:rsidRPr="00490B2A">
        <w:rPr>
          <w:b/>
          <w:color w:val="000000" w:themeColor="text1"/>
          <w:sz w:val="20"/>
          <w:szCs w:val="28"/>
        </w:rPr>
        <w:t>3: Vulnerability component index values</w:t>
      </w:r>
    </w:p>
    <w:tbl>
      <w:tblPr>
        <w:tblStyle w:val="TableGrid"/>
        <w:tblW w:w="5000" w:type="pct"/>
        <w:jc w:val="center"/>
        <w:shd w:val="clear" w:color="auto" w:fill="FFFFFF" w:themeFill="background1"/>
        <w:tblCellMar>
          <w:left w:w="57" w:type="dxa"/>
          <w:right w:w="57" w:type="dxa"/>
        </w:tblCellMar>
        <w:tblLook w:val="04A0"/>
      </w:tblPr>
      <w:tblGrid>
        <w:gridCol w:w="359"/>
        <w:gridCol w:w="4262"/>
        <w:gridCol w:w="1237"/>
        <w:gridCol w:w="2259"/>
        <w:gridCol w:w="1357"/>
      </w:tblGrid>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 xml:space="preserve">No </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 xml:space="preserve">Component indicators </w:t>
            </w:r>
          </w:p>
        </w:tc>
        <w:tc>
          <w:tcPr>
            <w:tcW w:w="653"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 xml:space="preserve">Percent value </w:t>
            </w:r>
          </w:p>
        </w:tc>
        <w:tc>
          <w:tcPr>
            <w:tcW w:w="1192"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 xml:space="preserve">Vulnerability factor index </w:t>
            </w:r>
          </w:p>
        </w:tc>
        <w:tc>
          <w:tcPr>
            <w:tcW w:w="715"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Optimum level</w:t>
            </w:r>
          </w:p>
        </w:tc>
      </w:tr>
      <w:tr w:rsidR="00AC1CFF" w:rsidRPr="00490B2A" w:rsidTr="00700A18">
        <w:trPr>
          <w:jc w:val="center"/>
        </w:trPr>
        <w:tc>
          <w:tcPr>
            <w:tcW w:w="5000" w:type="pct"/>
            <w:gridSpan w:val="5"/>
            <w:shd w:val="clear" w:color="auto" w:fill="FFFFFF" w:themeFill="background1"/>
            <w:vAlign w:val="center"/>
          </w:tcPr>
          <w:p w:rsidR="00AC1CFF" w:rsidRPr="00490B2A" w:rsidRDefault="00AC1CFF" w:rsidP="00490B2A">
            <w:pPr>
              <w:widowControl w:val="0"/>
              <w:shd w:val="clear" w:color="auto" w:fill="FFFFFF" w:themeFill="background1"/>
              <w:autoSpaceDE w:val="0"/>
              <w:autoSpaceDN w:val="0"/>
              <w:adjustRightInd w:val="0"/>
              <w:snapToGrid w:val="0"/>
              <w:spacing w:line="240" w:lineRule="auto"/>
              <w:rPr>
                <w:b/>
                <w:color w:val="000000" w:themeColor="text1"/>
                <w:sz w:val="20"/>
                <w:szCs w:val="19"/>
              </w:rPr>
            </w:pPr>
            <w:r w:rsidRPr="00490B2A">
              <w:rPr>
                <w:b/>
                <w:color w:val="000000" w:themeColor="text1"/>
                <w:sz w:val="20"/>
                <w:szCs w:val="19"/>
              </w:rPr>
              <w:t>Social vulnerability</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1</w:t>
            </w:r>
          </w:p>
        </w:tc>
        <w:tc>
          <w:tcPr>
            <w:tcW w:w="2250"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Percent of people without any education</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80</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1.60</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2</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population exceeding 60 years of age</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6</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0.40</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15</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3</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people below 15 years of age</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47</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2.35</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20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4</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population with</w:t>
            </w:r>
            <w:r w:rsidR="00700A18" w:rsidRPr="00490B2A">
              <w:rPr>
                <w:color w:val="000000" w:themeColor="text1"/>
                <w:sz w:val="20"/>
                <w:szCs w:val="19"/>
              </w:rPr>
              <w:t xml:space="preserve"> </w:t>
            </w:r>
            <w:r w:rsidRPr="00490B2A">
              <w:rPr>
                <w:color w:val="000000" w:themeColor="text1"/>
                <w:sz w:val="20"/>
                <w:szCs w:val="19"/>
              </w:rPr>
              <w:t xml:space="preserve">disability </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2</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0.03</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75</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5</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Community faith in disaster</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55</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0.90</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c>
          <w:tcPr>
            <w:tcW w:w="2250"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Component vulnerability factor</w:t>
            </w:r>
            <w:r w:rsidR="00700A18" w:rsidRPr="00490B2A">
              <w:rPr>
                <w:color w:val="000000" w:themeColor="text1"/>
                <w:sz w:val="20"/>
                <w:szCs w:val="19"/>
              </w:rPr>
              <w:t xml:space="preserve"> </w:t>
            </w:r>
            <w:r w:rsidRPr="00490B2A">
              <w:rPr>
                <w:color w:val="000000" w:themeColor="text1"/>
                <w:sz w:val="20"/>
                <w:szCs w:val="19"/>
              </w:rPr>
              <w:t>index</w:t>
            </w:r>
          </w:p>
        </w:tc>
        <w:tc>
          <w:tcPr>
            <w:tcW w:w="653"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c>
          <w:tcPr>
            <w:tcW w:w="1192"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1.05</w:t>
            </w:r>
          </w:p>
        </w:tc>
        <w:tc>
          <w:tcPr>
            <w:tcW w:w="715"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r>
      <w:tr w:rsidR="00AC1CFF" w:rsidRPr="00490B2A" w:rsidTr="00700A18">
        <w:trPr>
          <w:jc w:val="center"/>
        </w:trPr>
        <w:tc>
          <w:tcPr>
            <w:tcW w:w="5000" w:type="pct"/>
            <w:gridSpan w:val="5"/>
            <w:shd w:val="clear" w:color="auto" w:fill="FFFFFF" w:themeFill="background1"/>
            <w:vAlign w:val="center"/>
          </w:tcPr>
          <w:p w:rsidR="00AC1CFF" w:rsidRPr="00490B2A" w:rsidRDefault="00AC1CFF" w:rsidP="00490B2A">
            <w:pPr>
              <w:widowControl w:val="0"/>
              <w:shd w:val="clear" w:color="auto" w:fill="FFFFFF" w:themeFill="background1"/>
              <w:autoSpaceDE w:val="0"/>
              <w:autoSpaceDN w:val="0"/>
              <w:adjustRightInd w:val="0"/>
              <w:snapToGrid w:val="0"/>
              <w:spacing w:line="240" w:lineRule="auto"/>
              <w:rPr>
                <w:b/>
                <w:color w:val="000000" w:themeColor="text1"/>
                <w:sz w:val="20"/>
                <w:szCs w:val="19"/>
              </w:rPr>
            </w:pPr>
            <w:r w:rsidRPr="00490B2A">
              <w:rPr>
                <w:b/>
                <w:color w:val="000000" w:themeColor="text1"/>
                <w:sz w:val="20"/>
                <w:szCs w:val="19"/>
              </w:rPr>
              <w:t>Economic Vulnerability</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6</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people unemployed</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98</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1.96</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7</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people without diversified source of income</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38</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0.95</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40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8</w:t>
            </w: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Percent of residents below poverty line</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53</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0.88</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60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c>
          <w:tcPr>
            <w:tcW w:w="2250"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color w:val="000000" w:themeColor="text1"/>
                <w:sz w:val="20"/>
                <w:szCs w:val="19"/>
              </w:rPr>
              <w:t>Component vulnerability factor index</w:t>
            </w:r>
          </w:p>
        </w:tc>
        <w:tc>
          <w:tcPr>
            <w:tcW w:w="653"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c>
          <w:tcPr>
            <w:tcW w:w="1192"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r w:rsidRPr="00490B2A">
              <w:rPr>
                <w:b/>
                <w:color w:val="000000" w:themeColor="text1"/>
                <w:sz w:val="20"/>
                <w:szCs w:val="19"/>
              </w:rPr>
              <w:t>1.26</w:t>
            </w:r>
          </w:p>
        </w:tc>
        <w:tc>
          <w:tcPr>
            <w:tcW w:w="715" w:type="pct"/>
            <w:shd w:val="clear" w:color="auto" w:fill="FFFFFF" w:themeFill="background1"/>
            <w:vAlign w:val="center"/>
          </w:tcPr>
          <w:p w:rsidR="00AC1CFF" w:rsidRPr="00490B2A" w:rsidRDefault="00AC1CFF" w:rsidP="00490B2A">
            <w:pPr>
              <w:snapToGrid w:val="0"/>
              <w:spacing w:line="240" w:lineRule="auto"/>
              <w:rPr>
                <w:b/>
                <w:color w:val="000000" w:themeColor="text1"/>
                <w:sz w:val="20"/>
                <w:szCs w:val="19"/>
              </w:rPr>
            </w:pPr>
          </w:p>
        </w:tc>
      </w:tr>
      <w:tr w:rsidR="00AC1CFF" w:rsidRPr="00490B2A" w:rsidTr="00700A18">
        <w:trPr>
          <w:jc w:val="center"/>
        </w:trPr>
        <w:tc>
          <w:tcPr>
            <w:tcW w:w="5000" w:type="pct"/>
            <w:gridSpan w:val="5"/>
            <w:shd w:val="clear" w:color="auto" w:fill="FFFFFF" w:themeFill="background1"/>
            <w:vAlign w:val="center"/>
          </w:tcPr>
          <w:p w:rsidR="00AC1CFF" w:rsidRPr="00490B2A" w:rsidRDefault="00AC1CFF" w:rsidP="00490B2A">
            <w:pPr>
              <w:widowControl w:val="0"/>
              <w:shd w:val="clear" w:color="auto" w:fill="FFFFFF" w:themeFill="background1"/>
              <w:autoSpaceDE w:val="0"/>
              <w:autoSpaceDN w:val="0"/>
              <w:adjustRightInd w:val="0"/>
              <w:snapToGrid w:val="0"/>
              <w:spacing w:line="240" w:lineRule="auto"/>
              <w:rPr>
                <w:b/>
                <w:color w:val="000000" w:themeColor="text1"/>
                <w:sz w:val="20"/>
                <w:szCs w:val="19"/>
              </w:rPr>
            </w:pPr>
            <w:r w:rsidRPr="00490B2A">
              <w:rPr>
                <w:b/>
                <w:color w:val="000000" w:themeColor="text1"/>
                <w:sz w:val="20"/>
                <w:szCs w:val="19"/>
              </w:rPr>
              <w:t>Institutional Vulnerability</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r w:rsidRPr="00490B2A">
              <w:rPr>
                <w:color w:val="000000" w:themeColor="text1"/>
                <w:sz w:val="20"/>
                <w:szCs w:val="19"/>
              </w:rPr>
              <w:t>9</w:t>
            </w:r>
          </w:p>
        </w:tc>
        <w:tc>
          <w:tcPr>
            <w:tcW w:w="2250"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r w:rsidRPr="00490B2A">
              <w:rPr>
                <w:color w:val="000000" w:themeColor="text1"/>
                <w:sz w:val="20"/>
                <w:szCs w:val="19"/>
              </w:rPr>
              <w:t>Percent of people voluntarily work during disaster</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70</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0.71</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50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r w:rsidRPr="00490B2A">
              <w:rPr>
                <w:color w:val="000000" w:themeColor="text1"/>
                <w:sz w:val="20"/>
                <w:szCs w:val="19"/>
              </w:rPr>
              <w:t>10</w:t>
            </w:r>
          </w:p>
        </w:tc>
        <w:tc>
          <w:tcPr>
            <w:tcW w:w="2250"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r w:rsidRPr="00490B2A">
              <w:rPr>
                <w:color w:val="000000" w:themeColor="text1"/>
                <w:sz w:val="20"/>
                <w:szCs w:val="19"/>
              </w:rPr>
              <w:t>Percent of people without disaster preparedness</w:t>
            </w:r>
          </w:p>
        </w:tc>
        <w:tc>
          <w:tcPr>
            <w:tcW w:w="653"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29</w:t>
            </w:r>
          </w:p>
        </w:tc>
        <w:tc>
          <w:tcPr>
            <w:tcW w:w="1192"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0.48</w:t>
            </w:r>
          </w:p>
        </w:tc>
        <w:tc>
          <w:tcPr>
            <w:tcW w:w="7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19"/>
              </w:rPr>
            </w:pPr>
            <w:r w:rsidRPr="00490B2A">
              <w:rPr>
                <w:color w:val="000000" w:themeColor="text1"/>
                <w:sz w:val="20"/>
                <w:szCs w:val="19"/>
              </w:rPr>
              <w:t>60</w:t>
            </w:r>
          </w:p>
        </w:tc>
      </w:tr>
      <w:tr w:rsidR="00AC1CFF" w:rsidRPr="00490B2A" w:rsidTr="00700A18">
        <w:trPr>
          <w:jc w:val="center"/>
        </w:trPr>
        <w:tc>
          <w:tcPr>
            <w:tcW w:w="1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p>
        </w:tc>
        <w:tc>
          <w:tcPr>
            <w:tcW w:w="2250"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r w:rsidRPr="00490B2A">
              <w:rPr>
                <w:color w:val="000000" w:themeColor="text1"/>
                <w:sz w:val="20"/>
                <w:szCs w:val="19"/>
              </w:rPr>
              <w:t>Component vulnerability factor index</w:t>
            </w:r>
          </w:p>
        </w:tc>
        <w:tc>
          <w:tcPr>
            <w:tcW w:w="653"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p>
        </w:tc>
        <w:tc>
          <w:tcPr>
            <w:tcW w:w="1192"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b/>
                <w:color w:val="000000" w:themeColor="text1"/>
                <w:sz w:val="20"/>
                <w:szCs w:val="19"/>
              </w:rPr>
            </w:pPr>
            <w:r w:rsidRPr="00490B2A">
              <w:rPr>
                <w:b/>
                <w:color w:val="000000" w:themeColor="text1"/>
                <w:sz w:val="20"/>
                <w:szCs w:val="19"/>
              </w:rPr>
              <w:t>0.56</w:t>
            </w:r>
          </w:p>
        </w:tc>
        <w:tc>
          <w:tcPr>
            <w:tcW w:w="7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19"/>
              </w:rPr>
            </w:pPr>
          </w:p>
        </w:tc>
      </w:tr>
    </w:tbl>
    <w:p w:rsidR="00490B2A" w:rsidRPr="00490B2A" w:rsidRDefault="00490B2A" w:rsidP="00490B2A">
      <w:pPr>
        <w:snapToGrid w:val="0"/>
        <w:spacing w:after="0" w:line="240" w:lineRule="auto"/>
        <w:ind w:firstLine="425"/>
        <w:rPr>
          <w:rFonts w:eastAsiaTheme="minorEastAsia"/>
          <w:sz w:val="20"/>
          <w:lang w:eastAsia="zh-CN"/>
        </w:rPr>
      </w:pPr>
    </w:p>
    <w:tbl>
      <w:tblPr>
        <w:tblStyle w:val="TableGrid"/>
        <w:tblW w:w="5000" w:type="pct"/>
        <w:jc w:val="center"/>
        <w:shd w:val="clear" w:color="auto" w:fill="FFFFFF" w:themeFill="background1"/>
        <w:tblCellMar>
          <w:left w:w="57" w:type="dxa"/>
          <w:right w:w="57" w:type="dxa"/>
        </w:tblCellMar>
        <w:tblLook w:val="04A0"/>
      </w:tblPr>
      <w:tblGrid>
        <w:gridCol w:w="597"/>
        <w:gridCol w:w="6800"/>
        <w:gridCol w:w="597"/>
        <w:gridCol w:w="883"/>
        <w:gridCol w:w="597"/>
      </w:tblGrid>
      <w:tr w:rsidR="00AC1CFF" w:rsidRPr="00490B2A" w:rsidTr="00700A18">
        <w:trPr>
          <w:jc w:val="center"/>
        </w:trPr>
        <w:tc>
          <w:tcPr>
            <w:tcW w:w="5000" w:type="pct"/>
            <w:gridSpan w:val="5"/>
            <w:shd w:val="clear" w:color="auto" w:fill="FFFFFF" w:themeFill="background1"/>
            <w:vAlign w:val="center"/>
          </w:tcPr>
          <w:p w:rsidR="00AC1CFF" w:rsidRPr="00490B2A" w:rsidRDefault="00AC1CFF" w:rsidP="00490B2A">
            <w:pPr>
              <w:widowControl w:val="0"/>
              <w:shd w:val="clear" w:color="auto" w:fill="FFFFFF" w:themeFill="background1"/>
              <w:autoSpaceDE w:val="0"/>
              <w:autoSpaceDN w:val="0"/>
              <w:adjustRightInd w:val="0"/>
              <w:snapToGrid w:val="0"/>
              <w:spacing w:line="240" w:lineRule="auto"/>
              <w:rPr>
                <w:b/>
                <w:color w:val="000000" w:themeColor="text1"/>
                <w:sz w:val="20"/>
                <w:szCs w:val="28"/>
              </w:rPr>
            </w:pPr>
            <w:r w:rsidRPr="00490B2A">
              <w:rPr>
                <w:b/>
                <w:color w:val="000000" w:themeColor="text1"/>
                <w:sz w:val="20"/>
                <w:szCs w:val="28"/>
              </w:rPr>
              <w:t>Physical Vulnerability</w:t>
            </w:r>
          </w:p>
        </w:tc>
      </w:tr>
      <w:tr w:rsidR="00AC1CFF" w:rsidRPr="00490B2A" w:rsidTr="00700A18">
        <w:trPr>
          <w:jc w:val="center"/>
        </w:trPr>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r w:rsidRPr="00490B2A">
              <w:rPr>
                <w:color w:val="000000" w:themeColor="text1"/>
                <w:sz w:val="20"/>
                <w:szCs w:val="28"/>
              </w:rPr>
              <w:t>11</w:t>
            </w:r>
          </w:p>
        </w:tc>
        <w:tc>
          <w:tcPr>
            <w:tcW w:w="35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r w:rsidRPr="00490B2A">
              <w:rPr>
                <w:color w:val="000000" w:themeColor="text1"/>
                <w:sz w:val="20"/>
                <w:szCs w:val="28"/>
              </w:rPr>
              <w:t>Percent of houses located in river-bed</w:t>
            </w:r>
          </w:p>
        </w:tc>
        <w:tc>
          <w:tcPr>
            <w:tcW w:w="3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70</w:t>
            </w:r>
          </w:p>
        </w:tc>
        <w:tc>
          <w:tcPr>
            <w:tcW w:w="466"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2.16</w:t>
            </w:r>
          </w:p>
        </w:tc>
        <w:tc>
          <w:tcPr>
            <w:tcW w:w="3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30</w:t>
            </w:r>
          </w:p>
        </w:tc>
      </w:tr>
      <w:tr w:rsidR="00AC1CFF" w:rsidRPr="00490B2A" w:rsidTr="00700A18">
        <w:trPr>
          <w:jc w:val="center"/>
        </w:trPr>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r w:rsidRPr="00490B2A">
              <w:rPr>
                <w:color w:val="000000" w:themeColor="text1"/>
                <w:sz w:val="20"/>
                <w:szCs w:val="28"/>
              </w:rPr>
              <w:t>12</w:t>
            </w:r>
          </w:p>
        </w:tc>
        <w:tc>
          <w:tcPr>
            <w:tcW w:w="35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r w:rsidRPr="00490B2A">
              <w:rPr>
                <w:color w:val="000000" w:themeColor="text1"/>
                <w:sz w:val="20"/>
                <w:szCs w:val="28"/>
              </w:rPr>
              <w:t>Percent of houses with vulnerable structure</w:t>
            </w:r>
          </w:p>
        </w:tc>
        <w:tc>
          <w:tcPr>
            <w:tcW w:w="3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52</w:t>
            </w:r>
          </w:p>
        </w:tc>
        <w:tc>
          <w:tcPr>
            <w:tcW w:w="466"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1.30</w:t>
            </w:r>
          </w:p>
        </w:tc>
        <w:tc>
          <w:tcPr>
            <w:tcW w:w="315" w:type="pct"/>
            <w:shd w:val="clear" w:color="auto" w:fill="FFFFFF" w:themeFill="background1"/>
            <w:vAlign w:val="center"/>
          </w:tcPr>
          <w:p w:rsidR="00AC1CFF" w:rsidRPr="00490B2A" w:rsidRDefault="00AC1CFF" w:rsidP="00490B2A">
            <w:pPr>
              <w:snapToGrid w:val="0"/>
              <w:spacing w:line="240" w:lineRule="auto"/>
              <w:rPr>
                <w:color w:val="000000" w:themeColor="text1"/>
                <w:sz w:val="20"/>
                <w:szCs w:val="28"/>
              </w:rPr>
            </w:pPr>
            <w:r w:rsidRPr="00490B2A">
              <w:rPr>
                <w:color w:val="000000" w:themeColor="text1"/>
                <w:sz w:val="20"/>
                <w:szCs w:val="28"/>
              </w:rPr>
              <w:t>40</w:t>
            </w:r>
          </w:p>
        </w:tc>
      </w:tr>
      <w:tr w:rsidR="00AC1CFF" w:rsidRPr="00490B2A" w:rsidTr="00700A18">
        <w:trPr>
          <w:jc w:val="center"/>
        </w:trPr>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c>
          <w:tcPr>
            <w:tcW w:w="35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r w:rsidRPr="00490B2A">
              <w:rPr>
                <w:color w:val="000000" w:themeColor="text1"/>
                <w:sz w:val="20"/>
                <w:szCs w:val="28"/>
              </w:rPr>
              <w:t>Component vulnerability factor index</w:t>
            </w:r>
          </w:p>
        </w:tc>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c>
          <w:tcPr>
            <w:tcW w:w="466"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b/>
                <w:color w:val="000000" w:themeColor="text1"/>
                <w:sz w:val="20"/>
                <w:szCs w:val="28"/>
              </w:rPr>
            </w:pPr>
            <w:r w:rsidRPr="00490B2A">
              <w:rPr>
                <w:b/>
                <w:color w:val="000000" w:themeColor="text1"/>
                <w:sz w:val="20"/>
                <w:szCs w:val="28"/>
              </w:rPr>
              <w:t>2.18</w:t>
            </w:r>
          </w:p>
        </w:tc>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r>
      <w:tr w:rsidR="00AC1CFF" w:rsidRPr="00490B2A" w:rsidTr="00700A18">
        <w:trPr>
          <w:jc w:val="center"/>
        </w:trPr>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c>
          <w:tcPr>
            <w:tcW w:w="3589"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b/>
                <w:color w:val="000000" w:themeColor="text1"/>
                <w:sz w:val="20"/>
                <w:szCs w:val="28"/>
              </w:rPr>
            </w:pPr>
            <w:r w:rsidRPr="00490B2A">
              <w:rPr>
                <w:b/>
                <w:color w:val="000000" w:themeColor="text1"/>
                <w:sz w:val="20"/>
                <w:szCs w:val="28"/>
              </w:rPr>
              <w:t>Over all community vulnerability index</w:t>
            </w:r>
          </w:p>
        </w:tc>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c>
          <w:tcPr>
            <w:tcW w:w="466"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b/>
                <w:color w:val="000000" w:themeColor="text1"/>
                <w:sz w:val="20"/>
                <w:szCs w:val="28"/>
              </w:rPr>
            </w:pPr>
            <w:r w:rsidRPr="00490B2A">
              <w:rPr>
                <w:b/>
                <w:color w:val="000000" w:themeColor="text1"/>
                <w:sz w:val="20"/>
                <w:szCs w:val="28"/>
              </w:rPr>
              <w:t>1.26</w:t>
            </w:r>
          </w:p>
        </w:tc>
        <w:tc>
          <w:tcPr>
            <w:tcW w:w="315" w:type="pct"/>
            <w:shd w:val="clear" w:color="auto" w:fill="FFFFFF" w:themeFill="background1"/>
            <w:vAlign w:val="center"/>
          </w:tcPr>
          <w:p w:rsidR="00AC1CFF" w:rsidRPr="00490B2A" w:rsidRDefault="00AC1CFF" w:rsidP="00490B2A">
            <w:pPr>
              <w:widowControl w:val="0"/>
              <w:autoSpaceDE w:val="0"/>
              <w:autoSpaceDN w:val="0"/>
              <w:adjustRightInd w:val="0"/>
              <w:snapToGrid w:val="0"/>
              <w:spacing w:line="240" w:lineRule="auto"/>
              <w:rPr>
                <w:color w:val="000000" w:themeColor="text1"/>
                <w:sz w:val="20"/>
                <w:szCs w:val="28"/>
              </w:rPr>
            </w:pPr>
          </w:p>
        </w:tc>
      </w:tr>
    </w:tbl>
    <w:p w:rsidR="00AC1CFF" w:rsidRDefault="00AC1CFF" w:rsidP="00490B2A">
      <w:pPr>
        <w:snapToGrid w:val="0"/>
        <w:spacing w:after="0" w:line="240" w:lineRule="auto"/>
        <w:ind w:firstLine="425"/>
        <w:rPr>
          <w:rFonts w:eastAsiaTheme="minorEastAsia" w:hint="eastAsia"/>
          <w:color w:val="000000" w:themeColor="text1"/>
          <w:sz w:val="20"/>
          <w:szCs w:val="28"/>
          <w:lang w:eastAsia="zh-CN"/>
        </w:rPr>
      </w:pPr>
    </w:p>
    <w:p w:rsidR="00D87F12" w:rsidRPr="00490B2A" w:rsidRDefault="00D87F12" w:rsidP="00490B2A">
      <w:pPr>
        <w:snapToGrid w:val="0"/>
        <w:spacing w:after="0" w:line="240" w:lineRule="auto"/>
        <w:ind w:firstLine="425"/>
        <w:rPr>
          <w:rFonts w:eastAsiaTheme="minorEastAsia"/>
          <w:color w:val="000000" w:themeColor="text1"/>
          <w:sz w:val="20"/>
          <w:szCs w:val="28"/>
          <w:lang w:eastAsia="zh-CN"/>
        </w:rPr>
      </w:pPr>
    </w:p>
    <w:p w:rsidR="00490B2A" w:rsidRPr="00490B2A" w:rsidRDefault="00490B2A" w:rsidP="00490B2A">
      <w:pPr>
        <w:snapToGrid w:val="0"/>
        <w:spacing w:after="0" w:line="240" w:lineRule="auto"/>
        <w:ind w:firstLine="425"/>
        <w:rPr>
          <w:rFonts w:eastAsiaTheme="minorEastAsia"/>
          <w:color w:val="000000" w:themeColor="text1"/>
          <w:sz w:val="20"/>
          <w:szCs w:val="28"/>
          <w:lang w:eastAsia="zh-CN"/>
        </w:rPr>
        <w:sectPr w:rsidR="00490B2A" w:rsidRPr="00490B2A" w:rsidSect="00700A18">
          <w:type w:val="continuous"/>
          <w:pgSz w:w="12240" w:h="15840"/>
          <w:pgMar w:top="1440" w:right="1440" w:bottom="1440" w:left="1440" w:header="720" w:footer="720" w:gutter="0"/>
          <w:cols w:space="720"/>
          <w:docGrid w:linePitch="360"/>
        </w:sectPr>
      </w:pPr>
    </w:p>
    <w:p w:rsidR="00AC1CFF" w:rsidRPr="00490B2A" w:rsidRDefault="004176B1" w:rsidP="00490B2A">
      <w:pPr>
        <w:widowControl w:val="0"/>
        <w:autoSpaceDE w:val="0"/>
        <w:autoSpaceDN w:val="0"/>
        <w:adjustRightInd w:val="0"/>
        <w:snapToGrid w:val="0"/>
        <w:spacing w:after="0" w:line="240" w:lineRule="auto"/>
        <w:rPr>
          <w:b/>
          <w:color w:val="000000" w:themeColor="text1"/>
          <w:sz w:val="20"/>
          <w:szCs w:val="28"/>
        </w:rPr>
      </w:pPr>
      <w:r w:rsidRPr="00490B2A">
        <w:rPr>
          <w:b/>
          <w:color w:val="000000" w:themeColor="text1"/>
          <w:sz w:val="20"/>
          <w:szCs w:val="28"/>
        </w:rPr>
        <w:lastRenderedPageBreak/>
        <w:t>5.</w:t>
      </w:r>
      <w:r w:rsidRPr="00490B2A">
        <w:rPr>
          <w:b/>
          <w:color w:val="000000" w:themeColor="text1"/>
          <w:sz w:val="20"/>
          <w:szCs w:val="28"/>
        </w:rPr>
        <w:tab/>
        <w:t>Results and Discussion</w:t>
      </w:r>
      <w:r w:rsidR="00AC1CFF" w:rsidRPr="00490B2A">
        <w:rPr>
          <w:b/>
          <w:color w:val="000000" w:themeColor="text1"/>
          <w:sz w:val="20"/>
          <w:szCs w:val="28"/>
        </w:rPr>
        <w:t xml:space="preserve"> </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 xml:space="preserve">Socioeconomic, physical and institutional factors are interconnected and influenced </w:t>
      </w:r>
      <w:r w:rsidR="004176B1" w:rsidRPr="00490B2A">
        <w:rPr>
          <w:color w:val="000000" w:themeColor="text1"/>
          <w:sz w:val="20"/>
          <w:szCs w:val="28"/>
        </w:rPr>
        <w:t>each other</w:t>
      </w:r>
      <w:r w:rsidRPr="00490B2A">
        <w:rPr>
          <w:color w:val="000000" w:themeColor="text1"/>
          <w:sz w:val="20"/>
          <w:szCs w:val="28"/>
        </w:rPr>
        <w:t>. In this study social</w:t>
      </w:r>
      <w:r w:rsidR="004176B1" w:rsidRPr="00490B2A">
        <w:rPr>
          <w:color w:val="000000" w:themeColor="text1"/>
          <w:sz w:val="20"/>
          <w:szCs w:val="28"/>
        </w:rPr>
        <w:t>,</w:t>
      </w:r>
      <w:r w:rsidRPr="00490B2A">
        <w:rPr>
          <w:color w:val="000000" w:themeColor="text1"/>
          <w:sz w:val="20"/>
          <w:szCs w:val="28"/>
        </w:rPr>
        <w:t xml:space="preserve"> economic, physical and institutional factors are considered for the vulnerability assessment. Low resilient communities are more vulnerable to disasters. They face significant harms in their daily life. Low educational level, poverty, lack of capital and resources are the key factors of the vulnerability. Low educational level of the community affects their livelihood, income, ability and adaptation to modern information related to disasters. Education plays a significant role for understanding and copes with any hazardous condition; similarly the role of institutions in any sort of disaster can lessen the overall risk through best policies and strategies. </w:t>
      </w:r>
      <w:r w:rsidR="004176B1" w:rsidRPr="00490B2A">
        <w:rPr>
          <w:color w:val="000000" w:themeColor="text1"/>
          <w:sz w:val="20"/>
          <w:szCs w:val="28"/>
        </w:rPr>
        <w:t>Results reveal that</w:t>
      </w:r>
      <w:r w:rsidRPr="00490B2A">
        <w:rPr>
          <w:color w:val="000000" w:themeColor="text1"/>
          <w:sz w:val="20"/>
          <w:szCs w:val="28"/>
        </w:rPr>
        <w:t xml:space="preserve">, the social value index 1.05 is greater due to low level of education such as 80 percent people in the study area are illiterates as well as a higher proportion (47 %) of the people under 15 years of age which is a risky sign for the community to evacuate during disasters </w:t>
      </w:r>
      <w:r w:rsidR="004176B1" w:rsidRPr="00490B2A">
        <w:rPr>
          <w:color w:val="000000" w:themeColor="text1"/>
          <w:sz w:val="20"/>
          <w:szCs w:val="28"/>
        </w:rPr>
        <w:t xml:space="preserve">(see in table </w:t>
      </w:r>
      <w:r w:rsidRPr="00490B2A">
        <w:rPr>
          <w:color w:val="000000" w:themeColor="text1"/>
          <w:sz w:val="20"/>
          <w:szCs w:val="28"/>
        </w:rPr>
        <w:t>3</w:t>
      </w:r>
      <w:r w:rsidR="004176B1" w:rsidRPr="00490B2A">
        <w:rPr>
          <w:color w:val="000000" w:themeColor="text1"/>
          <w:sz w:val="20"/>
          <w:szCs w:val="28"/>
        </w:rPr>
        <w:t>)</w:t>
      </w:r>
      <w:r w:rsidRPr="00490B2A">
        <w:rPr>
          <w:color w:val="000000" w:themeColor="text1"/>
          <w:sz w:val="20"/>
          <w:szCs w:val="28"/>
        </w:rPr>
        <w:t xml:space="preserve"> Low percentage of disabled peoples and small proportion of people above 60 years of age is a little bit satisfactory sign for community. </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Economic vulnerability is the second component of the vulnerability index. From prior studies it is indicated that the higher ratio of unemployed people in a community, higher population rate below poverty line and population without diversified sources of earnings attracts the overall community towards vulnerability. The economic vulnerability index 1.26 is greater due to high ratio of unemployed people, such a</w:t>
      </w:r>
      <w:r w:rsidR="00067491" w:rsidRPr="00490B2A">
        <w:rPr>
          <w:color w:val="000000" w:themeColor="text1"/>
          <w:sz w:val="20"/>
          <w:szCs w:val="28"/>
        </w:rPr>
        <w:t>s 98% people have no employment/</w:t>
      </w:r>
      <w:r w:rsidRPr="00490B2A">
        <w:rPr>
          <w:color w:val="000000" w:themeColor="text1"/>
          <w:sz w:val="20"/>
          <w:szCs w:val="28"/>
        </w:rPr>
        <w:t xml:space="preserve">occupation in the study area and they are completely dependent on daily wages occupation, which creates problems in recovery phase for the community. The higher ratio of people without diversified source of income and people below poverty line are significantly shows the sign of vulnerability. </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Regarding Institutional vulnerability the study has examined vulnerabilities linked to hazard preparation, risk lessening activities, and public preparedness and awareness. The overall institutional vulnerability value index 0.56 is low as compared to social and economic vulnerability value index. The collaboration level among peoples was almost 70 % during disaster and almost 29 % people were prepared in hazard prone areas.</w:t>
      </w:r>
      <w:r w:rsidR="00700A18" w:rsidRPr="00490B2A">
        <w:rPr>
          <w:color w:val="000000" w:themeColor="text1"/>
          <w:sz w:val="20"/>
          <w:szCs w:val="28"/>
        </w:rPr>
        <w:t xml:space="preserve"> </w:t>
      </w:r>
    </w:p>
    <w:p w:rsidR="00AC1CFF" w:rsidRPr="00490B2A" w:rsidRDefault="00AC1CFF" w:rsidP="00490B2A">
      <w:pPr>
        <w:widowControl w:val="0"/>
        <w:autoSpaceDE w:val="0"/>
        <w:autoSpaceDN w:val="0"/>
        <w:adjustRightInd w:val="0"/>
        <w:snapToGrid w:val="0"/>
        <w:spacing w:after="0" w:line="240" w:lineRule="auto"/>
        <w:ind w:firstLine="425"/>
        <w:rPr>
          <w:rFonts w:eastAsiaTheme="minorEastAsia"/>
          <w:color w:val="000000" w:themeColor="text1"/>
          <w:sz w:val="20"/>
          <w:szCs w:val="28"/>
          <w:lang w:eastAsia="zh-CN"/>
        </w:rPr>
      </w:pPr>
      <w:r w:rsidRPr="00490B2A">
        <w:rPr>
          <w:color w:val="000000" w:themeColor="text1"/>
          <w:sz w:val="20"/>
          <w:szCs w:val="28"/>
        </w:rPr>
        <w:t>Physical vulnerability is the fourth and last componen</w:t>
      </w:r>
      <w:r w:rsidR="00067491" w:rsidRPr="00490B2A">
        <w:rPr>
          <w:color w:val="000000" w:themeColor="text1"/>
          <w:sz w:val="20"/>
          <w:szCs w:val="28"/>
        </w:rPr>
        <w:t>t of vulnerability index. From T</w:t>
      </w:r>
      <w:r w:rsidRPr="00490B2A">
        <w:rPr>
          <w:color w:val="000000" w:themeColor="text1"/>
          <w:sz w:val="20"/>
          <w:szCs w:val="28"/>
        </w:rPr>
        <w:t>able (</w:t>
      </w:r>
      <w:r w:rsidR="00067491" w:rsidRPr="00490B2A">
        <w:rPr>
          <w:color w:val="000000" w:themeColor="text1"/>
          <w:sz w:val="20"/>
          <w:szCs w:val="28"/>
        </w:rPr>
        <w:t>3</w:t>
      </w:r>
      <w:r w:rsidRPr="00490B2A">
        <w:rPr>
          <w:color w:val="000000" w:themeColor="text1"/>
          <w:sz w:val="20"/>
          <w:szCs w:val="28"/>
        </w:rPr>
        <w:t>) the physical vulnerability component has the highest vuln</w:t>
      </w:r>
      <w:r w:rsidR="00067491" w:rsidRPr="00490B2A">
        <w:rPr>
          <w:color w:val="000000" w:themeColor="text1"/>
          <w:sz w:val="20"/>
          <w:szCs w:val="28"/>
        </w:rPr>
        <w:t>erability value index as 1.73. P</w:t>
      </w:r>
      <w:r w:rsidRPr="00490B2A">
        <w:rPr>
          <w:color w:val="000000" w:themeColor="text1"/>
          <w:sz w:val="20"/>
          <w:szCs w:val="28"/>
        </w:rPr>
        <w:t xml:space="preserve">hysical vulnerability value index is greater due to high proportion of houses with vulnerable structures such </w:t>
      </w:r>
      <w:r w:rsidRPr="00490B2A">
        <w:rPr>
          <w:color w:val="000000" w:themeColor="text1"/>
          <w:sz w:val="20"/>
          <w:szCs w:val="28"/>
        </w:rPr>
        <w:lastRenderedPageBreak/>
        <w:t xml:space="preserve">as 52 % houses were made by loose materials (mud and stones), which making the houses structures extremely physically vulnerable during earthquakes and flash floods and almost 65 % of the houses were built in a river channel and such river-channel was prone to flood,. Even the low level of an earthquake can destroy the village. Lack of capital and resources made people not able to re-build and relocate their houses at a safer place. </w:t>
      </w:r>
    </w:p>
    <w:p w:rsidR="00700A18" w:rsidRPr="00490B2A" w:rsidRDefault="00700A18" w:rsidP="00490B2A">
      <w:pPr>
        <w:widowControl w:val="0"/>
        <w:autoSpaceDE w:val="0"/>
        <w:autoSpaceDN w:val="0"/>
        <w:adjustRightInd w:val="0"/>
        <w:snapToGrid w:val="0"/>
        <w:spacing w:after="0" w:line="240" w:lineRule="auto"/>
        <w:ind w:firstLine="425"/>
        <w:rPr>
          <w:rFonts w:eastAsiaTheme="minorEastAsia"/>
          <w:color w:val="000000" w:themeColor="text1"/>
          <w:sz w:val="20"/>
          <w:szCs w:val="28"/>
          <w:lang w:eastAsia="zh-CN"/>
        </w:rPr>
      </w:pPr>
    </w:p>
    <w:p w:rsidR="00AC1CFF" w:rsidRPr="00490B2A" w:rsidRDefault="00AC1CFF" w:rsidP="00490B2A">
      <w:pPr>
        <w:widowControl w:val="0"/>
        <w:autoSpaceDE w:val="0"/>
        <w:autoSpaceDN w:val="0"/>
        <w:adjustRightInd w:val="0"/>
        <w:snapToGrid w:val="0"/>
        <w:spacing w:after="0" w:line="240" w:lineRule="auto"/>
        <w:rPr>
          <w:b/>
          <w:color w:val="000000" w:themeColor="text1"/>
          <w:sz w:val="20"/>
          <w:szCs w:val="28"/>
        </w:rPr>
      </w:pPr>
      <w:r w:rsidRPr="00490B2A">
        <w:rPr>
          <w:b/>
          <w:color w:val="000000" w:themeColor="text1"/>
          <w:sz w:val="20"/>
          <w:szCs w:val="28"/>
        </w:rPr>
        <w:t>6.</w:t>
      </w:r>
      <w:r w:rsidRPr="00490B2A">
        <w:rPr>
          <w:b/>
          <w:color w:val="000000" w:themeColor="text1"/>
          <w:sz w:val="20"/>
          <w:szCs w:val="28"/>
        </w:rPr>
        <w:tab/>
        <w:t>Conclusion</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Vulnerability assessment is a multi-dimensional concept that helps to identify those factors and characteristics of individuals or communities that enable them to respond and recover from natural disasters.</w:t>
      </w:r>
      <w:r w:rsidR="00700A18" w:rsidRPr="00490B2A">
        <w:rPr>
          <w:color w:val="000000" w:themeColor="text1"/>
          <w:sz w:val="20"/>
          <w:szCs w:val="28"/>
        </w:rPr>
        <w:t xml:space="preserve"> </w:t>
      </w:r>
    </w:p>
    <w:p w:rsidR="00AC1CFF" w:rsidRPr="00490B2A" w:rsidRDefault="00AC1CFF" w:rsidP="00490B2A">
      <w:pPr>
        <w:widowControl w:val="0"/>
        <w:shd w:val="clear" w:color="auto" w:fill="FFFFFF" w:themeFill="background1"/>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This article has attempted to analyze vulnerability based on previous studies focusing on natural disasters and risk, with a detailed assessment technique assigning weights to various components depends on their significance.</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In general</w:t>
      </w:r>
      <w:r w:rsidR="00671B77" w:rsidRPr="00490B2A">
        <w:rPr>
          <w:color w:val="000000" w:themeColor="text1"/>
          <w:sz w:val="20"/>
          <w:szCs w:val="28"/>
        </w:rPr>
        <w:t>,</w:t>
      </w:r>
      <w:r w:rsidRPr="00490B2A">
        <w:rPr>
          <w:color w:val="000000" w:themeColor="text1"/>
          <w:sz w:val="20"/>
          <w:szCs w:val="28"/>
        </w:rPr>
        <w:t xml:space="preserve"> the composite community vulnerability index identifies the overall image of the community exposures, based on socioeconomic data gathered during field observation and questionnaire survey about various components of community vulnerability of the study area. The study identified different indicators of the vulnerability such as illiteracy rate, population below 15 years of age, people unemployment rate, people below poverty line and housing locations and their structures </w:t>
      </w:r>
      <w:r w:rsidR="00671B77" w:rsidRPr="00490B2A">
        <w:rPr>
          <w:color w:val="000000" w:themeColor="text1"/>
          <w:sz w:val="20"/>
          <w:szCs w:val="28"/>
        </w:rPr>
        <w:t>that</w:t>
      </w:r>
      <w:r w:rsidRPr="00490B2A">
        <w:rPr>
          <w:color w:val="000000" w:themeColor="text1"/>
          <w:sz w:val="20"/>
          <w:szCs w:val="28"/>
        </w:rPr>
        <w:t xml:space="preserve"> attract the overall community towards vulnerability.</w:t>
      </w:r>
      <w:r w:rsidR="00700A18" w:rsidRPr="00490B2A">
        <w:rPr>
          <w:color w:val="000000" w:themeColor="text1"/>
          <w:sz w:val="20"/>
          <w:szCs w:val="28"/>
        </w:rPr>
        <w:t xml:space="preserve"> </w:t>
      </w:r>
    </w:p>
    <w:p w:rsidR="00AC1CFF" w:rsidRPr="00490B2A" w:rsidRDefault="00AC1CFF" w:rsidP="00490B2A">
      <w:pPr>
        <w:widowControl w:val="0"/>
        <w:autoSpaceDE w:val="0"/>
        <w:autoSpaceDN w:val="0"/>
        <w:adjustRightInd w:val="0"/>
        <w:snapToGrid w:val="0"/>
        <w:spacing w:after="0" w:line="240" w:lineRule="auto"/>
        <w:ind w:firstLine="425"/>
        <w:rPr>
          <w:color w:val="000000" w:themeColor="text1"/>
          <w:sz w:val="20"/>
          <w:szCs w:val="28"/>
        </w:rPr>
      </w:pPr>
      <w:r w:rsidRPr="00490B2A">
        <w:rPr>
          <w:color w:val="000000" w:themeColor="text1"/>
          <w:sz w:val="20"/>
          <w:szCs w:val="28"/>
        </w:rPr>
        <w:t>The study recommend</w:t>
      </w:r>
      <w:r w:rsidR="00671B77" w:rsidRPr="00490B2A">
        <w:rPr>
          <w:color w:val="000000" w:themeColor="text1"/>
          <w:sz w:val="20"/>
          <w:szCs w:val="28"/>
        </w:rPr>
        <w:t>s the necessary improvements in</w:t>
      </w:r>
      <w:r w:rsidRPr="00490B2A">
        <w:rPr>
          <w:color w:val="000000" w:themeColor="text1"/>
          <w:sz w:val="20"/>
          <w:szCs w:val="28"/>
        </w:rPr>
        <w:t xml:space="preserve"> institutional, economical social and physical components by rising the preparedness and awareness of community about flooding situation and their housing structures. Implementing of risk lessening measures </w:t>
      </w:r>
      <w:r w:rsidR="00B81063" w:rsidRPr="00490B2A">
        <w:rPr>
          <w:color w:val="000000" w:themeColor="text1"/>
          <w:sz w:val="20"/>
          <w:szCs w:val="28"/>
        </w:rPr>
        <w:t xml:space="preserve">in building infrastructures </w:t>
      </w:r>
      <w:r w:rsidRPr="00490B2A">
        <w:rPr>
          <w:color w:val="000000" w:themeColor="text1"/>
          <w:sz w:val="20"/>
          <w:szCs w:val="28"/>
        </w:rPr>
        <w:t xml:space="preserve">and carry out essential </w:t>
      </w:r>
      <w:r w:rsidR="00B81063" w:rsidRPr="00490B2A">
        <w:rPr>
          <w:color w:val="000000" w:themeColor="text1"/>
          <w:sz w:val="20"/>
          <w:szCs w:val="28"/>
        </w:rPr>
        <w:t>socio-economic</w:t>
      </w:r>
      <w:r w:rsidRPr="00490B2A">
        <w:rPr>
          <w:color w:val="000000" w:themeColor="text1"/>
          <w:sz w:val="20"/>
          <w:szCs w:val="28"/>
        </w:rPr>
        <w:t xml:space="preserve"> activities</w:t>
      </w:r>
      <w:r w:rsidR="00561AE2" w:rsidRPr="00490B2A">
        <w:rPr>
          <w:color w:val="000000" w:themeColor="text1"/>
          <w:sz w:val="20"/>
          <w:szCs w:val="28"/>
        </w:rPr>
        <w:t xml:space="preserve"> (education, </w:t>
      </w:r>
      <w:r w:rsidR="00B81063" w:rsidRPr="00490B2A">
        <w:rPr>
          <w:color w:val="000000" w:themeColor="text1"/>
          <w:sz w:val="20"/>
          <w:szCs w:val="28"/>
        </w:rPr>
        <w:t>health, and community trust)</w:t>
      </w:r>
      <w:r w:rsidRPr="00490B2A">
        <w:rPr>
          <w:color w:val="000000" w:themeColor="text1"/>
          <w:sz w:val="20"/>
          <w:szCs w:val="28"/>
        </w:rPr>
        <w:t xml:space="preserve"> is extremely fundamental to lessen the overall vulnerabilities of the study area prone to natural hazards. </w:t>
      </w:r>
      <w:r w:rsidR="00561AE2" w:rsidRPr="00490B2A">
        <w:rPr>
          <w:color w:val="000000" w:themeColor="text1"/>
          <w:sz w:val="20"/>
          <w:szCs w:val="28"/>
        </w:rPr>
        <w:t>Additionally it is important, to highlight the multiple source of income activities to decrease poverty that will reduce the people vulnerability to a better extent in the long run.</w:t>
      </w:r>
    </w:p>
    <w:p w:rsidR="00AC1CFF" w:rsidRPr="00490B2A" w:rsidRDefault="00AC1CFF" w:rsidP="00490B2A">
      <w:pPr>
        <w:snapToGrid w:val="0"/>
        <w:spacing w:after="0" w:line="240" w:lineRule="auto"/>
        <w:rPr>
          <w:b/>
          <w:color w:val="000000" w:themeColor="text1"/>
          <w:sz w:val="20"/>
          <w:szCs w:val="28"/>
        </w:rPr>
      </w:pPr>
    </w:p>
    <w:p w:rsidR="00256F5A" w:rsidRPr="00490B2A" w:rsidRDefault="00256F5A" w:rsidP="00490B2A">
      <w:pPr>
        <w:snapToGrid w:val="0"/>
        <w:spacing w:after="0" w:line="240" w:lineRule="auto"/>
        <w:rPr>
          <w:b/>
          <w:color w:val="000000" w:themeColor="text1"/>
          <w:sz w:val="20"/>
        </w:rPr>
      </w:pPr>
      <w:r w:rsidRPr="00490B2A">
        <w:rPr>
          <w:b/>
          <w:color w:val="000000" w:themeColor="text1"/>
          <w:sz w:val="20"/>
        </w:rPr>
        <w:t>Availability of Data and Materials</w:t>
      </w:r>
    </w:p>
    <w:p w:rsidR="00256F5A" w:rsidRPr="00490B2A" w:rsidRDefault="00256F5A" w:rsidP="00490B2A">
      <w:pPr>
        <w:snapToGrid w:val="0"/>
        <w:spacing w:after="0" w:line="240" w:lineRule="auto"/>
        <w:ind w:firstLine="425"/>
        <w:rPr>
          <w:color w:val="333333"/>
          <w:sz w:val="20"/>
          <w:shd w:val="clear" w:color="auto" w:fill="FCFCFC"/>
        </w:rPr>
      </w:pPr>
      <w:r w:rsidRPr="00490B2A">
        <w:rPr>
          <w:color w:val="333333"/>
          <w:sz w:val="20"/>
          <w:shd w:val="clear" w:color="auto" w:fill="FCFCFC"/>
        </w:rPr>
        <w:t xml:space="preserve">Data will not be shared because the data is collected as a primary data from community. </w:t>
      </w:r>
    </w:p>
    <w:p w:rsidR="00490B2A" w:rsidRDefault="00490B2A" w:rsidP="00490B2A">
      <w:pPr>
        <w:shd w:val="clear" w:color="auto" w:fill="FFFFFF"/>
        <w:snapToGrid w:val="0"/>
        <w:spacing w:after="0" w:line="240" w:lineRule="auto"/>
        <w:rPr>
          <w:rFonts w:eastAsiaTheme="minorEastAsia"/>
          <w:b/>
          <w:color w:val="222222"/>
          <w:sz w:val="20"/>
          <w:lang w:eastAsia="zh-CN"/>
        </w:rPr>
      </w:pPr>
    </w:p>
    <w:p w:rsidR="00256F5A" w:rsidRPr="00490B2A" w:rsidRDefault="00256F5A" w:rsidP="00490B2A">
      <w:pPr>
        <w:shd w:val="clear" w:color="auto" w:fill="FFFFFF"/>
        <w:snapToGrid w:val="0"/>
        <w:spacing w:after="0" w:line="240" w:lineRule="auto"/>
        <w:rPr>
          <w:rFonts w:eastAsia="Times New Roman"/>
          <w:b/>
          <w:color w:val="222222"/>
          <w:sz w:val="20"/>
        </w:rPr>
      </w:pPr>
      <w:r w:rsidRPr="00490B2A">
        <w:rPr>
          <w:rFonts w:eastAsia="Times New Roman"/>
          <w:b/>
          <w:color w:val="222222"/>
          <w:sz w:val="20"/>
        </w:rPr>
        <w:t>Competing interests</w:t>
      </w:r>
    </w:p>
    <w:p w:rsidR="00256F5A" w:rsidRPr="00490B2A" w:rsidRDefault="00256F5A" w:rsidP="00490B2A">
      <w:pPr>
        <w:shd w:val="clear" w:color="auto" w:fill="FFFFFF"/>
        <w:snapToGrid w:val="0"/>
        <w:spacing w:after="0" w:line="240" w:lineRule="auto"/>
        <w:ind w:firstLine="425"/>
        <w:rPr>
          <w:rFonts w:eastAsia="Times New Roman"/>
          <w:color w:val="222222"/>
          <w:sz w:val="20"/>
        </w:rPr>
      </w:pPr>
      <w:r w:rsidRPr="00490B2A">
        <w:rPr>
          <w:rFonts w:eastAsia="Times New Roman"/>
          <w:color w:val="222222"/>
          <w:sz w:val="20"/>
        </w:rPr>
        <w:t xml:space="preserve">There is no competing interest of authors </w:t>
      </w:r>
    </w:p>
    <w:p w:rsidR="00490B2A" w:rsidRDefault="00490B2A" w:rsidP="00490B2A">
      <w:pPr>
        <w:shd w:val="clear" w:color="auto" w:fill="FFFFFF"/>
        <w:snapToGrid w:val="0"/>
        <w:spacing w:after="0" w:line="240" w:lineRule="auto"/>
        <w:rPr>
          <w:rFonts w:eastAsiaTheme="minorEastAsia"/>
          <w:b/>
          <w:color w:val="222222"/>
          <w:sz w:val="20"/>
          <w:lang w:eastAsia="zh-CN"/>
        </w:rPr>
      </w:pPr>
    </w:p>
    <w:p w:rsidR="00256F5A" w:rsidRPr="00490B2A" w:rsidRDefault="00256F5A" w:rsidP="00490B2A">
      <w:pPr>
        <w:shd w:val="clear" w:color="auto" w:fill="FFFFFF"/>
        <w:snapToGrid w:val="0"/>
        <w:spacing w:after="0" w:line="240" w:lineRule="auto"/>
        <w:rPr>
          <w:rFonts w:eastAsia="Times New Roman"/>
          <w:b/>
          <w:color w:val="222222"/>
          <w:sz w:val="20"/>
        </w:rPr>
      </w:pPr>
      <w:r w:rsidRPr="00490B2A">
        <w:rPr>
          <w:rFonts w:eastAsia="Times New Roman"/>
          <w:b/>
          <w:color w:val="222222"/>
          <w:sz w:val="20"/>
        </w:rPr>
        <w:t>Funding</w:t>
      </w:r>
    </w:p>
    <w:p w:rsidR="00256F5A" w:rsidRPr="00490B2A" w:rsidRDefault="00256F5A" w:rsidP="00490B2A">
      <w:pPr>
        <w:shd w:val="clear" w:color="auto" w:fill="FFFFFF"/>
        <w:snapToGrid w:val="0"/>
        <w:spacing w:after="0" w:line="240" w:lineRule="auto"/>
        <w:ind w:firstLine="425"/>
        <w:rPr>
          <w:rFonts w:eastAsia="Times New Roman"/>
          <w:color w:val="222222"/>
          <w:sz w:val="20"/>
        </w:rPr>
      </w:pPr>
      <w:r w:rsidRPr="00490B2A">
        <w:rPr>
          <w:rFonts w:eastAsia="Times New Roman"/>
          <w:color w:val="222222"/>
          <w:sz w:val="20"/>
        </w:rPr>
        <w:t xml:space="preserve">Not Available </w:t>
      </w:r>
    </w:p>
    <w:p w:rsidR="00490B2A" w:rsidRDefault="00490B2A" w:rsidP="00490B2A">
      <w:pPr>
        <w:shd w:val="clear" w:color="auto" w:fill="FFFFFF"/>
        <w:snapToGrid w:val="0"/>
        <w:spacing w:after="0" w:line="240" w:lineRule="auto"/>
        <w:rPr>
          <w:rFonts w:eastAsiaTheme="minorEastAsia"/>
          <w:b/>
          <w:color w:val="222222"/>
          <w:sz w:val="20"/>
          <w:lang w:eastAsia="zh-CN"/>
        </w:rPr>
      </w:pPr>
    </w:p>
    <w:p w:rsidR="00256F5A" w:rsidRPr="00490B2A" w:rsidRDefault="00256F5A" w:rsidP="00490B2A">
      <w:pPr>
        <w:shd w:val="clear" w:color="auto" w:fill="FFFFFF"/>
        <w:snapToGrid w:val="0"/>
        <w:spacing w:after="0" w:line="240" w:lineRule="auto"/>
        <w:rPr>
          <w:rFonts w:eastAsia="Times New Roman"/>
          <w:b/>
          <w:color w:val="222222"/>
          <w:sz w:val="20"/>
        </w:rPr>
      </w:pPr>
      <w:r w:rsidRPr="00490B2A">
        <w:rPr>
          <w:rFonts w:eastAsia="Times New Roman"/>
          <w:b/>
          <w:color w:val="222222"/>
          <w:sz w:val="20"/>
        </w:rPr>
        <w:t xml:space="preserve">Authors Contribution </w:t>
      </w:r>
    </w:p>
    <w:p w:rsidR="00256F5A" w:rsidRPr="00490B2A" w:rsidRDefault="00256F5A" w:rsidP="00490B2A">
      <w:pPr>
        <w:shd w:val="clear" w:color="auto" w:fill="FFFFFF"/>
        <w:snapToGrid w:val="0"/>
        <w:spacing w:after="0" w:line="240" w:lineRule="auto"/>
        <w:ind w:firstLine="425"/>
        <w:rPr>
          <w:rFonts w:eastAsia="Times New Roman"/>
          <w:color w:val="222222"/>
          <w:sz w:val="20"/>
        </w:rPr>
      </w:pPr>
      <w:r w:rsidRPr="00490B2A">
        <w:rPr>
          <w:rFonts w:eastAsia="Times New Roman"/>
          <w:color w:val="222222"/>
          <w:sz w:val="20"/>
        </w:rPr>
        <w:t xml:space="preserve">Mr jamal-ud-din contributed as a corresponding author, rest of the authors have contributed as a supervisor, co-supervisor and as classmates. </w:t>
      </w:r>
    </w:p>
    <w:p w:rsidR="00490B2A" w:rsidRDefault="00490B2A" w:rsidP="00490B2A">
      <w:pPr>
        <w:shd w:val="clear" w:color="auto" w:fill="FFFFFF"/>
        <w:snapToGrid w:val="0"/>
        <w:spacing w:after="0" w:line="240" w:lineRule="auto"/>
        <w:rPr>
          <w:rFonts w:eastAsiaTheme="minorEastAsia"/>
          <w:b/>
          <w:color w:val="222222"/>
          <w:sz w:val="20"/>
          <w:lang w:eastAsia="zh-CN"/>
        </w:rPr>
      </w:pPr>
    </w:p>
    <w:p w:rsidR="00256F5A" w:rsidRPr="00490B2A" w:rsidRDefault="00256F5A" w:rsidP="00490B2A">
      <w:pPr>
        <w:shd w:val="clear" w:color="auto" w:fill="FFFFFF"/>
        <w:snapToGrid w:val="0"/>
        <w:spacing w:after="0" w:line="240" w:lineRule="auto"/>
        <w:rPr>
          <w:b/>
          <w:color w:val="000000" w:themeColor="text1"/>
          <w:sz w:val="20"/>
        </w:rPr>
      </w:pPr>
      <w:r w:rsidRPr="00490B2A">
        <w:rPr>
          <w:rFonts w:eastAsia="Times New Roman"/>
          <w:b/>
          <w:color w:val="222222"/>
          <w:sz w:val="20"/>
        </w:rPr>
        <w:t>Acknowledgement</w:t>
      </w:r>
    </w:p>
    <w:p w:rsidR="00256F5A" w:rsidRPr="00490B2A" w:rsidRDefault="00256F5A" w:rsidP="00490B2A">
      <w:pPr>
        <w:shd w:val="clear" w:color="auto" w:fill="FFFFFF"/>
        <w:snapToGrid w:val="0"/>
        <w:spacing w:after="0" w:line="240" w:lineRule="auto"/>
        <w:ind w:firstLine="425"/>
        <w:rPr>
          <w:color w:val="000000" w:themeColor="text1"/>
          <w:sz w:val="20"/>
        </w:rPr>
      </w:pPr>
      <w:r w:rsidRPr="00490B2A">
        <w:rPr>
          <w:sz w:val="20"/>
        </w:rPr>
        <w:t xml:space="preserve">I take this opportunity to express my profound gratitude and deep regards to my guide Dr. Syed Ainuddin for his exemplary guidance, monitoring and constant encouragement throughout the completion of this paper. Thanks are also extended to co-authors that they have contributed properly. </w:t>
      </w:r>
    </w:p>
    <w:p w:rsidR="00AC1CFF" w:rsidRPr="00490B2A" w:rsidRDefault="00AC1CFF" w:rsidP="00490B2A">
      <w:pPr>
        <w:snapToGrid w:val="0"/>
        <w:spacing w:after="0" w:line="240" w:lineRule="auto"/>
        <w:rPr>
          <w:b/>
          <w:color w:val="000000" w:themeColor="text1"/>
          <w:sz w:val="20"/>
          <w:szCs w:val="28"/>
        </w:rPr>
      </w:pPr>
    </w:p>
    <w:p w:rsidR="00AC1CFF" w:rsidRPr="00490B2A" w:rsidRDefault="00AC1CFF" w:rsidP="00490B2A">
      <w:pPr>
        <w:widowControl w:val="0"/>
        <w:autoSpaceDE w:val="0"/>
        <w:autoSpaceDN w:val="0"/>
        <w:adjustRightInd w:val="0"/>
        <w:snapToGrid w:val="0"/>
        <w:spacing w:after="0" w:line="240" w:lineRule="auto"/>
        <w:rPr>
          <w:b/>
          <w:color w:val="000000" w:themeColor="text1"/>
          <w:sz w:val="20"/>
          <w:szCs w:val="28"/>
        </w:rPr>
      </w:pPr>
      <w:r w:rsidRPr="00490B2A">
        <w:rPr>
          <w:b/>
          <w:color w:val="000000" w:themeColor="text1"/>
          <w:sz w:val="20"/>
          <w:szCs w:val="28"/>
        </w:rPr>
        <w:t xml:space="preserve">References </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Adger,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(2000).</w:t>
      </w:r>
      <w:r w:rsidR="00700A18" w:rsidRPr="00490B2A">
        <w:rPr>
          <w:noProof/>
          <w:color w:val="000000" w:themeColor="text1"/>
          <w:sz w:val="20"/>
          <w:szCs w:val="28"/>
        </w:rPr>
        <w:t xml:space="preserve"> </w:t>
      </w:r>
      <w:r w:rsidRPr="00490B2A">
        <w:rPr>
          <w:noProof/>
          <w:color w:val="000000" w:themeColor="text1"/>
          <w:sz w:val="20"/>
          <w:szCs w:val="28"/>
        </w:rPr>
        <w:t>Social</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ecological</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Are</w:t>
      </w:r>
      <w:r w:rsidR="00700A18" w:rsidRPr="00490B2A">
        <w:rPr>
          <w:noProof/>
          <w:color w:val="000000" w:themeColor="text1"/>
          <w:sz w:val="20"/>
          <w:szCs w:val="28"/>
        </w:rPr>
        <w:t xml:space="preserve"> </w:t>
      </w:r>
      <w:r w:rsidRPr="00490B2A">
        <w:rPr>
          <w:noProof/>
          <w:color w:val="000000" w:themeColor="text1"/>
          <w:sz w:val="20"/>
          <w:szCs w:val="28"/>
        </w:rPr>
        <w:t>they</w:t>
      </w:r>
      <w:r w:rsidR="00700A18" w:rsidRPr="00490B2A">
        <w:rPr>
          <w:noProof/>
          <w:color w:val="000000" w:themeColor="text1"/>
          <w:sz w:val="20"/>
          <w:szCs w:val="28"/>
        </w:rPr>
        <w:t xml:space="preserve"> </w:t>
      </w:r>
      <w:r w:rsidRPr="00490B2A">
        <w:rPr>
          <w:noProof/>
          <w:color w:val="000000" w:themeColor="text1"/>
          <w:sz w:val="20"/>
          <w:szCs w:val="28"/>
        </w:rPr>
        <w:t>related?</w:t>
      </w:r>
      <w:r w:rsidR="00700A18" w:rsidRPr="00490B2A">
        <w:rPr>
          <w:noProof/>
          <w:color w:val="000000" w:themeColor="text1"/>
          <w:sz w:val="20"/>
          <w:szCs w:val="28"/>
        </w:rPr>
        <w:t xml:space="preserve"> </w:t>
      </w:r>
      <w:r w:rsidRPr="00490B2A">
        <w:rPr>
          <w:i/>
          <w:iCs/>
          <w:noProof/>
          <w:color w:val="000000" w:themeColor="text1"/>
          <w:sz w:val="20"/>
          <w:szCs w:val="28"/>
        </w:rPr>
        <w:t>Progress</w:t>
      </w:r>
      <w:r w:rsidR="00700A18" w:rsidRPr="00490B2A">
        <w:rPr>
          <w:i/>
          <w:iCs/>
          <w:noProof/>
          <w:color w:val="000000" w:themeColor="text1"/>
          <w:sz w:val="20"/>
          <w:szCs w:val="28"/>
        </w:rPr>
        <w:t xml:space="preserve"> </w:t>
      </w:r>
      <w:r w:rsidRPr="00490B2A">
        <w:rPr>
          <w:i/>
          <w:iCs/>
          <w:noProof/>
          <w:color w:val="000000" w:themeColor="text1"/>
          <w:sz w:val="20"/>
          <w:szCs w:val="28"/>
        </w:rPr>
        <w:t>in</w:t>
      </w:r>
      <w:r w:rsidR="00700A18" w:rsidRPr="00490B2A">
        <w:rPr>
          <w:i/>
          <w:iCs/>
          <w:noProof/>
          <w:color w:val="000000" w:themeColor="text1"/>
          <w:sz w:val="20"/>
          <w:szCs w:val="28"/>
        </w:rPr>
        <w:t xml:space="preserve"> </w:t>
      </w:r>
      <w:r w:rsidRPr="00490B2A">
        <w:rPr>
          <w:i/>
          <w:iCs/>
          <w:noProof/>
          <w:color w:val="000000" w:themeColor="text1"/>
          <w:sz w:val="20"/>
          <w:szCs w:val="28"/>
        </w:rPr>
        <w:t>Human</w:t>
      </w:r>
      <w:r w:rsidR="00700A18" w:rsidRPr="00490B2A">
        <w:rPr>
          <w:i/>
          <w:iCs/>
          <w:noProof/>
          <w:color w:val="000000" w:themeColor="text1"/>
          <w:sz w:val="20"/>
          <w:szCs w:val="28"/>
        </w:rPr>
        <w:t xml:space="preserve"> </w:t>
      </w:r>
      <w:r w:rsidRPr="00490B2A">
        <w:rPr>
          <w:i/>
          <w:iCs/>
          <w:noProof/>
          <w:color w:val="000000" w:themeColor="text1"/>
          <w:sz w:val="20"/>
          <w:szCs w:val="28"/>
        </w:rPr>
        <w:t>Geography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24</w:t>
      </w:r>
      <w:r w:rsidRPr="00490B2A">
        <w:rPr>
          <w:noProof/>
          <w:color w:val="000000" w:themeColor="text1"/>
          <w:sz w:val="20"/>
          <w:szCs w:val="28"/>
        </w:rPr>
        <w:t>(3),</w:t>
      </w:r>
      <w:r w:rsidR="00700A18" w:rsidRPr="00490B2A">
        <w:rPr>
          <w:noProof/>
          <w:color w:val="000000" w:themeColor="text1"/>
          <w:sz w:val="20"/>
          <w:szCs w:val="28"/>
        </w:rPr>
        <w:t xml:space="preserve"> </w:t>
      </w:r>
      <w:r w:rsidRPr="00490B2A">
        <w:rPr>
          <w:noProof/>
          <w:color w:val="000000" w:themeColor="text1"/>
          <w:sz w:val="20"/>
          <w:szCs w:val="28"/>
        </w:rPr>
        <w:t>347–364.</w:t>
      </w:r>
      <w:r w:rsidR="00700A18" w:rsidRPr="00490B2A">
        <w:rPr>
          <w:noProof/>
          <w:color w:val="000000" w:themeColor="text1"/>
          <w:sz w:val="20"/>
          <w:szCs w:val="28"/>
        </w:rPr>
        <w:t xml:space="preserve"> </w:t>
      </w:r>
      <w:r w:rsidRPr="00490B2A">
        <w:rPr>
          <w:noProof/>
          <w:color w:val="000000" w:themeColor="text1"/>
          <w:sz w:val="20"/>
          <w:szCs w:val="28"/>
        </w:rPr>
        <w:t>https://doi.org/10.1191/030913200701540465</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Adger,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(2006).</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i/>
          <w:iCs/>
          <w:noProof/>
          <w:color w:val="000000" w:themeColor="text1"/>
          <w:sz w:val="20"/>
          <w:szCs w:val="28"/>
        </w:rPr>
        <w:t>Global</w:t>
      </w:r>
      <w:r w:rsidR="00700A18" w:rsidRPr="00490B2A">
        <w:rPr>
          <w:i/>
          <w:iCs/>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Change</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16</w:t>
      </w:r>
      <w:r w:rsidRPr="00490B2A">
        <w:rPr>
          <w:noProof/>
          <w:color w:val="000000" w:themeColor="text1"/>
          <w:sz w:val="20"/>
          <w:szCs w:val="28"/>
        </w:rPr>
        <w:t>(3),</w:t>
      </w:r>
      <w:r w:rsidR="00700A18" w:rsidRPr="00490B2A">
        <w:rPr>
          <w:noProof/>
          <w:color w:val="000000" w:themeColor="text1"/>
          <w:sz w:val="20"/>
          <w:szCs w:val="28"/>
        </w:rPr>
        <w:t xml:space="preserve"> </w:t>
      </w:r>
      <w:r w:rsidRPr="00490B2A">
        <w:rPr>
          <w:noProof/>
          <w:color w:val="000000" w:themeColor="text1"/>
          <w:sz w:val="20"/>
          <w:szCs w:val="28"/>
        </w:rPr>
        <w:t>268–281.</w:t>
      </w:r>
      <w:r w:rsidR="00700A18" w:rsidRPr="00490B2A">
        <w:rPr>
          <w:noProof/>
          <w:color w:val="000000" w:themeColor="text1"/>
          <w:sz w:val="20"/>
          <w:szCs w:val="28"/>
        </w:rPr>
        <w:t xml:space="preserve"> </w:t>
      </w:r>
      <w:r w:rsidRPr="00490B2A">
        <w:rPr>
          <w:noProof/>
          <w:color w:val="000000" w:themeColor="text1"/>
          <w:sz w:val="20"/>
          <w:szCs w:val="28"/>
        </w:rPr>
        <w:t>https://doi.org/10.1016/j.gloenvcha.2006.02.006</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Ainuddin,</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&amp; </w:t>
      </w:r>
      <w:r w:rsidRPr="00490B2A">
        <w:rPr>
          <w:noProof/>
          <w:color w:val="000000" w:themeColor="text1"/>
          <w:sz w:val="20"/>
          <w:szCs w:val="28"/>
        </w:rPr>
        <w:t>Routray,</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(2012a).</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framework</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an</w:t>
      </w:r>
      <w:r w:rsidR="00700A18" w:rsidRPr="00490B2A">
        <w:rPr>
          <w:noProof/>
          <w:color w:val="000000" w:themeColor="text1"/>
          <w:sz w:val="20"/>
          <w:szCs w:val="28"/>
        </w:rPr>
        <w:t xml:space="preserve"> </w:t>
      </w:r>
      <w:r w:rsidRPr="00490B2A">
        <w:rPr>
          <w:noProof/>
          <w:color w:val="000000" w:themeColor="text1"/>
          <w:sz w:val="20"/>
          <w:szCs w:val="28"/>
        </w:rPr>
        <w:t>earthquake</w:t>
      </w:r>
      <w:r w:rsidR="00700A18" w:rsidRPr="00490B2A">
        <w:rPr>
          <w:noProof/>
          <w:color w:val="000000" w:themeColor="text1"/>
          <w:sz w:val="20"/>
          <w:szCs w:val="28"/>
        </w:rPr>
        <w:t xml:space="preserve"> </w:t>
      </w:r>
      <w:r w:rsidRPr="00490B2A">
        <w:rPr>
          <w:noProof/>
          <w:color w:val="000000" w:themeColor="text1"/>
          <w:sz w:val="20"/>
          <w:szCs w:val="28"/>
        </w:rPr>
        <w:t>prone</w:t>
      </w:r>
      <w:r w:rsidR="00700A18" w:rsidRPr="00490B2A">
        <w:rPr>
          <w:noProof/>
          <w:color w:val="000000" w:themeColor="text1"/>
          <w:sz w:val="20"/>
          <w:szCs w:val="28"/>
        </w:rPr>
        <w:t xml:space="preserve"> </w:t>
      </w:r>
      <w:r w:rsidRPr="00490B2A">
        <w:rPr>
          <w:noProof/>
          <w:color w:val="000000" w:themeColor="text1"/>
          <w:sz w:val="20"/>
          <w:szCs w:val="28"/>
        </w:rPr>
        <w:t>area</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Baluchistan.</w:t>
      </w:r>
      <w:r w:rsidR="00700A18" w:rsidRPr="00490B2A">
        <w:rPr>
          <w:noProof/>
          <w:color w:val="000000" w:themeColor="text1"/>
          <w:sz w:val="20"/>
          <w:szCs w:val="28"/>
        </w:rPr>
        <w:t xml:space="preserve"> </w:t>
      </w:r>
      <w:r w:rsidRPr="00490B2A">
        <w:rPr>
          <w:i/>
          <w:iCs/>
          <w:noProof/>
          <w:color w:val="000000" w:themeColor="text1"/>
          <w:sz w:val="20"/>
          <w:szCs w:val="28"/>
        </w:rPr>
        <w:t>International</w:t>
      </w:r>
      <w:r w:rsidR="00700A18" w:rsidRPr="00490B2A">
        <w:rPr>
          <w:i/>
          <w:iCs/>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Risk</w:t>
      </w:r>
      <w:r w:rsidR="00700A18" w:rsidRPr="00490B2A">
        <w:rPr>
          <w:i/>
          <w:iCs/>
          <w:noProof/>
          <w:color w:val="000000" w:themeColor="text1"/>
          <w:sz w:val="20"/>
          <w:szCs w:val="28"/>
        </w:rPr>
        <w:t xml:space="preserve"> </w:t>
      </w:r>
      <w:r w:rsidRPr="00490B2A">
        <w:rPr>
          <w:i/>
          <w:iCs/>
          <w:noProof/>
          <w:color w:val="000000" w:themeColor="text1"/>
          <w:sz w:val="20"/>
          <w:szCs w:val="28"/>
        </w:rPr>
        <w:t>Reduction</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2</w:t>
      </w:r>
      <w:r w:rsidRPr="00490B2A">
        <w:rPr>
          <w:noProof/>
          <w:color w:val="000000" w:themeColor="text1"/>
          <w:sz w:val="20"/>
          <w:szCs w:val="28"/>
        </w:rPr>
        <w:t>(1),</w:t>
      </w:r>
      <w:r w:rsidR="00700A18" w:rsidRPr="00490B2A">
        <w:rPr>
          <w:noProof/>
          <w:color w:val="000000" w:themeColor="text1"/>
          <w:sz w:val="20"/>
          <w:szCs w:val="28"/>
        </w:rPr>
        <w:t xml:space="preserve"> </w:t>
      </w:r>
      <w:r w:rsidRPr="00490B2A">
        <w:rPr>
          <w:noProof/>
          <w:color w:val="000000" w:themeColor="text1"/>
          <w:sz w:val="20"/>
          <w:szCs w:val="28"/>
        </w:rPr>
        <w:t>25–36.</w:t>
      </w:r>
      <w:r w:rsidR="00700A18" w:rsidRPr="00490B2A">
        <w:rPr>
          <w:noProof/>
          <w:color w:val="000000" w:themeColor="text1"/>
          <w:sz w:val="20"/>
          <w:szCs w:val="28"/>
        </w:rPr>
        <w:t xml:space="preserve"> </w:t>
      </w:r>
      <w:r w:rsidRPr="00490B2A">
        <w:rPr>
          <w:noProof/>
          <w:color w:val="000000" w:themeColor="text1"/>
          <w:sz w:val="20"/>
          <w:szCs w:val="28"/>
        </w:rPr>
        <w:t>https://doi.org/10.1016/j.ijdrr.2012.07.003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Ainuddin,</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&amp; </w:t>
      </w:r>
      <w:r w:rsidRPr="00490B2A">
        <w:rPr>
          <w:noProof/>
          <w:color w:val="000000" w:themeColor="text1"/>
          <w:sz w:val="20"/>
          <w:szCs w:val="28"/>
        </w:rPr>
        <w:t>Routray,</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(2012b).</w:t>
      </w:r>
      <w:r w:rsidR="00700A18" w:rsidRPr="00490B2A">
        <w:rPr>
          <w:noProof/>
          <w:color w:val="000000" w:themeColor="text1"/>
          <w:sz w:val="20"/>
          <w:szCs w:val="28"/>
        </w:rPr>
        <w:t xml:space="preserve"> </w:t>
      </w:r>
      <w:r w:rsidRPr="00490B2A">
        <w:rPr>
          <w:noProof/>
          <w:color w:val="000000" w:themeColor="text1"/>
          <w:sz w:val="20"/>
          <w:szCs w:val="28"/>
        </w:rPr>
        <w:t>Earthquake</w:t>
      </w:r>
      <w:r w:rsidR="00700A18" w:rsidRPr="00490B2A">
        <w:rPr>
          <w:noProof/>
          <w:color w:val="000000" w:themeColor="text1"/>
          <w:sz w:val="20"/>
          <w:szCs w:val="28"/>
        </w:rPr>
        <w:t xml:space="preserve"> </w:t>
      </w:r>
      <w:r w:rsidRPr="00490B2A">
        <w:rPr>
          <w:noProof/>
          <w:color w:val="000000" w:themeColor="text1"/>
          <w:sz w:val="20"/>
          <w:szCs w:val="28"/>
        </w:rPr>
        <w:t>hazards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Baluchistan.</w:t>
      </w:r>
      <w:r w:rsidR="00700A18" w:rsidRPr="00490B2A">
        <w:rPr>
          <w:noProof/>
          <w:color w:val="000000" w:themeColor="text1"/>
          <w:sz w:val="20"/>
          <w:szCs w:val="28"/>
        </w:rPr>
        <w:t xml:space="preserve"> </w:t>
      </w:r>
      <w:r w:rsidRPr="00490B2A">
        <w:rPr>
          <w:i/>
          <w:iCs/>
          <w:noProof/>
          <w:color w:val="000000" w:themeColor="text1"/>
          <w:sz w:val="20"/>
          <w:szCs w:val="28"/>
        </w:rPr>
        <w:t>Natural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63</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909–937.</w:t>
      </w:r>
      <w:r w:rsidR="00700A18" w:rsidRPr="00490B2A">
        <w:rPr>
          <w:noProof/>
          <w:color w:val="000000" w:themeColor="text1"/>
          <w:sz w:val="20"/>
          <w:szCs w:val="28"/>
        </w:rPr>
        <w:t xml:space="preserve"> </w:t>
      </w:r>
      <w:r w:rsidRPr="00490B2A">
        <w:rPr>
          <w:noProof/>
          <w:color w:val="000000" w:themeColor="text1"/>
          <w:sz w:val="20"/>
          <w:szCs w:val="28"/>
        </w:rPr>
        <w:t>https://doi.org/10.1007/s11069-012-0201-x</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Ainuddin,</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&amp; </w:t>
      </w:r>
      <w:r w:rsidRPr="00490B2A">
        <w:rPr>
          <w:noProof/>
          <w:color w:val="000000" w:themeColor="text1"/>
          <w:sz w:val="20"/>
          <w:szCs w:val="28"/>
        </w:rPr>
        <w:t>Routray,</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(2012c).</w:t>
      </w:r>
      <w:r w:rsidR="00700A18" w:rsidRPr="00490B2A">
        <w:rPr>
          <w:noProof/>
          <w:color w:val="000000" w:themeColor="text1"/>
          <w:sz w:val="20"/>
          <w:szCs w:val="28"/>
        </w:rPr>
        <w:t xml:space="preserve"> </w:t>
      </w:r>
      <w:r w:rsidRPr="00490B2A">
        <w:rPr>
          <w:noProof/>
          <w:color w:val="000000" w:themeColor="text1"/>
          <w:sz w:val="20"/>
          <w:szCs w:val="28"/>
        </w:rPr>
        <w:t>Institutional</w:t>
      </w:r>
      <w:r w:rsidR="00700A18" w:rsidRPr="00490B2A">
        <w:rPr>
          <w:noProof/>
          <w:color w:val="000000" w:themeColor="text1"/>
          <w:sz w:val="20"/>
          <w:szCs w:val="28"/>
        </w:rPr>
        <w:t xml:space="preserve"> </w:t>
      </w:r>
      <w:r w:rsidRPr="00490B2A">
        <w:rPr>
          <w:noProof/>
          <w:color w:val="000000" w:themeColor="text1"/>
          <w:sz w:val="20"/>
          <w:szCs w:val="28"/>
        </w:rPr>
        <w:t>framework,</w:t>
      </w:r>
      <w:r w:rsidR="00700A18" w:rsidRPr="00490B2A">
        <w:rPr>
          <w:noProof/>
          <w:color w:val="000000" w:themeColor="text1"/>
          <w:sz w:val="20"/>
          <w:szCs w:val="28"/>
        </w:rPr>
        <w:t xml:space="preserve"> </w:t>
      </w:r>
      <w:r w:rsidRPr="00490B2A">
        <w:rPr>
          <w:noProof/>
          <w:color w:val="000000" w:themeColor="text1"/>
          <w:sz w:val="20"/>
          <w:szCs w:val="28"/>
        </w:rPr>
        <w:t>key</w:t>
      </w:r>
      <w:r w:rsidR="00700A18" w:rsidRPr="00490B2A">
        <w:rPr>
          <w:noProof/>
          <w:color w:val="000000" w:themeColor="text1"/>
          <w:sz w:val="20"/>
          <w:szCs w:val="28"/>
        </w:rPr>
        <w:t xml:space="preserve"> </w:t>
      </w:r>
      <w:r w:rsidRPr="00490B2A">
        <w:rPr>
          <w:noProof/>
          <w:color w:val="000000" w:themeColor="text1"/>
          <w:sz w:val="20"/>
          <w:szCs w:val="28"/>
        </w:rPr>
        <w:t>stakeholders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preparedness</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earthquake</w:t>
      </w:r>
      <w:r w:rsidR="00700A18" w:rsidRPr="00490B2A">
        <w:rPr>
          <w:noProof/>
          <w:color w:val="000000" w:themeColor="text1"/>
          <w:sz w:val="20"/>
          <w:szCs w:val="28"/>
        </w:rPr>
        <w:t xml:space="preserve"> </w:t>
      </w:r>
      <w:r w:rsidRPr="00490B2A">
        <w:rPr>
          <w:noProof/>
          <w:color w:val="000000" w:themeColor="text1"/>
          <w:sz w:val="20"/>
          <w:szCs w:val="28"/>
        </w:rPr>
        <w:t>induced</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management</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Balochistan.</w:t>
      </w:r>
      <w:r w:rsidR="00700A18" w:rsidRPr="00490B2A">
        <w:rPr>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Prevention</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Management:</w:t>
      </w:r>
      <w:r w:rsidR="00700A18" w:rsidRPr="00490B2A">
        <w:rPr>
          <w:i/>
          <w:iCs/>
          <w:noProof/>
          <w:color w:val="000000" w:themeColor="text1"/>
          <w:sz w:val="20"/>
          <w:szCs w:val="28"/>
        </w:rPr>
        <w:t xml:space="preserve"> </w:t>
      </w:r>
      <w:r w:rsidRPr="00490B2A">
        <w:rPr>
          <w:i/>
          <w:iCs/>
          <w:noProof/>
          <w:color w:val="000000" w:themeColor="text1"/>
          <w:sz w:val="20"/>
          <w:szCs w:val="28"/>
        </w:rPr>
        <w:t>An</w:t>
      </w:r>
      <w:r w:rsidR="00700A18" w:rsidRPr="00490B2A">
        <w:rPr>
          <w:i/>
          <w:iCs/>
          <w:noProof/>
          <w:color w:val="000000" w:themeColor="text1"/>
          <w:sz w:val="20"/>
          <w:szCs w:val="28"/>
        </w:rPr>
        <w:t xml:space="preserve"> </w:t>
      </w:r>
      <w:r w:rsidRPr="00490B2A">
        <w:rPr>
          <w:i/>
          <w:iCs/>
          <w:noProof/>
          <w:color w:val="000000" w:themeColor="text1"/>
          <w:sz w:val="20"/>
          <w:szCs w:val="28"/>
        </w:rPr>
        <w:t>International</w:t>
      </w:r>
      <w:r w:rsidR="00700A18" w:rsidRPr="00490B2A">
        <w:rPr>
          <w:i/>
          <w:iCs/>
          <w:noProof/>
          <w:color w:val="000000" w:themeColor="text1"/>
          <w:sz w:val="20"/>
          <w:szCs w:val="28"/>
        </w:rPr>
        <w:t xml:space="preserve"> </w:t>
      </w:r>
      <w:r w:rsidRPr="00490B2A">
        <w:rPr>
          <w:i/>
          <w:iCs/>
          <w:noProof/>
          <w:color w:val="000000" w:themeColor="text1"/>
          <w:sz w:val="20"/>
          <w:szCs w:val="28"/>
        </w:rPr>
        <w:t>Journal</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21</w:t>
      </w:r>
      <w:r w:rsidRPr="00490B2A">
        <w:rPr>
          <w:noProof/>
          <w:color w:val="000000" w:themeColor="text1"/>
          <w:sz w:val="20"/>
          <w:szCs w:val="28"/>
        </w:rPr>
        <w:t>(1),</w:t>
      </w:r>
      <w:r w:rsidR="00700A18" w:rsidRPr="00490B2A">
        <w:rPr>
          <w:noProof/>
          <w:color w:val="000000" w:themeColor="text1"/>
          <w:sz w:val="20"/>
          <w:szCs w:val="28"/>
        </w:rPr>
        <w:t xml:space="preserve"> </w:t>
      </w:r>
      <w:r w:rsidRPr="00490B2A">
        <w:rPr>
          <w:noProof/>
          <w:color w:val="000000" w:themeColor="text1"/>
          <w:sz w:val="20"/>
          <w:szCs w:val="28"/>
        </w:rPr>
        <w:t>22–36.</w:t>
      </w:r>
      <w:r w:rsidR="00700A18" w:rsidRPr="00490B2A">
        <w:rPr>
          <w:noProof/>
          <w:color w:val="000000" w:themeColor="text1"/>
          <w:sz w:val="20"/>
          <w:szCs w:val="28"/>
        </w:rPr>
        <w:t xml:space="preserve"> </w:t>
      </w:r>
      <w:r w:rsidRPr="00490B2A">
        <w:rPr>
          <w:noProof/>
          <w:color w:val="000000" w:themeColor="text1"/>
          <w:sz w:val="20"/>
          <w:szCs w:val="28"/>
        </w:rPr>
        <w:t>https://doi.org/10.1108/09653561211202683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Aitsi-Selmi,</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Egawa,</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Sasaki,</w:t>
      </w:r>
      <w:r w:rsidR="00700A18" w:rsidRPr="00490B2A">
        <w:rPr>
          <w:noProof/>
          <w:color w:val="000000" w:themeColor="text1"/>
          <w:sz w:val="20"/>
          <w:szCs w:val="28"/>
        </w:rPr>
        <w:t xml:space="preserve"> </w:t>
      </w:r>
      <w:r w:rsidRPr="00490B2A">
        <w:rPr>
          <w:noProof/>
          <w:color w:val="000000" w:themeColor="text1"/>
          <w:sz w:val="20"/>
          <w:szCs w:val="28"/>
        </w:rPr>
        <w:t>H.,</w:t>
      </w:r>
      <w:r w:rsidR="00700A18" w:rsidRPr="00490B2A">
        <w:rPr>
          <w:noProof/>
          <w:color w:val="000000" w:themeColor="text1"/>
          <w:sz w:val="20"/>
          <w:szCs w:val="28"/>
        </w:rPr>
        <w:t xml:space="preserve"> </w:t>
      </w:r>
      <w:r w:rsidRPr="00490B2A">
        <w:rPr>
          <w:noProof/>
          <w:color w:val="000000" w:themeColor="text1"/>
          <w:sz w:val="20"/>
          <w:szCs w:val="28"/>
        </w:rPr>
        <w:t>Wannous,</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&amp; </w:t>
      </w:r>
      <w:r w:rsidRPr="00490B2A">
        <w:rPr>
          <w:noProof/>
          <w:color w:val="000000" w:themeColor="text1"/>
          <w:sz w:val="20"/>
          <w:szCs w:val="28"/>
        </w:rPr>
        <w:t>Murray,</w:t>
      </w:r>
      <w:r w:rsidR="00700A18" w:rsidRPr="00490B2A">
        <w:rPr>
          <w:noProof/>
          <w:color w:val="000000" w:themeColor="text1"/>
          <w:sz w:val="20"/>
          <w:szCs w:val="28"/>
        </w:rPr>
        <w:t xml:space="preserve"> </w:t>
      </w:r>
      <w:r w:rsidRPr="00490B2A">
        <w:rPr>
          <w:noProof/>
          <w:color w:val="000000" w:themeColor="text1"/>
          <w:sz w:val="20"/>
          <w:szCs w:val="28"/>
        </w:rPr>
        <w:t>V.</w:t>
      </w:r>
      <w:r w:rsidR="00700A18" w:rsidRPr="00490B2A">
        <w:rPr>
          <w:noProof/>
          <w:color w:val="000000" w:themeColor="text1"/>
          <w:sz w:val="20"/>
          <w:szCs w:val="28"/>
        </w:rPr>
        <w:t xml:space="preserve"> </w:t>
      </w:r>
      <w:r w:rsidRPr="00490B2A">
        <w:rPr>
          <w:noProof/>
          <w:color w:val="000000" w:themeColor="text1"/>
          <w:sz w:val="20"/>
          <w:szCs w:val="28"/>
        </w:rPr>
        <w:t>(2015).</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Sendai</w:t>
      </w:r>
      <w:r w:rsidR="00700A18" w:rsidRPr="00490B2A">
        <w:rPr>
          <w:noProof/>
          <w:color w:val="000000" w:themeColor="text1"/>
          <w:sz w:val="20"/>
          <w:szCs w:val="28"/>
        </w:rPr>
        <w:t xml:space="preserve"> </w:t>
      </w:r>
      <w:r w:rsidRPr="00490B2A">
        <w:rPr>
          <w:noProof/>
          <w:color w:val="000000" w:themeColor="text1"/>
          <w:sz w:val="20"/>
          <w:szCs w:val="28"/>
        </w:rPr>
        <w:t>Framework</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Reduction:</w:t>
      </w:r>
      <w:r w:rsidR="00700A18" w:rsidRPr="00490B2A">
        <w:rPr>
          <w:noProof/>
          <w:color w:val="000000" w:themeColor="text1"/>
          <w:sz w:val="20"/>
          <w:szCs w:val="28"/>
        </w:rPr>
        <w:t xml:space="preserve"> </w:t>
      </w:r>
      <w:r w:rsidRPr="00490B2A">
        <w:rPr>
          <w:noProof/>
          <w:color w:val="000000" w:themeColor="text1"/>
          <w:sz w:val="20"/>
          <w:szCs w:val="28"/>
        </w:rPr>
        <w:t>Renewing</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Global</w:t>
      </w:r>
      <w:r w:rsidR="00700A18" w:rsidRPr="00490B2A">
        <w:rPr>
          <w:noProof/>
          <w:color w:val="000000" w:themeColor="text1"/>
          <w:sz w:val="20"/>
          <w:szCs w:val="28"/>
        </w:rPr>
        <w:t xml:space="preserve"> </w:t>
      </w:r>
      <w:r w:rsidRPr="00490B2A">
        <w:rPr>
          <w:noProof/>
          <w:color w:val="000000" w:themeColor="text1"/>
          <w:sz w:val="20"/>
          <w:szCs w:val="28"/>
        </w:rPr>
        <w:t>Commitment</w:t>
      </w:r>
      <w:r w:rsidR="00700A18" w:rsidRPr="00490B2A">
        <w:rPr>
          <w:noProof/>
          <w:color w:val="000000" w:themeColor="text1"/>
          <w:sz w:val="20"/>
          <w:szCs w:val="28"/>
        </w:rPr>
        <w:t xml:space="preserve"> </w:t>
      </w:r>
      <w:r w:rsidRPr="00490B2A">
        <w:rPr>
          <w:noProof/>
          <w:color w:val="000000" w:themeColor="text1"/>
          <w:sz w:val="20"/>
          <w:szCs w:val="28"/>
        </w:rPr>
        <w:t>to</w:t>
      </w:r>
      <w:r w:rsidR="00700A18" w:rsidRPr="00490B2A">
        <w:rPr>
          <w:noProof/>
          <w:color w:val="000000" w:themeColor="text1"/>
          <w:sz w:val="20"/>
          <w:szCs w:val="28"/>
        </w:rPr>
        <w:t xml:space="preserve"> </w:t>
      </w:r>
      <w:r w:rsidRPr="00490B2A">
        <w:rPr>
          <w:noProof/>
          <w:color w:val="000000" w:themeColor="text1"/>
          <w:sz w:val="20"/>
          <w:szCs w:val="28"/>
        </w:rPr>
        <w:t>People’s</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Health,</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Well-being.</w:t>
      </w:r>
      <w:r w:rsidR="00700A18" w:rsidRPr="00490B2A">
        <w:rPr>
          <w:noProof/>
          <w:color w:val="000000" w:themeColor="text1"/>
          <w:sz w:val="20"/>
          <w:szCs w:val="28"/>
        </w:rPr>
        <w:t xml:space="preserve"> </w:t>
      </w:r>
      <w:r w:rsidRPr="00490B2A">
        <w:rPr>
          <w:i/>
          <w:iCs/>
          <w:noProof/>
          <w:color w:val="000000" w:themeColor="text1"/>
          <w:sz w:val="20"/>
          <w:szCs w:val="28"/>
        </w:rPr>
        <w:t>International</w:t>
      </w:r>
      <w:r w:rsidR="00700A18" w:rsidRPr="00490B2A">
        <w:rPr>
          <w:i/>
          <w:iCs/>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Risk</w:t>
      </w:r>
      <w:r w:rsidR="00700A18" w:rsidRPr="00490B2A">
        <w:rPr>
          <w:i/>
          <w:iCs/>
          <w:noProof/>
          <w:color w:val="000000" w:themeColor="text1"/>
          <w:sz w:val="20"/>
          <w:szCs w:val="28"/>
        </w:rPr>
        <w:t xml:space="preserve"> </w:t>
      </w:r>
      <w:r w:rsidRPr="00490B2A">
        <w:rPr>
          <w:i/>
          <w:iCs/>
          <w:noProof/>
          <w:color w:val="000000" w:themeColor="text1"/>
          <w:sz w:val="20"/>
          <w:szCs w:val="28"/>
        </w:rPr>
        <w:t>Science</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6</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164–176.</w:t>
      </w:r>
      <w:r w:rsidR="00700A18" w:rsidRPr="00490B2A">
        <w:rPr>
          <w:noProof/>
          <w:color w:val="000000" w:themeColor="text1"/>
          <w:sz w:val="20"/>
          <w:szCs w:val="28"/>
        </w:rPr>
        <w:t xml:space="preserve"> </w:t>
      </w:r>
      <w:r w:rsidRPr="00490B2A">
        <w:rPr>
          <w:noProof/>
          <w:color w:val="000000" w:themeColor="text1"/>
          <w:sz w:val="20"/>
          <w:szCs w:val="28"/>
        </w:rPr>
        <w:t>https://doi.org/10.1007/s13753-015-0050-9</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Birkmann,</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(2006).</w:t>
      </w:r>
      <w:r w:rsidR="00700A18" w:rsidRPr="00490B2A">
        <w:rPr>
          <w:noProof/>
          <w:color w:val="000000" w:themeColor="text1"/>
          <w:sz w:val="20"/>
          <w:szCs w:val="28"/>
        </w:rPr>
        <w:t xml:space="preserve"> </w:t>
      </w:r>
      <w:r w:rsidRPr="00490B2A">
        <w:rPr>
          <w:noProof/>
          <w:color w:val="000000" w:themeColor="text1"/>
          <w:sz w:val="20"/>
          <w:szCs w:val="28"/>
        </w:rPr>
        <w:t>Indicators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criteria</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measuring</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Theoretical</w:t>
      </w:r>
      <w:r w:rsidR="00700A18" w:rsidRPr="00490B2A">
        <w:rPr>
          <w:noProof/>
          <w:color w:val="000000" w:themeColor="text1"/>
          <w:sz w:val="20"/>
          <w:szCs w:val="28"/>
        </w:rPr>
        <w:t xml:space="preserve"> </w:t>
      </w:r>
      <w:r w:rsidRPr="00490B2A">
        <w:rPr>
          <w:noProof/>
          <w:color w:val="000000" w:themeColor="text1"/>
          <w:sz w:val="20"/>
          <w:szCs w:val="28"/>
        </w:rPr>
        <w:t>bases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requirements.</w:t>
      </w:r>
      <w:r w:rsidR="00700A18" w:rsidRPr="00490B2A">
        <w:rPr>
          <w:noProof/>
          <w:color w:val="000000" w:themeColor="text1"/>
          <w:sz w:val="20"/>
          <w:szCs w:val="28"/>
        </w:rPr>
        <w:t xml:space="preserve"> </w:t>
      </w:r>
      <w:r w:rsidRPr="00490B2A">
        <w:rPr>
          <w:i/>
          <w:iCs/>
          <w:noProof/>
          <w:color w:val="000000" w:themeColor="text1"/>
          <w:sz w:val="20"/>
          <w:szCs w:val="28"/>
        </w:rPr>
        <w:t>Measuring</w:t>
      </w:r>
      <w:r w:rsidR="00700A18" w:rsidRPr="00490B2A">
        <w:rPr>
          <w:i/>
          <w:iCs/>
          <w:noProof/>
          <w:color w:val="000000" w:themeColor="text1"/>
          <w:sz w:val="20"/>
          <w:szCs w:val="28"/>
        </w:rPr>
        <w:t xml:space="preserve"> </w:t>
      </w:r>
      <w:r w:rsidRPr="00490B2A">
        <w:rPr>
          <w:i/>
          <w:iCs/>
          <w:noProof/>
          <w:color w:val="000000" w:themeColor="text1"/>
          <w:sz w:val="20"/>
          <w:szCs w:val="28"/>
        </w:rPr>
        <w:t>Vulnerability</w:t>
      </w:r>
      <w:r w:rsidR="00700A18" w:rsidRPr="00490B2A">
        <w:rPr>
          <w:i/>
          <w:iCs/>
          <w:noProof/>
          <w:color w:val="000000" w:themeColor="text1"/>
          <w:sz w:val="20"/>
          <w:szCs w:val="28"/>
        </w:rPr>
        <w:t xml:space="preserve"> </w:t>
      </w:r>
      <w:r w:rsidRPr="00490B2A">
        <w:rPr>
          <w:i/>
          <w:iCs/>
          <w:noProof/>
          <w:color w:val="000000" w:themeColor="text1"/>
          <w:sz w:val="20"/>
          <w:szCs w:val="28"/>
        </w:rPr>
        <w:t>to</w:t>
      </w:r>
      <w:r w:rsidR="00700A18" w:rsidRPr="00490B2A">
        <w:rPr>
          <w:i/>
          <w:iCs/>
          <w:noProof/>
          <w:color w:val="000000" w:themeColor="text1"/>
          <w:sz w:val="20"/>
          <w:szCs w:val="28"/>
        </w:rPr>
        <w:t xml:space="preserve"> </w:t>
      </w:r>
      <w:r w:rsidRPr="00490B2A">
        <w:rPr>
          <w:i/>
          <w:iCs/>
          <w:noProof/>
          <w:color w:val="000000" w:themeColor="text1"/>
          <w:sz w:val="20"/>
          <w:szCs w:val="28"/>
        </w:rPr>
        <w:t>Natural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00700A18" w:rsidRPr="00490B2A">
        <w:rPr>
          <w:i/>
          <w:iCs/>
          <w:noProof/>
          <w:color w:val="000000" w:themeColor="text1"/>
          <w:sz w:val="20"/>
          <w:szCs w:val="28"/>
        </w:rPr>
        <w:t xml:space="preserve"> </w:t>
      </w:r>
      <w:r w:rsidRPr="00490B2A">
        <w:rPr>
          <w:i/>
          <w:iCs/>
          <w:noProof/>
          <w:color w:val="000000" w:themeColor="text1"/>
          <w:sz w:val="20"/>
          <w:szCs w:val="28"/>
        </w:rPr>
        <w:t>Towards</w:t>
      </w:r>
      <w:r w:rsidR="00700A18" w:rsidRPr="00490B2A">
        <w:rPr>
          <w:i/>
          <w:iCs/>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Resilient</w:t>
      </w:r>
      <w:r w:rsidR="00700A18" w:rsidRPr="00490B2A">
        <w:rPr>
          <w:i/>
          <w:iCs/>
          <w:noProof/>
          <w:color w:val="000000" w:themeColor="text1"/>
          <w:sz w:val="20"/>
          <w:szCs w:val="28"/>
        </w:rPr>
        <w:t xml:space="preserve"> </w:t>
      </w:r>
      <w:r w:rsidRPr="00490B2A">
        <w:rPr>
          <w:i/>
          <w:iCs/>
          <w:noProof/>
          <w:color w:val="000000" w:themeColor="text1"/>
          <w:sz w:val="20"/>
          <w:szCs w:val="28"/>
        </w:rPr>
        <w:t>Societies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02</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55–77.</w:t>
      </w:r>
      <w:r w:rsidR="00700A18" w:rsidRPr="00490B2A">
        <w:rPr>
          <w:noProof/>
          <w:color w:val="000000" w:themeColor="text1"/>
          <w:sz w:val="20"/>
          <w:szCs w:val="28"/>
        </w:rPr>
        <w:t xml:space="preserve"> </w:t>
      </w:r>
      <w:r w:rsidRPr="00490B2A">
        <w:rPr>
          <w:noProof/>
          <w:color w:val="000000" w:themeColor="text1"/>
          <w:sz w:val="20"/>
          <w:szCs w:val="28"/>
        </w:rPr>
        <w:t>https://doi.org/10.1111/j.1467-7660.2007.00441_5.x</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Birkmann,</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&amp; </w:t>
      </w:r>
      <w:r w:rsidRPr="00490B2A">
        <w:rPr>
          <w:noProof/>
          <w:color w:val="000000" w:themeColor="text1"/>
          <w:sz w:val="20"/>
          <w:szCs w:val="28"/>
        </w:rPr>
        <w:t>Wisner,</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(2006).</w:t>
      </w:r>
      <w:r w:rsidR="00700A18" w:rsidRPr="00490B2A">
        <w:rPr>
          <w:noProof/>
          <w:color w:val="000000" w:themeColor="text1"/>
          <w:sz w:val="20"/>
          <w:szCs w:val="28"/>
        </w:rPr>
        <w:t xml:space="preserve"> </w:t>
      </w:r>
      <w:r w:rsidRPr="00490B2A">
        <w:rPr>
          <w:i/>
          <w:iCs/>
          <w:noProof/>
          <w:color w:val="000000" w:themeColor="text1"/>
          <w:sz w:val="20"/>
          <w:szCs w:val="28"/>
        </w:rPr>
        <w:t>Measuring</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Un-Measurable.</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Challenge</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Vulnerability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UNU-EHS</w:t>
      </w:r>
      <w:r w:rsidR="00700A18" w:rsidRPr="00490B2A">
        <w:rPr>
          <w:noProof/>
          <w:color w:val="000000" w:themeColor="text1"/>
          <w:sz w:val="20"/>
          <w:szCs w:val="28"/>
        </w:rPr>
        <w:t xml:space="preserve"> </w:t>
      </w:r>
      <w:r w:rsidRPr="00490B2A">
        <w:rPr>
          <w:noProof/>
          <w:color w:val="000000" w:themeColor="text1"/>
          <w:sz w:val="20"/>
          <w:szCs w:val="28"/>
        </w:rPr>
        <w:t>(Vol.</w:t>
      </w:r>
      <w:r w:rsidR="00700A18" w:rsidRPr="00490B2A">
        <w:rPr>
          <w:noProof/>
          <w:color w:val="000000" w:themeColor="text1"/>
          <w:sz w:val="20"/>
          <w:szCs w:val="28"/>
        </w:rPr>
        <w:t xml:space="preserve"> </w:t>
      </w:r>
      <w:r w:rsidRPr="00490B2A">
        <w:rPr>
          <w:noProof/>
          <w:color w:val="000000" w:themeColor="text1"/>
          <w:sz w:val="20"/>
          <w:szCs w:val="28"/>
        </w:rPr>
        <w:t>5).</w:t>
      </w:r>
      <w:r w:rsidR="00700A18" w:rsidRPr="00490B2A">
        <w:rPr>
          <w:noProof/>
          <w:color w:val="000000" w:themeColor="text1"/>
          <w:sz w:val="20"/>
          <w:szCs w:val="28"/>
        </w:rPr>
        <w:t xml:space="preserve"> </w:t>
      </w:r>
      <w:r w:rsidRPr="00490B2A">
        <w:rPr>
          <w:noProof/>
          <w:color w:val="000000" w:themeColor="text1"/>
          <w:sz w:val="20"/>
          <w:szCs w:val="28"/>
        </w:rPr>
        <w:lastRenderedPageBreak/>
        <w:t>https://doi.org/10.1002/pfi.2006.4930450504</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Cannon,</w:t>
      </w:r>
      <w:r w:rsidR="00700A18" w:rsidRPr="00490B2A">
        <w:rPr>
          <w:noProof/>
          <w:color w:val="000000" w:themeColor="text1"/>
          <w:sz w:val="20"/>
          <w:szCs w:val="28"/>
        </w:rPr>
        <w:t xml:space="preserve"> </w:t>
      </w:r>
      <w:r w:rsidRPr="00490B2A">
        <w:rPr>
          <w:noProof/>
          <w:color w:val="000000" w:themeColor="text1"/>
          <w:sz w:val="20"/>
          <w:szCs w:val="28"/>
        </w:rPr>
        <w:t>T.</w:t>
      </w:r>
      <w:r w:rsidR="00700A18" w:rsidRPr="00490B2A">
        <w:rPr>
          <w:noProof/>
          <w:color w:val="000000" w:themeColor="text1"/>
          <w:sz w:val="20"/>
          <w:szCs w:val="28"/>
        </w:rPr>
        <w:t xml:space="preserve"> </w:t>
      </w:r>
      <w:r w:rsidRPr="00490B2A">
        <w:rPr>
          <w:noProof/>
          <w:color w:val="000000" w:themeColor="text1"/>
          <w:sz w:val="20"/>
          <w:szCs w:val="28"/>
        </w:rPr>
        <w:t>(1994).</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Analysis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Explanation</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“Natural”</w:t>
      </w:r>
      <w:r w:rsidR="00700A18" w:rsidRPr="00490B2A">
        <w:rPr>
          <w:noProof/>
          <w:color w:val="000000" w:themeColor="text1"/>
          <w:sz w:val="20"/>
          <w:szCs w:val="28"/>
        </w:rPr>
        <w:t xml:space="preserve"> </w:t>
      </w:r>
      <w:r w:rsidRPr="00490B2A">
        <w:rPr>
          <w:noProof/>
          <w:color w:val="000000" w:themeColor="text1"/>
          <w:sz w:val="20"/>
          <w:szCs w:val="28"/>
        </w:rPr>
        <w:t>Disasters.</w:t>
      </w:r>
      <w:r w:rsidR="00700A18" w:rsidRPr="00490B2A">
        <w:rPr>
          <w:noProof/>
          <w:color w:val="000000" w:themeColor="text1"/>
          <w:sz w:val="20"/>
          <w:szCs w:val="28"/>
        </w:rPr>
        <w:t xml:space="preserve"> </w:t>
      </w:r>
      <w:r w:rsidRPr="00490B2A">
        <w:rPr>
          <w:i/>
          <w:iCs/>
          <w:noProof/>
          <w:color w:val="000000" w:themeColor="text1"/>
          <w:sz w:val="20"/>
          <w:szCs w:val="28"/>
        </w:rPr>
        <w:t>Disasters,</w:t>
      </w:r>
      <w:r w:rsidR="00700A18" w:rsidRPr="00490B2A">
        <w:rPr>
          <w:i/>
          <w:iCs/>
          <w:noProof/>
          <w:color w:val="000000" w:themeColor="text1"/>
          <w:sz w:val="20"/>
          <w:szCs w:val="28"/>
        </w:rPr>
        <w:t xml:space="preserve"> </w:t>
      </w:r>
      <w:r w:rsidRPr="00490B2A">
        <w:rPr>
          <w:i/>
          <w:iCs/>
          <w:noProof/>
          <w:color w:val="000000" w:themeColor="text1"/>
          <w:sz w:val="20"/>
          <w:szCs w:val="28"/>
        </w:rPr>
        <w:t>Development</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Environment</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https://doi.org/10.1108/09653560810887275</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Barnes,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Berry,</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Burton,</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Evans,</w:t>
      </w:r>
      <w:r w:rsidR="00700A18" w:rsidRPr="00490B2A">
        <w:rPr>
          <w:noProof/>
          <w:color w:val="000000" w:themeColor="text1"/>
          <w:sz w:val="20"/>
          <w:szCs w:val="28"/>
        </w:rPr>
        <w:t xml:space="preserve"> </w:t>
      </w:r>
      <w:r w:rsidRPr="00490B2A">
        <w:rPr>
          <w:noProof/>
          <w:color w:val="000000" w:themeColor="text1"/>
          <w:sz w:val="20"/>
          <w:szCs w:val="28"/>
        </w:rPr>
        <w:t>E.,</w:t>
      </w:r>
      <w:r w:rsidR="00700A18" w:rsidRPr="00490B2A">
        <w:rPr>
          <w:noProof/>
          <w:color w:val="000000" w:themeColor="text1"/>
          <w:sz w:val="20"/>
          <w:szCs w:val="28"/>
        </w:rPr>
        <w:t xml:space="preserve"> </w:t>
      </w:r>
      <w:r w:rsidRPr="00490B2A">
        <w:rPr>
          <w:noProof/>
          <w:color w:val="000000" w:themeColor="text1"/>
          <w:sz w:val="20"/>
          <w:szCs w:val="28"/>
        </w:rPr>
        <w:t>Tate,</w:t>
      </w:r>
      <w:r w:rsidR="00700A18" w:rsidRPr="00490B2A">
        <w:rPr>
          <w:noProof/>
          <w:color w:val="000000" w:themeColor="text1"/>
          <w:sz w:val="20"/>
          <w:szCs w:val="28"/>
        </w:rPr>
        <w:t xml:space="preserve"> </w:t>
      </w:r>
      <w:r w:rsidRPr="00490B2A">
        <w:rPr>
          <w:noProof/>
          <w:color w:val="000000" w:themeColor="text1"/>
          <w:sz w:val="20"/>
          <w:szCs w:val="28"/>
        </w:rPr>
        <w:t>E.,</w:t>
      </w:r>
      <w:r w:rsidR="00700A18" w:rsidRPr="00490B2A">
        <w:rPr>
          <w:noProof/>
          <w:color w:val="000000" w:themeColor="text1"/>
          <w:sz w:val="20"/>
          <w:szCs w:val="28"/>
        </w:rPr>
        <w:t xml:space="preserve"> &amp; </w:t>
      </w:r>
      <w:r w:rsidRPr="00490B2A">
        <w:rPr>
          <w:noProof/>
          <w:color w:val="000000" w:themeColor="text1"/>
          <w:sz w:val="20"/>
          <w:szCs w:val="28"/>
        </w:rPr>
        <w:t>Webb,</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(2008).</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place-based</w:t>
      </w:r>
      <w:r w:rsidR="00700A18" w:rsidRPr="00490B2A">
        <w:rPr>
          <w:noProof/>
          <w:color w:val="000000" w:themeColor="text1"/>
          <w:sz w:val="20"/>
          <w:szCs w:val="28"/>
        </w:rPr>
        <w:t xml:space="preserve"> </w:t>
      </w:r>
      <w:r w:rsidRPr="00490B2A">
        <w:rPr>
          <w:noProof/>
          <w:color w:val="000000" w:themeColor="text1"/>
          <w:sz w:val="20"/>
          <w:szCs w:val="28"/>
        </w:rPr>
        <w:t>model</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understanding</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to</w:t>
      </w:r>
      <w:r w:rsidR="00700A18" w:rsidRPr="00490B2A">
        <w:rPr>
          <w:noProof/>
          <w:color w:val="000000" w:themeColor="text1"/>
          <w:sz w:val="20"/>
          <w:szCs w:val="28"/>
        </w:rPr>
        <w:t xml:space="preserve"> </w:t>
      </w:r>
      <w:r w:rsidRPr="00490B2A">
        <w:rPr>
          <w:noProof/>
          <w:color w:val="000000" w:themeColor="text1"/>
          <w:sz w:val="20"/>
          <w:szCs w:val="28"/>
        </w:rPr>
        <w:t>natural</w:t>
      </w:r>
      <w:r w:rsidR="00700A18" w:rsidRPr="00490B2A">
        <w:rPr>
          <w:noProof/>
          <w:color w:val="000000" w:themeColor="text1"/>
          <w:sz w:val="20"/>
          <w:szCs w:val="28"/>
        </w:rPr>
        <w:t xml:space="preserve"> </w:t>
      </w:r>
      <w:r w:rsidRPr="00490B2A">
        <w:rPr>
          <w:noProof/>
          <w:color w:val="000000" w:themeColor="text1"/>
          <w:sz w:val="20"/>
          <w:szCs w:val="28"/>
        </w:rPr>
        <w:t>disasters.</w:t>
      </w:r>
      <w:r w:rsidR="00700A18" w:rsidRPr="00490B2A">
        <w:rPr>
          <w:noProof/>
          <w:color w:val="000000" w:themeColor="text1"/>
          <w:sz w:val="20"/>
          <w:szCs w:val="28"/>
        </w:rPr>
        <w:t xml:space="preserve"> </w:t>
      </w:r>
      <w:r w:rsidRPr="00490B2A">
        <w:rPr>
          <w:i/>
          <w:iCs/>
          <w:noProof/>
          <w:color w:val="000000" w:themeColor="text1"/>
          <w:sz w:val="20"/>
          <w:szCs w:val="28"/>
        </w:rPr>
        <w:t>Global</w:t>
      </w:r>
      <w:r w:rsidR="00700A18" w:rsidRPr="00490B2A">
        <w:rPr>
          <w:i/>
          <w:iCs/>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Change</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18</w:t>
      </w:r>
      <w:r w:rsidRPr="00490B2A">
        <w:rPr>
          <w:noProof/>
          <w:color w:val="000000" w:themeColor="text1"/>
          <w:sz w:val="20"/>
          <w:szCs w:val="28"/>
        </w:rPr>
        <w:t>(4),</w:t>
      </w:r>
      <w:r w:rsidR="00700A18" w:rsidRPr="00490B2A">
        <w:rPr>
          <w:noProof/>
          <w:color w:val="000000" w:themeColor="text1"/>
          <w:sz w:val="20"/>
          <w:szCs w:val="28"/>
        </w:rPr>
        <w:t xml:space="preserve"> </w:t>
      </w:r>
      <w:r w:rsidRPr="00490B2A">
        <w:rPr>
          <w:noProof/>
          <w:color w:val="000000" w:themeColor="text1"/>
          <w:sz w:val="20"/>
          <w:szCs w:val="28"/>
        </w:rPr>
        <w:t>598–606.</w:t>
      </w:r>
      <w:r w:rsidR="00700A18" w:rsidRPr="00490B2A">
        <w:rPr>
          <w:noProof/>
          <w:color w:val="000000" w:themeColor="text1"/>
          <w:sz w:val="20"/>
          <w:szCs w:val="28"/>
        </w:rPr>
        <w:t xml:space="preserve"> </w:t>
      </w:r>
      <w:r w:rsidRPr="00490B2A">
        <w:rPr>
          <w:noProof/>
          <w:color w:val="000000" w:themeColor="text1"/>
          <w:sz w:val="20"/>
          <w:szCs w:val="28"/>
        </w:rPr>
        <w:t>https://doi.org/10.1016/j.gloenvcha.2008.07.013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Boruff,</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&amp; </w:t>
      </w:r>
      <w:r w:rsidRPr="00490B2A">
        <w:rPr>
          <w:noProof/>
          <w:color w:val="000000" w:themeColor="text1"/>
          <w:sz w:val="20"/>
          <w:szCs w:val="28"/>
        </w:rPr>
        <w:t>Shirley,</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(2003).</w:t>
      </w:r>
      <w:r w:rsidR="00700A18" w:rsidRPr="00490B2A">
        <w:rPr>
          <w:noProof/>
          <w:color w:val="000000" w:themeColor="text1"/>
          <w:sz w:val="20"/>
          <w:szCs w:val="28"/>
        </w:rPr>
        <w:t xml:space="preserve"> </w:t>
      </w:r>
      <w:r w:rsidRPr="00490B2A">
        <w:rPr>
          <w:noProof/>
          <w:color w:val="000000" w:themeColor="text1"/>
          <w:sz w:val="20"/>
          <w:szCs w:val="28"/>
        </w:rPr>
        <w:t>Social</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to</w:t>
      </w:r>
      <w:r w:rsidR="00700A18" w:rsidRPr="00490B2A">
        <w:rPr>
          <w:noProof/>
          <w:color w:val="000000" w:themeColor="text1"/>
          <w:sz w:val="20"/>
          <w:szCs w:val="28"/>
        </w:rPr>
        <w:t xml:space="preserve"> </w:t>
      </w:r>
      <w:r w:rsidRPr="00490B2A">
        <w:rPr>
          <w:noProof/>
          <w:color w:val="000000" w:themeColor="text1"/>
          <w:sz w:val="20"/>
          <w:szCs w:val="28"/>
        </w:rPr>
        <w:t>environmental</w:t>
      </w:r>
      <w:r w:rsidR="00700A18" w:rsidRPr="00490B2A">
        <w:rPr>
          <w:noProof/>
          <w:color w:val="000000" w:themeColor="text1"/>
          <w:sz w:val="20"/>
          <w:szCs w:val="28"/>
        </w:rPr>
        <w:t xml:space="preserve"> </w:t>
      </w:r>
      <w:r w:rsidRPr="00490B2A">
        <w:rPr>
          <w:noProof/>
          <w:color w:val="000000" w:themeColor="text1"/>
          <w:sz w:val="20"/>
          <w:szCs w:val="28"/>
        </w:rPr>
        <w:t>hazards.</w:t>
      </w:r>
      <w:r w:rsidR="00700A18" w:rsidRPr="00490B2A">
        <w:rPr>
          <w:noProof/>
          <w:color w:val="000000" w:themeColor="text1"/>
          <w:sz w:val="20"/>
          <w:szCs w:val="28"/>
        </w:rPr>
        <w:t xml:space="preserve"> </w:t>
      </w:r>
      <w:r w:rsidRPr="00490B2A">
        <w:rPr>
          <w:i/>
          <w:iCs/>
          <w:noProof/>
          <w:color w:val="000000" w:themeColor="text1"/>
          <w:sz w:val="20"/>
          <w:szCs w:val="28"/>
        </w:rPr>
        <w:t>Social</w:t>
      </w:r>
      <w:r w:rsidR="00700A18" w:rsidRPr="00490B2A">
        <w:rPr>
          <w:i/>
          <w:iCs/>
          <w:noProof/>
          <w:color w:val="000000" w:themeColor="text1"/>
          <w:sz w:val="20"/>
          <w:szCs w:val="28"/>
        </w:rPr>
        <w:t xml:space="preserve"> </w:t>
      </w:r>
      <w:r w:rsidRPr="00490B2A">
        <w:rPr>
          <w:i/>
          <w:iCs/>
          <w:noProof/>
          <w:color w:val="000000" w:themeColor="text1"/>
          <w:sz w:val="20"/>
          <w:szCs w:val="28"/>
        </w:rPr>
        <w:t>Science</w:t>
      </w:r>
      <w:r w:rsidR="00700A18" w:rsidRPr="00490B2A">
        <w:rPr>
          <w:i/>
          <w:iCs/>
          <w:noProof/>
          <w:color w:val="000000" w:themeColor="text1"/>
          <w:sz w:val="20"/>
          <w:szCs w:val="28"/>
        </w:rPr>
        <w:t xml:space="preserve"> </w:t>
      </w:r>
      <w:r w:rsidRPr="00490B2A">
        <w:rPr>
          <w:i/>
          <w:iCs/>
          <w:noProof/>
          <w:color w:val="000000" w:themeColor="text1"/>
          <w:sz w:val="20"/>
          <w:szCs w:val="28"/>
        </w:rPr>
        <w:t>Quarterly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84</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242–261.</w:t>
      </w:r>
      <w:r w:rsidR="00700A18" w:rsidRPr="00490B2A">
        <w:rPr>
          <w:noProof/>
          <w:color w:val="000000" w:themeColor="text1"/>
          <w:sz w:val="20"/>
          <w:szCs w:val="28"/>
        </w:rPr>
        <w:t xml:space="preserve"> </w:t>
      </w:r>
      <w:r w:rsidRPr="00490B2A">
        <w:rPr>
          <w:noProof/>
          <w:color w:val="000000" w:themeColor="text1"/>
          <w:sz w:val="20"/>
          <w:szCs w:val="28"/>
        </w:rPr>
        <w:t>https://doi.org/10.1111/1540-6237.8402002</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Burton,</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G.,</w:t>
      </w:r>
      <w:r w:rsidR="00700A18" w:rsidRPr="00490B2A">
        <w:rPr>
          <w:noProof/>
          <w:color w:val="000000" w:themeColor="text1"/>
          <w:sz w:val="20"/>
          <w:szCs w:val="28"/>
        </w:rPr>
        <w:t xml:space="preserve"> &amp; </w:t>
      </w:r>
      <w:r w:rsidRPr="00490B2A">
        <w:rPr>
          <w:noProof/>
          <w:color w:val="000000" w:themeColor="text1"/>
          <w:sz w:val="20"/>
          <w:szCs w:val="28"/>
        </w:rPr>
        <w:t>Emrich,</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T.</w:t>
      </w:r>
      <w:r w:rsidR="00700A18" w:rsidRPr="00490B2A">
        <w:rPr>
          <w:noProof/>
          <w:color w:val="000000" w:themeColor="text1"/>
          <w:sz w:val="20"/>
          <w:szCs w:val="28"/>
        </w:rPr>
        <w:t xml:space="preserve"> </w:t>
      </w:r>
      <w:r w:rsidRPr="00490B2A">
        <w:rPr>
          <w:noProof/>
          <w:color w:val="000000" w:themeColor="text1"/>
          <w:sz w:val="20"/>
          <w:szCs w:val="28"/>
        </w:rPr>
        <w:t>(2010).</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Indicators</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Benchmarking</w:t>
      </w:r>
      <w:r w:rsidR="00700A18" w:rsidRPr="00490B2A">
        <w:rPr>
          <w:noProof/>
          <w:color w:val="000000" w:themeColor="text1"/>
          <w:sz w:val="20"/>
          <w:szCs w:val="28"/>
        </w:rPr>
        <w:t xml:space="preserve"> </w:t>
      </w:r>
      <w:r w:rsidRPr="00490B2A">
        <w:rPr>
          <w:noProof/>
          <w:color w:val="000000" w:themeColor="text1"/>
          <w:sz w:val="20"/>
          <w:szCs w:val="28"/>
        </w:rPr>
        <w:t>Baseline</w:t>
      </w:r>
      <w:r w:rsidR="00700A18" w:rsidRPr="00490B2A">
        <w:rPr>
          <w:noProof/>
          <w:color w:val="000000" w:themeColor="text1"/>
          <w:sz w:val="20"/>
          <w:szCs w:val="28"/>
        </w:rPr>
        <w:t xml:space="preserve"> </w:t>
      </w:r>
      <w:r w:rsidRPr="00490B2A">
        <w:rPr>
          <w:noProof/>
          <w:color w:val="000000" w:themeColor="text1"/>
          <w:sz w:val="20"/>
          <w:szCs w:val="28"/>
        </w:rPr>
        <w:t>Conditions.</w:t>
      </w:r>
      <w:r w:rsidR="00700A18" w:rsidRPr="00490B2A">
        <w:rPr>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Homeland</w:t>
      </w:r>
      <w:r w:rsidR="00700A18" w:rsidRPr="00490B2A">
        <w:rPr>
          <w:i/>
          <w:iCs/>
          <w:noProof/>
          <w:color w:val="000000" w:themeColor="text1"/>
          <w:sz w:val="20"/>
          <w:szCs w:val="28"/>
        </w:rPr>
        <w:t xml:space="preserve"> </w:t>
      </w:r>
      <w:r w:rsidRPr="00490B2A">
        <w:rPr>
          <w:i/>
          <w:iCs/>
          <w:noProof/>
          <w:color w:val="000000" w:themeColor="text1"/>
          <w:sz w:val="20"/>
          <w:szCs w:val="28"/>
        </w:rPr>
        <w:t>Security</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Emergency</w:t>
      </w:r>
      <w:r w:rsidR="00700A18" w:rsidRPr="00490B2A">
        <w:rPr>
          <w:i/>
          <w:iCs/>
          <w:noProof/>
          <w:color w:val="000000" w:themeColor="text1"/>
          <w:sz w:val="20"/>
          <w:szCs w:val="28"/>
        </w:rPr>
        <w:t xml:space="preserve"> </w:t>
      </w:r>
      <w:r w:rsidRPr="00490B2A">
        <w:rPr>
          <w:i/>
          <w:iCs/>
          <w:noProof/>
          <w:color w:val="000000" w:themeColor="text1"/>
          <w:sz w:val="20"/>
          <w:szCs w:val="28"/>
        </w:rPr>
        <w:t>Management</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7</w:t>
      </w:r>
      <w:r w:rsidRPr="00490B2A">
        <w:rPr>
          <w:noProof/>
          <w:color w:val="000000" w:themeColor="text1"/>
          <w:sz w:val="20"/>
          <w:szCs w:val="28"/>
        </w:rPr>
        <w:t>(1).</w:t>
      </w:r>
      <w:r w:rsidR="00700A18" w:rsidRPr="00490B2A">
        <w:rPr>
          <w:noProof/>
          <w:color w:val="000000" w:themeColor="text1"/>
          <w:sz w:val="20"/>
          <w:szCs w:val="28"/>
        </w:rPr>
        <w:t xml:space="preserve"> </w:t>
      </w:r>
      <w:r w:rsidRPr="00490B2A">
        <w:rPr>
          <w:noProof/>
          <w:color w:val="000000" w:themeColor="text1"/>
          <w:sz w:val="20"/>
          <w:szCs w:val="28"/>
        </w:rPr>
        <w:t>https://doi.org/10.2202/1547-7355.1732</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&amp; </w:t>
      </w:r>
      <w:r w:rsidRPr="00490B2A">
        <w:rPr>
          <w:noProof/>
          <w:color w:val="000000" w:themeColor="text1"/>
          <w:sz w:val="20"/>
          <w:szCs w:val="28"/>
        </w:rPr>
        <w:t>Finch,</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(2008).</w:t>
      </w:r>
      <w:r w:rsidR="00700A18" w:rsidRPr="00490B2A">
        <w:rPr>
          <w:noProof/>
          <w:color w:val="000000" w:themeColor="text1"/>
          <w:sz w:val="20"/>
          <w:szCs w:val="28"/>
        </w:rPr>
        <w:t xml:space="preserve"> </w:t>
      </w:r>
      <w:r w:rsidRPr="00490B2A">
        <w:rPr>
          <w:noProof/>
          <w:color w:val="000000" w:themeColor="text1"/>
          <w:sz w:val="20"/>
          <w:szCs w:val="28"/>
        </w:rPr>
        <w:t>Temporal</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spatial</w:t>
      </w:r>
      <w:r w:rsidR="00700A18" w:rsidRPr="00490B2A">
        <w:rPr>
          <w:noProof/>
          <w:color w:val="000000" w:themeColor="text1"/>
          <w:sz w:val="20"/>
          <w:szCs w:val="28"/>
        </w:rPr>
        <w:t xml:space="preserve"> </w:t>
      </w:r>
      <w:r w:rsidRPr="00490B2A">
        <w:rPr>
          <w:noProof/>
          <w:color w:val="000000" w:themeColor="text1"/>
          <w:sz w:val="20"/>
          <w:szCs w:val="28"/>
        </w:rPr>
        <w:t>changes</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social</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to</w:t>
      </w:r>
      <w:r w:rsidR="00700A18" w:rsidRPr="00490B2A">
        <w:rPr>
          <w:noProof/>
          <w:color w:val="000000" w:themeColor="text1"/>
          <w:sz w:val="20"/>
          <w:szCs w:val="28"/>
        </w:rPr>
        <w:t xml:space="preserve"> </w:t>
      </w:r>
      <w:r w:rsidRPr="00490B2A">
        <w:rPr>
          <w:noProof/>
          <w:color w:val="000000" w:themeColor="text1"/>
          <w:sz w:val="20"/>
          <w:szCs w:val="28"/>
        </w:rPr>
        <w:t>natural</w:t>
      </w:r>
      <w:r w:rsidR="00700A18" w:rsidRPr="00490B2A">
        <w:rPr>
          <w:noProof/>
          <w:color w:val="000000" w:themeColor="text1"/>
          <w:sz w:val="20"/>
          <w:szCs w:val="28"/>
        </w:rPr>
        <w:t xml:space="preserve"> </w:t>
      </w:r>
      <w:r w:rsidRPr="00490B2A">
        <w:rPr>
          <w:noProof/>
          <w:color w:val="000000" w:themeColor="text1"/>
          <w:sz w:val="20"/>
          <w:szCs w:val="28"/>
        </w:rPr>
        <w:t>hazards.</w:t>
      </w:r>
      <w:r w:rsidR="00700A18" w:rsidRPr="00490B2A">
        <w:rPr>
          <w:noProof/>
          <w:color w:val="000000" w:themeColor="text1"/>
          <w:sz w:val="20"/>
          <w:szCs w:val="28"/>
        </w:rPr>
        <w:t xml:space="preserve"> </w:t>
      </w:r>
      <w:r w:rsidRPr="00490B2A">
        <w:rPr>
          <w:i/>
          <w:iCs/>
          <w:noProof/>
          <w:color w:val="000000" w:themeColor="text1"/>
          <w:sz w:val="20"/>
          <w:szCs w:val="28"/>
        </w:rPr>
        <w:t>Proceedings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National</w:t>
      </w:r>
      <w:r w:rsidR="00700A18" w:rsidRPr="00490B2A">
        <w:rPr>
          <w:i/>
          <w:iCs/>
          <w:noProof/>
          <w:color w:val="000000" w:themeColor="text1"/>
          <w:sz w:val="20"/>
          <w:szCs w:val="28"/>
        </w:rPr>
        <w:t xml:space="preserve"> </w:t>
      </w:r>
      <w:r w:rsidRPr="00490B2A">
        <w:rPr>
          <w:i/>
          <w:iCs/>
          <w:noProof/>
          <w:color w:val="000000" w:themeColor="text1"/>
          <w:sz w:val="20"/>
          <w:szCs w:val="28"/>
        </w:rPr>
        <w:t>Academy</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Sciences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United</w:t>
      </w:r>
      <w:r w:rsidR="00700A18" w:rsidRPr="00490B2A">
        <w:rPr>
          <w:i/>
          <w:iCs/>
          <w:noProof/>
          <w:color w:val="000000" w:themeColor="text1"/>
          <w:sz w:val="20"/>
          <w:szCs w:val="28"/>
        </w:rPr>
        <w:t xml:space="preserve"> </w:t>
      </w:r>
      <w:r w:rsidRPr="00490B2A">
        <w:rPr>
          <w:i/>
          <w:iCs/>
          <w:noProof/>
          <w:color w:val="000000" w:themeColor="text1"/>
          <w:sz w:val="20"/>
          <w:szCs w:val="28"/>
        </w:rPr>
        <w:t>States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America</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105</w:t>
      </w:r>
      <w:r w:rsidRPr="00490B2A">
        <w:rPr>
          <w:noProof/>
          <w:color w:val="000000" w:themeColor="text1"/>
          <w:sz w:val="20"/>
          <w:szCs w:val="28"/>
        </w:rPr>
        <w:t>(7),</w:t>
      </w:r>
      <w:r w:rsidR="00700A18" w:rsidRPr="00490B2A">
        <w:rPr>
          <w:noProof/>
          <w:color w:val="000000" w:themeColor="text1"/>
          <w:sz w:val="20"/>
          <w:szCs w:val="28"/>
        </w:rPr>
        <w:t xml:space="preserve"> </w:t>
      </w:r>
      <w:r w:rsidRPr="00490B2A">
        <w:rPr>
          <w:noProof/>
          <w:color w:val="000000" w:themeColor="text1"/>
          <w:sz w:val="20"/>
          <w:szCs w:val="28"/>
        </w:rPr>
        <w:t>2301–2306.</w:t>
      </w:r>
      <w:r w:rsidR="00700A18" w:rsidRPr="00490B2A">
        <w:rPr>
          <w:noProof/>
          <w:color w:val="000000" w:themeColor="text1"/>
          <w:sz w:val="20"/>
          <w:szCs w:val="28"/>
        </w:rPr>
        <w:t xml:space="preserve"> </w:t>
      </w:r>
      <w:r w:rsidRPr="00490B2A">
        <w:rPr>
          <w:noProof/>
          <w:color w:val="000000" w:themeColor="text1"/>
          <w:sz w:val="20"/>
          <w:szCs w:val="28"/>
        </w:rPr>
        <w:t>https://doi.org/10.1073/pnas.0710375105</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Mitchell,</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T.,</w:t>
      </w:r>
      <w:r w:rsidR="00700A18" w:rsidRPr="00490B2A">
        <w:rPr>
          <w:noProof/>
          <w:color w:val="000000" w:themeColor="text1"/>
          <w:sz w:val="20"/>
          <w:szCs w:val="28"/>
        </w:rPr>
        <w:t xml:space="preserve"> &amp; </w:t>
      </w:r>
      <w:r w:rsidRPr="00490B2A">
        <w:rPr>
          <w:noProof/>
          <w:color w:val="000000" w:themeColor="text1"/>
          <w:sz w:val="20"/>
          <w:szCs w:val="28"/>
        </w:rPr>
        <w:t>Scott,</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(2000).</w:t>
      </w:r>
      <w:r w:rsidR="00700A18" w:rsidRPr="00490B2A">
        <w:rPr>
          <w:noProof/>
          <w:color w:val="000000" w:themeColor="text1"/>
          <w:sz w:val="20"/>
          <w:szCs w:val="28"/>
        </w:rPr>
        <w:t xml:space="preserve"> </w:t>
      </w:r>
      <w:r w:rsidRPr="00490B2A">
        <w:rPr>
          <w:noProof/>
          <w:color w:val="000000" w:themeColor="text1"/>
          <w:sz w:val="20"/>
          <w:szCs w:val="28"/>
        </w:rPr>
        <w:t>Revealing</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people</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places:</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case</w:t>
      </w:r>
      <w:r w:rsidR="00700A18" w:rsidRPr="00490B2A">
        <w:rPr>
          <w:noProof/>
          <w:color w:val="000000" w:themeColor="text1"/>
          <w:sz w:val="20"/>
          <w:szCs w:val="28"/>
        </w:rPr>
        <w:t xml:space="preserve"> </w:t>
      </w:r>
      <w:r w:rsidRPr="00490B2A">
        <w:rPr>
          <w:noProof/>
          <w:color w:val="000000" w:themeColor="text1"/>
          <w:sz w:val="20"/>
          <w:szCs w:val="28"/>
        </w:rPr>
        <w:t>study</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georgetown</w:t>
      </w:r>
      <w:r w:rsidR="00700A18" w:rsidRPr="00490B2A">
        <w:rPr>
          <w:noProof/>
          <w:color w:val="000000" w:themeColor="text1"/>
          <w:sz w:val="20"/>
          <w:szCs w:val="28"/>
        </w:rPr>
        <w:t xml:space="preserve"> </w:t>
      </w:r>
      <w:r w:rsidRPr="00490B2A">
        <w:rPr>
          <w:noProof/>
          <w:color w:val="000000" w:themeColor="text1"/>
          <w:sz w:val="20"/>
          <w:szCs w:val="28"/>
        </w:rPr>
        <w:t>county,</w:t>
      </w:r>
      <w:r w:rsidR="00700A18" w:rsidRPr="00490B2A">
        <w:rPr>
          <w:noProof/>
          <w:color w:val="000000" w:themeColor="text1"/>
          <w:sz w:val="20"/>
          <w:szCs w:val="28"/>
        </w:rPr>
        <w:t xml:space="preserve"> </w:t>
      </w:r>
      <w:r w:rsidRPr="00490B2A">
        <w:rPr>
          <w:noProof/>
          <w:color w:val="000000" w:themeColor="text1"/>
          <w:sz w:val="20"/>
          <w:szCs w:val="28"/>
        </w:rPr>
        <w:t>South</w:t>
      </w:r>
      <w:r w:rsidR="00700A18" w:rsidRPr="00490B2A">
        <w:rPr>
          <w:noProof/>
          <w:color w:val="000000" w:themeColor="text1"/>
          <w:sz w:val="20"/>
          <w:szCs w:val="28"/>
        </w:rPr>
        <w:t xml:space="preserve"> </w:t>
      </w:r>
      <w:r w:rsidRPr="00490B2A">
        <w:rPr>
          <w:noProof/>
          <w:color w:val="000000" w:themeColor="text1"/>
          <w:sz w:val="20"/>
          <w:szCs w:val="28"/>
        </w:rPr>
        <w:t>Carolina.</w:t>
      </w:r>
      <w:r w:rsidR="00700A18" w:rsidRPr="00490B2A">
        <w:rPr>
          <w:noProof/>
          <w:color w:val="000000" w:themeColor="text1"/>
          <w:sz w:val="20"/>
          <w:szCs w:val="28"/>
        </w:rPr>
        <w:t xml:space="preserve"> </w:t>
      </w:r>
      <w:r w:rsidRPr="00490B2A">
        <w:rPr>
          <w:i/>
          <w:iCs/>
          <w:noProof/>
          <w:color w:val="000000" w:themeColor="text1"/>
          <w:sz w:val="20"/>
          <w:szCs w:val="28"/>
        </w:rPr>
        <w:t>Annals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Association</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American</w:t>
      </w:r>
      <w:r w:rsidR="00700A18" w:rsidRPr="00490B2A">
        <w:rPr>
          <w:i/>
          <w:iCs/>
          <w:noProof/>
          <w:color w:val="000000" w:themeColor="text1"/>
          <w:sz w:val="20"/>
          <w:szCs w:val="28"/>
        </w:rPr>
        <w:t xml:space="preserve"> </w:t>
      </w:r>
      <w:r w:rsidRPr="00490B2A">
        <w:rPr>
          <w:i/>
          <w:iCs/>
          <w:noProof/>
          <w:color w:val="000000" w:themeColor="text1"/>
          <w:sz w:val="20"/>
          <w:szCs w:val="28"/>
        </w:rPr>
        <w:t>Geographers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90</w:t>
      </w:r>
      <w:r w:rsidRPr="00490B2A">
        <w:rPr>
          <w:noProof/>
          <w:color w:val="000000" w:themeColor="text1"/>
          <w:sz w:val="20"/>
          <w:szCs w:val="28"/>
        </w:rPr>
        <w:t>(4),</w:t>
      </w:r>
      <w:r w:rsidR="00700A18" w:rsidRPr="00490B2A">
        <w:rPr>
          <w:noProof/>
          <w:color w:val="000000" w:themeColor="text1"/>
          <w:sz w:val="20"/>
          <w:szCs w:val="28"/>
        </w:rPr>
        <w:t xml:space="preserve"> </w:t>
      </w:r>
      <w:r w:rsidRPr="00490B2A">
        <w:rPr>
          <w:noProof/>
          <w:color w:val="000000" w:themeColor="text1"/>
          <w:sz w:val="20"/>
          <w:szCs w:val="28"/>
        </w:rPr>
        <w:t>713–737.</w:t>
      </w:r>
      <w:r w:rsidR="00700A18" w:rsidRPr="00490B2A">
        <w:rPr>
          <w:noProof/>
          <w:color w:val="000000" w:themeColor="text1"/>
          <w:sz w:val="20"/>
          <w:szCs w:val="28"/>
        </w:rPr>
        <w:t xml:space="preserve"> </w:t>
      </w:r>
      <w:r w:rsidRPr="00490B2A">
        <w:rPr>
          <w:noProof/>
          <w:color w:val="000000" w:themeColor="text1"/>
          <w:sz w:val="20"/>
          <w:szCs w:val="28"/>
        </w:rPr>
        <w:t>https://doi.org/10.1111/0004-5608.00219</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Development,</w:t>
      </w:r>
      <w:r w:rsidR="00700A18" w:rsidRPr="00490B2A">
        <w:rPr>
          <w:noProof/>
          <w:color w:val="000000" w:themeColor="text1"/>
          <w:sz w:val="20"/>
          <w:szCs w:val="28"/>
        </w:rPr>
        <w:t xml:space="preserve"> </w:t>
      </w:r>
      <w:r w:rsidRPr="00490B2A">
        <w:rPr>
          <w:noProof/>
          <w:color w:val="000000" w:themeColor="text1"/>
          <w:sz w:val="20"/>
          <w:szCs w:val="28"/>
        </w:rPr>
        <w:t>P.</w:t>
      </w:r>
      <w:r w:rsidR="00700A18" w:rsidRPr="00490B2A">
        <w:rPr>
          <w:noProof/>
          <w:color w:val="000000" w:themeColor="text1"/>
          <w:sz w:val="20"/>
          <w:szCs w:val="28"/>
        </w:rPr>
        <w:t xml:space="preserve"> &amp;, </w:t>
      </w:r>
      <w:r w:rsidRPr="00490B2A">
        <w:rPr>
          <w:noProof/>
          <w:color w:val="000000" w:themeColor="text1"/>
          <w:sz w:val="20"/>
          <w:szCs w:val="28"/>
        </w:rPr>
        <w:t>Department,</w:t>
      </w:r>
      <w:r w:rsidR="00700A18" w:rsidRPr="00490B2A">
        <w:rPr>
          <w:noProof/>
          <w:color w:val="000000" w:themeColor="text1"/>
          <w:sz w:val="20"/>
          <w:szCs w:val="28"/>
        </w:rPr>
        <w:t xml:space="preserve"> </w:t>
      </w:r>
      <w:r w:rsidRPr="00490B2A">
        <w:rPr>
          <w:noProof/>
          <w:color w:val="000000" w:themeColor="text1"/>
          <w:sz w:val="20"/>
          <w:szCs w:val="28"/>
        </w:rPr>
        <w:t>G.</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&amp; </w:t>
      </w:r>
      <w:r w:rsidRPr="00490B2A">
        <w:rPr>
          <w:noProof/>
          <w:color w:val="000000" w:themeColor="text1"/>
          <w:sz w:val="20"/>
          <w:szCs w:val="28"/>
        </w:rPr>
        <w:t>UNICEF,</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with.</w:t>
      </w:r>
      <w:r w:rsidR="00700A18" w:rsidRPr="00490B2A">
        <w:rPr>
          <w:noProof/>
          <w:color w:val="000000" w:themeColor="text1"/>
          <w:sz w:val="20"/>
          <w:szCs w:val="28"/>
        </w:rPr>
        <w:t xml:space="preserve"> </w:t>
      </w:r>
      <w:r w:rsidRPr="00490B2A">
        <w:rPr>
          <w:noProof/>
          <w:color w:val="000000" w:themeColor="text1"/>
          <w:sz w:val="20"/>
          <w:szCs w:val="28"/>
        </w:rPr>
        <w:t>(2009).</w:t>
      </w:r>
      <w:r w:rsidR="00700A18" w:rsidRPr="00490B2A">
        <w:rPr>
          <w:noProof/>
          <w:color w:val="000000" w:themeColor="text1"/>
          <w:sz w:val="20"/>
          <w:szCs w:val="28"/>
        </w:rPr>
        <w:t xml:space="preserve"> </w:t>
      </w:r>
      <w:r w:rsidRPr="00490B2A">
        <w:rPr>
          <w:noProof/>
          <w:color w:val="000000" w:themeColor="text1"/>
          <w:sz w:val="20"/>
          <w:szCs w:val="28"/>
        </w:rPr>
        <w:t>District</w:t>
      </w:r>
      <w:r w:rsidR="00700A18" w:rsidRPr="00490B2A">
        <w:rPr>
          <w:noProof/>
          <w:color w:val="000000" w:themeColor="text1"/>
          <w:sz w:val="20"/>
          <w:szCs w:val="28"/>
        </w:rPr>
        <w:t xml:space="preserve"> </w:t>
      </w:r>
      <w:r w:rsidRPr="00490B2A">
        <w:rPr>
          <w:noProof/>
          <w:color w:val="000000" w:themeColor="text1"/>
          <w:sz w:val="20"/>
          <w:szCs w:val="28"/>
        </w:rPr>
        <w:t>Development</w:t>
      </w:r>
      <w:r w:rsidR="00700A18" w:rsidRPr="00490B2A">
        <w:rPr>
          <w:noProof/>
          <w:color w:val="000000" w:themeColor="text1"/>
          <w:sz w:val="20"/>
          <w:szCs w:val="28"/>
        </w:rPr>
        <w:t xml:space="preserve"> </w:t>
      </w:r>
      <w:r w:rsidRPr="00490B2A">
        <w:rPr>
          <w:noProof/>
          <w:color w:val="000000" w:themeColor="text1"/>
          <w:sz w:val="20"/>
          <w:szCs w:val="28"/>
        </w:rPr>
        <w:t>Report.</w:t>
      </w:r>
      <w:r w:rsidR="00700A18" w:rsidRPr="00490B2A">
        <w:rPr>
          <w:noProof/>
          <w:color w:val="000000" w:themeColor="text1"/>
          <w:sz w:val="20"/>
          <w:szCs w:val="28"/>
        </w:rPr>
        <w:t xml:space="preserve"> </w:t>
      </w:r>
      <w:r w:rsidRPr="00490B2A">
        <w:rPr>
          <w:i/>
          <w:iCs/>
          <w:noProof/>
          <w:color w:val="000000" w:themeColor="text1"/>
          <w:sz w:val="20"/>
          <w:szCs w:val="28"/>
        </w:rPr>
        <w:t>District</w:t>
      </w:r>
      <w:r w:rsidR="00700A18" w:rsidRPr="00490B2A">
        <w:rPr>
          <w:i/>
          <w:iCs/>
          <w:noProof/>
          <w:color w:val="000000" w:themeColor="text1"/>
          <w:sz w:val="20"/>
          <w:szCs w:val="28"/>
        </w:rPr>
        <w:t xml:space="preserve"> </w:t>
      </w:r>
      <w:r w:rsidRPr="00490B2A">
        <w:rPr>
          <w:i/>
          <w:iCs/>
          <w:noProof/>
          <w:color w:val="000000" w:themeColor="text1"/>
          <w:sz w:val="20"/>
          <w:szCs w:val="28"/>
        </w:rPr>
        <w:t>Development</w:t>
      </w:r>
      <w:r w:rsidR="00700A18" w:rsidRPr="00490B2A">
        <w:rPr>
          <w:i/>
          <w:iCs/>
          <w:noProof/>
          <w:color w:val="000000" w:themeColor="text1"/>
          <w:sz w:val="20"/>
          <w:szCs w:val="28"/>
        </w:rPr>
        <w:t xml:space="preserve"> </w:t>
      </w:r>
      <w:r w:rsidRPr="00490B2A">
        <w:rPr>
          <w:i/>
          <w:iCs/>
          <w:noProof/>
          <w:color w:val="000000" w:themeColor="text1"/>
          <w:sz w:val="20"/>
          <w:szCs w:val="28"/>
        </w:rPr>
        <w:t>Profile</w:t>
      </w:r>
      <w:r w:rsidR="00700A18" w:rsidRPr="00490B2A">
        <w:rPr>
          <w:i/>
          <w:iCs/>
          <w:noProof/>
          <w:color w:val="000000" w:themeColor="text1"/>
          <w:sz w:val="20"/>
          <w:szCs w:val="28"/>
        </w:rPr>
        <w:t xml:space="preserve"> </w:t>
      </w:r>
      <w:r w:rsidRPr="00490B2A">
        <w:rPr>
          <w:i/>
          <w:iCs/>
          <w:noProof/>
          <w:color w:val="000000" w:themeColor="text1"/>
          <w:sz w:val="20"/>
          <w:szCs w:val="28"/>
        </w:rPr>
        <w:t>2011</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(July</w:t>
      </w:r>
      <w:r w:rsidR="00700A18" w:rsidRPr="00490B2A">
        <w:rPr>
          <w:noProof/>
          <w:color w:val="000000" w:themeColor="text1"/>
          <w:sz w:val="20"/>
          <w:szCs w:val="28"/>
        </w:rPr>
        <w:t xml:space="preserve"> </w:t>
      </w:r>
      <w:r w:rsidRPr="00490B2A">
        <w:rPr>
          <w:noProof/>
          <w:color w:val="000000" w:themeColor="text1"/>
          <w:sz w:val="20"/>
          <w:szCs w:val="28"/>
        </w:rPr>
        <w:t>18,</w:t>
      </w:r>
      <w:r w:rsidR="00700A18" w:rsidRPr="00490B2A">
        <w:rPr>
          <w:noProof/>
          <w:color w:val="000000" w:themeColor="text1"/>
          <w:sz w:val="20"/>
          <w:szCs w:val="28"/>
        </w:rPr>
        <w:t xml:space="preserve"> </w:t>
      </w:r>
      <w:r w:rsidRPr="00490B2A">
        <w:rPr>
          <w:noProof/>
          <w:color w:val="000000" w:themeColor="text1"/>
          <w:sz w:val="20"/>
          <w:szCs w:val="28"/>
        </w:rPr>
        <w:t>2011),</w:t>
      </w:r>
      <w:r w:rsidR="00700A18" w:rsidRPr="00490B2A">
        <w:rPr>
          <w:noProof/>
          <w:color w:val="000000" w:themeColor="text1"/>
          <w:sz w:val="20"/>
          <w:szCs w:val="28"/>
        </w:rPr>
        <w:t xml:space="preserve"> </w:t>
      </w:r>
      <w:r w:rsidRPr="00490B2A">
        <w:rPr>
          <w:noProof/>
          <w:color w:val="000000" w:themeColor="text1"/>
          <w:sz w:val="20"/>
          <w:szCs w:val="28"/>
        </w:rPr>
        <w:t>73.</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Fassinger,</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&amp; </w:t>
      </w:r>
      <w:r w:rsidRPr="00490B2A">
        <w:rPr>
          <w:noProof/>
          <w:color w:val="000000" w:themeColor="text1"/>
          <w:sz w:val="20"/>
          <w:szCs w:val="28"/>
        </w:rPr>
        <w:t>Morrow,</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(2013).</w:t>
      </w:r>
      <w:r w:rsidR="00700A18" w:rsidRPr="00490B2A">
        <w:rPr>
          <w:noProof/>
          <w:color w:val="000000" w:themeColor="text1"/>
          <w:sz w:val="20"/>
          <w:szCs w:val="28"/>
        </w:rPr>
        <w:t xml:space="preserve"> </w:t>
      </w:r>
      <w:r w:rsidRPr="00490B2A">
        <w:rPr>
          <w:noProof/>
          <w:color w:val="000000" w:themeColor="text1"/>
          <w:sz w:val="20"/>
          <w:szCs w:val="28"/>
        </w:rPr>
        <w:t>Toward</w:t>
      </w:r>
      <w:r w:rsidR="00700A18" w:rsidRPr="00490B2A">
        <w:rPr>
          <w:noProof/>
          <w:color w:val="000000" w:themeColor="text1"/>
          <w:sz w:val="20"/>
          <w:szCs w:val="28"/>
        </w:rPr>
        <w:t xml:space="preserve"> </w:t>
      </w:r>
      <w:r w:rsidRPr="00490B2A">
        <w:rPr>
          <w:noProof/>
          <w:color w:val="000000" w:themeColor="text1"/>
          <w:sz w:val="20"/>
          <w:szCs w:val="28"/>
        </w:rPr>
        <w:t>best</w:t>
      </w:r>
      <w:r w:rsidR="00700A18" w:rsidRPr="00490B2A">
        <w:rPr>
          <w:noProof/>
          <w:color w:val="000000" w:themeColor="text1"/>
          <w:sz w:val="20"/>
          <w:szCs w:val="28"/>
        </w:rPr>
        <w:t xml:space="preserve"> </w:t>
      </w:r>
      <w:r w:rsidRPr="00490B2A">
        <w:rPr>
          <w:noProof/>
          <w:color w:val="000000" w:themeColor="text1"/>
          <w:sz w:val="20"/>
          <w:szCs w:val="28"/>
        </w:rPr>
        <w:t>practices</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quantitative,</w:t>
      </w:r>
      <w:r w:rsidR="00700A18" w:rsidRPr="00490B2A">
        <w:rPr>
          <w:noProof/>
          <w:color w:val="000000" w:themeColor="text1"/>
          <w:sz w:val="20"/>
          <w:szCs w:val="28"/>
        </w:rPr>
        <w:t xml:space="preserve"> </w:t>
      </w:r>
      <w:r w:rsidRPr="00490B2A">
        <w:rPr>
          <w:noProof/>
          <w:color w:val="000000" w:themeColor="text1"/>
          <w:sz w:val="20"/>
          <w:szCs w:val="28"/>
        </w:rPr>
        <w:t>qualitative,</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mixed-</w:t>
      </w:r>
      <w:r w:rsidR="00700A18" w:rsidRPr="00490B2A">
        <w:rPr>
          <w:noProof/>
          <w:color w:val="000000" w:themeColor="text1"/>
          <w:sz w:val="20"/>
          <w:szCs w:val="28"/>
        </w:rPr>
        <w:t xml:space="preserve"> </w:t>
      </w:r>
      <w:r w:rsidRPr="00490B2A">
        <w:rPr>
          <w:noProof/>
          <w:color w:val="000000" w:themeColor="text1"/>
          <w:sz w:val="20"/>
          <w:szCs w:val="28"/>
        </w:rPr>
        <w:t>method</w:t>
      </w:r>
      <w:r w:rsidR="00700A18" w:rsidRPr="00490B2A">
        <w:rPr>
          <w:noProof/>
          <w:color w:val="000000" w:themeColor="text1"/>
          <w:sz w:val="20"/>
          <w:szCs w:val="28"/>
        </w:rPr>
        <w:t xml:space="preserve"> </w:t>
      </w:r>
      <w:r w:rsidRPr="00490B2A">
        <w:rPr>
          <w:noProof/>
          <w:color w:val="000000" w:themeColor="text1"/>
          <w:sz w:val="20"/>
          <w:szCs w:val="28"/>
        </w:rPr>
        <w:t>research:</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social</w:t>
      </w:r>
      <w:r w:rsidR="00700A18" w:rsidRPr="00490B2A">
        <w:rPr>
          <w:noProof/>
          <w:color w:val="000000" w:themeColor="text1"/>
          <w:sz w:val="20"/>
          <w:szCs w:val="28"/>
        </w:rPr>
        <w:t xml:space="preserve"> </w:t>
      </w:r>
      <w:r w:rsidRPr="00490B2A">
        <w:rPr>
          <w:noProof/>
          <w:color w:val="000000" w:themeColor="text1"/>
          <w:sz w:val="20"/>
          <w:szCs w:val="28"/>
        </w:rPr>
        <w:t>justice</w:t>
      </w:r>
      <w:r w:rsidR="00700A18" w:rsidRPr="00490B2A">
        <w:rPr>
          <w:noProof/>
          <w:color w:val="000000" w:themeColor="text1"/>
          <w:sz w:val="20"/>
          <w:szCs w:val="28"/>
        </w:rPr>
        <w:t xml:space="preserve"> </w:t>
      </w:r>
      <w:r w:rsidRPr="00490B2A">
        <w:rPr>
          <w:noProof/>
          <w:color w:val="000000" w:themeColor="text1"/>
          <w:sz w:val="20"/>
          <w:szCs w:val="28"/>
        </w:rPr>
        <w:t>perspective.</w:t>
      </w:r>
      <w:r w:rsidR="00700A18" w:rsidRPr="00490B2A">
        <w:rPr>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for</w:t>
      </w:r>
      <w:r w:rsidR="00700A18" w:rsidRPr="00490B2A">
        <w:rPr>
          <w:i/>
          <w:iCs/>
          <w:noProof/>
          <w:color w:val="000000" w:themeColor="text1"/>
          <w:sz w:val="20"/>
          <w:szCs w:val="28"/>
        </w:rPr>
        <w:t xml:space="preserve"> </w:t>
      </w:r>
      <w:r w:rsidRPr="00490B2A">
        <w:rPr>
          <w:i/>
          <w:iCs/>
          <w:noProof/>
          <w:color w:val="000000" w:themeColor="text1"/>
          <w:sz w:val="20"/>
          <w:szCs w:val="28"/>
        </w:rPr>
        <w:t>Social</w:t>
      </w:r>
      <w:r w:rsidR="00700A18" w:rsidRPr="00490B2A">
        <w:rPr>
          <w:i/>
          <w:iCs/>
          <w:noProof/>
          <w:color w:val="000000" w:themeColor="text1"/>
          <w:sz w:val="20"/>
          <w:szCs w:val="28"/>
        </w:rPr>
        <w:t xml:space="preserve"> </w:t>
      </w:r>
      <w:r w:rsidRPr="00490B2A">
        <w:rPr>
          <w:i/>
          <w:iCs/>
          <w:noProof/>
          <w:color w:val="000000" w:themeColor="text1"/>
          <w:sz w:val="20"/>
          <w:szCs w:val="28"/>
        </w:rPr>
        <w:t>Action</w:t>
      </w:r>
      <w:r w:rsidR="00700A18" w:rsidRPr="00490B2A">
        <w:rPr>
          <w:i/>
          <w:iCs/>
          <w:noProof/>
          <w:color w:val="000000" w:themeColor="text1"/>
          <w:sz w:val="20"/>
          <w:szCs w:val="28"/>
        </w:rPr>
        <w:t xml:space="preserve"> </w:t>
      </w:r>
      <w:r w:rsidRPr="00490B2A">
        <w:rPr>
          <w:i/>
          <w:iCs/>
          <w:noProof/>
          <w:color w:val="000000" w:themeColor="text1"/>
          <w:sz w:val="20"/>
          <w:szCs w:val="28"/>
        </w:rPr>
        <w:t>in</w:t>
      </w:r>
      <w:r w:rsidR="00700A18" w:rsidRPr="00490B2A">
        <w:rPr>
          <w:i/>
          <w:iCs/>
          <w:noProof/>
          <w:color w:val="000000" w:themeColor="text1"/>
          <w:sz w:val="20"/>
          <w:szCs w:val="28"/>
        </w:rPr>
        <w:t xml:space="preserve"> </w:t>
      </w:r>
      <w:r w:rsidRPr="00490B2A">
        <w:rPr>
          <w:i/>
          <w:iCs/>
          <w:noProof/>
          <w:color w:val="000000" w:themeColor="text1"/>
          <w:sz w:val="20"/>
          <w:szCs w:val="28"/>
        </w:rPr>
        <w:t>Counseling</w:t>
      </w:r>
      <w:r w:rsidR="00700A18" w:rsidRPr="00490B2A">
        <w:rPr>
          <w:i/>
          <w:iCs/>
          <w:noProof/>
          <w:color w:val="000000" w:themeColor="text1"/>
          <w:sz w:val="20"/>
          <w:szCs w:val="28"/>
        </w:rPr>
        <w:t xml:space="preserve"> &amp; </w:t>
      </w:r>
      <w:r w:rsidRPr="00490B2A">
        <w:rPr>
          <w:i/>
          <w:iCs/>
          <w:noProof/>
          <w:color w:val="000000" w:themeColor="text1"/>
          <w:sz w:val="20"/>
          <w:szCs w:val="28"/>
        </w:rPr>
        <w:t>Psychology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5</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69–83.</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Friedman,</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Dunn,</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V,</w:t>
      </w:r>
      <w:r w:rsidR="00700A18" w:rsidRPr="00490B2A">
        <w:rPr>
          <w:noProof/>
          <w:color w:val="000000" w:themeColor="text1"/>
          <w:sz w:val="20"/>
          <w:szCs w:val="28"/>
        </w:rPr>
        <w:t xml:space="preserve"> &amp; </w:t>
      </w:r>
      <w:r w:rsidRPr="00490B2A">
        <w:rPr>
          <w:noProof/>
          <w:color w:val="000000" w:themeColor="text1"/>
          <w:sz w:val="20"/>
          <w:szCs w:val="28"/>
        </w:rPr>
        <w:t>Merrell</w:t>
      </w:r>
      <w:r w:rsidR="00700A18" w:rsidRPr="00490B2A">
        <w:rPr>
          <w:noProof/>
          <w:color w:val="000000" w:themeColor="text1"/>
          <w:sz w:val="20"/>
          <w:szCs w:val="28"/>
        </w:rPr>
        <w:t xml:space="preserve"> </w:t>
      </w:r>
      <w:r w:rsidRPr="00490B2A">
        <w:rPr>
          <w:noProof/>
          <w:color w:val="000000" w:themeColor="text1"/>
          <w:sz w:val="20"/>
          <w:szCs w:val="28"/>
        </w:rPr>
        <w:t>Jr,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(2002).</w:t>
      </w:r>
      <w:r w:rsidR="00700A18" w:rsidRPr="00490B2A">
        <w:rPr>
          <w:noProof/>
          <w:color w:val="000000" w:themeColor="text1"/>
          <w:sz w:val="20"/>
          <w:szCs w:val="28"/>
        </w:rPr>
        <w:t xml:space="preserve"> </w:t>
      </w:r>
      <w:r w:rsidRPr="00490B2A">
        <w:rPr>
          <w:noProof/>
          <w:color w:val="000000" w:themeColor="text1"/>
          <w:sz w:val="20"/>
          <w:szCs w:val="28"/>
        </w:rPr>
        <w:t>Summary</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Heinz</w:t>
      </w:r>
      <w:r w:rsidR="00700A18" w:rsidRPr="00490B2A">
        <w:rPr>
          <w:noProof/>
          <w:color w:val="000000" w:themeColor="text1"/>
          <w:sz w:val="20"/>
          <w:szCs w:val="28"/>
        </w:rPr>
        <w:t xml:space="preserve"> </w:t>
      </w:r>
      <w:r w:rsidRPr="00490B2A">
        <w:rPr>
          <w:noProof/>
          <w:color w:val="000000" w:themeColor="text1"/>
          <w:sz w:val="20"/>
          <w:szCs w:val="28"/>
        </w:rPr>
        <w:t>center</w:t>
      </w:r>
      <w:r w:rsidR="00700A18" w:rsidRPr="00490B2A">
        <w:rPr>
          <w:noProof/>
          <w:color w:val="000000" w:themeColor="text1"/>
          <w:sz w:val="20"/>
          <w:szCs w:val="28"/>
        </w:rPr>
        <w:t xml:space="preserve"> </w:t>
      </w:r>
      <w:r w:rsidRPr="00490B2A">
        <w:rPr>
          <w:noProof/>
          <w:color w:val="000000" w:themeColor="text1"/>
          <w:sz w:val="20"/>
          <w:szCs w:val="28"/>
        </w:rPr>
        <w:t>report</w:t>
      </w:r>
      <w:r w:rsidR="00700A18" w:rsidRPr="00490B2A">
        <w:rPr>
          <w:noProof/>
          <w:color w:val="000000" w:themeColor="text1"/>
          <w:sz w:val="20"/>
          <w:szCs w:val="28"/>
        </w:rPr>
        <w:t xml:space="preserve"> </w:t>
      </w:r>
      <w:r w:rsidRPr="00490B2A">
        <w:rPr>
          <w:noProof/>
          <w:color w:val="000000" w:themeColor="text1"/>
          <w:sz w:val="20"/>
          <w:szCs w:val="28"/>
        </w:rPr>
        <w:t>on</w:t>
      </w:r>
      <w:r w:rsidR="00700A18" w:rsidRPr="00490B2A">
        <w:rPr>
          <w:noProof/>
          <w:color w:val="000000" w:themeColor="text1"/>
          <w:sz w:val="20"/>
          <w:szCs w:val="28"/>
        </w:rPr>
        <w:t xml:space="preserve"> </w:t>
      </w:r>
      <w:r w:rsidRPr="00490B2A">
        <w:rPr>
          <w:noProof/>
          <w:color w:val="000000" w:themeColor="text1"/>
          <w:sz w:val="20"/>
          <w:szCs w:val="28"/>
        </w:rPr>
        <w:t>coastal</w:t>
      </w:r>
      <w:r w:rsidR="00700A18" w:rsidRPr="00490B2A">
        <w:rPr>
          <w:noProof/>
          <w:color w:val="000000" w:themeColor="text1"/>
          <w:sz w:val="20"/>
          <w:szCs w:val="28"/>
        </w:rPr>
        <w:t xml:space="preserve"> </w:t>
      </w:r>
      <w:r w:rsidRPr="00490B2A">
        <w:rPr>
          <w:noProof/>
          <w:color w:val="000000" w:themeColor="text1"/>
          <w:sz w:val="20"/>
          <w:szCs w:val="28"/>
        </w:rPr>
        <w:t>erosion</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National</w:t>
      </w:r>
      <w:r w:rsidR="00700A18" w:rsidRPr="00490B2A">
        <w:rPr>
          <w:noProof/>
          <w:color w:val="000000" w:themeColor="text1"/>
          <w:sz w:val="20"/>
          <w:szCs w:val="28"/>
        </w:rPr>
        <w:t xml:space="preserve"> </w:t>
      </w:r>
      <w:r w:rsidRPr="00490B2A">
        <w:rPr>
          <w:noProof/>
          <w:color w:val="000000" w:themeColor="text1"/>
          <w:sz w:val="20"/>
          <w:szCs w:val="28"/>
        </w:rPr>
        <w:t>Flood</w:t>
      </w:r>
      <w:r w:rsidR="00700A18" w:rsidRPr="00490B2A">
        <w:rPr>
          <w:noProof/>
          <w:color w:val="000000" w:themeColor="text1"/>
          <w:sz w:val="20"/>
          <w:szCs w:val="28"/>
        </w:rPr>
        <w:t xml:space="preserve"> </w:t>
      </w:r>
      <w:r w:rsidRPr="00490B2A">
        <w:rPr>
          <w:noProof/>
          <w:color w:val="000000" w:themeColor="text1"/>
          <w:sz w:val="20"/>
          <w:szCs w:val="28"/>
        </w:rPr>
        <w:t>Insurance</w:t>
      </w:r>
      <w:r w:rsidR="00700A18" w:rsidRPr="00490B2A">
        <w:rPr>
          <w:noProof/>
          <w:color w:val="000000" w:themeColor="text1"/>
          <w:sz w:val="20"/>
          <w:szCs w:val="28"/>
        </w:rPr>
        <w:t xml:space="preserve"> </w:t>
      </w:r>
      <w:r w:rsidRPr="00490B2A">
        <w:rPr>
          <w:noProof/>
          <w:color w:val="000000" w:themeColor="text1"/>
          <w:sz w:val="20"/>
          <w:szCs w:val="28"/>
        </w:rPr>
        <w:t>Program.</w:t>
      </w:r>
      <w:r w:rsidR="00700A18" w:rsidRPr="00490B2A">
        <w:rPr>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Coastal</w:t>
      </w:r>
      <w:r w:rsidR="00700A18" w:rsidRPr="00490B2A">
        <w:rPr>
          <w:i/>
          <w:iCs/>
          <w:noProof/>
          <w:color w:val="000000" w:themeColor="text1"/>
          <w:sz w:val="20"/>
          <w:szCs w:val="28"/>
        </w:rPr>
        <w:t xml:space="preserve"> </w:t>
      </w:r>
      <w:r w:rsidRPr="00490B2A">
        <w:rPr>
          <w:i/>
          <w:iCs/>
          <w:noProof/>
          <w:color w:val="000000" w:themeColor="text1"/>
          <w:sz w:val="20"/>
          <w:szCs w:val="28"/>
        </w:rPr>
        <w:t>Research</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18</w:t>
      </w:r>
      <w:r w:rsidRPr="00490B2A">
        <w:rPr>
          <w:noProof/>
          <w:color w:val="000000" w:themeColor="text1"/>
          <w:sz w:val="20"/>
          <w:szCs w:val="28"/>
        </w:rPr>
        <w:t>(3),</w:t>
      </w:r>
      <w:r w:rsidR="00700A18" w:rsidRPr="00490B2A">
        <w:rPr>
          <w:noProof/>
          <w:color w:val="000000" w:themeColor="text1"/>
          <w:sz w:val="20"/>
          <w:szCs w:val="28"/>
        </w:rPr>
        <w:t xml:space="preserve"> </w:t>
      </w:r>
      <w:r w:rsidRPr="00490B2A">
        <w:rPr>
          <w:noProof/>
          <w:color w:val="000000" w:themeColor="text1"/>
          <w:sz w:val="20"/>
          <w:szCs w:val="28"/>
        </w:rPr>
        <w:t>568–575.</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Gallopín,</w:t>
      </w:r>
      <w:r w:rsidR="00700A18" w:rsidRPr="00490B2A">
        <w:rPr>
          <w:noProof/>
          <w:color w:val="000000" w:themeColor="text1"/>
          <w:sz w:val="20"/>
          <w:szCs w:val="28"/>
        </w:rPr>
        <w:t xml:space="preserve"> </w:t>
      </w:r>
      <w:r w:rsidRPr="00490B2A">
        <w:rPr>
          <w:noProof/>
          <w:color w:val="000000" w:themeColor="text1"/>
          <w:sz w:val="20"/>
          <w:szCs w:val="28"/>
        </w:rPr>
        <w:t>G.</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(2006).</w:t>
      </w:r>
      <w:r w:rsidR="00700A18" w:rsidRPr="00490B2A">
        <w:rPr>
          <w:noProof/>
          <w:color w:val="000000" w:themeColor="text1"/>
          <w:sz w:val="20"/>
          <w:szCs w:val="28"/>
        </w:rPr>
        <w:t xml:space="preserve"> </w:t>
      </w:r>
      <w:r w:rsidRPr="00490B2A">
        <w:rPr>
          <w:noProof/>
          <w:color w:val="000000" w:themeColor="text1"/>
          <w:sz w:val="20"/>
          <w:szCs w:val="28"/>
        </w:rPr>
        <w:t>Linkages</w:t>
      </w:r>
      <w:r w:rsidR="00700A18" w:rsidRPr="00490B2A">
        <w:rPr>
          <w:noProof/>
          <w:color w:val="000000" w:themeColor="text1"/>
          <w:sz w:val="20"/>
          <w:szCs w:val="28"/>
        </w:rPr>
        <w:t xml:space="preserve"> </w:t>
      </w:r>
      <w:r w:rsidRPr="00490B2A">
        <w:rPr>
          <w:noProof/>
          <w:color w:val="000000" w:themeColor="text1"/>
          <w:sz w:val="20"/>
          <w:szCs w:val="28"/>
        </w:rPr>
        <w:t>between</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adaptive</w:t>
      </w:r>
      <w:r w:rsidR="00700A18" w:rsidRPr="00490B2A">
        <w:rPr>
          <w:noProof/>
          <w:color w:val="000000" w:themeColor="text1"/>
          <w:sz w:val="20"/>
          <w:szCs w:val="28"/>
        </w:rPr>
        <w:t xml:space="preserve"> </w:t>
      </w:r>
      <w:r w:rsidRPr="00490B2A">
        <w:rPr>
          <w:noProof/>
          <w:color w:val="000000" w:themeColor="text1"/>
          <w:sz w:val="20"/>
          <w:szCs w:val="28"/>
        </w:rPr>
        <w:t>capacity.</w:t>
      </w:r>
      <w:r w:rsidR="00700A18" w:rsidRPr="00490B2A">
        <w:rPr>
          <w:noProof/>
          <w:color w:val="000000" w:themeColor="text1"/>
          <w:sz w:val="20"/>
          <w:szCs w:val="28"/>
        </w:rPr>
        <w:t xml:space="preserve"> </w:t>
      </w:r>
      <w:r w:rsidRPr="00490B2A">
        <w:rPr>
          <w:i/>
          <w:iCs/>
          <w:noProof/>
          <w:color w:val="000000" w:themeColor="text1"/>
          <w:sz w:val="20"/>
          <w:szCs w:val="28"/>
        </w:rPr>
        <w:t>Global</w:t>
      </w:r>
      <w:r w:rsidR="00700A18" w:rsidRPr="00490B2A">
        <w:rPr>
          <w:i/>
          <w:iCs/>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Change</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16</w:t>
      </w:r>
      <w:r w:rsidRPr="00490B2A">
        <w:rPr>
          <w:noProof/>
          <w:color w:val="000000" w:themeColor="text1"/>
          <w:sz w:val="20"/>
          <w:szCs w:val="28"/>
        </w:rPr>
        <w:t>(3),</w:t>
      </w:r>
      <w:r w:rsidR="00700A18" w:rsidRPr="00490B2A">
        <w:rPr>
          <w:noProof/>
          <w:color w:val="000000" w:themeColor="text1"/>
          <w:sz w:val="20"/>
          <w:szCs w:val="28"/>
        </w:rPr>
        <w:t xml:space="preserve"> </w:t>
      </w:r>
      <w:r w:rsidRPr="00490B2A">
        <w:rPr>
          <w:noProof/>
          <w:color w:val="000000" w:themeColor="text1"/>
          <w:sz w:val="20"/>
          <w:szCs w:val="28"/>
        </w:rPr>
        <w:t>293–303.</w:t>
      </w:r>
      <w:r w:rsidR="00700A18" w:rsidRPr="00490B2A">
        <w:rPr>
          <w:noProof/>
          <w:color w:val="000000" w:themeColor="text1"/>
          <w:sz w:val="20"/>
          <w:szCs w:val="28"/>
        </w:rPr>
        <w:t xml:space="preserve"> </w:t>
      </w:r>
      <w:r w:rsidRPr="00490B2A">
        <w:rPr>
          <w:noProof/>
          <w:color w:val="000000" w:themeColor="text1"/>
          <w:sz w:val="20"/>
          <w:szCs w:val="28"/>
        </w:rPr>
        <w:t>https://doi.org/10.1016/j.gloenvcha.2006.02.004</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Goel,</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&amp; </w:t>
      </w:r>
      <w:r w:rsidRPr="00490B2A">
        <w:rPr>
          <w:noProof/>
          <w:color w:val="000000" w:themeColor="text1"/>
          <w:sz w:val="20"/>
          <w:szCs w:val="28"/>
        </w:rPr>
        <w:t>Mehtre,</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(2015).</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Assessment</w:t>
      </w:r>
      <w:r w:rsidR="00700A18" w:rsidRPr="00490B2A">
        <w:rPr>
          <w:noProof/>
          <w:color w:val="000000" w:themeColor="text1"/>
          <w:sz w:val="20"/>
          <w:szCs w:val="28"/>
        </w:rPr>
        <w:t xml:space="preserve"> &amp; </w:t>
      </w:r>
      <w:r w:rsidRPr="00490B2A">
        <w:rPr>
          <w:noProof/>
          <w:color w:val="000000" w:themeColor="text1"/>
          <w:sz w:val="20"/>
          <w:szCs w:val="28"/>
        </w:rPr>
        <w:t>Penetration</w:t>
      </w:r>
      <w:r w:rsidR="00700A18" w:rsidRPr="00490B2A">
        <w:rPr>
          <w:noProof/>
          <w:color w:val="000000" w:themeColor="text1"/>
          <w:sz w:val="20"/>
          <w:szCs w:val="28"/>
        </w:rPr>
        <w:t xml:space="preserve"> </w:t>
      </w:r>
      <w:r w:rsidRPr="00490B2A">
        <w:rPr>
          <w:noProof/>
          <w:color w:val="000000" w:themeColor="text1"/>
          <w:sz w:val="20"/>
          <w:szCs w:val="28"/>
        </w:rPr>
        <w:t>Testing</w:t>
      </w:r>
      <w:r w:rsidR="00700A18" w:rsidRPr="00490B2A">
        <w:rPr>
          <w:noProof/>
          <w:color w:val="000000" w:themeColor="text1"/>
          <w:sz w:val="20"/>
          <w:szCs w:val="28"/>
        </w:rPr>
        <w:t xml:space="preserve"> </w:t>
      </w:r>
      <w:r w:rsidRPr="00490B2A">
        <w:rPr>
          <w:noProof/>
          <w:color w:val="000000" w:themeColor="text1"/>
          <w:sz w:val="20"/>
          <w:szCs w:val="28"/>
        </w:rPr>
        <w:t>as</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Cyber</w:t>
      </w:r>
      <w:r w:rsidR="00700A18" w:rsidRPr="00490B2A">
        <w:rPr>
          <w:noProof/>
          <w:color w:val="000000" w:themeColor="text1"/>
          <w:sz w:val="20"/>
          <w:szCs w:val="28"/>
        </w:rPr>
        <w:t xml:space="preserve"> </w:t>
      </w:r>
      <w:r w:rsidRPr="00490B2A">
        <w:rPr>
          <w:noProof/>
          <w:color w:val="000000" w:themeColor="text1"/>
          <w:sz w:val="20"/>
          <w:szCs w:val="28"/>
        </w:rPr>
        <w:t>Defence</w:t>
      </w:r>
      <w:r w:rsidR="00700A18" w:rsidRPr="00490B2A">
        <w:rPr>
          <w:noProof/>
          <w:color w:val="000000" w:themeColor="text1"/>
          <w:sz w:val="20"/>
          <w:szCs w:val="28"/>
        </w:rPr>
        <w:t xml:space="preserve"> </w:t>
      </w:r>
      <w:r w:rsidRPr="00490B2A">
        <w:rPr>
          <w:noProof/>
          <w:color w:val="000000" w:themeColor="text1"/>
          <w:sz w:val="20"/>
          <w:szCs w:val="28"/>
        </w:rPr>
        <w:t>Technology.</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i/>
          <w:iCs/>
          <w:noProof/>
          <w:color w:val="000000" w:themeColor="text1"/>
          <w:sz w:val="20"/>
          <w:szCs w:val="28"/>
        </w:rPr>
        <w:t>Procedia</w:t>
      </w:r>
      <w:r w:rsidR="00700A18" w:rsidRPr="00490B2A">
        <w:rPr>
          <w:i/>
          <w:iCs/>
          <w:noProof/>
          <w:color w:val="000000" w:themeColor="text1"/>
          <w:sz w:val="20"/>
          <w:szCs w:val="28"/>
        </w:rPr>
        <w:t xml:space="preserve"> </w:t>
      </w:r>
      <w:r w:rsidRPr="00490B2A">
        <w:rPr>
          <w:i/>
          <w:iCs/>
          <w:noProof/>
          <w:color w:val="000000" w:themeColor="text1"/>
          <w:sz w:val="20"/>
          <w:szCs w:val="28"/>
        </w:rPr>
        <w:t>Computer</w:t>
      </w:r>
      <w:r w:rsidR="00700A18" w:rsidRPr="00490B2A">
        <w:rPr>
          <w:i/>
          <w:iCs/>
          <w:noProof/>
          <w:color w:val="000000" w:themeColor="text1"/>
          <w:sz w:val="20"/>
          <w:szCs w:val="28"/>
        </w:rPr>
        <w:t xml:space="preserve"> </w:t>
      </w:r>
      <w:r w:rsidRPr="00490B2A">
        <w:rPr>
          <w:i/>
          <w:iCs/>
          <w:noProof/>
          <w:color w:val="000000" w:themeColor="text1"/>
          <w:sz w:val="20"/>
          <w:szCs w:val="28"/>
        </w:rPr>
        <w:t>Science</w:t>
      </w:r>
      <w:r w:rsidR="00700A18" w:rsidRPr="00490B2A">
        <w:rPr>
          <w:noProof/>
          <w:color w:val="000000" w:themeColor="text1"/>
          <w:sz w:val="20"/>
          <w:szCs w:val="28"/>
        </w:rPr>
        <w:t xml:space="preserve"> </w:t>
      </w:r>
      <w:r w:rsidRPr="00490B2A">
        <w:rPr>
          <w:noProof/>
          <w:color w:val="000000" w:themeColor="text1"/>
          <w:sz w:val="20"/>
          <w:szCs w:val="28"/>
        </w:rPr>
        <w:t>(Vol.</w:t>
      </w:r>
      <w:r w:rsidR="00700A18" w:rsidRPr="00490B2A">
        <w:rPr>
          <w:noProof/>
          <w:color w:val="000000" w:themeColor="text1"/>
          <w:sz w:val="20"/>
          <w:szCs w:val="28"/>
        </w:rPr>
        <w:t xml:space="preserve"> </w:t>
      </w:r>
      <w:r w:rsidRPr="00490B2A">
        <w:rPr>
          <w:noProof/>
          <w:color w:val="000000" w:themeColor="text1"/>
          <w:sz w:val="20"/>
          <w:szCs w:val="28"/>
        </w:rPr>
        <w:t>57,</w:t>
      </w:r>
      <w:r w:rsidR="00700A18" w:rsidRPr="00490B2A">
        <w:rPr>
          <w:noProof/>
          <w:color w:val="000000" w:themeColor="text1"/>
          <w:sz w:val="20"/>
          <w:szCs w:val="28"/>
        </w:rPr>
        <w:t xml:space="preserve"> </w:t>
      </w:r>
      <w:r w:rsidRPr="00490B2A">
        <w:rPr>
          <w:noProof/>
          <w:color w:val="000000" w:themeColor="text1"/>
          <w:sz w:val="20"/>
          <w:szCs w:val="28"/>
        </w:rPr>
        <w:t>pp.</w:t>
      </w:r>
      <w:r w:rsidR="00700A18" w:rsidRPr="00490B2A">
        <w:rPr>
          <w:noProof/>
          <w:color w:val="000000" w:themeColor="text1"/>
          <w:sz w:val="20"/>
          <w:szCs w:val="28"/>
        </w:rPr>
        <w:t xml:space="preserve"> </w:t>
      </w:r>
      <w:r w:rsidRPr="00490B2A">
        <w:rPr>
          <w:noProof/>
          <w:color w:val="000000" w:themeColor="text1"/>
          <w:sz w:val="20"/>
          <w:szCs w:val="28"/>
        </w:rPr>
        <w:t>710–715).</w:t>
      </w:r>
      <w:r w:rsidR="00700A18" w:rsidRPr="00490B2A">
        <w:rPr>
          <w:noProof/>
          <w:color w:val="000000" w:themeColor="text1"/>
          <w:sz w:val="20"/>
          <w:szCs w:val="28"/>
        </w:rPr>
        <w:t xml:space="preserve"> </w:t>
      </w:r>
      <w:r w:rsidRPr="00490B2A">
        <w:rPr>
          <w:noProof/>
          <w:color w:val="000000" w:themeColor="text1"/>
          <w:sz w:val="20"/>
          <w:szCs w:val="28"/>
        </w:rPr>
        <w:t>https://doi.org/10.1016/j.procs.2015.07.458</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lastRenderedPageBreak/>
        <w:t>Habiba,</w:t>
      </w:r>
      <w:r w:rsidR="00700A18" w:rsidRPr="00490B2A">
        <w:rPr>
          <w:noProof/>
          <w:color w:val="000000" w:themeColor="text1"/>
          <w:sz w:val="20"/>
          <w:szCs w:val="28"/>
        </w:rPr>
        <w:t xml:space="preserve"> </w:t>
      </w:r>
      <w:r w:rsidRPr="00490B2A">
        <w:rPr>
          <w:noProof/>
          <w:color w:val="000000" w:themeColor="text1"/>
          <w:sz w:val="20"/>
          <w:szCs w:val="28"/>
        </w:rPr>
        <w:t>U.,</w:t>
      </w:r>
      <w:r w:rsidR="00700A18" w:rsidRPr="00490B2A">
        <w:rPr>
          <w:noProof/>
          <w:color w:val="000000" w:themeColor="text1"/>
          <w:sz w:val="20"/>
          <w:szCs w:val="28"/>
        </w:rPr>
        <w:t xml:space="preserve"> </w:t>
      </w:r>
      <w:r w:rsidRPr="00490B2A">
        <w:rPr>
          <w:noProof/>
          <w:color w:val="000000" w:themeColor="text1"/>
          <w:sz w:val="20"/>
          <w:szCs w:val="28"/>
        </w:rPr>
        <w:t>Shaw,</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&amp; </w:t>
      </w:r>
      <w:r w:rsidRPr="00490B2A">
        <w:rPr>
          <w:noProof/>
          <w:color w:val="000000" w:themeColor="text1"/>
          <w:sz w:val="20"/>
          <w:szCs w:val="28"/>
        </w:rPr>
        <w:t>Takeuchi,</w:t>
      </w:r>
      <w:r w:rsidR="00700A18" w:rsidRPr="00490B2A">
        <w:rPr>
          <w:noProof/>
          <w:color w:val="000000" w:themeColor="text1"/>
          <w:sz w:val="20"/>
          <w:szCs w:val="28"/>
        </w:rPr>
        <w:t xml:space="preserve"> </w:t>
      </w:r>
      <w:r w:rsidRPr="00490B2A">
        <w:rPr>
          <w:noProof/>
          <w:color w:val="000000" w:themeColor="text1"/>
          <w:sz w:val="20"/>
          <w:szCs w:val="28"/>
        </w:rPr>
        <w:t>Y.</w:t>
      </w:r>
      <w:r w:rsidR="00700A18" w:rsidRPr="00490B2A">
        <w:rPr>
          <w:noProof/>
          <w:color w:val="000000" w:themeColor="text1"/>
          <w:sz w:val="20"/>
          <w:szCs w:val="28"/>
        </w:rPr>
        <w:t xml:space="preserve"> </w:t>
      </w:r>
      <w:r w:rsidRPr="00490B2A">
        <w:rPr>
          <w:noProof/>
          <w:color w:val="000000" w:themeColor="text1"/>
          <w:sz w:val="20"/>
          <w:szCs w:val="28"/>
        </w:rPr>
        <w:t>(2011).</w:t>
      </w:r>
      <w:r w:rsidR="00700A18" w:rsidRPr="00490B2A">
        <w:rPr>
          <w:noProof/>
          <w:color w:val="000000" w:themeColor="text1"/>
          <w:sz w:val="20"/>
          <w:szCs w:val="28"/>
        </w:rPr>
        <w:t xml:space="preserve"> </w:t>
      </w:r>
      <w:r w:rsidRPr="00490B2A">
        <w:rPr>
          <w:noProof/>
          <w:color w:val="000000" w:themeColor="text1"/>
          <w:sz w:val="20"/>
          <w:szCs w:val="28"/>
        </w:rPr>
        <w:t>Drought</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reduction</w:t>
      </w:r>
      <w:r w:rsidR="00700A18" w:rsidRPr="00490B2A">
        <w:rPr>
          <w:noProof/>
          <w:color w:val="000000" w:themeColor="text1"/>
          <w:sz w:val="20"/>
          <w:szCs w:val="28"/>
        </w:rPr>
        <w:t xml:space="preserve"> </w:t>
      </w:r>
      <w:r w:rsidRPr="00490B2A">
        <w:rPr>
          <w:noProof/>
          <w:color w:val="000000" w:themeColor="text1"/>
          <w:sz w:val="20"/>
          <w:szCs w:val="28"/>
        </w:rPr>
        <w:t>through</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socio-economic,</w:t>
      </w:r>
      <w:r w:rsidR="00700A18" w:rsidRPr="00490B2A">
        <w:rPr>
          <w:noProof/>
          <w:color w:val="000000" w:themeColor="text1"/>
          <w:sz w:val="20"/>
          <w:szCs w:val="28"/>
        </w:rPr>
        <w:t xml:space="preserve"> </w:t>
      </w:r>
      <w:r w:rsidRPr="00490B2A">
        <w:rPr>
          <w:noProof/>
          <w:color w:val="000000" w:themeColor="text1"/>
          <w:sz w:val="20"/>
          <w:szCs w:val="28"/>
        </w:rPr>
        <w:t>institutional</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physical</w:t>
      </w:r>
      <w:r w:rsidR="00700A18" w:rsidRPr="00490B2A">
        <w:rPr>
          <w:noProof/>
          <w:color w:val="000000" w:themeColor="text1"/>
          <w:sz w:val="20"/>
          <w:szCs w:val="28"/>
        </w:rPr>
        <w:t xml:space="preserve"> </w:t>
      </w:r>
      <w:r w:rsidRPr="00490B2A">
        <w:rPr>
          <w:noProof/>
          <w:color w:val="000000" w:themeColor="text1"/>
          <w:sz w:val="20"/>
          <w:szCs w:val="28"/>
        </w:rPr>
        <w:t>approach</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northwestern</w:t>
      </w:r>
      <w:r w:rsidR="00700A18" w:rsidRPr="00490B2A">
        <w:rPr>
          <w:noProof/>
          <w:color w:val="000000" w:themeColor="text1"/>
          <w:sz w:val="20"/>
          <w:szCs w:val="28"/>
        </w:rPr>
        <w:t xml:space="preserve"> </w:t>
      </w:r>
      <w:r w:rsidRPr="00490B2A">
        <w:rPr>
          <w:noProof/>
          <w:color w:val="000000" w:themeColor="text1"/>
          <w:sz w:val="20"/>
          <w:szCs w:val="28"/>
        </w:rPr>
        <w:t>region</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Bangladesh.</w:t>
      </w:r>
      <w:r w:rsidR="00700A18" w:rsidRPr="00490B2A">
        <w:rPr>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10</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121–138.</w:t>
      </w:r>
      <w:r w:rsidR="00700A18" w:rsidRPr="00490B2A">
        <w:rPr>
          <w:noProof/>
          <w:color w:val="000000" w:themeColor="text1"/>
          <w:sz w:val="20"/>
          <w:szCs w:val="28"/>
        </w:rPr>
        <w:t xml:space="preserve"> </w:t>
      </w:r>
      <w:r w:rsidRPr="00490B2A">
        <w:rPr>
          <w:noProof/>
          <w:color w:val="000000" w:themeColor="text1"/>
          <w:sz w:val="20"/>
          <w:szCs w:val="28"/>
        </w:rPr>
        <w:t>https://doi.org/10.1080/17477891.2011.582311</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Hewitt,</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(1997).</w:t>
      </w:r>
      <w:r w:rsidR="00700A18" w:rsidRPr="00490B2A">
        <w:rPr>
          <w:noProof/>
          <w:color w:val="000000" w:themeColor="text1"/>
          <w:sz w:val="20"/>
          <w:szCs w:val="28"/>
        </w:rPr>
        <w:t xml:space="preserve"> </w:t>
      </w:r>
      <w:r w:rsidRPr="00490B2A">
        <w:rPr>
          <w:i/>
          <w:iCs/>
          <w:noProof/>
          <w:color w:val="000000" w:themeColor="text1"/>
          <w:sz w:val="20"/>
          <w:szCs w:val="28"/>
        </w:rPr>
        <w:t>Regions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Risk :</w:t>
      </w:r>
      <w:r w:rsidR="00700A18" w:rsidRPr="00490B2A">
        <w:rPr>
          <w:i/>
          <w:iCs/>
          <w:noProof/>
          <w:color w:val="000000" w:themeColor="text1"/>
          <w:sz w:val="20"/>
          <w:szCs w:val="28"/>
        </w:rPr>
        <w:t xml:space="preserve"> </w:t>
      </w:r>
      <w:r w:rsidRPr="00490B2A">
        <w:rPr>
          <w:i/>
          <w:iCs/>
          <w:noProof/>
          <w:color w:val="000000" w:themeColor="text1"/>
          <w:sz w:val="20"/>
          <w:szCs w:val="28"/>
        </w:rPr>
        <w:t>a</w:t>
      </w:r>
      <w:r w:rsidR="00700A18" w:rsidRPr="00490B2A">
        <w:rPr>
          <w:i/>
          <w:iCs/>
          <w:noProof/>
          <w:color w:val="000000" w:themeColor="text1"/>
          <w:sz w:val="20"/>
          <w:szCs w:val="28"/>
        </w:rPr>
        <w:t xml:space="preserve"> </w:t>
      </w:r>
      <w:r w:rsidRPr="00490B2A">
        <w:rPr>
          <w:i/>
          <w:iCs/>
          <w:noProof/>
          <w:color w:val="000000" w:themeColor="text1"/>
          <w:sz w:val="20"/>
          <w:szCs w:val="28"/>
        </w:rPr>
        <w:t>Geographical</w:t>
      </w:r>
      <w:r w:rsidR="00700A18" w:rsidRPr="00490B2A">
        <w:rPr>
          <w:i/>
          <w:iCs/>
          <w:noProof/>
          <w:color w:val="000000" w:themeColor="text1"/>
          <w:sz w:val="20"/>
          <w:szCs w:val="28"/>
        </w:rPr>
        <w:t xml:space="preserve"> </w:t>
      </w:r>
      <w:r w:rsidRPr="00490B2A">
        <w:rPr>
          <w:i/>
          <w:iCs/>
          <w:noProof/>
          <w:color w:val="000000" w:themeColor="text1"/>
          <w:sz w:val="20"/>
          <w:szCs w:val="28"/>
        </w:rPr>
        <w:t>Introduction</w:t>
      </w:r>
      <w:r w:rsidR="00700A18" w:rsidRPr="00490B2A">
        <w:rPr>
          <w:i/>
          <w:iCs/>
          <w:noProof/>
          <w:color w:val="000000" w:themeColor="text1"/>
          <w:sz w:val="20"/>
          <w:szCs w:val="28"/>
        </w:rPr>
        <w:t xml:space="preserve"> </w:t>
      </w:r>
      <w:r w:rsidRPr="00490B2A">
        <w:rPr>
          <w:i/>
          <w:iCs/>
          <w:noProof/>
          <w:color w:val="000000" w:themeColor="text1"/>
          <w:sz w:val="20"/>
          <w:szCs w:val="28"/>
        </w:rPr>
        <w:t>to</w:t>
      </w:r>
      <w:r w:rsidR="00700A18" w:rsidRPr="00490B2A">
        <w:rPr>
          <w:i/>
          <w:iCs/>
          <w:noProof/>
          <w:color w:val="000000" w:themeColor="text1"/>
          <w:sz w:val="20"/>
          <w:szCs w:val="28"/>
        </w:rPr>
        <w:t xml:space="preserve"> </w:t>
      </w:r>
      <w:r w:rsidRPr="00490B2A">
        <w:rPr>
          <w:i/>
          <w:iCs/>
          <w:noProof/>
          <w:color w:val="000000" w:themeColor="text1"/>
          <w:sz w:val="20"/>
          <w:szCs w:val="28"/>
        </w:rPr>
        <w:t>Disasters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Themes</w:t>
      </w:r>
      <w:r w:rsidR="00700A18" w:rsidRPr="00490B2A">
        <w:rPr>
          <w:i/>
          <w:iCs/>
          <w:noProof/>
          <w:color w:val="000000" w:themeColor="text1"/>
          <w:sz w:val="20"/>
          <w:szCs w:val="28"/>
        </w:rPr>
        <w:t xml:space="preserve"> </w:t>
      </w:r>
      <w:r w:rsidRPr="00490B2A">
        <w:rPr>
          <w:i/>
          <w:iCs/>
          <w:noProof/>
          <w:color w:val="000000" w:themeColor="text1"/>
          <w:sz w:val="20"/>
          <w:szCs w:val="28"/>
        </w:rPr>
        <w:t>in</w:t>
      </w:r>
      <w:r w:rsidR="00700A18" w:rsidRPr="00490B2A">
        <w:rPr>
          <w:i/>
          <w:iCs/>
          <w:noProof/>
          <w:color w:val="000000" w:themeColor="text1"/>
          <w:sz w:val="20"/>
          <w:szCs w:val="28"/>
        </w:rPr>
        <w:t xml:space="preserve"> </w:t>
      </w:r>
      <w:r w:rsidRPr="00490B2A">
        <w:rPr>
          <w:i/>
          <w:iCs/>
          <w:noProof/>
          <w:color w:val="000000" w:themeColor="text1"/>
          <w:sz w:val="20"/>
          <w:szCs w:val="28"/>
        </w:rPr>
        <w:t>resource</w:t>
      </w:r>
      <w:r w:rsidR="00700A18" w:rsidRPr="00490B2A">
        <w:rPr>
          <w:i/>
          <w:iCs/>
          <w:noProof/>
          <w:color w:val="000000" w:themeColor="text1"/>
          <w:sz w:val="20"/>
          <w:szCs w:val="28"/>
        </w:rPr>
        <w:t xml:space="preserve"> </w:t>
      </w:r>
      <w:r w:rsidRPr="00490B2A">
        <w:rPr>
          <w:i/>
          <w:iCs/>
          <w:noProof/>
          <w:color w:val="000000" w:themeColor="text1"/>
          <w:sz w:val="20"/>
          <w:szCs w:val="28"/>
        </w:rPr>
        <w:t>management.</w:t>
      </w:r>
      <w:r w:rsidR="00700A18" w:rsidRPr="00490B2A">
        <w:rPr>
          <w:noProof/>
          <w:color w:val="000000" w:themeColor="text1"/>
          <w:sz w:val="20"/>
          <w:szCs w:val="28"/>
        </w:rPr>
        <w:t xml:space="preserve"> </w:t>
      </w:r>
      <w:r w:rsidRPr="00490B2A">
        <w:rPr>
          <w:noProof/>
          <w:color w:val="000000" w:themeColor="text1"/>
          <w:sz w:val="20"/>
          <w:szCs w:val="28"/>
        </w:rPr>
        <w:t>https://doi.org/10.1016/S0143-6228(97)00049-0</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James,</w:t>
      </w:r>
      <w:r w:rsidR="00700A18" w:rsidRPr="00490B2A">
        <w:rPr>
          <w:noProof/>
          <w:color w:val="000000" w:themeColor="text1"/>
          <w:sz w:val="20"/>
          <w:szCs w:val="28"/>
        </w:rPr>
        <w:t xml:space="preserve"> </w:t>
      </w:r>
      <w:r w:rsidRPr="00490B2A">
        <w:rPr>
          <w:noProof/>
          <w:color w:val="000000" w:themeColor="text1"/>
          <w:sz w:val="20"/>
          <w:szCs w:val="28"/>
        </w:rPr>
        <w:t>E.</w:t>
      </w:r>
      <w:r w:rsidR="00700A18" w:rsidRPr="00490B2A">
        <w:rPr>
          <w:noProof/>
          <w:color w:val="000000" w:themeColor="text1"/>
          <w:sz w:val="20"/>
          <w:szCs w:val="28"/>
        </w:rPr>
        <w:t xml:space="preserve"> </w:t>
      </w:r>
      <w:r w:rsidRPr="00490B2A">
        <w:rPr>
          <w:noProof/>
          <w:color w:val="000000" w:themeColor="text1"/>
          <w:sz w:val="20"/>
          <w:szCs w:val="28"/>
        </w:rPr>
        <w:t>(2008).</w:t>
      </w:r>
      <w:r w:rsidR="00700A18" w:rsidRPr="00490B2A">
        <w:rPr>
          <w:noProof/>
          <w:color w:val="000000" w:themeColor="text1"/>
          <w:sz w:val="20"/>
          <w:szCs w:val="28"/>
        </w:rPr>
        <w:t xml:space="preserve"> </w:t>
      </w:r>
      <w:r w:rsidRPr="00490B2A">
        <w:rPr>
          <w:noProof/>
          <w:color w:val="000000" w:themeColor="text1"/>
          <w:sz w:val="20"/>
          <w:szCs w:val="28"/>
        </w:rPr>
        <w:t>Getting</w:t>
      </w:r>
      <w:r w:rsidR="00700A18" w:rsidRPr="00490B2A">
        <w:rPr>
          <w:noProof/>
          <w:color w:val="000000" w:themeColor="text1"/>
          <w:sz w:val="20"/>
          <w:szCs w:val="28"/>
        </w:rPr>
        <w:t xml:space="preserve"> </w:t>
      </w:r>
      <w:r w:rsidRPr="00490B2A">
        <w:rPr>
          <w:noProof/>
          <w:color w:val="000000" w:themeColor="text1"/>
          <w:sz w:val="20"/>
          <w:szCs w:val="28"/>
        </w:rPr>
        <w:t>ahead</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next</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Recent</w:t>
      </w:r>
      <w:r w:rsidR="00700A18" w:rsidRPr="00490B2A">
        <w:rPr>
          <w:noProof/>
          <w:color w:val="000000" w:themeColor="text1"/>
          <w:sz w:val="20"/>
          <w:szCs w:val="28"/>
        </w:rPr>
        <w:t xml:space="preserve"> </w:t>
      </w:r>
      <w:r w:rsidRPr="00490B2A">
        <w:rPr>
          <w:noProof/>
          <w:color w:val="000000" w:themeColor="text1"/>
          <w:sz w:val="20"/>
          <w:szCs w:val="28"/>
        </w:rPr>
        <w:t>preparedness</w:t>
      </w:r>
      <w:r w:rsidR="00700A18" w:rsidRPr="00490B2A">
        <w:rPr>
          <w:noProof/>
          <w:color w:val="000000" w:themeColor="text1"/>
          <w:sz w:val="20"/>
          <w:szCs w:val="28"/>
        </w:rPr>
        <w:t xml:space="preserve"> </w:t>
      </w:r>
      <w:r w:rsidRPr="00490B2A">
        <w:rPr>
          <w:noProof/>
          <w:color w:val="000000" w:themeColor="text1"/>
          <w:sz w:val="20"/>
          <w:szCs w:val="28"/>
        </w:rPr>
        <w:t>efforts</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Indonesia.</w:t>
      </w:r>
      <w:r w:rsidR="00700A18" w:rsidRPr="00490B2A">
        <w:rPr>
          <w:noProof/>
          <w:color w:val="000000" w:themeColor="text1"/>
          <w:sz w:val="20"/>
          <w:szCs w:val="28"/>
        </w:rPr>
        <w:t xml:space="preserve"> </w:t>
      </w:r>
      <w:r w:rsidRPr="00490B2A">
        <w:rPr>
          <w:i/>
          <w:iCs/>
          <w:noProof/>
          <w:color w:val="000000" w:themeColor="text1"/>
          <w:sz w:val="20"/>
          <w:szCs w:val="28"/>
        </w:rPr>
        <w:t>Development</w:t>
      </w:r>
      <w:r w:rsidR="00700A18" w:rsidRPr="00490B2A">
        <w:rPr>
          <w:i/>
          <w:iCs/>
          <w:noProof/>
          <w:color w:val="000000" w:themeColor="text1"/>
          <w:sz w:val="20"/>
          <w:szCs w:val="28"/>
        </w:rPr>
        <w:t xml:space="preserve"> </w:t>
      </w:r>
      <w:r w:rsidRPr="00490B2A">
        <w:rPr>
          <w:i/>
          <w:iCs/>
          <w:noProof/>
          <w:color w:val="000000" w:themeColor="text1"/>
          <w:sz w:val="20"/>
          <w:szCs w:val="28"/>
        </w:rPr>
        <w:t>in</w:t>
      </w:r>
      <w:r w:rsidR="00700A18" w:rsidRPr="00490B2A">
        <w:rPr>
          <w:i/>
          <w:iCs/>
          <w:noProof/>
          <w:color w:val="000000" w:themeColor="text1"/>
          <w:sz w:val="20"/>
          <w:szCs w:val="28"/>
        </w:rPr>
        <w:t xml:space="preserve"> </w:t>
      </w:r>
      <w:r w:rsidRPr="00490B2A">
        <w:rPr>
          <w:i/>
          <w:iCs/>
          <w:noProof/>
          <w:color w:val="000000" w:themeColor="text1"/>
          <w:sz w:val="20"/>
          <w:szCs w:val="28"/>
        </w:rPr>
        <w:t>Practice</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https://doi.org/10.1080/09614520802030607</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Kakar,</w:t>
      </w:r>
      <w:r w:rsidR="00700A18" w:rsidRPr="00490B2A">
        <w:rPr>
          <w:noProof/>
          <w:color w:val="000000" w:themeColor="text1"/>
          <w:sz w:val="20"/>
          <w:szCs w:val="28"/>
        </w:rPr>
        <w:t xml:space="preserve"> </w:t>
      </w:r>
      <w:r w:rsidRPr="00490B2A">
        <w:rPr>
          <w:noProof/>
          <w:color w:val="000000" w:themeColor="text1"/>
          <w:sz w:val="20"/>
          <w:szCs w:val="28"/>
        </w:rPr>
        <w:t>Z.,</w:t>
      </w:r>
      <w:r w:rsidR="00700A18" w:rsidRPr="00490B2A">
        <w:rPr>
          <w:noProof/>
          <w:color w:val="000000" w:themeColor="text1"/>
          <w:sz w:val="20"/>
          <w:szCs w:val="28"/>
        </w:rPr>
        <w:t xml:space="preserve"> &amp; </w:t>
      </w:r>
      <w:r w:rsidRPr="00490B2A">
        <w:rPr>
          <w:noProof/>
          <w:color w:val="000000" w:themeColor="text1"/>
          <w:sz w:val="20"/>
          <w:szCs w:val="28"/>
        </w:rPr>
        <w:t>Ahmad,</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(2013).</w:t>
      </w:r>
      <w:r w:rsidR="00700A18" w:rsidRPr="00490B2A">
        <w:rPr>
          <w:noProof/>
          <w:color w:val="000000" w:themeColor="text1"/>
          <w:sz w:val="20"/>
          <w:szCs w:val="28"/>
        </w:rPr>
        <w:t xml:space="preserve"> </w:t>
      </w:r>
      <w:r w:rsidRPr="00490B2A">
        <w:rPr>
          <w:noProof/>
          <w:color w:val="000000" w:themeColor="text1"/>
          <w:sz w:val="20"/>
          <w:szCs w:val="28"/>
        </w:rPr>
        <w:t>Study</w:t>
      </w:r>
      <w:r w:rsidR="00700A18" w:rsidRPr="00490B2A">
        <w:rPr>
          <w:noProof/>
          <w:color w:val="000000" w:themeColor="text1"/>
          <w:sz w:val="20"/>
          <w:szCs w:val="28"/>
        </w:rPr>
        <w:t xml:space="preserve"> </w:t>
      </w:r>
      <w:r w:rsidRPr="00490B2A">
        <w:rPr>
          <w:noProof/>
          <w:color w:val="000000" w:themeColor="text1"/>
          <w:sz w:val="20"/>
          <w:szCs w:val="28"/>
        </w:rPr>
        <w:t>on</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causes</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Water</w:t>
      </w:r>
      <w:r w:rsidR="00700A18" w:rsidRPr="00490B2A">
        <w:rPr>
          <w:noProof/>
          <w:color w:val="000000" w:themeColor="text1"/>
          <w:sz w:val="20"/>
          <w:szCs w:val="28"/>
        </w:rPr>
        <w:t xml:space="preserve"> </w:t>
      </w:r>
      <w:r w:rsidRPr="00490B2A">
        <w:rPr>
          <w:noProof/>
          <w:color w:val="000000" w:themeColor="text1"/>
          <w:sz w:val="20"/>
          <w:szCs w:val="28"/>
        </w:rPr>
        <w:t>Scarcity</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Pishin</w:t>
      </w:r>
      <w:r w:rsidR="00700A18" w:rsidRPr="00490B2A">
        <w:rPr>
          <w:noProof/>
          <w:color w:val="000000" w:themeColor="text1"/>
          <w:sz w:val="20"/>
          <w:szCs w:val="28"/>
        </w:rPr>
        <w:t xml:space="preserve"> </w:t>
      </w:r>
      <w:r w:rsidRPr="00490B2A">
        <w:rPr>
          <w:noProof/>
          <w:color w:val="000000" w:themeColor="text1"/>
          <w:sz w:val="20"/>
          <w:szCs w:val="28"/>
        </w:rPr>
        <w:t>Lora</w:t>
      </w:r>
      <w:r w:rsidR="00700A18" w:rsidRPr="00490B2A">
        <w:rPr>
          <w:noProof/>
          <w:color w:val="000000" w:themeColor="text1"/>
          <w:sz w:val="20"/>
          <w:szCs w:val="28"/>
        </w:rPr>
        <w:t xml:space="preserve"> </w:t>
      </w:r>
      <w:r w:rsidRPr="00490B2A">
        <w:rPr>
          <w:noProof/>
          <w:color w:val="000000" w:themeColor="text1"/>
          <w:sz w:val="20"/>
          <w:szCs w:val="28"/>
        </w:rPr>
        <w:t>Basin</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Balochistan,</w:t>
      </w:r>
      <w:r w:rsidR="00700A18" w:rsidRPr="00490B2A">
        <w:rPr>
          <w:noProof/>
          <w:color w:val="000000" w:themeColor="text1"/>
          <w:sz w:val="20"/>
          <w:szCs w:val="28"/>
        </w:rPr>
        <w:t xml:space="preserve"> </w:t>
      </w:r>
      <w:r w:rsidRPr="00490B2A">
        <w:rPr>
          <w:i/>
          <w:iCs/>
          <w:noProof/>
          <w:color w:val="000000" w:themeColor="text1"/>
          <w:sz w:val="20"/>
          <w:szCs w:val="28"/>
        </w:rPr>
        <w:t>4</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135–140.</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Kapoi,</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&amp; </w:t>
      </w:r>
      <w:r w:rsidRPr="00490B2A">
        <w:rPr>
          <w:noProof/>
          <w:color w:val="000000" w:themeColor="text1"/>
          <w:sz w:val="20"/>
          <w:szCs w:val="28"/>
        </w:rPr>
        <w:t>Mundia,</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(2014).</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Drought</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Assessment</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Baringo</w:t>
      </w:r>
      <w:r w:rsidR="00700A18" w:rsidRPr="00490B2A">
        <w:rPr>
          <w:noProof/>
          <w:color w:val="000000" w:themeColor="text1"/>
          <w:sz w:val="20"/>
          <w:szCs w:val="28"/>
        </w:rPr>
        <w:t xml:space="preserve"> </w:t>
      </w:r>
      <w:r w:rsidRPr="00490B2A">
        <w:rPr>
          <w:noProof/>
          <w:color w:val="000000" w:themeColor="text1"/>
          <w:sz w:val="20"/>
          <w:szCs w:val="28"/>
        </w:rPr>
        <w:t>county</w:t>
      </w:r>
      <w:r w:rsidR="00700A18" w:rsidRPr="00490B2A">
        <w:rPr>
          <w:noProof/>
          <w:color w:val="000000" w:themeColor="text1"/>
          <w:sz w:val="20"/>
          <w:szCs w:val="28"/>
        </w:rPr>
        <w:t xml:space="preserve"> </w:t>
      </w:r>
      <w:r w:rsidRPr="00490B2A">
        <w:rPr>
          <w:noProof/>
          <w:color w:val="000000" w:themeColor="text1"/>
          <w:sz w:val="20"/>
          <w:szCs w:val="28"/>
        </w:rPr>
        <w:t>livelihoods,</w:t>
      </w:r>
      <w:r w:rsidR="00700A18" w:rsidRPr="00490B2A">
        <w:rPr>
          <w:noProof/>
          <w:color w:val="000000" w:themeColor="text1"/>
          <w:sz w:val="20"/>
          <w:szCs w:val="28"/>
        </w:rPr>
        <w:t xml:space="preserve"> </w:t>
      </w:r>
      <w:r w:rsidRPr="00490B2A">
        <w:rPr>
          <w:i/>
          <w:iCs/>
          <w:noProof/>
          <w:color w:val="000000" w:themeColor="text1"/>
          <w:sz w:val="20"/>
          <w:szCs w:val="28"/>
        </w:rPr>
        <w:t>5</w:t>
      </w:r>
      <w:r w:rsidRPr="00490B2A">
        <w:rPr>
          <w:noProof/>
          <w:color w:val="000000" w:themeColor="text1"/>
          <w:sz w:val="20"/>
          <w:szCs w:val="28"/>
        </w:rPr>
        <w:t>(May),</w:t>
      </w:r>
      <w:r w:rsidR="00700A18" w:rsidRPr="00490B2A">
        <w:rPr>
          <w:noProof/>
          <w:color w:val="000000" w:themeColor="text1"/>
          <w:sz w:val="20"/>
          <w:szCs w:val="28"/>
        </w:rPr>
        <w:t xml:space="preserve"> </w:t>
      </w:r>
      <w:r w:rsidRPr="00490B2A">
        <w:rPr>
          <w:noProof/>
          <w:color w:val="000000" w:themeColor="text1"/>
          <w:sz w:val="20"/>
          <w:szCs w:val="28"/>
        </w:rPr>
        <w:t>7–10.</w:t>
      </w:r>
      <w:r w:rsidR="00700A18" w:rsidRPr="00490B2A">
        <w:rPr>
          <w:noProof/>
          <w:color w:val="000000" w:themeColor="text1"/>
          <w:sz w:val="20"/>
          <w:szCs w:val="28"/>
        </w:rPr>
        <w:t xml:space="preserve"> </w:t>
      </w:r>
      <w:r w:rsidRPr="00490B2A">
        <w:rPr>
          <w:noProof/>
          <w:color w:val="000000" w:themeColor="text1"/>
          <w:sz w:val="20"/>
          <w:szCs w:val="28"/>
        </w:rPr>
        <w:t>https://doi.org/10.13140/2.1.1070.5923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Modica,</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&amp; </w:t>
      </w:r>
      <w:r w:rsidRPr="00490B2A">
        <w:rPr>
          <w:noProof/>
          <w:color w:val="000000" w:themeColor="text1"/>
          <w:sz w:val="20"/>
          <w:szCs w:val="28"/>
        </w:rPr>
        <w:t>Zoboli,</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(2016).</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hazard,</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damage,</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loss:</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socio-ecological</w:t>
      </w:r>
      <w:r w:rsidR="00700A18" w:rsidRPr="00490B2A">
        <w:rPr>
          <w:noProof/>
          <w:color w:val="000000" w:themeColor="text1"/>
          <w:sz w:val="20"/>
          <w:szCs w:val="28"/>
        </w:rPr>
        <w:t xml:space="preserve"> </w:t>
      </w:r>
      <w:r w:rsidRPr="00490B2A">
        <w:rPr>
          <w:noProof/>
          <w:color w:val="000000" w:themeColor="text1"/>
          <w:sz w:val="20"/>
          <w:szCs w:val="28"/>
        </w:rPr>
        <w:t>framework</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natural</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analysis.</w:t>
      </w:r>
      <w:r w:rsidR="00700A18" w:rsidRPr="00490B2A">
        <w:rPr>
          <w:noProof/>
          <w:color w:val="000000" w:themeColor="text1"/>
          <w:sz w:val="20"/>
          <w:szCs w:val="28"/>
        </w:rPr>
        <w:t xml:space="preserve"> </w:t>
      </w:r>
      <w:r w:rsidRPr="00490B2A">
        <w:rPr>
          <w:i/>
          <w:iCs/>
          <w:noProof/>
          <w:color w:val="000000" w:themeColor="text1"/>
          <w:sz w:val="20"/>
          <w:szCs w:val="28"/>
        </w:rPr>
        <w:t>Web</w:t>
      </w:r>
      <w:r w:rsidR="00700A18" w:rsidRPr="00490B2A">
        <w:rPr>
          <w:i/>
          <w:iCs/>
          <w:noProof/>
          <w:color w:val="000000" w:themeColor="text1"/>
          <w:sz w:val="20"/>
          <w:szCs w:val="28"/>
        </w:rPr>
        <w:t xml:space="preserve"> </w:t>
      </w:r>
      <w:r w:rsidRPr="00490B2A">
        <w:rPr>
          <w:i/>
          <w:iCs/>
          <w:noProof/>
          <w:color w:val="000000" w:themeColor="text1"/>
          <w:sz w:val="20"/>
          <w:szCs w:val="28"/>
        </w:rPr>
        <w:t>Ecology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16</w:t>
      </w:r>
      <w:r w:rsidRPr="00490B2A">
        <w:rPr>
          <w:noProof/>
          <w:color w:val="000000" w:themeColor="text1"/>
          <w:sz w:val="20"/>
          <w:szCs w:val="28"/>
        </w:rPr>
        <w:t>(1),</w:t>
      </w:r>
      <w:r w:rsidR="00700A18" w:rsidRPr="00490B2A">
        <w:rPr>
          <w:noProof/>
          <w:color w:val="000000" w:themeColor="text1"/>
          <w:sz w:val="20"/>
          <w:szCs w:val="28"/>
        </w:rPr>
        <w:t xml:space="preserve"> </w:t>
      </w:r>
      <w:r w:rsidRPr="00490B2A">
        <w:rPr>
          <w:noProof/>
          <w:color w:val="000000" w:themeColor="text1"/>
          <w:sz w:val="20"/>
          <w:szCs w:val="28"/>
        </w:rPr>
        <w:t>59–62.</w:t>
      </w:r>
      <w:r w:rsidR="00700A18" w:rsidRPr="00490B2A">
        <w:rPr>
          <w:noProof/>
          <w:color w:val="000000" w:themeColor="text1"/>
          <w:sz w:val="20"/>
          <w:szCs w:val="28"/>
        </w:rPr>
        <w:t xml:space="preserve"> </w:t>
      </w:r>
      <w:r w:rsidRPr="00490B2A">
        <w:rPr>
          <w:noProof/>
          <w:color w:val="000000" w:themeColor="text1"/>
          <w:sz w:val="20"/>
          <w:szCs w:val="28"/>
        </w:rPr>
        <w:t>https://doi.org/10.5194/we-16-59-2016</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Nardo,</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Saisana,</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Saltelli,</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Tarantola,</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Hoffman,</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&amp; </w:t>
      </w:r>
      <w:r w:rsidRPr="00490B2A">
        <w:rPr>
          <w:noProof/>
          <w:color w:val="000000" w:themeColor="text1"/>
          <w:sz w:val="20"/>
          <w:szCs w:val="28"/>
        </w:rPr>
        <w:t>Giovannini,</w:t>
      </w:r>
      <w:r w:rsidR="00700A18" w:rsidRPr="00490B2A">
        <w:rPr>
          <w:noProof/>
          <w:color w:val="000000" w:themeColor="text1"/>
          <w:sz w:val="20"/>
          <w:szCs w:val="28"/>
        </w:rPr>
        <w:t xml:space="preserve"> </w:t>
      </w:r>
      <w:r w:rsidRPr="00490B2A">
        <w:rPr>
          <w:noProof/>
          <w:color w:val="000000" w:themeColor="text1"/>
          <w:sz w:val="20"/>
          <w:szCs w:val="28"/>
        </w:rPr>
        <w:t>E.</w:t>
      </w:r>
      <w:r w:rsidR="00700A18" w:rsidRPr="00490B2A">
        <w:rPr>
          <w:noProof/>
          <w:color w:val="000000" w:themeColor="text1"/>
          <w:sz w:val="20"/>
          <w:szCs w:val="28"/>
        </w:rPr>
        <w:t xml:space="preserve"> </w:t>
      </w:r>
      <w:r w:rsidRPr="00490B2A">
        <w:rPr>
          <w:noProof/>
          <w:color w:val="000000" w:themeColor="text1"/>
          <w:sz w:val="20"/>
          <w:szCs w:val="28"/>
        </w:rPr>
        <w:t>(2005).</w:t>
      </w:r>
      <w:r w:rsidR="00700A18" w:rsidRPr="00490B2A">
        <w:rPr>
          <w:noProof/>
          <w:color w:val="000000" w:themeColor="text1"/>
          <w:sz w:val="20"/>
          <w:szCs w:val="28"/>
        </w:rPr>
        <w:t xml:space="preserve"> </w:t>
      </w:r>
      <w:r w:rsidRPr="00490B2A">
        <w:rPr>
          <w:noProof/>
          <w:color w:val="000000" w:themeColor="text1"/>
          <w:sz w:val="20"/>
          <w:szCs w:val="28"/>
        </w:rPr>
        <w:t>OECD</w:t>
      </w:r>
      <w:r w:rsidR="00700A18" w:rsidRPr="00490B2A">
        <w:rPr>
          <w:noProof/>
          <w:color w:val="000000" w:themeColor="text1"/>
          <w:sz w:val="20"/>
          <w:szCs w:val="28"/>
        </w:rPr>
        <w:t xml:space="preserve"> </w:t>
      </w:r>
      <w:r w:rsidRPr="00490B2A">
        <w:rPr>
          <w:noProof/>
          <w:color w:val="000000" w:themeColor="text1"/>
          <w:sz w:val="20"/>
          <w:szCs w:val="28"/>
        </w:rPr>
        <w:t>Statistics</w:t>
      </w:r>
      <w:r w:rsidR="00700A18" w:rsidRPr="00490B2A">
        <w:rPr>
          <w:noProof/>
          <w:color w:val="000000" w:themeColor="text1"/>
          <w:sz w:val="20"/>
          <w:szCs w:val="28"/>
        </w:rPr>
        <w:t xml:space="preserve"> </w:t>
      </w:r>
      <w:r w:rsidRPr="00490B2A">
        <w:rPr>
          <w:noProof/>
          <w:color w:val="000000" w:themeColor="text1"/>
          <w:sz w:val="20"/>
          <w:szCs w:val="28"/>
        </w:rPr>
        <w:t>Working</w:t>
      </w:r>
      <w:r w:rsidR="00700A18" w:rsidRPr="00490B2A">
        <w:rPr>
          <w:noProof/>
          <w:color w:val="000000" w:themeColor="text1"/>
          <w:sz w:val="20"/>
          <w:szCs w:val="28"/>
        </w:rPr>
        <w:t xml:space="preserve"> </w:t>
      </w:r>
      <w:r w:rsidRPr="00490B2A">
        <w:rPr>
          <w:noProof/>
          <w:color w:val="000000" w:themeColor="text1"/>
          <w:sz w:val="20"/>
          <w:szCs w:val="28"/>
        </w:rPr>
        <w:t>Paper-Handbook</w:t>
      </w:r>
      <w:r w:rsidR="00700A18" w:rsidRPr="00490B2A">
        <w:rPr>
          <w:noProof/>
          <w:color w:val="000000" w:themeColor="text1"/>
          <w:sz w:val="20"/>
          <w:szCs w:val="28"/>
        </w:rPr>
        <w:t xml:space="preserve"> </w:t>
      </w:r>
      <w:r w:rsidRPr="00490B2A">
        <w:rPr>
          <w:noProof/>
          <w:color w:val="000000" w:themeColor="text1"/>
          <w:sz w:val="20"/>
          <w:szCs w:val="28"/>
        </w:rPr>
        <w:t>on</w:t>
      </w:r>
      <w:r w:rsidR="00700A18" w:rsidRPr="00490B2A">
        <w:rPr>
          <w:noProof/>
          <w:color w:val="000000" w:themeColor="text1"/>
          <w:sz w:val="20"/>
          <w:szCs w:val="28"/>
        </w:rPr>
        <w:t xml:space="preserve"> </w:t>
      </w:r>
      <w:r w:rsidRPr="00490B2A">
        <w:rPr>
          <w:noProof/>
          <w:color w:val="000000" w:themeColor="text1"/>
          <w:sz w:val="20"/>
          <w:szCs w:val="28"/>
        </w:rPr>
        <w:t>constructing</w:t>
      </w:r>
      <w:r w:rsidR="00700A18" w:rsidRPr="00490B2A">
        <w:rPr>
          <w:noProof/>
          <w:color w:val="000000" w:themeColor="text1"/>
          <w:sz w:val="20"/>
          <w:szCs w:val="28"/>
        </w:rPr>
        <w:t xml:space="preserve"> </w:t>
      </w:r>
      <w:r w:rsidRPr="00490B2A">
        <w:rPr>
          <w:noProof/>
          <w:color w:val="000000" w:themeColor="text1"/>
          <w:sz w:val="20"/>
          <w:szCs w:val="28"/>
        </w:rPr>
        <w:t>composite</w:t>
      </w:r>
      <w:r w:rsidR="00700A18" w:rsidRPr="00490B2A">
        <w:rPr>
          <w:noProof/>
          <w:color w:val="000000" w:themeColor="text1"/>
          <w:sz w:val="20"/>
          <w:szCs w:val="28"/>
        </w:rPr>
        <w:t xml:space="preserve"> </w:t>
      </w:r>
      <w:r w:rsidRPr="00490B2A">
        <w:rPr>
          <w:noProof/>
          <w:color w:val="000000" w:themeColor="text1"/>
          <w:sz w:val="20"/>
          <w:szCs w:val="28"/>
        </w:rPr>
        <w:t>indicators:</w:t>
      </w:r>
      <w:r w:rsidR="00700A18" w:rsidRPr="00490B2A">
        <w:rPr>
          <w:noProof/>
          <w:color w:val="000000" w:themeColor="text1"/>
          <w:sz w:val="20"/>
          <w:szCs w:val="28"/>
        </w:rPr>
        <w:t xml:space="preserve"> </w:t>
      </w:r>
      <w:r w:rsidRPr="00490B2A">
        <w:rPr>
          <w:noProof/>
          <w:color w:val="000000" w:themeColor="text1"/>
          <w:sz w:val="20"/>
          <w:szCs w:val="28"/>
        </w:rPr>
        <w:t>Methodology</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user</w:t>
      </w:r>
      <w:r w:rsidR="00700A18" w:rsidRPr="00490B2A">
        <w:rPr>
          <w:noProof/>
          <w:color w:val="000000" w:themeColor="text1"/>
          <w:sz w:val="20"/>
          <w:szCs w:val="28"/>
        </w:rPr>
        <w:t xml:space="preserve"> </w:t>
      </w:r>
      <w:r w:rsidRPr="00490B2A">
        <w:rPr>
          <w:noProof/>
          <w:color w:val="000000" w:themeColor="text1"/>
          <w:sz w:val="20"/>
          <w:szCs w:val="28"/>
        </w:rPr>
        <w:t>guide.</w:t>
      </w:r>
      <w:r w:rsidR="00700A18" w:rsidRPr="00490B2A">
        <w:rPr>
          <w:noProof/>
          <w:color w:val="000000" w:themeColor="text1"/>
          <w:sz w:val="20"/>
          <w:szCs w:val="28"/>
        </w:rPr>
        <w:t xml:space="preserve"> </w:t>
      </w:r>
      <w:r w:rsidRPr="00490B2A">
        <w:rPr>
          <w:noProof/>
          <w:color w:val="000000" w:themeColor="text1"/>
          <w:sz w:val="20"/>
          <w:szCs w:val="28"/>
        </w:rPr>
        <w:t>Organisation</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Economic</w:t>
      </w:r>
      <w:r w:rsidR="00700A18" w:rsidRPr="00490B2A">
        <w:rPr>
          <w:noProof/>
          <w:color w:val="000000" w:themeColor="text1"/>
          <w:sz w:val="20"/>
          <w:szCs w:val="28"/>
        </w:rPr>
        <w:t xml:space="preserve"> </w:t>
      </w:r>
      <w:r w:rsidRPr="00490B2A">
        <w:rPr>
          <w:noProof/>
          <w:color w:val="000000" w:themeColor="text1"/>
          <w:sz w:val="20"/>
          <w:szCs w:val="28"/>
        </w:rPr>
        <w:t>Co-Operation</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Development.</w:t>
      </w:r>
      <w:r w:rsidR="00700A18" w:rsidRPr="00490B2A">
        <w:rPr>
          <w:noProof/>
          <w:color w:val="000000" w:themeColor="text1"/>
          <w:sz w:val="20"/>
          <w:szCs w:val="28"/>
        </w:rPr>
        <w:t xml:space="preserve"> </w:t>
      </w:r>
      <w:r w:rsidRPr="00490B2A">
        <w:rPr>
          <w:noProof/>
          <w:color w:val="000000" w:themeColor="text1"/>
          <w:sz w:val="20"/>
          <w:szCs w:val="28"/>
        </w:rPr>
        <w:t>Retrieved</w:t>
      </w:r>
      <w:r w:rsidR="00700A18" w:rsidRPr="00490B2A">
        <w:rPr>
          <w:noProof/>
          <w:color w:val="000000" w:themeColor="text1"/>
          <w:sz w:val="20"/>
          <w:szCs w:val="28"/>
        </w:rPr>
        <w:t xml:space="preserve"> </w:t>
      </w:r>
      <w:r w:rsidRPr="00490B2A">
        <w:rPr>
          <w:noProof/>
          <w:color w:val="000000" w:themeColor="text1"/>
          <w:sz w:val="20"/>
          <w:szCs w:val="28"/>
        </w:rPr>
        <w:t>from</w:t>
      </w:r>
      <w:r w:rsidR="00700A18" w:rsidRPr="00490B2A">
        <w:rPr>
          <w:noProof/>
          <w:color w:val="000000" w:themeColor="text1"/>
          <w:sz w:val="20"/>
          <w:szCs w:val="28"/>
        </w:rPr>
        <w:t xml:space="preserve"> </w:t>
      </w:r>
      <w:r w:rsidRPr="00490B2A">
        <w:rPr>
          <w:noProof/>
          <w:color w:val="000000" w:themeColor="text1"/>
          <w:sz w:val="20"/>
          <w:szCs w:val="28"/>
        </w:rPr>
        <w:t>http://compositeindicators.jrc.ec.europa.eu/Handbook.htm%5Cnhttp://ideas.repec.org/p/oec/stdaaa/2005en.html%5Cnhttp://www.oecd.org/LongAbstract/0,3425,en_2649_33715_35231682_1_1_1_1,00.html</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Norris,</w:t>
      </w:r>
      <w:r w:rsidR="00700A18" w:rsidRPr="00490B2A">
        <w:rPr>
          <w:noProof/>
          <w:color w:val="000000" w:themeColor="text1"/>
          <w:sz w:val="20"/>
          <w:szCs w:val="28"/>
        </w:rPr>
        <w:t xml:space="preserve"> </w:t>
      </w:r>
      <w:r w:rsidRPr="00490B2A">
        <w:rPr>
          <w:noProof/>
          <w:color w:val="000000" w:themeColor="text1"/>
          <w:sz w:val="20"/>
          <w:szCs w:val="28"/>
        </w:rPr>
        <w:t>F.</w:t>
      </w:r>
      <w:r w:rsidR="00700A18" w:rsidRPr="00490B2A">
        <w:rPr>
          <w:noProof/>
          <w:color w:val="000000" w:themeColor="text1"/>
          <w:sz w:val="20"/>
          <w:szCs w:val="28"/>
        </w:rPr>
        <w:t xml:space="preserve"> </w:t>
      </w:r>
      <w:r w:rsidRPr="00490B2A">
        <w:rPr>
          <w:noProof/>
          <w:color w:val="000000" w:themeColor="text1"/>
          <w:sz w:val="20"/>
          <w:szCs w:val="28"/>
        </w:rPr>
        <w:t>H.,</w:t>
      </w:r>
      <w:r w:rsidR="00700A18" w:rsidRPr="00490B2A">
        <w:rPr>
          <w:noProof/>
          <w:color w:val="000000" w:themeColor="text1"/>
          <w:sz w:val="20"/>
          <w:szCs w:val="28"/>
        </w:rPr>
        <w:t xml:space="preserve"> </w:t>
      </w:r>
      <w:r w:rsidRPr="00490B2A">
        <w:rPr>
          <w:noProof/>
          <w:color w:val="000000" w:themeColor="text1"/>
          <w:sz w:val="20"/>
          <w:szCs w:val="28"/>
        </w:rPr>
        <w:t>Stevens,</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P.,</w:t>
      </w:r>
      <w:r w:rsidR="00700A18" w:rsidRPr="00490B2A">
        <w:rPr>
          <w:noProof/>
          <w:color w:val="000000" w:themeColor="text1"/>
          <w:sz w:val="20"/>
          <w:szCs w:val="28"/>
        </w:rPr>
        <w:t xml:space="preserve"> </w:t>
      </w:r>
      <w:r w:rsidRPr="00490B2A">
        <w:rPr>
          <w:noProof/>
          <w:color w:val="000000" w:themeColor="text1"/>
          <w:sz w:val="20"/>
          <w:szCs w:val="28"/>
        </w:rPr>
        <w:t>Pfefferbaum,</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Wyche,</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F.,</w:t>
      </w:r>
      <w:r w:rsidR="00700A18" w:rsidRPr="00490B2A">
        <w:rPr>
          <w:noProof/>
          <w:color w:val="000000" w:themeColor="text1"/>
          <w:sz w:val="20"/>
          <w:szCs w:val="28"/>
        </w:rPr>
        <w:t xml:space="preserve"> &amp; </w:t>
      </w:r>
      <w:r w:rsidRPr="00490B2A">
        <w:rPr>
          <w:noProof/>
          <w:color w:val="000000" w:themeColor="text1"/>
          <w:sz w:val="20"/>
          <w:szCs w:val="28"/>
        </w:rPr>
        <w:t>Pfefferbaum,</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(2008).</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as</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metaphor,</w:t>
      </w:r>
      <w:r w:rsidR="00700A18" w:rsidRPr="00490B2A">
        <w:rPr>
          <w:noProof/>
          <w:color w:val="000000" w:themeColor="text1"/>
          <w:sz w:val="20"/>
          <w:szCs w:val="28"/>
        </w:rPr>
        <w:t xml:space="preserve"> </w:t>
      </w:r>
      <w:r w:rsidRPr="00490B2A">
        <w:rPr>
          <w:noProof/>
          <w:color w:val="000000" w:themeColor="text1"/>
          <w:sz w:val="20"/>
          <w:szCs w:val="28"/>
        </w:rPr>
        <w:t>theory,</w:t>
      </w:r>
      <w:r w:rsidR="00700A18" w:rsidRPr="00490B2A">
        <w:rPr>
          <w:noProof/>
          <w:color w:val="000000" w:themeColor="text1"/>
          <w:sz w:val="20"/>
          <w:szCs w:val="28"/>
        </w:rPr>
        <w:t xml:space="preserve"> </w:t>
      </w:r>
      <w:r w:rsidRPr="00490B2A">
        <w:rPr>
          <w:noProof/>
          <w:color w:val="000000" w:themeColor="text1"/>
          <w:sz w:val="20"/>
          <w:szCs w:val="28"/>
        </w:rPr>
        <w:t>set</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capacities,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strategy</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readiness.</w:t>
      </w:r>
      <w:r w:rsidR="00700A18" w:rsidRPr="00490B2A">
        <w:rPr>
          <w:noProof/>
          <w:color w:val="000000" w:themeColor="text1"/>
          <w:sz w:val="20"/>
          <w:szCs w:val="28"/>
        </w:rPr>
        <w:t xml:space="preserve"> </w:t>
      </w:r>
      <w:r w:rsidRPr="00490B2A">
        <w:rPr>
          <w:i/>
          <w:iCs/>
          <w:noProof/>
          <w:color w:val="000000" w:themeColor="text1"/>
          <w:sz w:val="20"/>
          <w:szCs w:val="28"/>
        </w:rPr>
        <w:t>American</w:t>
      </w:r>
      <w:r w:rsidR="00700A18" w:rsidRPr="00490B2A">
        <w:rPr>
          <w:i/>
          <w:iCs/>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Community</w:t>
      </w:r>
      <w:r w:rsidR="00700A18" w:rsidRPr="00490B2A">
        <w:rPr>
          <w:i/>
          <w:iCs/>
          <w:noProof/>
          <w:color w:val="000000" w:themeColor="text1"/>
          <w:sz w:val="20"/>
          <w:szCs w:val="28"/>
        </w:rPr>
        <w:t xml:space="preserve"> </w:t>
      </w:r>
      <w:r w:rsidRPr="00490B2A">
        <w:rPr>
          <w:i/>
          <w:iCs/>
          <w:noProof/>
          <w:color w:val="000000" w:themeColor="text1"/>
          <w:sz w:val="20"/>
          <w:szCs w:val="28"/>
        </w:rPr>
        <w:t>Psychology</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41</w:t>
      </w:r>
      <w:r w:rsidRPr="00490B2A">
        <w:rPr>
          <w:noProof/>
          <w:color w:val="000000" w:themeColor="text1"/>
          <w:sz w:val="20"/>
          <w:szCs w:val="28"/>
        </w:rPr>
        <w:t>(1–2),</w:t>
      </w:r>
      <w:r w:rsidR="00700A18" w:rsidRPr="00490B2A">
        <w:rPr>
          <w:noProof/>
          <w:color w:val="000000" w:themeColor="text1"/>
          <w:sz w:val="20"/>
          <w:szCs w:val="28"/>
        </w:rPr>
        <w:t xml:space="preserve"> </w:t>
      </w:r>
      <w:r w:rsidRPr="00490B2A">
        <w:rPr>
          <w:noProof/>
          <w:color w:val="000000" w:themeColor="text1"/>
          <w:sz w:val="20"/>
          <w:szCs w:val="28"/>
        </w:rPr>
        <w:t>127–150.</w:t>
      </w:r>
      <w:r w:rsidR="00700A18" w:rsidRPr="00490B2A">
        <w:rPr>
          <w:noProof/>
          <w:color w:val="000000" w:themeColor="text1"/>
          <w:sz w:val="20"/>
          <w:szCs w:val="28"/>
        </w:rPr>
        <w:t xml:space="preserve"> </w:t>
      </w:r>
      <w:r w:rsidRPr="00490B2A">
        <w:rPr>
          <w:noProof/>
          <w:color w:val="000000" w:themeColor="text1"/>
          <w:sz w:val="20"/>
          <w:szCs w:val="28"/>
        </w:rPr>
        <w:t>https://doi.org/10.1007/s10464-007-9156-6</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Paton,</w:t>
      </w:r>
      <w:r w:rsidR="00700A18" w:rsidRPr="00490B2A">
        <w:rPr>
          <w:noProof/>
          <w:color w:val="000000" w:themeColor="text1"/>
          <w:sz w:val="20"/>
          <w:szCs w:val="28"/>
        </w:rPr>
        <w:t xml:space="preserve"> </w:t>
      </w:r>
      <w:r w:rsidRPr="00490B2A">
        <w:rPr>
          <w:noProof/>
          <w:color w:val="000000" w:themeColor="text1"/>
          <w:sz w:val="20"/>
          <w:szCs w:val="28"/>
        </w:rPr>
        <w:t>D.,</w:t>
      </w:r>
      <w:r w:rsidR="00700A18" w:rsidRPr="00490B2A">
        <w:rPr>
          <w:noProof/>
          <w:color w:val="000000" w:themeColor="text1"/>
          <w:sz w:val="20"/>
          <w:szCs w:val="28"/>
        </w:rPr>
        <w:t xml:space="preserve"> &amp; </w:t>
      </w:r>
      <w:r w:rsidRPr="00490B2A">
        <w:rPr>
          <w:noProof/>
          <w:color w:val="000000" w:themeColor="text1"/>
          <w:sz w:val="20"/>
          <w:szCs w:val="28"/>
        </w:rPr>
        <w:t>Johnston,</w:t>
      </w:r>
      <w:r w:rsidR="00700A18" w:rsidRPr="00490B2A">
        <w:rPr>
          <w:noProof/>
          <w:color w:val="000000" w:themeColor="text1"/>
          <w:sz w:val="20"/>
          <w:szCs w:val="28"/>
        </w:rPr>
        <w:t xml:space="preserve"> </w:t>
      </w:r>
      <w:r w:rsidRPr="00490B2A">
        <w:rPr>
          <w:noProof/>
          <w:color w:val="000000" w:themeColor="text1"/>
          <w:sz w:val="20"/>
          <w:szCs w:val="28"/>
        </w:rPr>
        <w:t>D.</w:t>
      </w:r>
      <w:r w:rsidR="00700A18" w:rsidRPr="00490B2A">
        <w:rPr>
          <w:noProof/>
          <w:color w:val="000000" w:themeColor="text1"/>
          <w:sz w:val="20"/>
          <w:szCs w:val="28"/>
        </w:rPr>
        <w:t xml:space="preserve"> </w:t>
      </w:r>
      <w:r w:rsidRPr="00490B2A">
        <w:rPr>
          <w:noProof/>
          <w:color w:val="000000" w:themeColor="text1"/>
          <w:sz w:val="20"/>
          <w:szCs w:val="28"/>
        </w:rPr>
        <w:t>(2001).</w:t>
      </w:r>
      <w:r w:rsidR="00700A18" w:rsidRPr="00490B2A">
        <w:rPr>
          <w:noProof/>
          <w:color w:val="000000" w:themeColor="text1"/>
          <w:sz w:val="20"/>
          <w:szCs w:val="28"/>
        </w:rPr>
        <w:t xml:space="preserve"> </w:t>
      </w:r>
      <w:r w:rsidRPr="00490B2A">
        <w:rPr>
          <w:noProof/>
          <w:color w:val="000000" w:themeColor="text1"/>
          <w:sz w:val="20"/>
          <w:szCs w:val="28"/>
        </w:rPr>
        <w:t>Disasters</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lastRenderedPageBreak/>
        <w:t>communities:</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preparedness.</w:t>
      </w:r>
      <w:r w:rsidR="00700A18" w:rsidRPr="00490B2A">
        <w:rPr>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Prevention</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Management:</w:t>
      </w:r>
      <w:r w:rsidR="00700A18" w:rsidRPr="00490B2A">
        <w:rPr>
          <w:i/>
          <w:iCs/>
          <w:noProof/>
          <w:color w:val="000000" w:themeColor="text1"/>
          <w:sz w:val="20"/>
          <w:szCs w:val="28"/>
        </w:rPr>
        <w:t xml:space="preserve"> </w:t>
      </w:r>
      <w:r w:rsidRPr="00490B2A">
        <w:rPr>
          <w:i/>
          <w:iCs/>
          <w:noProof/>
          <w:color w:val="000000" w:themeColor="text1"/>
          <w:sz w:val="20"/>
          <w:szCs w:val="28"/>
        </w:rPr>
        <w:t>An</w:t>
      </w:r>
      <w:r w:rsidR="00700A18" w:rsidRPr="00490B2A">
        <w:rPr>
          <w:i/>
          <w:iCs/>
          <w:noProof/>
          <w:color w:val="000000" w:themeColor="text1"/>
          <w:sz w:val="20"/>
          <w:szCs w:val="28"/>
        </w:rPr>
        <w:t xml:space="preserve"> </w:t>
      </w:r>
      <w:r w:rsidRPr="00490B2A">
        <w:rPr>
          <w:i/>
          <w:iCs/>
          <w:noProof/>
          <w:color w:val="000000" w:themeColor="text1"/>
          <w:sz w:val="20"/>
          <w:szCs w:val="28"/>
        </w:rPr>
        <w:t>International</w:t>
      </w:r>
      <w:r w:rsidR="00700A18" w:rsidRPr="00490B2A">
        <w:rPr>
          <w:i/>
          <w:iCs/>
          <w:noProof/>
          <w:color w:val="000000" w:themeColor="text1"/>
          <w:sz w:val="20"/>
          <w:szCs w:val="28"/>
        </w:rPr>
        <w:t xml:space="preserve"> </w:t>
      </w:r>
      <w:r w:rsidRPr="00490B2A">
        <w:rPr>
          <w:i/>
          <w:iCs/>
          <w:noProof/>
          <w:color w:val="000000" w:themeColor="text1"/>
          <w:sz w:val="20"/>
          <w:szCs w:val="28"/>
        </w:rPr>
        <w:t>Journal</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10</w:t>
      </w:r>
      <w:r w:rsidRPr="00490B2A">
        <w:rPr>
          <w:noProof/>
          <w:color w:val="000000" w:themeColor="text1"/>
          <w:sz w:val="20"/>
          <w:szCs w:val="28"/>
        </w:rPr>
        <w:t>(4),</w:t>
      </w:r>
      <w:r w:rsidR="00700A18" w:rsidRPr="00490B2A">
        <w:rPr>
          <w:noProof/>
          <w:color w:val="000000" w:themeColor="text1"/>
          <w:sz w:val="20"/>
          <w:szCs w:val="28"/>
        </w:rPr>
        <w:t xml:space="preserve"> </w:t>
      </w:r>
      <w:r w:rsidRPr="00490B2A">
        <w:rPr>
          <w:noProof/>
          <w:color w:val="000000" w:themeColor="text1"/>
          <w:sz w:val="20"/>
          <w:szCs w:val="28"/>
        </w:rPr>
        <w:t>270–277.</w:t>
      </w:r>
      <w:r w:rsidR="00700A18" w:rsidRPr="00490B2A">
        <w:rPr>
          <w:noProof/>
          <w:color w:val="000000" w:themeColor="text1"/>
          <w:sz w:val="20"/>
          <w:szCs w:val="28"/>
        </w:rPr>
        <w:t xml:space="preserve"> </w:t>
      </w:r>
      <w:r w:rsidRPr="00490B2A">
        <w:rPr>
          <w:noProof/>
          <w:color w:val="000000" w:themeColor="text1"/>
          <w:sz w:val="20"/>
          <w:szCs w:val="28"/>
        </w:rPr>
        <w:t>https://doi.org/10.1108/EUM0000000005930</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Tierney,</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Lindell,</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Perry,</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Tierney,</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Lindell,</w:t>
      </w:r>
      <w:r w:rsidR="00700A18" w:rsidRPr="00490B2A">
        <w:rPr>
          <w:noProof/>
          <w:color w:val="000000" w:themeColor="text1"/>
          <w:sz w:val="20"/>
          <w:szCs w:val="28"/>
        </w:rPr>
        <w:t xml:space="preserve"> </w:t>
      </w:r>
      <w:r w:rsidRPr="00490B2A">
        <w:rPr>
          <w:noProof/>
          <w:color w:val="000000" w:themeColor="text1"/>
          <w:sz w:val="20"/>
          <w:szCs w:val="28"/>
        </w:rPr>
        <w:t>M.</w:t>
      </w:r>
      <w:r w:rsidR="00700A18" w:rsidRPr="00490B2A">
        <w:rPr>
          <w:noProof/>
          <w:color w:val="000000" w:themeColor="text1"/>
          <w:sz w:val="20"/>
          <w:szCs w:val="28"/>
        </w:rPr>
        <w:t xml:space="preserve"> </w:t>
      </w:r>
      <w:r w:rsidRPr="00490B2A">
        <w:rPr>
          <w:noProof/>
          <w:color w:val="000000" w:themeColor="text1"/>
          <w:sz w:val="20"/>
          <w:szCs w:val="28"/>
        </w:rPr>
        <w:t>K.,</w:t>
      </w:r>
      <w:r w:rsidR="00700A18" w:rsidRPr="00490B2A">
        <w:rPr>
          <w:noProof/>
          <w:color w:val="000000" w:themeColor="text1"/>
          <w:sz w:val="20"/>
          <w:szCs w:val="28"/>
        </w:rPr>
        <w:t xml:space="preserve"> </w:t>
      </w:r>
      <w:r w:rsidRPr="00490B2A">
        <w:rPr>
          <w:noProof/>
          <w:color w:val="000000" w:themeColor="text1"/>
          <w:sz w:val="20"/>
          <w:szCs w:val="28"/>
        </w:rPr>
        <w:t>Perry,</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&amp; </w:t>
      </w:r>
      <w:r w:rsidRPr="00490B2A">
        <w:rPr>
          <w:noProof/>
          <w:color w:val="000000" w:themeColor="text1"/>
          <w:sz w:val="20"/>
          <w:szCs w:val="28"/>
        </w:rPr>
        <w:t>Press,</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H.</w:t>
      </w:r>
      <w:r w:rsidR="00700A18" w:rsidRPr="00490B2A">
        <w:rPr>
          <w:noProof/>
          <w:color w:val="000000" w:themeColor="text1"/>
          <w:sz w:val="20"/>
          <w:szCs w:val="28"/>
        </w:rPr>
        <w:t xml:space="preserve"> </w:t>
      </w:r>
      <w:r w:rsidRPr="00490B2A">
        <w:rPr>
          <w:noProof/>
          <w:color w:val="000000" w:themeColor="text1"/>
          <w:sz w:val="20"/>
          <w:szCs w:val="28"/>
        </w:rPr>
        <w:t>(2001).</w:t>
      </w:r>
      <w:r w:rsidR="00700A18" w:rsidRPr="00490B2A">
        <w:rPr>
          <w:noProof/>
          <w:color w:val="000000" w:themeColor="text1"/>
          <w:sz w:val="20"/>
          <w:szCs w:val="28"/>
        </w:rPr>
        <w:t xml:space="preserve"> </w:t>
      </w:r>
      <w:r w:rsidRPr="00490B2A">
        <w:rPr>
          <w:i/>
          <w:iCs/>
          <w:noProof/>
          <w:color w:val="000000" w:themeColor="text1"/>
          <w:sz w:val="20"/>
          <w:szCs w:val="28"/>
        </w:rPr>
        <w:t>Facing</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Unexpected:</w:t>
      </w:r>
      <w:r w:rsidR="00700A18" w:rsidRPr="00490B2A">
        <w:rPr>
          <w:i/>
          <w:iCs/>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Preparedness</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Response</w:t>
      </w:r>
      <w:r w:rsidR="00700A18" w:rsidRPr="00490B2A">
        <w:rPr>
          <w:i/>
          <w:iCs/>
          <w:noProof/>
          <w:color w:val="000000" w:themeColor="text1"/>
          <w:sz w:val="20"/>
          <w:szCs w:val="28"/>
        </w:rPr>
        <w:t xml:space="preserve"> </w:t>
      </w:r>
      <w:r w:rsidRPr="00490B2A">
        <w:rPr>
          <w:i/>
          <w:iCs/>
          <w:noProof/>
          <w:color w:val="000000" w:themeColor="text1"/>
          <w:sz w:val="20"/>
          <w:szCs w:val="28"/>
        </w:rPr>
        <w:t>in</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United</w:t>
      </w:r>
      <w:r w:rsidR="00700A18" w:rsidRPr="00490B2A">
        <w:rPr>
          <w:i/>
          <w:iCs/>
          <w:noProof/>
          <w:color w:val="000000" w:themeColor="text1"/>
          <w:sz w:val="20"/>
          <w:szCs w:val="28"/>
        </w:rPr>
        <w:t xml:space="preserve"> </w:t>
      </w:r>
      <w:r w:rsidRPr="00490B2A">
        <w:rPr>
          <w:i/>
          <w:iCs/>
          <w:noProof/>
          <w:color w:val="000000" w:themeColor="text1"/>
          <w:sz w:val="20"/>
          <w:szCs w:val="28"/>
        </w:rPr>
        <w:t>States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Natural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Disasters</w:t>
      </w:r>
      <w:r w:rsidR="00700A18" w:rsidRPr="00490B2A">
        <w:rPr>
          <w:noProof/>
          <w:color w:val="000000" w:themeColor="text1"/>
          <w:sz w:val="20"/>
          <w:szCs w:val="28"/>
        </w:rPr>
        <w:t xml:space="preserve"> </w:t>
      </w:r>
      <w:r w:rsidRPr="00490B2A">
        <w:rPr>
          <w:noProof/>
          <w:color w:val="000000" w:themeColor="text1"/>
          <w:sz w:val="20"/>
          <w:szCs w:val="28"/>
        </w:rPr>
        <w:t>(Vol.</w:t>
      </w:r>
      <w:r w:rsidR="00700A18" w:rsidRPr="00490B2A">
        <w:rPr>
          <w:noProof/>
          <w:color w:val="000000" w:themeColor="text1"/>
          <w:sz w:val="20"/>
          <w:szCs w:val="28"/>
        </w:rPr>
        <w:t xml:space="preserve"> </w:t>
      </w:r>
      <w:r w:rsidRPr="00490B2A">
        <w:rPr>
          <w:noProof/>
          <w:color w:val="000000" w:themeColor="text1"/>
          <w:sz w:val="20"/>
          <w:szCs w:val="28"/>
        </w:rPr>
        <w:t>2001).</w:t>
      </w:r>
      <w:r w:rsidR="00700A18" w:rsidRPr="00490B2A">
        <w:rPr>
          <w:noProof/>
          <w:color w:val="000000" w:themeColor="text1"/>
          <w:sz w:val="20"/>
          <w:szCs w:val="28"/>
        </w:rPr>
        <w:t xml:space="preserve"> </w:t>
      </w:r>
      <w:r w:rsidRPr="00490B2A">
        <w:rPr>
          <w:noProof/>
          <w:color w:val="000000" w:themeColor="text1"/>
          <w:sz w:val="20"/>
          <w:szCs w:val="28"/>
        </w:rPr>
        <w:t>https://doi.org/10.17226/9834</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Tobin,</w:t>
      </w:r>
      <w:r w:rsidR="00700A18" w:rsidRPr="00490B2A">
        <w:rPr>
          <w:noProof/>
          <w:color w:val="000000" w:themeColor="text1"/>
          <w:sz w:val="20"/>
          <w:szCs w:val="28"/>
        </w:rPr>
        <w:t xml:space="preserve"> </w:t>
      </w:r>
      <w:r w:rsidRPr="00490B2A">
        <w:rPr>
          <w:noProof/>
          <w:color w:val="000000" w:themeColor="text1"/>
          <w:sz w:val="20"/>
          <w:szCs w:val="28"/>
        </w:rPr>
        <w:t>G.</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(1999).</w:t>
      </w:r>
      <w:r w:rsidR="00700A18" w:rsidRPr="00490B2A">
        <w:rPr>
          <w:noProof/>
          <w:color w:val="000000" w:themeColor="text1"/>
          <w:sz w:val="20"/>
          <w:szCs w:val="28"/>
        </w:rPr>
        <w:t xml:space="preserve"> </w:t>
      </w:r>
      <w:r w:rsidRPr="00490B2A">
        <w:rPr>
          <w:noProof/>
          <w:color w:val="000000" w:themeColor="text1"/>
          <w:sz w:val="20"/>
          <w:szCs w:val="28"/>
        </w:rPr>
        <w:t>Sustainability</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holy</w:t>
      </w:r>
      <w:r w:rsidR="00700A18" w:rsidRPr="00490B2A">
        <w:rPr>
          <w:noProof/>
          <w:color w:val="000000" w:themeColor="text1"/>
          <w:sz w:val="20"/>
          <w:szCs w:val="28"/>
        </w:rPr>
        <w:t xml:space="preserve"> </w:t>
      </w:r>
      <w:r w:rsidRPr="00490B2A">
        <w:rPr>
          <w:noProof/>
          <w:color w:val="000000" w:themeColor="text1"/>
          <w:sz w:val="20"/>
          <w:szCs w:val="28"/>
        </w:rPr>
        <w:t>grail</w:t>
      </w:r>
      <w:r w:rsidR="00700A18" w:rsidRPr="00490B2A">
        <w:rPr>
          <w:noProof/>
          <w:color w:val="000000" w:themeColor="text1"/>
          <w:sz w:val="20"/>
          <w:szCs w:val="28"/>
        </w:rPr>
        <w:t xml:space="preserve"> </w:t>
      </w:r>
      <w:r w:rsidRPr="00490B2A">
        <w:rPr>
          <w:noProof/>
          <w:color w:val="000000" w:themeColor="text1"/>
          <w:sz w:val="20"/>
          <w:szCs w:val="28"/>
        </w:rPr>
        <w:t>of</w:t>
      </w:r>
      <w:r w:rsidR="00700A18" w:rsidRPr="00490B2A">
        <w:rPr>
          <w:noProof/>
          <w:color w:val="000000" w:themeColor="text1"/>
          <w:sz w:val="20"/>
          <w:szCs w:val="28"/>
        </w:rPr>
        <w:t xml:space="preserve"> </w:t>
      </w:r>
      <w:r w:rsidRPr="00490B2A">
        <w:rPr>
          <w:noProof/>
          <w:color w:val="000000" w:themeColor="text1"/>
          <w:sz w:val="20"/>
          <w:szCs w:val="28"/>
        </w:rPr>
        <w:t>hazards</w:t>
      </w:r>
      <w:r w:rsidR="00700A18" w:rsidRPr="00490B2A">
        <w:rPr>
          <w:noProof/>
          <w:color w:val="000000" w:themeColor="text1"/>
          <w:sz w:val="20"/>
          <w:szCs w:val="28"/>
        </w:rPr>
        <w:t xml:space="preserve"> </w:t>
      </w:r>
      <w:r w:rsidRPr="00490B2A">
        <w:rPr>
          <w:noProof/>
          <w:color w:val="000000" w:themeColor="text1"/>
          <w:sz w:val="20"/>
          <w:szCs w:val="28"/>
        </w:rPr>
        <w:t>planning?</w:t>
      </w:r>
      <w:r w:rsidR="00700A18" w:rsidRPr="00490B2A">
        <w:rPr>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w:t>
      </w:r>
      <w:r w:rsidRPr="00490B2A">
        <w:rPr>
          <w:noProof/>
          <w:color w:val="000000" w:themeColor="text1"/>
          <w:sz w:val="20"/>
          <w:szCs w:val="28"/>
        </w:rPr>
        <w:t>(1),</w:t>
      </w:r>
      <w:r w:rsidR="00700A18" w:rsidRPr="00490B2A">
        <w:rPr>
          <w:noProof/>
          <w:color w:val="000000" w:themeColor="text1"/>
          <w:sz w:val="20"/>
          <w:szCs w:val="28"/>
        </w:rPr>
        <w:t xml:space="preserve"> </w:t>
      </w:r>
      <w:r w:rsidRPr="00490B2A">
        <w:rPr>
          <w:noProof/>
          <w:color w:val="000000" w:themeColor="text1"/>
          <w:sz w:val="20"/>
          <w:szCs w:val="28"/>
        </w:rPr>
        <w:t>13–25.</w:t>
      </w:r>
      <w:r w:rsidR="00700A18" w:rsidRPr="00490B2A">
        <w:rPr>
          <w:noProof/>
          <w:color w:val="000000" w:themeColor="text1"/>
          <w:sz w:val="20"/>
          <w:szCs w:val="28"/>
        </w:rPr>
        <w:t xml:space="preserve"> </w:t>
      </w:r>
      <w:r w:rsidRPr="00490B2A">
        <w:rPr>
          <w:noProof/>
          <w:color w:val="000000" w:themeColor="text1"/>
          <w:sz w:val="20"/>
          <w:szCs w:val="28"/>
        </w:rPr>
        <w:t>https://doi.org/10.3763/ehaz.1999.0103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Turner,</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(2010).</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resilience:</w:t>
      </w:r>
      <w:r w:rsidR="00700A18" w:rsidRPr="00490B2A">
        <w:rPr>
          <w:noProof/>
          <w:color w:val="000000" w:themeColor="text1"/>
          <w:sz w:val="20"/>
          <w:szCs w:val="28"/>
        </w:rPr>
        <w:t xml:space="preserve"> </w:t>
      </w:r>
      <w:r w:rsidRPr="00490B2A">
        <w:rPr>
          <w:noProof/>
          <w:color w:val="000000" w:themeColor="text1"/>
          <w:sz w:val="20"/>
          <w:szCs w:val="28"/>
        </w:rPr>
        <w:t>Coalescing</w:t>
      </w:r>
      <w:r w:rsidR="00700A18" w:rsidRPr="00490B2A">
        <w:rPr>
          <w:noProof/>
          <w:color w:val="000000" w:themeColor="text1"/>
          <w:sz w:val="20"/>
          <w:szCs w:val="28"/>
        </w:rPr>
        <w:t xml:space="preserve"> </w:t>
      </w:r>
      <w:r w:rsidRPr="00490B2A">
        <w:rPr>
          <w:noProof/>
          <w:color w:val="000000" w:themeColor="text1"/>
          <w:sz w:val="20"/>
          <w:szCs w:val="28"/>
        </w:rPr>
        <w:t>or</w:t>
      </w:r>
      <w:r w:rsidR="00700A18" w:rsidRPr="00490B2A">
        <w:rPr>
          <w:noProof/>
          <w:color w:val="000000" w:themeColor="text1"/>
          <w:sz w:val="20"/>
          <w:szCs w:val="28"/>
        </w:rPr>
        <w:t xml:space="preserve"> </w:t>
      </w:r>
      <w:r w:rsidRPr="00490B2A">
        <w:rPr>
          <w:noProof/>
          <w:color w:val="000000" w:themeColor="text1"/>
          <w:sz w:val="20"/>
          <w:szCs w:val="28"/>
        </w:rPr>
        <w:t>paralleling</w:t>
      </w:r>
      <w:r w:rsidR="00700A18" w:rsidRPr="00490B2A">
        <w:rPr>
          <w:noProof/>
          <w:color w:val="000000" w:themeColor="text1"/>
          <w:sz w:val="20"/>
          <w:szCs w:val="28"/>
        </w:rPr>
        <w:t xml:space="preserve"> </w:t>
      </w:r>
      <w:r w:rsidRPr="00490B2A">
        <w:rPr>
          <w:noProof/>
          <w:color w:val="000000" w:themeColor="text1"/>
          <w:sz w:val="20"/>
          <w:szCs w:val="28"/>
        </w:rPr>
        <w:t>approaches</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sustainability</w:t>
      </w:r>
      <w:r w:rsidR="00700A18" w:rsidRPr="00490B2A">
        <w:rPr>
          <w:noProof/>
          <w:color w:val="000000" w:themeColor="text1"/>
          <w:sz w:val="20"/>
          <w:szCs w:val="28"/>
        </w:rPr>
        <w:t xml:space="preserve"> </w:t>
      </w:r>
      <w:r w:rsidRPr="00490B2A">
        <w:rPr>
          <w:noProof/>
          <w:color w:val="000000" w:themeColor="text1"/>
          <w:sz w:val="20"/>
          <w:szCs w:val="28"/>
        </w:rPr>
        <w:t>science?</w:t>
      </w:r>
      <w:r w:rsidR="00700A18" w:rsidRPr="00490B2A">
        <w:rPr>
          <w:noProof/>
          <w:color w:val="000000" w:themeColor="text1"/>
          <w:sz w:val="20"/>
          <w:szCs w:val="28"/>
        </w:rPr>
        <w:t xml:space="preserve"> </w:t>
      </w:r>
      <w:r w:rsidRPr="00490B2A">
        <w:rPr>
          <w:i/>
          <w:iCs/>
          <w:noProof/>
          <w:color w:val="000000" w:themeColor="text1"/>
          <w:sz w:val="20"/>
          <w:szCs w:val="28"/>
        </w:rPr>
        <w:t>Global</w:t>
      </w:r>
      <w:r w:rsidR="00700A18" w:rsidRPr="00490B2A">
        <w:rPr>
          <w:i/>
          <w:iCs/>
          <w:noProof/>
          <w:color w:val="000000" w:themeColor="text1"/>
          <w:sz w:val="20"/>
          <w:szCs w:val="28"/>
        </w:rPr>
        <w:t xml:space="preserve"> </w:t>
      </w:r>
      <w:r w:rsidRPr="00490B2A">
        <w:rPr>
          <w:i/>
          <w:iCs/>
          <w:noProof/>
          <w:color w:val="000000" w:themeColor="text1"/>
          <w:sz w:val="20"/>
          <w:szCs w:val="28"/>
        </w:rPr>
        <w:t>Environmental</w:t>
      </w:r>
      <w:r w:rsidR="00700A18" w:rsidRPr="00490B2A">
        <w:rPr>
          <w:i/>
          <w:iCs/>
          <w:noProof/>
          <w:color w:val="000000" w:themeColor="text1"/>
          <w:sz w:val="20"/>
          <w:szCs w:val="28"/>
        </w:rPr>
        <w:t xml:space="preserve"> </w:t>
      </w:r>
      <w:r w:rsidRPr="00490B2A">
        <w:rPr>
          <w:i/>
          <w:iCs/>
          <w:noProof/>
          <w:color w:val="000000" w:themeColor="text1"/>
          <w:sz w:val="20"/>
          <w:szCs w:val="28"/>
        </w:rPr>
        <w:t>Change</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20</w:t>
      </w:r>
      <w:r w:rsidRPr="00490B2A">
        <w:rPr>
          <w:noProof/>
          <w:color w:val="000000" w:themeColor="text1"/>
          <w:sz w:val="20"/>
          <w:szCs w:val="28"/>
        </w:rPr>
        <w:t>(4),</w:t>
      </w:r>
      <w:r w:rsidR="00700A18" w:rsidRPr="00490B2A">
        <w:rPr>
          <w:noProof/>
          <w:color w:val="000000" w:themeColor="text1"/>
          <w:sz w:val="20"/>
          <w:szCs w:val="28"/>
        </w:rPr>
        <w:t xml:space="preserve"> </w:t>
      </w:r>
      <w:r w:rsidRPr="00490B2A">
        <w:rPr>
          <w:noProof/>
          <w:color w:val="000000" w:themeColor="text1"/>
          <w:sz w:val="20"/>
          <w:szCs w:val="28"/>
        </w:rPr>
        <w:t>570–576.</w:t>
      </w:r>
      <w:r w:rsidR="00700A18" w:rsidRPr="00490B2A">
        <w:rPr>
          <w:noProof/>
          <w:color w:val="000000" w:themeColor="text1"/>
          <w:sz w:val="20"/>
          <w:szCs w:val="28"/>
        </w:rPr>
        <w:t xml:space="preserve"> </w:t>
      </w:r>
      <w:r w:rsidRPr="00490B2A">
        <w:rPr>
          <w:noProof/>
          <w:color w:val="000000" w:themeColor="text1"/>
          <w:sz w:val="20"/>
          <w:szCs w:val="28"/>
        </w:rPr>
        <w:t>https://doi.org/10.1016/j.gloenvcha.2010.07.003</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Turner,</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Matson,</w:t>
      </w:r>
      <w:r w:rsidR="00700A18" w:rsidRPr="00490B2A">
        <w:rPr>
          <w:noProof/>
          <w:color w:val="000000" w:themeColor="text1"/>
          <w:sz w:val="20"/>
          <w:szCs w:val="28"/>
        </w:rPr>
        <w:t xml:space="preserve"> </w:t>
      </w:r>
      <w:r w:rsidRPr="00490B2A">
        <w:rPr>
          <w:noProof/>
          <w:color w:val="000000" w:themeColor="text1"/>
          <w:sz w:val="20"/>
          <w:szCs w:val="28"/>
        </w:rPr>
        <w:t>P.</w:t>
      </w:r>
      <w:r w:rsidR="00700A18" w:rsidRPr="00490B2A">
        <w:rPr>
          <w:noProof/>
          <w:color w:val="000000" w:themeColor="text1"/>
          <w:sz w:val="20"/>
          <w:szCs w:val="28"/>
        </w:rPr>
        <w:t xml:space="preserve"> </w:t>
      </w:r>
      <w:r w:rsidRPr="00490B2A">
        <w:rPr>
          <w:noProof/>
          <w:color w:val="000000" w:themeColor="text1"/>
          <w:sz w:val="20"/>
          <w:szCs w:val="28"/>
        </w:rPr>
        <w:t>A.,</w:t>
      </w:r>
      <w:r w:rsidR="00700A18" w:rsidRPr="00490B2A">
        <w:rPr>
          <w:noProof/>
          <w:color w:val="000000" w:themeColor="text1"/>
          <w:sz w:val="20"/>
          <w:szCs w:val="28"/>
        </w:rPr>
        <w:t xml:space="preserve"> </w:t>
      </w:r>
      <w:r w:rsidRPr="00490B2A">
        <w:rPr>
          <w:noProof/>
          <w:color w:val="000000" w:themeColor="text1"/>
          <w:sz w:val="20"/>
          <w:szCs w:val="28"/>
        </w:rPr>
        <w:t>McCarthy,</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Corell,</w:t>
      </w:r>
      <w:r w:rsidR="00700A18" w:rsidRPr="00490B2A">
        <w:rPr>
          <w:noProof/>
          <w:color w:val="000000" w:themeColor="text1"/>
          <w:sz w:val="20"/>
          <w:szCs w:val="28"/>
        </w:rPr>
        <w:t xml:space="preserve"> </w:t>
      </w:r>
      <w:r w:rsidRPr="00490B2A">
        <w:rPr>
          <w:noProof/>
          <w:color w:val="000000" w:themeColor="text1"/>
          <w:sz w:val="20"/>
          <w:szCs w:val="28"/>
        </w:rPr>
        <w:t>R.</w:t>
      </w:r>
      <w:r w:rsidR="00700A18" w:rsidRPr="00490B2A">
        <w:rPr>
          <w:noProof/>
          <w:color w:val="000000" w:themeColor="text1"/>
          <w:sz w:val="20"/>
          <w:szCs w:val="28"/>
        </w:rPr>
        <w:t xml:space="preserve"> </w:t>
      </w:r>
      <w:r w:rsidRPr="00490B2A">
        <w:rPr>
          <w:noProof/>
          <w:color w:val="000000" w:themeColor="text1"/>
          <w:sz w:val="20"/>
          <w:szCs w:val="28"/>
        </w:rPr>
        <w:t>W.,</w:t>
      </w:r>
      <w:r w:rsidR="00700A18" w:rsidRPr="00490B2A">
        <w:rPr>
          <w:noProof/>
          <w:color w:val="000000" w:themeColor="text1"/>
          <w:sz w:val="20"/>
          <w:szCs w:val="28"/>
        </w:rPr>
        <w:t xml:space="preserve"> </w:t>
      </w:r>
      <w:r w:rsidRPr="00490B2A">
        <w:rPr>
          <w:noProof/>
          <w:color w:val="000000" w:themeColor="text1"/>
          <w:sz w:val="20"/>
          <w:szCs w:val="28"/>
        </w:rPr>
        <w:t>Christensen,</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Eckley,</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Tyler,</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(2003).</w:t>
      </w:r>
      <w:r w:rsidR="00700A18" w:rsidRPr="00490B2A">
        <w:rPr>
          <w:noProof/>
          <w:color w:val="000000" w:themeColor="text1"/>
          <w:sz w:val="20"/>
          <w:szCs w:val="28"/>
        </w:rPr>
        <w:t xml:space="preserve"> </w:t>
      </w:r>
      <w:r w:rsidRPr="00490B2A">
        <w:rPr>
          <w:noProof/>
          <w:color w:val="000000" w:themeColor="text1"/>
          <w:sz w:val="20"/>
          <w:szCs w:val="28"/>
        </w:rPr>
        <w:t>Illustrating</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coupled</w:t>
      </w:r>
      <w:r w:rsidR="00700A18" w:rsidRPr="00490B2A">
        <w:rPr>
          <w:noProof/>
          <w:color w:val="000000" w:themeColor="text1"/>
          <w:sz w:val="20"/>
          <w:szCs w:val="28"/>
        </w:rPr>
        <w:t xml:space="preserve"> </w:t>
      </w:r>
      <w:r w:rsidRPr="00490B2A">
        <w:rPr>
          <w:noProof/>
          <w:color w:val="000000" w:themeColor="text1"/>
          <w:sz w:val="20"/>
          <w:szCs w:val="28"/>
        </w:rPr>
        <w:t>human-environment</w:t>
      </w:r>
      <w:r w:rsidR="00700A18" w:rsidRPr="00490B2A">
        <w:rPr>
          <w:noProof/>
          <w:color w:val="000000" w:themeColor="text1"/>
          <w:sz w:val="20"/>
          <w:szCs w:val="28"/>
        </w:rPr>
        <w:t xml:space="preserve"> </w:t>
      </w:r>
      <w:r w:rsidRPr="00490B2A">
        <w:rPr>
          <w:noProof/>
          <w:color w:val="000000" w:themeColor="text1"/>
          <w:sz w:val="20"/>
          <w:szCs w:val="28"/>
        </w:rPr>
        <w:t>system</w:t>
      </w:r>
      <w:r w:rsidR="00700A18" w:rsidRPr="00490B2A">
        <w:rPr>
          <w:noProof/>
          <w:color w:val="000000" w:themeColor="text1"/>
          <w:sz w:val="20"/>
          <w:szCs w:val="28"/>
        </w:rPr>
        <w:t xml:space="preserve"> </w:t>
      </w:r>
      <w:r w:rsidRPr="00490B2A">
        <w:rPr>
          <w:noProof/>
          <w:color w:val="000000" w:themeColor="text1"/>
          <w:sz w:val="20"/>
          <w:szCs w:val="28"/>
        </w:rPr>
        <w:t>for</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analysis:</w:t>
      </w:r>
      <w:r w:rsidR="00700A18" w:rsidRPr="00490B2A">
        <w:rPr>
          <w:noProof/>
          <w:color w:val="000000" w:themeColor="text1"/>
          <w:sz w:val="20"/>
          <w:szCs w:val="28"/>
        </w:rPr>
        <w:t xml:space="preserve"> </w:t>
      </w:r>
      <w:r w:rsidRPr="00490B2A">
        <w:rPr>
          <w:noProof/>
          <w:color w:val="000000" w:themeColor="text1"/>
          <w:sz w:val="20"/>
          <w:szCs w:val="28"/>
        </w:rPr>
        <w:t>Three</w:t>
      </w:r>
      <w:r w:rsidR="00700A18" w:rsidRPr="00490B2A">
        <w:rPr>
          <w:noProof/>
          <w:color w:val="000000" w:themeColor="text1"/>
          <w:sz w:val="20"/>
          <w:szCs w:val="28"/>
        </w:rPr>
        <w:t xml:space="preserve"> </w:t>
      </w:r>
      <w:r w:rsidRPr="00490B2A">
        <w:rPr>
          <w:noProof/>
          <w:color w:val="000000" w:themeColor="text1"/>
          <w:sz w:val="20"/>
          <w:szCs w:val="28"/>
        </w:rPr>
        <w:t>case</w:t>
      </w:r>
      <w:r w:rsidR="00700A18" w:rsidRPr="00490B2A">
        <w:rPr>
          <w:noProof/>
          <w:color w:val="000000" w:themeColor="text1"/>
          <w:sz w:val="20"/>
          <w:szCs w:val="28"/>
        </w:rPr>
        <w:t xml:space="preserve"> </w:t>
      </w:r>
      <w:r w:rsidRPr="00490B2A">
        <w:rPr>
          <w:noProof/>
          <w:color w:val="000000" w:themeColor="text1"/>
          <w:sz w:val="20"/>
          <w:szCs w:val="28"/>
        </w:rPr>
        <w:t>studies.</w:t>
      </w:r>
      <w:r w:rsidR="00700A18" w:rsidRPr="00490B2A">
        <w:rPr>
          <w:noProof/>
          <w:color w:val="000000" w:themeColor="text1"/>
          <w:sz w:val="20"/>
          <w:szCs w:val="28"/>
        </w:rPr>
        <w:t xml:space="preserve"> </w:t>
      </w:r>
      <w:r w:rsidRPr="00490B2A">
        <w:rPr>
          <w:i/>
          <w:iCs/>
          <w:noProof/>
          <w:color w:val="000000" w:themeColor="text1"/>
          <w:sz w:val="20"/>
          <w:szCs w:val="28"/>
        </w:rPr>
        <w:t>Proceedings</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the</w:t>
      </w:r>
      <w:r w:rsidR="00700A18" w:rsidRPr="00490B2A">
        <w:rPr>
          <w:i/>
          <w:iCs/>
          <w:noProof/>
          <w:color w:val="000000" w:themeColor="text1"/>
          <w:sz w:val="20"/>
          <w:szCs w:val="28"/>
        </w:rPr>
        <w:t xml:space="preserve"> </w:t>
      </w:r>
      <w:r w:rsidRPr="00490B2A">
        <w:rPr>
          <w:i/>
          <w:iCs/>
          <w:noProof/>
          <w:color w:val="000000" w:themeColor="text1"/>
          <w:sz w:val="20"/>
          <w:szCs w:val="28"/>
        </w:rPr>
        <w:t>National</w:t>
      </w:r>
      <w:r w:rsidR="00700A18" w:rsidRPr="00490B2A">
        <w:rPr>
          <w:i/>
          <w:iCs/>
          <w:noProof/>
          <w:color w:val="000000" w:themeColor="text1"/>
          <w:sz w:val="20"/>
          <w:szCs w:val="28"/>
        </w:rPr>
        <w:t xml:space="preserve"> </w:t>
      </w:r>
      <w:r w:rsidRPr="00490B2A">
        <w:rPr>
          <w:i/>
          <w:iCs/>
          <w:noProof/>
          <w:color w:val="000000" w:themeColor="text1"/>
          <w:sz w:val="20"/>
          <w:szCs w:val="28"/>
        </w:rPr>
        <w:t>Academy</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Sciences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100</w:t>
      </w:r>
      <w:r w:rsidRPr="00490B2A">
        <w:rPr>
          <w:noProof/>
          <w:color w:val="000000" w:themeColor="text1"/>
          <w:sz w:val="20"/>
          <w:szCs w:val="28"/>
        </w:rPr>
        <w:t>(14),</w:t>
      </w:r>
      <w:r w:rsidR="00700A18" w:rsidRPr="00490B2A">
        <w:rPr>
          <w:noProof/>
          <w:color w:val="000000" w:themeColor="text1"/>
          <w:sz w:val="20"/>
          <w:szCs w:val="28"/>
        </w:rPr>
        <w:t xml:space="preserve"> </w:t>
      </w:r>
      <w:r w:rsidRPr="00490B2A">
        <w:rPr>
          <w:noProof/>
          <w:color w:val="000000" w:themeColor="text1"/>
          <w:sz w:val="20"/>
          <w:szCs w:val="28"/>
        </w:rPr>
        <w:t>8080–8085.</w:t>
      </w:r>
      <w:r w:rsidR="00700A18" w:rsidRPr="00490B2A">
        <w:rPr>
          <w:noProof/>
          <w:color w:val="000000" w:themeColor="text1"/>
          <w:sz w:val="20"/>
          <w:szCs w:val="28"/>
        </w:rPr>
        <w:t xml:space="preserve"> </w:t>
      </w:r>
      <w:r w:rsidRPr="00490B2A">
        <w:rPr>
          <w:noProof/>
          <w:color w:val="000000" w:themeColor="text1"/>
          <w:sz w:val="20"/>
          <w:szCs w:val="28"/>
        </w:rPr>
        <w:t>https://doi.org/10.1073/pnas.1231334100</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UNISDR.</w:t>
      </w:r>
      <w:r w:rsidR="00700A18" w:rsidRPr="00490B2A">
        <w:rPr>
          <w:noProof/>
          <w:color w:val="000000" w:themeColor="text1"/>
          <w:sz w:val="20"/>
          <w:szCs w:val="28"/>
        </w:rPr>
        <w:t xml:space="preserve"> </w:t>
      </w:r>
      <w:r w:rsidRPr="00490B2A">
        <w:rPr>
          <w:noProof/>
          <w:color w:val="000000" w:themeColor="text1"/>
          <w:sz w:val="20"/>
          <w:szCs w:val="28"/>
        </w:rPr>
        <w:t>(2009).</w:t>
      </w:r>
      <w:r w:rsidR="00700A18" w:rsidRPr="00490B2A">
        <w:rPr>
          <w:noProof/>
          <w:color w:val="000000" w:themeColor="text1"/>
          <w:sz w:val="20"/>
          <w:szCs w:val="28"/>
        </w:rPr>
        <w:t xml:space="preserve"> </w:t>
      </w:r>
      <w:r w:rsidRPr="00490B2A">
        <w:rPr>
          <w:noProof/>
          <w:color w:val="000000" w:themeColor="text1"/>
          <w:sz w:val="20"/>
          <w:szCs w:val="28"/>
        </w:rPr>
        <w:t>2009</w:t>
      </w:r>
      <w:r w:rsidR="00700A18" w:rsidRPr="00490B2A">
        <w:rPr>
          <w:noProof/>
          <w:color w:val="000000" w:themeColor="text1"/>
          <w:sz w:val="20"/>
          <w:szCs w:val="28"/>
        </w:rPr>
        <w:t xml:space="preserve"> </w:t>
      </w:r>
      <w:r w:rsidRPr="00490B2A">
        <w:rPr>
          <w:noProof/>
          <w:color w:val="000000" w:themeColor="text1"/>
          <w:sz w:val="20"/>
          <w:szCs w:val="28"/>
        </w:rPr>
        <w:t>UNISDR</w:t>
      </w:r>
      <w:r w:rsidR="00700A18" w:rsidRPr="00490B2A">
        <w:rPr>
          <w:noProof/>
          <w:color w:val="000000" w:themeColor="text1"/>
          <w:sz w:val="20"/>
          <w:szCs w:val="28"/>
        </w:rPr>
        <w:t xml:space="preserve"> </w:t>
      </w:r>
      <w:r w:rsidRPr="00490B2A">
        <w:rPr>
          <w:noProof/>
          <w:color w:val="000000" w:themeColor="text1"/>
          <w:sz w:val="20"/>
          <w:szCs w:val="28"/>
        </w:rPr>
        <w:t>Terminology</w:t>
      </w:r>
      <w:r w:rsidR="00700A18" w:rsidRPr="00490B2A">
        <w:rPr>
          <w:noProof/>
          <w:color w:val="000000" w:themeColor="text1"/>
          <w:sz w:val="20"/>
          <w:szCs w:val="28"/>
        </w:rPr>
        <w:t xml:space="preserve"> </w:t>
      </w:r>
      <w:r w:rsidRPr="00490B2A">
        <w:rPr>
          <w:noProof/>
          <w:color w:val="000000" w:themeColor="text1"/>
          <w:sz w:val="20"/>
          <w:szCs w:val="28"/>
        </w:rPr>
        <w:t>on</w:t>
      </w:r>
      <w:r w:rsidR="00700A18" w:rsidRPr="00490B2A">
        <w:rPr>
          <w:noProof/>
          <w:color w:val="000000" w:themeColor="text1"/>
          <w:sz w:val="20"/>
          <w:szCs w:val="28"/>
        </w:rPr>
        <w:t xml:space="preserve"> </w:t>
      </w:r>
      <w:r w:rsidRPr="00490B2A">
        <w:rPr>
          <w:noProof/>
          <w:color w:val="000000" w:themeColor="text1"/>
          <w:sz w:val="20"/>
          <w:szCs w:val="28"/>
        </w:rPr>
        <w:t>Disaster</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Reduction.</w:t>
      </w:r>
      <w:r w:rsidR="00700A18" w:rsidRPr="00490B2A">
        <w:rPr>
          <w:noProof/>
          <w:color w:val="000000" w:themeColor="text1"/>
          <w:sz w:val="20"/>
          <w:szCs w:val="28"/>
        </w:rPr>
        <w:t xml:space="preserve"> </w:t>
      </w:r>
      <w:r w:rsidRPr="00490B2A">
        <w:rPr>
          <w:i/>
          <w:iCs/>
          <w:noProof/>
          <w:color w:val="000000" w:themeColor="text1"/>
          <w:sz w:val="20"/>
          <w:szCs w:val="28"/>
        </w:rPr>
        <w:t>International</w:t>
      </w:r>
      <w:r w:rsidR="00700A18" w:rsidRPr="00490B2A">
        <w:rPr>
          <w:i/>
          <w:iCs/>
          <w:noProof/>
          <w:color w:val="000000" w:themeColor="text1"/>
          <w:sz w:val="20"/>
          <w:szCs w:val="28"/>
        </w:rPr>
        <w:t xml:space="preserve"> </w:t>
      </w:r>
      <w:r w:rsidRPr="00490B2A">
        <w:rPr>
          <w:i/>
          <w:iCs/>
          <w:noProof/>
          <w:color w:val="000000" w:themeColor="text1"/>
          <w:sz w:val="20"/>
          <w:szCs w:val="28"/>
        </w:rPr>
        <w:t>Stratergy</w:t>
      </w:r>
      <w:r w:rsidR="00700A18" w:rsidRPr="00490B2A">
        <w:rPr>
          <w:i/>
          <w:iCs/>
          <w:noProof/>
          <w:color w:val="000000" w:themeColor="text1"/>
          <w:sz w:val="20"/>
          <w:szCs w:val="28"/>
        </w:rPr>
        <w:t xml:space="preserve"> </w:t>
      </w:r>
      <w:r w:rsidRPr="00490B2A">
        <w:rPr>
          <w:i/>
          <w:iCs/>
          <w:noProof/>
          <w:color w:val="000000" w:themeColor="text1"/>
          <w:sz w:val="20"/>
          <w:szCs w:val="28"/>
        </w:rPr>
        <w:t>for</w:t>
      </w:r>
      <w:r w:rsidR="00700A18" w:rsidRPr="00490B2A">
        <w:rPr>
          <w:i/>
          <w:iCs/>
          <w:noProof/>
          <w:color w:val="000000" w:themeColor="text1"/>
          <w:sz w:val="20"/>
          <w:szCs w:val="28"/>
        </w:rPr>
        <w:t xml:space="preserve"> </w:t>
      </w:r>
      <w:r w:rsidRPr="00490B2A">
        <w:rPr>
          <w:i/>
          <w:iCs/>
          <w:noProof/>
          <w:color w:val="000000" w:themeColor="text1"/>
          <w:sz w:val="20"/>
          <w:szCs w:val="28"/>
        </w:rPr>
        <w:t>Disaster</w:t>
      </w:r>
      <w:r w:rsidR="00700A18" w:rsidRPr="00490B2A">
        <w:rPr>
          <w:i/>
          <w:iCs/>
          <w:noProof/>
          <w:color w:val="000000" w:themeColor="text1"/>
          <w:sz w:val="20"/>
          <w:szCs w:val="28"/>
        </w:rPr>
        <w:t xml:space="preserve"> </w:t>
      </w:r>
      <w:r w:rsidRPr="00490B2A">
        <w:rPr>
          <w:i/>
          <w:iCs/>
          <w:noProof/>
          <w:color w:val="000000" w:themeColor="text1"/>
          <w:sz w:val="20"/>
          <w:szCs w:val="28"/>
        </w:rPr>
        <w:t>Reduction</w:t>
      </w:r>
      <w:r w:rsidR="00700A18" w:rsidRPr="00490B2A">
        <w:rPr>
          <w:i/>
          <w:iCs/>
          <w:noProof/>
          <w:color w:val="000000" w:themeColor="text1"/>
          <w:sz w:val="20"/>
          <w:szCs w:val="28"/>
        </w:rPr>
        <w:t xml:space="preserve"> </w:t>
      </w:r>
      <w:r w:rsidRPr="00490B2A">
        <w:rPr>
          <w:i/>
          <w:iCs/>
          <w:noProof/>
          <w:color w:val="000000" w:themeColor="text1"/>
          <w:sz w:val="20"/>
          <w:szCs w:val="28"/>
        </w:rPr>
        <w:t>(ISDR)</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1–30.</w:t>
      </w:r>
      <w:r w:rsidR="00700A18" w:rsidRPr="00490B2A">
        <w:rPr>
          <w:noProof/>
          <w:color w:val="000000" w:themeColor="text1"/>
          <w:sz w:val="20"/>
          <w:szCs w:val="28"/>
        </w:rPr>
        <w:t xml:space="preserve"> </w:t>
      </w:r>
      <w:r w:rsidRPr="00490B2A">
        <w:rPr>
          <w:noProof/>
          <w:color w:val="000000" w:themeColor="text1"/>
          <w:sz w:val="20"/>
          <w:szCs w:val="28"/>
        </w:rPr>
        <w:t>https://doi.org/978-600-6937-11-3</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Wisner,</w:t>
      </w:r>
      <w:r w:rsidR="00700A18" w:rsidRPr="00490B2A">
        <w:rPr>
          <w:noProof/>
          <w:color w:val="000000" w:themeColor="text1"/>
          <w:sz w:val="20"/>
          <w:szCs w:val="28"/>
        </w:rPr>
        <w:t xml:space="preserve"> </w:t>
      </w:r>
      <w:r w:rsidRPr="00490B2A">
        <w:rPr>
          <w:noProof/>
          <w:color w:val="000000" w:themeColor="text1"/>
          <w:sz w:val="20"/>
          <w:szCs w:val="28"/>
        </w:rPr>
        <w:t>B.,</w:t>
      </w:r>
      <w:r w:rsidR="00700A18" w:rsidRPr="00490B2A">
        <w:rPr>
          <w:noProof/>
          <w:color w:val="000000" w:themeColor="text1"/>
          <w:sz w:val="20"/>
          <w:szCs w:val="28"/>
        </w:rPr>
        <w:t xml:space="preserve"> </w:t>
      </w:r>
      <w:r w:rsidRPr="00490B2A">
        <w:rPr>
          <w:noProof/>
          <w:color w:val="000000" w:themeColor="text1"/>
          <w:sz w:val="20"/>
          <w:szCs w:val="28"/>
        </w:rPr>
        <w:t>Blaikie,</w:t>
      </w:r>
      <w:r w:rsidR="00700A18" w:rsidRPr="00490B2A">
        <w:rPr>
          <w:noProof/>
          <w:color w:val="000000" w:themeColor="text1"/>
          <w:sz w:val="20"/>
          <w:szCs w:val="28"/>
        </w:rPr>
        <w:t xml:space="preserve"> </w:t>
      </w:r>
      <w:r w:rsidRPr="00490B2A">
        <w:rPr>
          <w:noProof/>
          <w:color w:val="000000" w:themeColor="text1"/>
          <w:sz w:val="20"/>
          <w:szCs w:val="28"/>
        </w:rPr>
        <w:t>P.,</w:t>
      </w:r>
      <w:r w:rsidR="00700A18" w:rsidRPr="00490B2A">
        <w:rPr>
          <w:noProof/>
          <w:color w:val="000000" w:themeColor="text1"/>
          <w:sz w:val="20"/>
          <w:szCs w:val="28"/>
        </w:rPr>
        <w:t xml:space="preserve"> </w:t>
      </w:r>
      <w:r w:rsidRPr="00490B2A">
        <w:rPr>
          <w:noProof/>
          <w:color w:val="000000" w:themeColor="text1"/>
          <w:sz w:val="20"/>
          <w:szCs w:val="28"/>
        </w:rPr>
        <w:t>Cannon,</w:t>
      </w:r>
      <w:r w:rsidR="00700A18" w:rsidRPr="00490B2A">
        <w:rPr>
          <w:noProof/>
          <w:color w:val="000000" w:themeColor="text1"/>
          <w:sz w:val="20"/>
          <w:szCs w:val="28"/>
        </w:rPr>
        <w:t xml:space="preserve"> </w:t>
      </w:r>
      <w:r w:rsidRPr="00490B2A">
        <w:rPr>
          <w:noProof/>
          <w:color w:val="000000" w:themeColor="text1"/>
          <w:sz w:val="20"/>
          <w:szCs w:val="28"/>
        </w:rPr>
        <w:t>T.,</w:t>
      </w:r>
      <w:r w:rsidR="00700A18" w:rsidRPr="00490B2A">
        <w:rPr>
          <w:noProof/>
          <w:color w:val="000000" w:themeColor="text1"/>
          <w:sz w:val="20"/>
          <w:szCs w:val="28"/>
        </w:rPr>
        <w:t xml:space="preserve"> &amp; </w:t>
      </w:r>
      <w:r w:rsidRPr="00490B2A">
        <w:rPr>
          <w:noProof/>
          <w:color w:val="000000" w:themeColor="text1"/>
          <w:sz w:val="20"/>
          <w:szCs w:val="28"/>
        </w:rPr>
        <w:t>Davis,</w:t>
      </w:r>
      <w:r w:rsidR="00700A18" w:rsidRPr="00490B2A">
        <w:rPr>
          <w:noProof/>
          <w:color w:val="000000" w:themeColor="text1"/>
          <w:sz w:val="20"/>
          <w:szCs w:val="28"/>
        </w:rPr>
        <w:t xml:space="preserve"> </w:t>
      </w:r>
      <w:r w:rsidRPr="00490B2A">
        <w:rPr>
          <w:noProof/>
          <w:color w:val="000000" w:themeColor="text1"/>
          <w:sz w:val="20"/>
          <w:szCs w:val="28"/>
        </w:rPr>
        <w:t>I.</w:t>
      </w:r>
      <w:r w:rsidR="00700A18" w:rsidRPr="00490B2A">
        <w:rPr>
          <w:noProof/>
          <w:color w:val="000000" w:themeColor="text1"/>
          <w:sz w:val="20"/>
          <w:szCs w:val="28"/>
        </w:rPr>
        <w:t xml:space="preserve"> </w:t>
      </w:r>
      <w:r w:rsidRPr="00490B2A">
        <w:rPr>
          <w:noProof/>
          <w:color w:val="000000" w:themeColor="text1"/>
          <w:sz w:val="20"/>
          <w:szCs w:val="28"/>
        </w:rPr>
        <w:t>(2004).</w:t>
      </w:r>
      <w:r w:rsidR="00700A18" w:rsidRPr="00490B2A">
        <w:rPr>
          <w:noProof/>
          <w:color w:val="000000" w:themeColor="text1"/>
          <w:sz w:val="20"/>
          <w:szCs w:val="28"/>
        </w:rPr>
        <w:t xml:space="preserve"> </w:t>
      </w:r>
      <w:r w:rsidRPr="00490B2A">
        <w:rPr>
          <w:noProof/>
          <w:color w:val="000000" w:themeColor="text1"/>
          <w:sz w:val="20"/>
          <w:szCs w:val="28"/>
        </w:rPr>
        <w:t>At</w:t>
      </w:r>
      <w:r w:rsidR="00700A18" w:rsidRPr="00490B2A">
        <w:rPr>
          <w:noProof/>
          <w:color w:val="000000" w:themeColor="text1"/>
          <w:sz w:val="20"/>
          <w:szCs w:val="28"/>
        </w:rPr>
        <w:t xml:space="preserve"> </w:t>
      </w:r>
      <w:r w:rsidRPr="00490B2A">
        <w:rPr>
          <w:noProof/>
          <w:color w:val="000000" w:themeColor="text1"/>
          <w:sz w:val="20"/>
          <w:szCs w:val="28"/>
        </w:rPr>
        <w:t>Risk</w:t>
      </w:r>
      <w:r w:rsidR="00700A18" w:rsidRPr="00490B2A">
        <w:rPr>
          <w:noProof/>
          <w:color w:val="000000" w:themeColor="text1"/>
          <w:sz w:val="20"/>
          <w:szCs w:val="28"/>
        </w:rPr>
        <w:t xml:space="preserve"> </w:t>
      </w:r>
      <w:r w:rsidRPr="00490B2A">
        <w:rPr>
          <w:noProof/>
          <w:color w:val="000000" w:themeColor="text1"/>
          <w:sz w:val="20"/>
          <w:szCs w:val="28"/>
        </w:rPr>
        <w:t>–</w:t>
      </w:r>
      <w:r w:rsidR="00700A18" w:rsidRPr="00490B2A">
        <w:rPr>
          <w:noProof/>
          <w:color w:val="000000" w:themeColor="text1"/>
          <w:sz w:val="20"/>
          <w:szCs w:val="28"/>
        </w:rPr>
        <w:t xml:space="preserve"> </w:t>
      </w:r>
      <w:r w:rsidRPr="00490B2A">
        <w:rPr>
          <w:noProof/>
          <w:color w:val="000000" w:themeColor="text1"/>
          <w:sz w:val="20"/>
          <w:szCs w:val="28"/>
        </w:rPr>
        <w:t>Natural</w:t>
      </w:r>
      <w:r w:rsidR="00700A18" w:rsidRPr="00490B2A">
        <w:rPr>
          <w:noProof/>
          <w:color w:val="000000" w:themeColor="text1"/>
          <w:sz w:val="20"/>
          <w:szCs w:val="28"/>
        </w:rPr>
        <w:t xml:space="preserve"> </w:t>
      </w:r>
      <w:r w:rsidRPr="00490B2A">
        <w:rPr>
          <w:noProof/>
          <w:color w:val="000000" w:themeColor="text1"/>
          <w:sz w:val="20"/>
          <w:szCs w:val="28"/>
        </w:rPr>
        <w:t>Hazards,</w:t>
      </w:r>
      <w:r w:rsidR="00700A18" w:rsidRPr="00490B2A">
        <w:rPr>
          <w:noProof/>
          <w:color w:val="000000" w:themeColor="text1"/>
          <w:sz w:val="20"/>
          <w:szCs w:val="28"/>
        </w:rPr>
        <w:t xml:space="preserve"> </w:t>
      </w:r>
      <w:r w:rsidRPr="00490B2A">
        <w:rPr>
          <w:noProof/>
          <w:color w:val="000000" w:themeColor="text1"/>
          <w:sz w:val="20"/>
          <w:szCs w:val="28"/>
        </w:rPr>
        <w:t>People’s</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and</w:t>
      </w:r>
      <w:r w:rsidR="00700A18" w:rsidRPr="00490B2A">
        <w:rPr>
          <w:noProof/>
          <w:color w:val="000000" w:themeColor="text1"/>
          <w:sz w:val="20"/>
          <w:szCs w:val="28"/>
        </w:rPr>
        <w:t xml:space="preserve"> </w:t>
      </w:r>
      <w:r w:rsidRPr="00490B2A">
        <w:rPr>
          <w:noProof/>
          <w:color w:val="000000" w:themeColor="text1"/>
          <w:sz w:val="20"/>
          <w:szCs w:val="28"/>
        </w:rPr>
        <w:t>Disasters</w:t>
      </w:r>
      <w:r w:rsidR="00700A18" w:rsidRPr="00490B2A">
        <w:rPr>
          <w:noProof/>
          <w:color w:val="000000" w:themeColor="text1"/>
          <w:sz w:val="20"/>
          <w:szCs w:val="28"/>
        </w:rPr>
        <w:t xml:space="preserve"> </w:t>
      </w:r>
      <w:r w:rsidRPr="00490B2A">
        <w:rPr>
          <w:noProof/>
          <w:color w:val="000000" w:themeColor="text1"/>
          <w:sz w:val="20"/>
          <w:szCs w:val="28"/>
        </w:rPr>
        <w:t>second</w:t>
      </w:r>
      <w:r w:rsidR="00700A18" w:rsidRPr="00490B2A">
        <w:rPr>
          <w:noProof/>
          <w:color w:val="000000" w:themeColor="text1"/>
          <w:sz w:val="20"/>
          <w:szCs w:val="28"/>
        </w:rPr>
        <w:t xml:space="preserve"> </w:t>
      </w:r>
      <w:r w:rsidRPr="00490B2A">
        <w:rPr>
          <w:noProof/>
          <w:color w:val="000000" w:themeColor="text1"/>
          <w:sz w:val="20"/>
          <w:szCs w:val="28"/>
        </w:rPr>
        <w:t>edition:</w:t>
      </w:r>
      <w:r w:rsidR="00700A18" w:rsidRPr="00490B2A">
        <w:rPr>
          <w:noProof/>
          <w:color w:val="000000" w:themeColor="text1"/>
          <w:sz w:val="20"/>
          <w:szCs w:val="28"/>
        </w:rPr>
        <w:t xml:space="preserve"> </w:t>
      </w:r>
      <w:r w:rsidRPr="00490B2A">
        <w:rPr>
          <w:noProof/>
          <w:color w:val="000000" w:themeColor="text1"/>
          <w:sz w:val="20"/>
          <w:szCs w:val="28"/>
        </w:rPr>
        <w:t>Routledge,</w:t>
      </w:r>
      <w:r w:rsidR="00700A18" w:rsidRPr="00490B2A">
        <w:rPr>
          <w:noProof/>
          <w:color w:val="000000" w:themeColor="text1"/>
          <w:sz w:val="20"/>
          <w:szCs w:val="28"/>
        </w:rPr>
        <w:t xml:space="preserve"> </w:t>
      </w:r>
      <w:r w:rsidRPr="00490B2A">
        <w:rPr>
          <w:noProof/>
          <w:color w:val="000000" w:themeColor="text1"/>
          <w:sz w:val="20"/>
          <w:szCs w:val="28"/>
        </w:rPr>
        <w:t>London.</w:t>
      </w:r>
      <w:r w:rsidR="00700A18" w:rsidRPr="00490B2A">
        <w:rPr>
          <w:noProof/>
          <w:color w:val="000000" w:themeColor="text1"/>
          <w:sz w:val="20"/>
          <w:szCs w:val="28"/>
        </w:rPr>
        <w:t xml:space="preserve"> </w:t>
      </w:r>
      <w:r w:rsidRPr="00490B2A">
        <w:rPr>
          <w:i/>
          <w:iCs/>
          <w:noProof/>
          <w:color w:val="000000" w:themeColor="text1"/>
          <w:sz w:val="20"/>
          <w:szCs w:val="28"/>
        </w:rPr>
        <w:t>Journal</w:t>
      </w:r>
      <w:r w:rsidR="00700A18" w:rsidRPr="00490B2A">
        <w:rPr>
          <w:i/>
          <w:iCs/>
          <w:noProof/>
          <w:color w:val="000000" w:themeColor="text1"/>
          <w:sz w:val="20"/>
          <w:szCs w:val="28"/>
        </w:rPr>
        <w:t xml:space="preserve"> </w:t>
      </w:r>
      <w:r w:rsidRPr="00490B2A">
        <w:rPr>
          <w:i/>
          <w:iCs/>
          <w:noProof/>
          <w:color w:val="000000" w:themeColor="text1"/>
          <w:sz w:val="20"/>
          <w:szCs w:val="28"/>
        </w:rPr>
        <w:t>of</w:t>
      </w:r>
      <w:r w:rsidR="00700A18" w:rsidRPr="00490B2A">
        <w:rPr>
          <w:i/>
          <w:iCs/>
          <w:noProof/>
          <w:color w:val="000000" w:themeColor="text1"/>
          <w:sz w:val="20"/>
          <w:szCs w:val="28"/>
        </w:rPr>
        <w:t xml:space="preserve"> </w:t>
      </w:r>
      <w:r w:rsidRPr="00490B2A">
        <w:rPr>
          <w:i/>
          <w:iCs/>
          <w:noProof/>
          <w:color w:val="000000" w:themeColor="text1"/>
          <w:sz w:val="20"/>
          <w:szCs w:val="28"/>
        </w:rPr>
        <w:t>Homeland</w:t>
      </w:r>
      <w:r w:rsidR="00700A18" w:rsidRPr="00490B2A">
        <w:rPr>
          <w:i/>
          <w:iCs/>
          <w:noProof/>
          <w:color w:val="000000" w:themeColor="text1"/>
          <w:sz w:val="20"/>
          <w:szCs w:val="28"/>
        </w:rPr>
        <w:t xml:space="preserve"> </w:t>
      </w:r>
      <w:r w:rsidRPr="00490B2A">
        <w:rPr>
          <w:i/>
          <w:iCs/>
          <w:noProof/>
          <w:color w:val="000000" w:themeColor="text1"/>
          <w:sz w:val="20"/>
          <w:szCs w:val="28"/>
        </w:rPr>
        <w:t>Security</w:t>
      </w:r>
      <w:r w:rsidR="00700A18" w:rsidRPr="00490B2A">
        <w:rPr>
          <w:i/>
          <w:iCs/>
          <w:noProof/>
          <w:color w:val="000000" w:themeColor="text1"/>
          <w:sz w:val="20"/>
          <w:szCs w:val="28"/>
        </w:rPr>
        <w:t xml:space="preserve"> </w:t>
      </w:r>
      <w:r w:rsidRPr="00490B2A">
        <w:rPr>
          <w:i/>
          <w:iCs/>
          <w:noProof/>
          <w:color w:val="000000" w:themeColor="text1"/>
          <w:sz w:val="20"/>
          <w:szCs w:val="28"/>
        </w:rPr>
        <w:t>and</w:t>
      </w:r>
      <w:r w:rsidR="00700A18" w:rsidRPr="00490B2A">
        <w:rPr>
          <w:i/>
          <w:iCs/>
          <w:noProof/>
          <w:color w:val="000000" w:themeColor="text1"/>
          <w:sz w:val="20"/>
          <w:szCs w:val="28"/>
        </w:rPr>
        <w:t xml:space="preserve"> </w:t>
      </w:r>
      <w:r w:rsidRPr="00490B2A">
        <w:rPr>
          <w:i/>
          <w:iCs/>
          <w:noProof/>
          <w:color w:val="000000" w:themeColor="text1"/>
          <w:sz w:val="20"/>
          <w:szCs w:val="28"/>
        </w:rPr>
        <w:t>Emergency</w:t>
      </w:r>
      <w:r w:rsidR="00700A18" w:rsidRPr="00490B2A">
        <w:rPr>
          <w:i/>
          <w:iCs/>
          <w:noProof/>
          <w:color w:val="000000" w:themeColor="text1"/>
          <w:sz w:val="20"/>
          <w:szCs w:val="28"/>
        </w:rPr>
        <w:t xml:space="preserve"> </w:t>
      </w:r>
      <w:r w:rsidRPr="00490B2A">
        <w:rPr>
          <w:i/>
          <w:iCs/>
          <w:noProof/>
          <w:color w:val="000000" w:themeColor="text1"/>
          <w:sz w:val="20"/>
          <w:szCs w:val="28"/>
        </w:rPr>
        <w:t>Management</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2</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https://doi.org/https://doi.org/10.2202/1547-7355.1131</w:t>
      </w:r>
      <w:r w:rsidR="00CA0430">
        <w:rPr>
          <w:rFonts w:eastAsiaTheme="minorEastAsia" w:hint="eastAsia"/>
          <w:noProof/>
          <w:color w:val="000000" w:themeColor="text1"/>
          <w:sz w:val="20"/>
          <w:szCs w:val="28"/>
          <w:lang w:eastAsia="zh-CN"/>
        </w:rPr>
        <w:t>.</w:t>
      </w:r>
    </w:p>
    <w:p w:rsidR="00AC1CFF" w:rsidRPr="00490B2A" w:rsidRDefault="00AC1CFF" w:rsidP="00490B2A">
      <w:pPr>
        <w:pStyle w:val="ListParagraph"/>
        <w:widowControl w:val="0"/>
        <w:numPr>
          <w:ilvl w:val="0"/>
          <w:numId w:val="9"/>
        </w:numPr>
        <w:autoSpaceDE w:val="0"/>
        <w:autoSpaceDN w:val="0"/>
        <w:adjustRightInd w:val="0"/>
        <w:snapToGrid w:val="0"/>
        <w:spacing w:after="0" w:line="240" w:lineRule="auto"/>
        <w:ind w:left="425" w:hanging="425"/>
        <w:rPr>
          <w:noProof/>
          <w:color w:val="000000" w:themeColor="text1"/>
          <w:sz w:val="20"/>
          <w:szCs w:val="28"/>
        </w:rPr>
      </w:pPr>
      <w:r w:rsidRPr="00490B2A">
        <w:rPr>
          <w:noProof/>
          <w:color w:val="000000" w:themeColor="text1"/>
          <w:sz w:val="20"/>
          <w:szCs w:val="28"/>
        </w:rPr>
        <w:t>Wood,</w:t>
      </w:r>
      <w:r w:rsidR="00700A18" w:rsidRPr="00490B2A">
        <w:rPr>
          <w:noProof/>
          <w:color w:val="000000" w:themeColor="text1"/>
          <w:sz w:val="20"/>
          <w:szCs w:val="28"/>
        </w:rPr>
        <w:t xml:space="preserve"> </w:t>
      </w:r>
      <w:r w:rsidRPr="00490B2A">
        <w:rPr>
          <w:noProof/>
          <w:color w:val="000000" w:themeColor="text1"/>
          <w:sz w:val="20"/>
          <w:szCs w:val="28"/>
        </w:rPr>
        <w:t>N.</w:t>
      </w:r>
      <w:r w:rsidR="00700A18" w:rsidRPr="00490B2A">
        <w:rPr>
          <w:noProof/>
          <w:color w:val="000000" w:themeColor="text1"/>
          <w:sz w:val="20"/>
          <w:szCs w:val="28"/>
        </w:rPr>
        <w:t xml:space="preserve"> </w:t>
      </w:r>
      <w:r w:rsidRPr="00490B2A">
        <w:rPr>
          <w:noProof/>
          <w:color w:val="000000" w:themeColor="text1"/>
          <w:sz w:val="20"/>
          <w:szCs w:val="28"/>
        </w:rPr>
        <w:t>J.,</w:t>
      </w:r>
      <w:r w:rsidR="00700A18" w:rsidRPr="00490B2A">
        <w:rPr>
          <w:noProof/>
          <w:color w:val="000000" w:themeColor="text1"/>
          <w:sz w:val="20"/>
          <w:szCs w:val="28"/>
        </w:rPr>
        <w:t xml:space="preserve"> </w:t>
      </w:r>
      <w:r w:rsidRPr="00490B2A">
        <w:rPr>
          <w:noProof/>
          <w:color w:val="000000" w:themeColor="text1"/>
          <w:sz w:val="20"/>
          <w:szCs w:val="28"/>
        </w:rPr>
        <w:t>Burton,</w:t>
      </w:r>
      <w:r w:rsidR="00700A18" w:rsidRPr="00490B2A">
        <w:rPr>
          <w:noProof/>
          <w:color w:val="000000" w:themeColor="text1"/>
          <w:sz w:val="20"/>
          <w:szCs w:val="28"/>
        </w:rPr>
        <w:t xml:space="preserve"> </w:t>
      </w:r>
      <w:r w:rsidRPr="00490B2A">
        <w:rPr>
          <w:noProof/>
          <w:color w:val="000000" w:themeColor="text1"/>
          <w:sz w:val="20"/>
          <w:szCs w:val="28"/>
        </w:rPr>
        <w:t>C.</w:t>
      </w:r>
      <w:r w:rsidR="00700A18" w:rsidRPr="00490B2A">
        <w:rPr>
          <w:noProof/>
          <w:color w:val="000000" w:themeColor="text1"/>
          <w:sz w:val="20"/>
          <w:szCs w:val="28"/>
        </w:rPr>
        <w:t xml:space="preserve"> </w:t>
      </w:r>
      <w:r w:rsidRPr="00490B2A">
        <w:rPr>
          <w:noProof/>
          <w:color w:val="000000" w:themeColor="text1"/>
          <w:sz w:val="20"/>
          <w:szCs w:val="28"/>
        </w:rPr>
        <w:t>G.,</w:t>
      </w:r>
      <w:r w:rsidR="00700A18" w:rsidRPr="00490B2A">
        <w:rPr>
          <w:noProof/>
          <w:color w:val="000000" w:themeColor="text1"/>
          <w:sz w:val="20"/>
          <w:szCs w:val="28"/>
        </w:rPr>
        <w:t xml:space="preserve"> &amp; </w:t>
      </w:r>
      <w:r w:rsidRPr="00490B2A">
        <w:rPr>
          <w:noProof/>
          <w:color w:val="000000" w:themeColor="text1"/>
          <w:sz w:val="20"/>
          <w:szCs w:val="28"/>
        </w:rPr>
        <w:t>Cutter,</w:t>
      </w:r>
      <w:r w:rsidR="00700A18" w:rsidRPr="00490B2A">
        <w:rPr>
          <w:noProof/>
          <w:color w:val="000000" w:themeColor="text1"/>
          <w:sz w:val="20"/>
          <w:szCs w:val="28"/>
        </w:rPr>
        <w:t xml:space="preserve"> </w:t>
      </w:r>
      <w:r w:rsidRPr="00490B2A">
        <w:rPr>
          <w:noProof/>
          <w:color w:val="000000" w:themeColor="text1"/>
          <w:sz w:val="20"/>
          <w:szCs w:val="28"/>
        </w:rPr>
        <w:t>S.</w:t>
      </w:r>
      <w:r w:rsidR="00700A18" w:rsidRPr="00490B2A">
        <w:rPr>
          <w:noProof/>
          <w:color w:val="000000" w:themeColor="text1"/>
          <w:sz w:val="20"/>
          <w:szCs w:val="28"/>
        </w:rPr>
        <w:t xml:space="preserve"> </w:t>
      </w:r>
      <w:r w:rsidRPr="00490B2A">
        <w:rPr>
          <w:noProof/>
          <w:color w:val="000000" w:themeColor="text1"/>
          <w:sz w:val="20"/>
          <w:szCs w:val="28"/>
        </w:rPr>
        <w:t>L.</w:t>
      </w:r>
      <w:r w:rsidR="00700A18" w:rsidRPr="00490B2A">
        <w:rPr>
          <w:noProof/>
          <w:color w:val="000000" w:themeColor="text1"/>
          <w:sz w:val="20"/>
          <w:szCs w:val="28"/>
        </w:rPr>
        <w:t xml:space="preserve"> </w:t>
      </w:r>
      <w:r w:rsidRPr="00490B2A">
        <w:rPr>
          <w:noProof/>
          <w:color w:val="000000" w:themeColor="text1"/>
          <w:sz w:val="20"/>
          <w:szCs w:val="28"/>
        </w:rPr>
        <w:t>(2010).</w:t>
      </w:r>
      <w:r w:rsidR="00700A18" w:rsidRPr="00490B2A">
        <w:rPr>
          <w:noProof/>
          <w:color w:val="000000" w:themeColor="text1"/>
          <w:sz w:val="20"/>
          <w:szCs w:val="28"/>
        </w:rPr>
        <w:t xml:space="preserve"> </w:t>
      </w:r>
      <w:r w:rsidRPr="00490B2A">
        <w:rPr>
          <w:noProof/>
          <w:color w:val="000000" w:themeColor="text1"/>
          <w:sz w:val="20"/>
          <w:szCs w:val="28"/>
        </w:rPr>
        <w:t>Community</w:t>
      </w:r>
      <w:r w:rsidR="00700A18" w:rsidRPr="00490B2A">
        <w:rPr>
          <w:noProof/>
          <w:color w:val="000000" w:themeColor="text1"/>
          <w:sz w:val="20"/>
          <w:szCs w:val="28"/>
        </w:rPr>
        <w:t xml:space="preserve"> </w:t>
      </w:r>
      <w:r w:rsidRPr="00490B2A">
        <w:rPr>
          <w:noProof/>
          <w:color w:val="000000" w:themeColor="text1"/>
          <w:sz w:val="20"/>
          <w:szCs w:val="28"/>
        </w:rPr>
        <w:t>variations</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social</w:t>
      </w:r>
      <w:r w:rsidR="00700A18" w:rsidRPr="00490B2A">
        <w:rPr>
          <w:noProof/>
          <w:color w:val="000000" w:themeColor="text1"/>
          <w:sz w:val="20"/>
          <w:szCs w:val="28"/>
        </w:rPr>
        <w:t xml:space="preserve"> </w:t>
      </w:r>
      <w:r w:rsidRPr="00490B2A">
        <w:rPr>
          <w:noProof/>
          <w:color w:val="000000" w:themeColor="text1"/>
          <w:sz w:val="20"/>
          <w:szCs w:val="28"/>
        </w:rPr>
        <w:t>vulnerability</w:t>
      </w:r>
      <w:r w:rsidR="00700A18" w:rsidRPr="00490B2A">
        <w:rPr>
          <w:noProof/>
          <w:color w:val="000000" w:themeColor="text1"/>
          <w:sz w:val="20"/>
          <w:szCs w:val="28"/>
        </w:rPr>
        <w:t xml:space="preserve"> </w:t>
      </w:r>
      <w:r w:rsidRPr="00490B2A">
        <w:rPr>
          <w:noProof/>
          <w:color w:val="000000" w:themeColor="text1"/>
          <w:sz w:val="20"/>
          <w:szCs w:val="28"/>
        </w:rPr>
        <w:t>to</w:t>
      </w:r>
      <w:r w:rsidR="00700A18" w:rsidRPr="00490B2A">
        <w:rPr>
          <w:noProof/>
          <w:color w:val="000000" w:themeColor="text1"/>
          <w:sz w:val="20"/>
          <w:szCs w:val="28"/>
        </w:rPr>
        <w:t xml:space="preserve"> </w:t>
      </w:r>
      <w:r w:rsidRPr="00490B2A">
        <w:rPr>
          <w:noProof/>
          <w:color w:val="000000" w:themeColor="text1"/>
          <w:sz w:val="20"/>
          <w:szCs w:val="28"/>
        </w:rPr>
        <w:t>Cascadia-related</w:t>
      </w:r>
      <w:r w:rsidR="00700A18" w:rsidRPr="00490B2A">
        <w:rPr>
          <w:noProof/>
          <w:color w:val="000000" w:themeColor="text1"/>
          <w:sz w:val="20"/>
          <w:szCs w:val="28"/>
        </w:rPr>
        <w:t xml:space="preserve"> </w:t>
      </w:r>
      <w:r w:rsidRPr="00490B2A">
        <w:rPr>
          <w:noProof/>
          <w:color w:val="000000" w:themeColor="text1"/>
          <w:sz w:val="20"/>
          <w:szCs w:val="28"/>
        </w:rPr>
        <w:t>tsunamis</w:t>
      </w:r>
      <w:r w:rsidR="00700A18" w:rsidRPr="00490B2A">
        <w:rPr>
          <w:noProof/>
          <w:color w:val="000000" w:themeColor="text1"/>
          <w:sz w:val="20"/>
          <w:szCs w:val="28"/>
        </w:rPr>
        <w:t xml:space="preserve"> </w:t>
      </w:r>
      <w:r w:rsidRPr="00490B2A">
        <w:rPr>
          <w:noProof/>
          <w:color w:val="000000" w:themeColor="text1"/>
          <w:sz w:val="20"/>
          <w:szCs w:val="28"/>
        </w:rPr>
        <w:t>in</w:t>
      </w:r>
      <w:r w:rsidR="00700A18" w:rsidRPr="00490B2A">
        <w:rPr>
          <w:noProof/>
          <w:color w:val="000000" w:themeColor="text1"/>
          <w:sz w:val="20"/>
          <w:szCs w:val="28"/>
        </w:rPr>
        <w:t xml:space="preserve"> </w:t>
      </w:r>
      <w:r w:rsidRPr="00490B2A">
        <w:rPr>
          <w:noProof/>
          <w:color w:val="000000" w:themeColor="text1"/>
          <w:sz w:val="20"/>
          <w:szCs w:val="28"/>
        </w:rPr>
        <w:t>the</w:t>
      </w:r>
      <w:r w:rsidR="00700A18" w:rsidRPr="00490B2A">
        <w:rPr>
          <w:noProof/>
          <w:color w:val="000000" w:themeColor="text1"/>
          <w:sz w:val="20"/>
          <w:szCs w:val="28"/>
        </w:rPr>
        <w:t xml:space="preserve"> </w:t>
      </w:r>
      <w:r w:rsidRPr="00490B2A">
        <w:rPr>
          <w:noProof/>
          <w:color w:val="000000" w:themeColor="text1"/>
          <w:sz w:val="20"/>
          <w:szCs w:val="28"/>
        </w:rPr>
        <w:t>U.S.</w:t>
      </w:r>
      <w:r w:rsidR="00700A18" w:rsidRPr="00490B2A">
        <w:rPr>
          <w:noProof/>
          <w:color w:val="000000" w:themeColor="text1"/>
          <w:sz w:val="20"/>
          <w:szCs w:val="28"/>
        </w:rPr>
        <w:t xml:space="preserve"> </w:t>
      </w:r>
      <w:r w:rsidRPr="00490B2A">
        <w:rPr>
          <w:noProof/>
          <w:color w:val="000000" w:themeColor="text1"/>
          <w:sz w:val="20"/>
          <w:szCs w:val="28"/>
        </w:rPr>
        <w:t>Pacific</w:t>
      </w:r>
      <w:r w:rsidR="00700A18" w:rsidRPr="00490B2A">
        <w:rPr>
          <w:noProof/>
          <w:color w:val="000000" w:themeColor="text1"/>
          <w:sz w:val="20"/>
          <w:szCs w:val="28"/>
        </w:rPr>
        <w:t xml:space="preserve"> </w:t>
      </w:r>
      <w:r w:rsidRPr="00490B2A">
        <w:rPr>
          <w:noProof/>
          <w:color w:val="000000" w:themeColor="text1"/>
          <w:sz w:val="20"/>
          <w:szCs w:val="28"/>
        </w:rPr>
        <w:t>Northwest.</w:t>
      </w:r>
      <w:r w:rsidR="00700A18" w:rsidRPr="00490B2A">
        <w:rPr>
          <w:noProof/>
          <w:color w:val="000000" w:themeColor="text1"/>
          <w:sz w:val="20"/>
          <w:szCs w:val="28"/>
        </w:rPr>
        <w:t xml:space="preserve"> </w:t>
      </w:r>
      <w:r w:rsidRPr="00490B2A">
        <w:rPr>
          <w:i/>
          <w:iCs/>
          <w:noProof/>
          <w:color w:val="000000" w:themeColor="text1"/>
          <w:sz w:val="20"/>
          <w:szCs w:val="28"/>
        </w:rPr>
        <w:t>Natural</w:t>
      </w:r>
      <w:r w:rsidR="00700A18" w:rsidRPr="00490B2A">
        <w:rPr>
          <w:i/>
          <w:iCs/>
          <w:noProof/>
          <w:color w:val="000000" w:themeColor="text1"/>
          <w:sz w:val="20"/>
          <w:szCs w:val="28"/>
        </w:rPr>
        <w:t xml:space="preserve"> </w:t>
      </w:r>
      <w:r w:rsidRPr="00490B2A">
        <w:rPr>
          <w:i/>
          <w:iCs/>
          <w:noProof/>
          <w:color w:val="000000" w:themeColor="text1"/>
          <w:sz w:val="20"/>
          <w:szCs w:val="28"/>
        </w:rPr>
        <w:t>Hazards</w:t>
      </w:r>
      <w:r w:rsidRPr="00490B2A">
        <w:rPr>
          <w:noProof/>
          <w:color w:val="000000" w:themeColor="text1"/>
          <w:sz w:val="20"/>
          <w:szCs w:val="28"/>
        </w:rPr>
        <w:t>,</w:t>
      </w:r>
      <w:r w:rsidR="00700A18" w:rsidRPr="00490B2A">
        <w:rPr>
          <w:noProof/>
          <w:color w:val="000000" w:themeColor="text1"/>
          <w:sz w:val="20"/>
          <w:szCs w:val="28"/>
        </w:rPr>
        <w:t xml:space="preserve"> </w:t>
      </w:r>
      <w:r w:rsidRPr="00490B2A">
        <w:rPr>
          <w:i/>
          <w:iCs/>
          <w:noProof/>
          <w:color w:val="000000" w:themeColor="text1"/>
          <w:sz w:val="20"/>
          <w:szCs w:val="28"/>
        </w:rPr>
        <w:t>52</w:t>
      </w:r>
      <w:r w:rsidRPr="00490B2A">
        <w:rPr>
          <w:noProof/>
          <w:color w:val="000000" w:themeColor="text1"/>
          <w:sz w:val="20"/>
          <w:szCs w:val="28"/>
        </w:rPr>
        <w:t>(2),</w:t>
      </w:r>
      <w:r w:rsidR="00700A18" w:rsidRPr="00490B2A">
        <w:rPr>
          <w:noProof/>
          <w:color w:val="000000" w:themeColor="text1"/>
          <w:sz w:val="20"/>
          <w:szCs w:val="28"/>
        </w:rPr>
        <w:t xml:space="preserve"> </w:t>
      </w:r>
      <w:r w:rsidRPr="00490B2A">
        <w:rPr>
          <w:noProof/>
          <w:color w:val="000000" w:themeColor="text1"/>
          <w:sz w:val="20"/>
          <w:szCs w:val="28"/>
        </w:rPr>
        <w:t>369–389.</w:t>
      </w:r>
      <w:r w:rsidR="00700A18" w:rsidRPr="00490B2A">
        <w:rPr>
          <w:noProof/>
          <w:color w:val="000000" w:themeColor="text1"/>
          <w:sz w:val="20"/>
          <w:szCs w:val="28"/>
        </w:rPr>
        <w:t xml:space="preserve"> </w:t>
      </w:r>
      <w:r w:rsidRPr="00490B2A">
        <w:rPr>
          <w:noProof/>
          <w:color w:val="000000" w:themeColor="text1"/>
          <w:sz w:val="20"/>
          <w:szCs w:val="28"/>
        </w:rPr>
        <w:t>https://doi.org/10.1007/s11069-009-9376-1</w:t>
      </w:r>
      <w:r w:rsidR="00CA0430">
        <w:rPr>
          <w:rFonts w:eastAsiaTheme="minorEastAsia" w:hint="eastAsia"/>
          <w:noProof/>
          <w:color w:val="000000" w:themeColor="text1"/>
          <w:sz w:val="20"/>
          <w:szCs w:val="28"/>
          <w:lang w:eastAsia="zh-CN"/>
        </w:rPr>
        <w:t>.</w:t>
      </w:r>
    </w:p>
    <w:p w:rsidR="00490B2A" w:rsidRPr="00490B2A" w:rsidRDefault="00490B2A" w:rsidP="00490B2A">
      <w:pPr>
        <w:widowControl w:val="0"/>
        <w:autoSpaceDE w:val="0"/>
        <w:autoSpaceDN w:val="0"/>
        <w:adjustRightInd w:val="0"/>
        <w:snapToGrid w:val="0"/>
        <w:spacing w:after="0" w:line="240" w:lineRule="auto"/>
        <w:ind w:left="425" w:hanging="425"/>
        <w:rPr>
          <w:noProof/>
          <w:color w:val="000000" w:themeColor="text1"/>
          <w:sz w:val="20"/>
          <w:szCs w:val="28"/>
        </w:rPr>
        <w:sectPr w:rsidR="00490B2A" w:rsidRPr="00490B2A" w:rsidSect="00490B2A">
          <w:type w:val="continuous"/>
          <w:pgSz w:w="12240" w:h="15840"/>
          <w:pgMar w:top="1440" w:right="1440" w:bottom="1440" w:left="1440" w:header="720" w:footer="720" w:gutter="0"/>
          <w:cols w:num="2" w:space="600"/>
          <w:docGrid w:linePitch="360"/>
        </w:sectPr>
      </w:pPr>
    </w:p>
    <w:p w:rsidR="00AC1CFF" w:rsidRPr="00490B2A" w:rsidRDefault="00AC1CFF" w:rsidP="00490B2A">
      <w:pPr>
        <w:widowControl w:val="0"/>
        <w:autoSpaceDE w:val="0"/>
        <w:autoSpaceDN w:val="0"/>
        <w:adjustRightInd w:val="0"/>
        <w:snapToGrid w:val="0"/>
        <w:spacing w:after="0" w:line="240" w:lineRule="auto"/>
        <w:ind w:left="425" w:hanging="425"/>
        <w:rPr>
          <w:noProof/>
          <w:color w:val="000000" w:themeColor="text1"/>
          <w:sz w:val="20"/>
          <w:szCs w:val="28"/>
        </w:rPr>
      </w:pPr>
    </w:p>
    <w:p w:rsidR="00AC1CFF" w:rsidRPr="00490B2A" w:rsidRDefault="00490B2A" w:rsidP="00490B2A">
      <w:pPr>
        <w:widowControl w:val="0"/>
        <w:autoSpaceDE w:val="0"/>
        <w:autoSpaceDN w:val="0"/>
        <w:adjustRightInd w:val="0"/>
        <w:snapToGrid w:val="0"/>
        <w:spacing w:after="0" w:line="240" w:lineRule="auto"/>
        <w:ind w:left="425" w:hanging="425"/>
        <w:rPr>
          <w:rFonts w:eastAsiaTheme="minorEastAsia"/>
          <w:noProof/>
          <w:color w:val="000000" w:themeColor="text1"/>
          <w:sz w:val="20"/>
          <w:szCs w:val="28"/>
          <w:lang w:eastAsia="zh-CN"/>
        </w:rPr>
      </w:pPr>
      <w:r>
        <w:rPr>
          <w:rFonts w:eastAsiaTheme="minorEastAsia" w:hint="eastAsia"/>
          <w:noProof/>
          <w:color w:val="000000" w:themeColor="text1"/>
          <w:sz w:val="20"/>
          <w:szCs w:val="28"/>
          <w:lang w:eastAsia="zh-CN"/>
        </w:rPr>
        <w:t xml:space="preserve"> </w:t>
      </w:r>
    </w:p>
    <w:p w:rsidR="00700A18" w:rsidRPr="00490B2A" w:rsidRDefault="00700A18" w:rsidP="00490B2A">
      <w:pPr>
        <w:snapToGrid w:val="0"/>
        <w:spacing w:after="0" w:line="240" w:lineRule="auto"/>
        <w:ind w:firstLine="425"/>
        <w:rPr>
          <w:sz w:val="20"/>
        </w:rPr>
      </w:pPr>
    </w:p>
    <w:p w:rsidR="00E15101" w:rsidRPr="00490B2A" w:rsidRDefault="00700A18" w:rsidP="00490B2A">
      <w:pPr>
        <w:snapToGrid w:val="0"/>
        <w:spacing w:after="0" w:line="240" w:lineRule="auto"/>
        <w:rPr>
          <w:sz w:val="20"/>
        </w:rPr>
      </w:pPr>
      <w:r w:rsidRPr="00490B2A">
        <w:rPr>
          <w:sz w:val="20"/>
        </w:rPr>
        <w:t>10/21/2019</w:t>
      </w:r>
    </w:p>
    <w:sectPr w:rsidR="00E15101" w:rsidRPr="00490B2A" w:rsidSect="00700A1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670" w:rsidRDefault="00780670" w:rsidP="00700A18">
      <w:pPr>
        <w:spacing w:after="0" w:line="240" w:lineRule="auto"/>
      </w:pPr>
      <w:r>
        <w:separator/>
      </w:r>
    </w:p>
  </w:endnote>
  <w:endnote w:type="continuationSeparator" w:id="0">
    <w:p w:rsidR="00780670" w:rsidRDefault="00780670" w:rsidP="00700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2A" w:rsidRPr="00C823C7" w:rsidRDefault="00B21E1C" w:rsidP="00C823C7">
    <w:pPr>
      <w:spacing w:after="0" w:line="240" w:lineRule="auto"/>
      <w:jc w:val="center"/>
      <w:rPr>
        <w:sz w:val="20"/>
      </w:rPr>
    </w:pPr>
    <w:r w:rsidRPr="00C823C7">
      <w:rPr>
        <w:sz w:val="20"/>
      </w:rPr>
      <w:fldChar w:fldCharType="begin"/>
    </w:r>
    <w:r w:rsidR="00C823C7" w:rsidRPr="00C823C7">
      <w:rPr>
        <w:sz w:val="20"/>
      </w:rPr>
      <w:instrText xml:space="preserve"> page </w:instrText>
    </w:r>
    <w:r w:rsidRPr="00C823C7">
      <w:rPr>
        <w:sz w:val="20"/>
      </w:rPr>
      <w:fldChar w:fldCharType="separate"/>
    </w:r>
    <w:r w:rsidR="00D87F12">
      <w:rPr>
        <w:noProof/>
        <w:sz w:val="20"/>
      </w:rPr>
      <w:t>62</w:t>
    </w:r>
    <w:r w:rsidRPr="00C823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670" w:rsidRDefault="00780670" w:rsidP="00700A18">
      <w:pPr>
        <w:spacing w:after="0" w:line="240" w:lineRule="auto"/>
      </w:pPr>
      <w:r>
        <w:separator/>
      </w:r>
    </w:p>
  </w:footnote>
  <w:footnote w:type="continuationSeparator" w:id="0">
    <w:p w:rsidR="00780670" w:rsidRDefault="00780670" w:rsidP="00700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C7" w:rsidRPr="00C823C7" w:rsidRDefault="00C823C7" w:rsidP="00C823C7">
    <w:pPr>
      <w:pBdr>
        <w:bottom w:val="thinThickMediumGap" w:sz="12" w:space="1" w:color="auto"/>
      </w:pBdr>
      <w:tabs>
        <w:tab w:val="left" w:pos="851"/>
        <w:tab w:val="right" w:pos="8364"/>
      </w:tabs>
      <w:adjustRightInd w:val="0"/>
      <w:snapToGrid w:val="0"/>
      <w:spacing w:after="0" w:line="240" w:lineRule="auto"/>
      <w:rPr>
        <w:iCs/>
        <w:sz w:val="20"/>
        <w:szCs w:val="20"/>
      </w:rPr>
    </w:pPr>
    <w:r w:rsidRPr="00C823C7">
      <w:rPr>
        <w:rFonts w:hint="eastAsia"/>
        <w:iCs/>
        <w:color w:val="000000"/>
        <w:sz w:val="20"/>
        <w:szCs w:val="20"/>
      </w:rPr>
      <w:tab/>
    </w:r>
    <w:r w:rsidRPr="00C823C7">
      <w:rPr>
        <w:iCs/>
        <w:color w:val="000000"/>
        <w:sz w:val="20"/>
        <w:szCs w:val="20"/>
      </w:rPr>
      <w:t xml:space="preserve">Researcher </w:t>
    </w:r>
    <w:r w:rsidRPr="00C823C7">
      <w:rPr>
        <w:iCs/>
        <w:sz w:val="20"/>
        <w:szCs w:val="20"/>
      </w:rPr>
      <w:t>201</w:t>
    </w:r>
    <w:r w:rsidRPr="00C823C7">
      <w:rPr>
        <w:rFonts w:hint="eastAsia"/>
        <w:iCs/>
        <w:sz w:val="20"/>
        <w:szCs w:val="20"/>
      </w:rPr>
      <w:t>9</w:t>
    </w:r>
    <w:r w:rsidRPr="00C823C7">
      <w:rPr>
        <w:iCs/>
        <w:sz w:val="20"/>
        <w:szCs w:val="20"/>
      </w:rPr>
      <w:t>;</w:t>
    </w:r>
    <w:r w:rsidRPr="00C823C7">
      <w:rPr>
        <w:rFonts w:hint="eastAsia"/>
        <w:iCs/>
        <w:sz w:val="20"/>
        <w:szCs w:val="20"/>
      </w:rPr>
      <w:t>11</w:t>
    </w:r>
    <w:r w:rsidRPr="00C823C7">
      <w:rPr>
        <w:iCs/>
        <w:sz w:val="20"/>
        <w:szCs w:val="20"/>
      </w:rPr>
      <w:t>(</w:t>
    </w:r>
    <w:r w:rsidRPr="00C823C7">
      <w:rPr>
        <w:rFonts w:hint="eastAsia"/>
        <w:iCs/>
        <w:sz w:val="20"/>
        <w:szCs w:val="20"/>
      </w:rPr>
      <w:t>10</w:t>
    </w:r>
    <w:r w:rsidRPr="00C823C7">
      <w:rPr>
        <w:iCs/>
        <w:sz w:val="20"/>
        <w:szCs w:val="20"/>
      </w:rPr>
      <w:t xml:space="preserve">)  </w:t>
    </w:r>
    <w:r w:rsidRPr="00C823C7">
      <w:rPr>
        <w:rFonts w:hint="eastAsia"/>
        <w:iCs/>
        <w:sz w:val="20"/>
        <w:szCs w:val="20"/>
      </w:rPr>
      <w:t xml:space="preserve"> </w:t>
    </w:r>
    <w:r w:rsidRPr="00C823C7">
      <w:rPr>
        <w:iCs/>
        <w:sz w:val="20"/>
        <w:szCs w:val="20"/>
      </w:rPr>
      <w:t xml:space="preserve"> </w:t>
    </w:r>
    <w:r w:rsidRPr="00C823C7">
      <w:rPr>
        <w:rFonts w:hint="eastAsia"/>
        <w:iCs/>
        <w:sz w:val="20"/>
        <w:szCs w:val="20"/>
      </w:rPr>
      <w:tab/>
    </w:r>
    <w:r w:rsidRPr="00C823C7">
      <w:rPr>
        <w:iCs/>
        <w:sz w:val="20"/>
        <w:szCs w:val="20"/>
      </w:rPr>
      <w:t xml:space="preserve">    </w:t>
    </w:r>
    <w:r w:rsidRPr="00C823C7">
      <w:rPr>
        <w:sz w:val="20"/>
        <w:szCs w:val="20"/>
      </w:rPr>
      <w:t xml:space="preserve"> </w:t>
    </w:r>
    <w:hyperlink r:id="rId1" w:history="1">
      <w:r w:rsidRPr="00C823C7">
        <w:rPr>
          <w:rStyle w:val="Hyperlink"/>
          <w:color w:val="0000FF"/>
          <w:sz w:val="20"/>
          <w:szCs w:val="20"/>
        </w:rPr>
        <w:t>http://www.sciencepub.net/researcher</w:t>
      </w:r>
    </w:hyperlink>
    <w:r w:rsidRPr="00C823C7">
      <w:rPr>
        <w:rFonts w:hint="eastAsia"/>
        <w:sz w:val="20"/>
      </w:rPr>
      <w:t xml:space="preserve">   </w:t>
    </w:r>
    <w:r w:rsidRPr="00C823C7">
      <w:rPr>
        <w:rFonts w:hint="eastAsia"/>
        <w:b/>
        <w:i/>
        <w:color w:val="FF0000"/>
        <w:sz w:val="20"/>
        <w:szCs w:val="20"/>
        <w:bdr w:val="single" w:sz="4" w:space="0" w:color="FF0000"/>
      </w:rPr>
      <w:t>RSJ</w:t>
    </w:r>
  </w:p>
  <w:p w:rsidR="00C823C7" w:rsidRPr="00C823C7" w:rsidRDefault="00C823C7" w:rsidP="00C823C7">
    <w:pPr>
      <w:tabs>
        <w:tab w:val="left" w:pos="851"/>
        <w:tab w:val="right" w:pos="8364"/>
      </w:tabs>
      <w:adjustRightInd w:val="0"/>
      <w:snapToGrid w:val="0"/>
      <w:spacing w:after="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96A"/>
    <w:multiLevelType w:val="hybridMultilevel"/>
    <w:tmpl w:val="8B22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32809"/>
    <w:multiLevelType w:val="hybridMultilevel"/>
    <w:tmpl w:val="C5D4DB22"/>
    <w:lvl w:ilvl="0" w:tplc="40EE364E">
      <w:start w:val="1"/>
      <w:numFmt w:val="decimal"/>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nsid w:val="380F4455"/>
    <w:multiLevelType w:val="multilevel"/>
    <w:tmpl w:val="B120AC7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41084D"/>
    <w:multiLevelType w:val="hybridMultilevel"/>
    <w:tmpl w:val="4DA2C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D22868"/>
    <w:multiLevelType w:val="hybridMultilevel"/>
    <w:tmpl w:val="AF3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27B40"/>
    <w:multiLevelType w:val="hybridMultilevel"/>
    <w:tmpl w:val="34E4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737A3"/>
    <w:multiLevelType w:val="multilevel"/>
    <w:tmpl w:val="C0FC0F20"/>
    <w:lvl w:ilvl="0">
      <w:start w:val="1"/>
      <w:numFmt w:val="decimal"/>
      <w:pStyle w:val="Heading1"/>
      <w:lvlText w:val="%1"/>
      <w:lvlJc w:val="left"/>
      <w:pPr>
        <w:ind w:left="432" w:hanging="432"/>
      </w:pPr>
      <w:rPr>
        <w:color w:val="FFFFF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C144F56"/>
    <w:multiLevelType w:val="multilevel"/>
    <w:tmpl w:val="D8F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5"/>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AC1CFF"/>
    <w:rsid w:val="000221F3"/>
    <w:rsid w:val="00067491"/>
    <w:rsid w:val="00096B66"/>
    <w:rsid w:val="000F1902"/>
    <w:rsid w:val="001E06FD"/>
    <w:rsid w:val="00256F5A"/>
    <w:rsid w:val="00311E9E"/>
    <w:rsid w:val="00325175"/>
    <w:rsid w:val="0035077F"/>
    <w:rsid w:val="003603C6"/>
    <w:rsid w:val="0036437E"/>
    <w:rsid w:val="003D6293"/>
    <w:rsid w:val="004176B1"/>
    <w:rsid w:val="00490B2A"/>
    <w:rsid w:val="00542B83"/>
    <w:rsid w:val="00561AE2"/>
    <w:rsid w:val="005829AA"/>
    <w:rsid w:val="005B5420"/>
    <w:rsid w:val="00616165"/>
    <w:rsid w:val="00671B77"/>
    <w:rsid w:val="00692900"/>
    <w:rsid w:val="00700A18"/>
    <w:rsid w:val="00780670"/>
    <w:rsid w:val="00792503"/>
    <w:rsid w:val="007D23DE"/>
    <w:rsid w:val="00802500"/>
    <w:rsid w:val="00831A24"/>
    <w:rsid w:val="00865EED"/>
    <w:rsid w:val="008957A6"/>
    <w:rsid w:val="008B02DD"/>
    <w:rsid w:val="009225CA"/>
    <w:rsid w:val="009B5F7C"/>
    <w:rsid w:val="009D5595"/>
    <w:rsid w:val="00A736BF"/>
    <w:rsid w:val="00AC1CFF"/>
    <w:rsid w:val="00AF6858"/>
    <w:rsid w:val="00B01D4D"/>
    <w:rsid w:val="00B17450"/>
    <w:rsid w:val="00B21E1C"/>
    <w:rsid w:val="00B24A1D"/>
    <w:rsid w:val="00B36E21"/>
    <w:rsid w:val="00B56E90"/>
    <w:rsid w:val="00B81063"/>
    <w:rsid w:val="00B92A42"/>
    <w:rsid w:val="00BF723E"/>
    <w:rsid w:val="00C24234"/>
    <w:rsid w:val="00C823C7"/>
    <w:rsid w:val="00CA0430"/>
    <w:rsid w:val="00D031B1"/>
    <w:rsid w:val="00D16889"/>
    <w:rsid w:val="00D87F12"/>
    <w:rsid w:val="00E15101"/>
    <w:rsid w:val="00E95E8F"/>
    <w:rsid w:val="00F30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F"/>
    <w:pPr>
      <w:spacing w:line="36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C1CFF"/>
    <w:pPr>
      <w:numPr>
        <w:numId w:val="1"/>
      </w:numPr>
      <w:spacing w:after="120"/>
      <w:jc w:val="center"/>
      <w:outlineLvl w:val="0"/>
    </w:pPr>
    <w:rPr>
      <w:b/>
    </w:rPr>
  </w:style>
  <w:style w:type="paragraph" w:styleId="Heading2">
    <w:name w:val="heading 2"/>
    <w:basedOn w:val="Heading1"/>
    <w:next w:val="Normal"/>
    <w:link w:val="Heading2Char"/>
    <w:uiPriority w:val="9"/>
    <w:unhideWhenUsed/>
    <w:qFormat/>
    <w:rsid w:val="00AC1CFF"/>
    <w:pPr>
      <w:numPr>
        <w:ilvl w:val="1"/>
      </w:numPr>
      <w:spacing w:after="240"/>
      <w:jc w:val="left"/>
      <w:outlineLvl w:val="1"/>
    </w:pPr>
    <w:rPr>
      <w:bCs/>
    </w:rPr>
  </w:style>
  <w:style w:type="paragraph" w:styleId="Heading3">
    <w:name w:val="heading 3"/>
    <w:basedOn w:val="Normal"/>
    <w:next w:val="Normal"/>
    <w:link w:val="Heading3Char"/>
    <w:uiPriority w:val="9"/>
    <w:unhideWhenUsed/>
    <w:qFormat/>
    <w:rsid w:val="00AC1CFF"/>
    <w:pPr>
      <w:keepNext/>
      <w:keepLines/>
      <w:numPr>
        <w:ilvl w:val="2"/>
        <w:numId w:val="1"/>
      </w:numPr>
      <w:spacing w:after="120"/>
      <w:outlineLvl w:val="2"/>
    </w:pPr>
    <w:rPr>
      <w:rFonts w:eastAsia="Times New Roman"/>
      <w:b/>
      <w:bCs/>
    </w:rPr>
  </w:style>
  <w:style w:type="paragraph" w:styleId="Heading4">
    <w:name w:val="heading 4"/>
    <w:basedOn w:val="Normal"/>
    <w:next w:val="Normal"/>
    <w:link w:val="Heading4Char"/>
    <w:uiPriority w:val="9"/>
    <w:unhideWhenUsed/>
    <w:qFormat/>
    <w:rsid w:val="00AC1CF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1CF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1CF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1CF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1CF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1CF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FF"/>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AC1CFF"/>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AC1CF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C1CF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AC1CFF"/>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AC1CFF"/>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AC1CFF"/>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AC1CF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1CFF"/>
    <w:rPr>
      <w:rFonts w:ascii="Cambria" w:eastAsia="Times New Roman" w:hAnsi="Cambria" w:cs="Times New Roman"/>
      <w:i/>
      <w:iCs/>
      <w:color w:val="404040"/>
      <w:sz w:val="20"/>
      <w:szCs w:val="20"/>
    </w:rPr>
  </w:style>
  <w:style w:type="paragraph" w:styleId="ListParagraph">
    <w:name w:val="List Paragraph"/>
    <w:basedOn w:val="Normal"/>
    <w:uiPriority w:val="34"/>
    <w:qFormat/>
    <w:rsid w:val="00AC1CFF"/>
    <w:pPr>
      <w:ind w:left="720"/>
      <w:contextualSpacing/>
    </w:pPr>
  </w:style>
  <w:style w:type="character" w:customStyle="1" w:styleId="apple-converted-space">
    <w:name w:val="apple-converted-space"/>
    <w:basedOn w:val="DefaultParagraphFont"/>
    <w:rsid w:val="00AC1CFF"/>
  </w:style>
  <w:style w:type="paragraph" w:styleId="Caption">
    <w:name w:val="caption"/>
    <w:basedOn w:val="Normal"/>
    <w:next w:val="Normal"/>
    <w:uiPriority w:val="35"/>
    <w:unhideWhenUsed/>
    <w:qFormat/>
    <w:rsid w:val="00AC1CFF"/>
    <w:pPr>
      <w:spacing w:line="240" w:lineRule="auto"/>
    </w:pPr>
  </w:style>
  <w:style w:type="paragraph" w:styleId="BalloonText">
    <w:name w:val="Balloon Text"/>
    <w:basedOn w:val="Normal"/>
    <w:link w:val="BalloonTextChar"/>
    <w:uiPriority w:val="99"/>
    <w:semiHidden/>
    <w:unhideWhenUsed/>
    <w:rsid w:val="00AC1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FF"/>
    <w:rPr>
      <w:rFonts w:ascii="Tahoma" w:eastAsia="Calibri" w:hAnsi="Tahoma" w:cs="Tahoma"/>
      <w:sz w:val="16"/>
      <w:szCs w:val="16"/>
    </w:rPr>
  </w:style>
  <w:style w:type="character" w:styleId="Hyperlink">
    <w:name w:val="Hyperlink"/>
    <w:uiPriority w:val="99"/>
    <w:unhideWhenUsed/>
    <w:rsid w:val="00AC1CFF"/>
    <w:rPr>
      <w:color w:val="0563C1"/>
      <w:u w:val="single"/>
    </w:rPr>
  </w:style>
  <w:style w:type="paragraph" w:styleId="Header">
    <w:name w:val="header"/>
    <w:basedOn w:val="Normal"/>
    <w:link w:val="HeaderChar"/>
    <w:uiPriority w:val="99"/>
    <w:semiHidden/>
    <w:unhideWhenUsed/>
    <w:rsid w:val="00AC1CFF"/>
    <w:pPr>
      <w:tabs>
        <w:tab w:val="center" w:pos="4680"/>
        <w:tab w:val="right" w:pos="9360"/>
      </w:tabs>
    </w:pPr>
  </w:style>
  <w:style w:type="character" w:customStyle="1" w:styleId="HeaderChar">
    <w:name w:val="Header Char"/>
    <w:basedOn w:val="DefaultParagraphFont"/>
    <w:link w:val="Header"/>
    <w:uiPriority w:val="99"/>
    <w:semiHidden/>
    <w:rsid w:val="00AC1CFF"/>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AC1CFF"/>
    <w:pPr>
      <w:tabs>
        <w:tab w:val="center" w:pos="4680"/>
        <w:tab w:val="right" w:pos="9360"/>
      </w:tabs>
    </w:pPr>
  </w:style>
  <w:style w:type="character" w:customStyle="1" w:styleId="FooterChar">
    <w:name w:val="Footer Char"/>
    <w:basedOn w:val="DefaultParagraphFont"/>
    <w:link w:val="Footer"/>
    <w:uiPriority w:val="99"/>
    <w:semiHidden/>
    <w:rsid w:val="00AC1CFF"/>
    <w:rPr>
      <w:rFonts w:ascii="Times New Roman" w:eastAsia="Calibri" w:hAnsi="Times New Roman" w:cs="Times New Roman"/>
      <w:sz w:val="24"/>
      <w:szCs w:val="24"/>
    </w:rPr>
  </w:style>
  <w:style w:type="table" w:styleId="TableGrid">
    <w:name w:val="Table Grid"/>
    <w:basedOn w:val="TableNormal"/>
    <w:uiPriority w:val="59"/>
    <w:rsid w:val="00AC1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1CFF"/>
    <w:pPr>
      <w:spacing w:after="0" w:line="240" w:lineRule="auto"/>
      <w:jc w:val="both"/>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AC1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1CF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C1CFF"/>
    <w:rPr>
      <w:vertAlign w:val="superscript"/>
    </w:rPr>
  </w:style>
  <w:style w:type="paragraph" w:customStyle="1" w:styleId="EndNoteBibliographyTitle">
    <w:name w:val="EndNote Bibliography Title"/>
    <w:basedOn w:val="Normal"/>
    <w:link w:val="EndNoteBibliographyTitleChar"/>
    <w:rsid w:val="00AC1CFF"/>
    <w:pPr>
      <w:spacing w:after="0"/>
      <w:jc w:val="center"/>
    </w:pPr>
    <w:rPr>
      <w:noProof/>
    </w:rPr>
  </w:style>
  <w:style w:type="character" w:customStyle="1" w:styleId="EndNoteBibliographyTitleChar">
    <w:name w:val="EndNote Bibliography Title Char"/>
    <w:basedOn w:val="DefaultParagraphFont"/>
    <w:link w:val="EndNoteBibliographyTitle"/>
    <w:rsid w:val="00AC1CFF"/>
    <w:rPr>
      <w:rFonts w:ascii="Times New Roman" w:eastAsia="Calibri" w:hAnsi="Times New Roman" w:cs="Times New Roman"/>
      <w:noProof/>
      <w:sz w:val="24"/>
      <w:szCs w:val="24"/>
    </w:rPr>
  </w:style>
  <w:style w:type="paragraph" w:customStyle="1" w:styleId="EndNoteBibliography">
    <w:name w:val="EndNote Bibliography"/>
    <w:basedOn w:val="Normal"/>
    <w:link w:val="EndNoteBibliographyChar"/>
    <w:rsid w:val="00AC1CFF"/>
    <w:pPr>
      <w:spacing w:line="240" w:lineRule="auto"/>
    </w:pPr>
    <w:rPr>
      <w:noProof/>
    </w:rPr>
  </w:style>
  <w:style w:type="character" w:customStyle="1" w:styleId="EndNoteBibliographyChar">
    <w:name w:val="EndNote Bibliography Char"/>
    <w:basedOn w:val="DefaultParagraphFont"/>
    <w:link w:val="EndNoteBibliography"/>
    <w:rsid w:val="00AC1CFF"/>
    <w:rPr>
      <w:rFonts w:ascii="Times New Roman" w:eastAsia="Calibri" w:hAnsi="Times New Roman" w:cs="Times New Roman"/>
      <w:noProof/>
      <w:sz w:val="24"/>
      <w:szCs w:val="24"/>
    </w:rPr>
  </w:style>
  <w:style w:type="character" w:styleId="PlaceholderText">
    <w:name w:val="Placeholder Text"/>
    <w:basedOn w:val="DefaultParagraphFont"/>
    <w:uiPriority w:val="99"/>
    <w:semiHidden/>
    <w:rsid w:val="00AC1CFF"/>
    <w:rPr>
      <w:color w:val="808080"/>
    </w:rPr>
  </w:style>
  <w:style w:type="character" w:styleId="Strong">
    <w:name w:val="Strong"/>
    <w:basedOn w:val="DefaultParagraphFont"/>
    <w:uiPriority w:val="22"/>
    <w:qFormat/>
    <w:rsid w:val="00AC1C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F"/>
    <w:pPr>
      <w:spacing w:line="36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C1CFF"/>
    <w:pPr>
      <w:numPr>
        <w:numId w:val="1"/>
      </w:numPr>
      <w:spacing w:after="120"/>
      <w:jc w:val="center"/>
      <w:outlineLvl w:val="0"/>
    </w:pPr>
    <w:rPr>
      <w:b/>
    </w:rPr>
  </w:style>
  <w:style w:type="paragraph" w:styleId="Heading2">
    <w:name w:val="heading 2"/>
    <w:basedOn w:val="Heading1"/>
    <w:next w:val="Normal"/>
    <w:link w:val="Heading2Char"/>
    <w:uiPriority w:val="9"/>
    <w:unhideWhenUsed/>
    <w:qFormat/>
    <w:rsid w:val="00AC1CFF"/>
    <w:pPr>
      <w:numPr>
        <w:ilvl w:val="1"/>
      </w:numPr>
      <w:spacing w:after="240"/>
      <w:jc w:val="left"/>
      <w:outlineLvl w:val="1"/>
    </w:pPr>
    <w:rPr>
      <w:bCs/>
    </w:rPr>
  </w:style>
  <w:style w:type="paragraph" w:styleId="Heading3">
    <w:name w:val="heading 3"/>
    <w:basedOn w:val="Normal"/>
    <w:next w:val="Normal"/>
    <w:link w:val="Heading3Char"/>
    <w:uiPriority w:val="9"/>
    <w:unhideWhenUsed/>
    <w:qFormat/>
    <w:rsid w:val="00AC1CFF"/>
    <w:pPr>
      <w:keepNext/>
      <w:keepLines/>
      <w:numPr>
        <w:ilvl w:val="2"/>
        <w:numId w:val="1"/>
      </w:numPr>
      <w:spacing w:after="120"/>
      <w:outlineLvl w:val="2"/>
    </w:pPr>
    <w:rPr>
      <w:rFonts w:eastAsia="Times New Roman"/>
      <w:b/>
      <w:bCs/>
    </w:rPr>
  </w:style>
  <w:style w:type="paragraph" w:styleId="Heading4">
    <w:name w:val="heading 4"/>
    <w:basedOn w:val="Normal"/>
    <w:next w:val="Normal"/>
    <w:link w:val="Heading4Char"/>
    <w:uiPriority w:val="9"/>
    <w:unhideWhenUsed/>
    <w:qFormat/>
    <w:rsid w:val="00AC1CF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1CF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1CF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1CF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1CF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1CF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FF"/>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AC1CFF"/>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AC1CF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C1CF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AC1CFF"/>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AC1CFF"/>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AC1CFF"/>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AC1CF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1CFF"/>
    <w:rPr>
      <w:rFonts w:ascii="Cambria" w:eastAsia="Times New Roman" w:hAnsi="Cambria" w:cs="Times New Roman"/>
      <w:i/>
      <w:iCs/>
      <w:color w:val="404040"/>
      <w:sz w:val="20"/>
      <w:szCs w:val="20"/>
    </w:rPr>
  </w:style>
  <w:style w:type="paragraph" w:styleId="ListParagraph">
    <w:name w:val="List Paragraph"/>
    <w:basedOn w:val="Normal"/>
    <w:uiPriority w:val="34"/>
    <w:qFormat/>
    <w:rsid w:val="00AC1CFF"/>
    <w:pPr>
      <w:ind w:left="720"/>
      <w:contextualSpacing/>
    </w:pPr>
  </w:style>
  <w:style w:type="character" w:customStyle="1" w:styleId="apple-converted-space">
    <w:name w:val="apple-converted-space"/>
    <w:basedOn w:val="DefaultParagraphFont"/>
    <w:rsid w:val="00AC1CFF"/>
  </w:style>
  <w:style w:type="paragraph" w:styleId="Caption">
    <w:name w:val="caption"/>
    <w:basedOn w:val="Normal"/>
    <w:next w:val="Normal"/>
    <w:uiPriority w:val="35"/>
    <w:unhideWhenUsed/>
    <w:qFormat/>
    <w:rsid w:val="00AC1CFF"/>
    <w:pPr>
      <w:spacing w:line="240" w:lineRule="auto"/>
    </w:pPr>
  </w:style>
  <w:style w:type="paragraph" w:styleId="BalloonText">
    <w:name w:val="Balloon Text"/>
    <w:basedOn w:val="Normal"/>
    <w:link w:val="BalloonTextChar"/>
    <w:uiPriority w:val="99"/>
    <w:semiHidden/>
    <w:unhideWhenUsed/>
    <w:rsid w:val="00AC1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FF"/>
    <w:rPr>
      <w:rFonts w:ascii="Tahoma" w:eastAsia="Calibri" w:hAnsi="Tahoma" w:cs="Tahoma"/>
      <w:sz w:val="16"/>
      <w:szCs w:val="16"/>
    </w:rPr>
  </w:style>
  <w:style w:type="character" w:styleId="Hyperlink">
    <w:name w:val="Hyperlink"/>
    <w:uiPriority w:val="99"/>
    <w:unhideWhenUsed/>
    <w:rsid w:val="00AC1CFF"/>
    <w:rPr>
      <w:color w:val="0563C1"/>
      <w:u w:val="single"/>
    </w:rPr>
  </w:style>
  <w:style w:type="paragraph" w:styleId="Header">
    <w:name w:val="header"/>
    <w:basedOn w:val="Normal"/>
    <w:link w:val="HeaderChar"/>
    <w:uiPriority w:val="99"/>
    <w:semiHidden/>
    <w:unhideWhenUsed/>
    <w:rsid w:val="00AC1CFF"/>
    <w:pPr>
      <w:tabs>
        <w:tab w:val="center" w:pos="4680"/>
        <w:tab w:val="right" w:pos="9360"/>
      </w:tabs>
    </w:pPr>
  </w:style>
  <w:style w:type="character" w:customStyle="1" w:styleId="HeaderChar">
    <w:name w:val="Header Char"/>
    <w:basedOn w:val="DefaultParagraphFont"/>
    <w:link w:val="Header"/>
    <w:uiPriority w:val="99"/>
    <w:semiHidden/>
    <w:rsid w:val="00AC1CFF"/>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AC1CFF"/>
    <w:pPr>
      <w:tabs>
        <w:tab w:val="center" w:pos="4680"/>
        <w:tab w:val="right" w:pos="9360"/>
      </w:tabs>
    </w:pPr>
  </w:style>
  <w:style w:type="character" w:customStyle="1" w:styleId="FooterChar">
    <w:name w:val="Footer Char"/>
    <w:basedOn w:val="DefaultParagraphFont"/>
    <w:link w:val="Footer"/>
    <w:uiPriority w:val="99"/>
    <w:semiHidden/>
    <w:rsid w:val="00AC1CFF"/>
    <w:rPr>
      <w:rFonts w:ascii="Times New Roman" w:eastAsia="Calibri" w:hAnsi="Times New Roman" w:cs="Times New Roman"/>
      <w:sz w:val="24"/>
      <w:szCs w:val="24"/>
    </w:rPr>
  </w:style>
  <w:style w:type="table" w:styleId="TableGrid">
    <w:name w:val="Table Grid"/>
    <w:basedOn w:val="TableNormal"/>
    <w:uiPriority w:val="59"/>
    <w:rsid w:val="00AC1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1CFF"/>
    <w:pPr>
      <w:spacing w:after="0" w:line="240" w:lineRule="auto"/>
      <w:jc w:val="both"/>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AC1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1CF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C1CFF"/>
    <w:rPr>
      <w:vertAlign w:val="superscript"/>
    </w:rPr>
  </w:style>
  <w:style w:type="paragraph" w:customStyle="1" w:styleId="EndNoteBibliographyTitle">
    <w:name w:val="EndNote Bibliography Title"/>
    <w:basedOn w:val="Normal"/>
    <w:link w:val="EndNoteBibliographyTitleChar"/>
    <w:rsid w:val="00AC1CFF"/>
    <w:pPr>
      <w:spacing w:after="0"/>
      <w:jc w:val="center"/>
    </w:pPr>
    <w:rPr>
      <w:noProof/>
    </w:rPr>
  </w:style>
  <w:style w:type="character" w:customStyle="1" w:styleId="EndNoteBibliographyTitleChar">
    <w:name w:val="EndNote Bibliography Title Char"/>
    <w:basedOn w:val="DefaultParagraphFont"/>
    <w:link w:val="EndNoteBibliographyTitle"/>
    <w:rsid w:val="00AC1CFF"/>
    <w:rPr>
      <w:rFonts w:ascii="Times New Roman" w:eastAsia="Calibri" w:hAnsi="Times New Roman" w:cs="Times New Roman"/>
      <w:noProof/>
      <w:sz w:val="24"/>
      <w:szCs w:val="24"/>
    </w:rPr>
  </w:style>
  <w:style w:type="paragraph" w:customStyle="1" w:styleId="EndNoteBibliography">
    <w:name w:val="EndNote Bibliography"/>
    <w:basedOn w:val="Normal"/>
    <w:link w:val="EndNoteBibliographyChar"/>
    <w:rsid w:val="00AC1CFF"/>
    <w:pPr>
      <w:spacing w:line="240" w:lineRule="auto"/>
    </w:pPr>
    <w:rPr>
      <w:noProof/>
    </w:rPr>
  </w:style>
  <w:style w:type="character" w:customStyle="1" w:styleId="EndNoteBibliographyChar">
    <w:name w:val="EndNote Bibliography Char"/>
    <w:basedOn w:val="DefaultParagraphFont"/>
    <w:link w:val="EndNoteBibliography"/>
    <w:rsid w:val="00AC1CFF"/>
    <w:rPr>
      <w:rFonts w:ascii="Times New Roman" w:eastAsia="Calibri" w:hAnsi="Times New Roman" w:cs="Times New Roman"/>
      <w:noProof/>
      <w:sz w:val="24"/>
      <w:szCs w:val="24"/>
    </w:rPr>
  </w:style>
  <w:style w:type="character" w:styleId="PlaceholderText">
    <w:name w:val="Placeholder Text"/>
    <w:basedOn w:val="DefaultParagraphFont"/>
    <w:uiPriority w:val="99"/>
    <w:semiHidden/>
    <w:rsid w:val="00AC1CFF"/>
    <w:rPr>
      <w:color w:val="808080"/>
    </w:rPr>
  </w:style>
  <w:style w:type="character" w:styleId="Strong">
    <w:name w:val="Strong"/>
    <w:basedOn w:val="DefaultParagraphFont"/>
    <w:uiPriority w:val="22"/>
    <w:qFormat/>
    <w:rsid w:val="00AC1CFF"/>
    <w:rPr>
      <w:b/>
      <w:bCs/>
    </w:rPr>
  </w:style>
</w:styles>
</file>

<file path=word/webSettings.xml><?xml version="1.0" encoding="utf-8"?>
<w:webSettings xmlns:r="http://schemas.openxmlformats.org/officeDocument/2006/relationships" xmlns:w="http://schemas.openxmlformats.org/wordprocessingml/2006/main">
  <w:divs>
    <w:div w:id="5977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ddin.syed77@gmail.com" TargetMode="External"/><Relationship Id="rId13" Type="http://schemas.openxmlformats.org/officeDocument/2006/relationships/hyperlink" Target="http://www.sciencepub.net/research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kakar333@gmail.com" TargetMode="External"/><Relationship Id="rId12" Type="http://schemas.openxmlformats.org/officeDocument/2006/relationships/hyperlink" Target="mailto:sher.abid78@gmail.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hrafh75@gmail.co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habana.faiz@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amach100@gmail.com" TargetMode="External"/><Relationship Id="rId14" Type="http://schemas.openxmlformats.org/officeDocument/2006/relationships/hyperlink" Target="http://www.dx.doi.org/10.7537/marsrsj111019.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31572</Words>
  <Characters>179963</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kakar</dc:creator>
  <cp:lastModifiedBy>Administrator</cp:lastModifiedBy>
  <cp:revision>5</cp:revision>
  <dcterms:created xsi:type="dcterms:W3CDTF">2019-10-23T15:18:00Z</dcterms:created>
  <dcterms:modified xsi:type="dcterms:W3CDTF">2019-10-24T02:52:00Z</dcterms:modified>
</cp:coreProperties>
</file>