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27" w:rsidRPr="00BB5BF0" w:rsidRDefault="0013084C" w:rsidP="006924D1">
      <w:pPr>
        <w:snapToGrid w:val="0"/>
        <w:spacing w:after="0" w:line="240" w:lineRule="auto"/>
        <w:jc w:val="center"/>
        <w:rPr>
          <w:rStyle w:val="Strong"/>
          <w:b w:val="0"/>
          <w:sz w:val="20"/>
          <w:szCs w:val="20"/>
        </w:rPr>
      </w:pPr>
      <w:r w:rsidRPr="00BB5BF0">
        <w:rPr>
          <w:b/>
          <w:bCs/>
          <w:color w:val="000000"/>
          <w:sz w:val="20"/>
          <w:szCs w:val="20"/>
        </w:rPr>
        <w:t xml:space="preserve">Carbetocin </w:t>
      </w:r>
      <w:r w:rsidR="007E471D" w:rsidRPr="00BB5BF0">
        <w:rPr>
          <w:b/>
          <w:bCs/>
          <w:color w:val="000000"/>
          <w:sz w:val="20"/>
          <w:szCs w:val="20"/>
        </w:rPr>
        <w:t>versus</w:t>
      </w:r>
      <w:r w:rsidRPr="00BB5BF0">
        <w:rPr>
          <w:b/>
          <w:bCs/>
          <w:color w:val="000000"/>
          <w:sz w:val="20"/>
          <w:szCs w:val="20"/>
        </w:rPr>
        <w:t xml:space="preserve"> Oxytocin in Cesarean Section in </w:t>
      </w:r>
      <w:r w:rsidR="007E471D" w:rsidRPr="00BB5BF0">
        <w:rPr>
          <w:b/>
          <w:bCs/>
          <w:color w:val="000000"/>
          <w:sz w:val="20"/>
          <w:szCs w:val="20"/>
        </w:rPr>
        <w:t>a</w:t>
      </w:r>
      <w:r w:rsidRPr="00BB5BF0">
        <w:rPr>
          <w:b/>
          <w:bCs/>
          <w:color w:val="000000"/>
          <w:sz w:val="20"/>
          <w:szCs w:val="20"/>
        </w:rPr>
        <w:t xml:space="preserve"> Patient with </w:t>
      </w:r>
      <w:r w:rsidR="007E471D" w:rsidRPr="00BB5BF0">
        <w:rPr>
          <w:b/>
          <w:bCs/>
          <w:color w:val="000000"/>
          <w:sz w:val="20"/>
          <w:szCs w:val="20"/>
        </w:rPr>
        <w:t>a</w:t>
      </w:r>
      <w:r w:rsidRPr="00BB5BF0">
        <w:rPr>
          <w:b/>
          <w:bCs/>
          <w:color w:val="000000"/>
          <w:sz w:val="20"/>
          <w:szCs w:val="20"/>
        </w:rPr>
        <w:t xml:space="preserve"> High Risk of Postpartum Hemorrhage</w:t>
      </w:r>
    </w:p>
    <w:p w:rsidR="00ED6927" w:rsidRPr="00BB5BF0" w:rsidRDefault="00ED6927" w:rsidP="006924D1">
      <w:pPr>
        <w:snapToGrid w:val="0"/>
        <w:spacing w:after="0" w:line="240" w:lineRule="auto"/>
        <w:jc w:val="center"/>
        <w:rPr>
          <w:rStyle w:val="Strong"/>
          <w:sz w:val="20"/>
          <w:szCs w:val="20"/>
        </w:rPr>
      </w:pPr>
    </w:p>
    <w:p w:rsidR="00ED6927" w:rsidRPr="00BB5BF0" w:rsidRDefault="0013084C" w:rsidP="006924D1">
      <w:pPr>
        <w:snapToGrid w:val="0"/>
        <w:spacing w:after="0" w:line="240" w:lineRule="auto"/>
        <w:jc w:val="center"/>
        <w:rPr>
          <w:rFonts w:eastAsiaTheme="minorEastAsia"/>
          <w:sz w:val="20"/>
          <w:szCs w:val="20"/>
          <w:lang w:eastAsia="zh-CN"/>
        </w:rPr>
      </w:pPr>
      <w:r w:rsidRPr="00BB5BF0">
        <w:rPr>
          <w:sz w:val="20"/>
          <w:szCs w:val="20"/>
        </w:rPr>
        <w:t>Abd-Elazem Mohamed Ahmed, Ashraf Hamdy Mohamed and Elsayed Ahmed Abdelaty Abdelkader</w:t>
      </w:r>
    </w:p>
    <w:p w:rsidR="00ED6927" w:rsidRPr="00BB5BF0" w:rsidRDefault="00ED6927" w:rsidP="006924D1">
      <w:pPr>
        <w:snapToGrid w:val="0"/>
        <w:spacing w:after="0" w:line="240" w:lineRule="auto"/>
        <w:jc w:val="center"/>
        <w:rPr>
          <w:rFonts w:eastAsiaTheme="minorEastAsia"/>
          <w:sz w:val="20"/>
          <w:szCs w:val="20"/>
          <w:lang w:eastAsia="zh-CN"/>
        </w:rPr>
      </w:pPr>
    </w:p>
    <w:p w:rsidR="00D040F2" w:rsidRPr="00BB5BF0" w:rsidRDefault="00F65D68" w:rsidP="006924D1">
      <w:pPr>
        <w:snapToGrid w:val="0"/>
        <w:spacing w:after="0" w:line="240" w:lineRule="auto"/>
        <w:jc w:val="center"/>
        <w:rPr>
          <w:b/>
          <w:bCs/>
          <w:sz w:val="20"/>
          <w:szCs w:val="20"/>
        </w:rPr>
      </w:pPr>
      <w:r w:rsidRPr="00BB5BF0">
        <w:rPr>
          <w:sz w:val="20"/>
          <w:szCs w:val="20"/>
        </w:rPr>
        <w:t>Department</w:t>
      </w:r>
      <w:r w:rsidR="005910CB" w:rsidRPr="00BB5BF0">
        <w:rPr>
          <w:sz w:val="20"/>
          <w:szCs w:val="20"/>
          <w:lang w:eastAsia="zh-CN"/>
        </w:rPr>
        <w:t xml:space="preserve"> of Obstetrics and Gynecology, Faculty of Medicine,</w:t>
      </w:r>
      <w:r w:rsidR="005910CB" w:rsidRPr="00BB5BF0">
        <w:rPr>
          <w:sz w:val="20"/>
          <w:szCs w:val="20"/>
        </w:rPr>
        <w:t xml:space="preserve"> Al Azhar University, Cairo, Egypt</w:t>
      </w:r>
    </w:p>
    <w:p w:rsidR="00ED6927" w:rsidRPr="00BB5BF0" w:rsidRDefault="00DB2D08" w:rsidP="006924D1">
      <w:pPr>
        <w:snapToGrid w:val="0"/>
        <w:spacing w:after="0" w:line="240" w:lineRule="auto"/>
        <w:jc w:val="center"/>
        <w:rPr>
          <w:sz w:val="20"/>
          <w:szCs w:val="20"/>
        </w:rPr>
      </w:pPr>
      <w:hyperlink r:id="rId8" w:history="1">
        <w:r w:rsidR="002127A4" w:rsidRPr="00BB5BF0">
          <w:rPr>
            <w:rStyle w:val="Hyperlink"/>
            <w:sz w:val="20"/>
            <w:szCs w:val="20"/>
          </w:rPr>
          <w:t>Sayedman1987@hotmail.com</w:t>
        </w:r>
      </w:hyperlink>
    </w:p>
    <w:p w:rsidR="00ED6927" w:rsidRPr="00BB5BF0" w:rsidRDefault="00ED6927" w:rsidP="006924D1">
      <w:pPr>
        <w:snapToGrid w:val="0"/>
        <w:spacing w:after="0" w:line="240" w:lineRule="auto"/>
        <w:jc w:val="center"/>
        <w:rPr>
          <w:sz w:val="20"/>
          <w:szCs w:val="20"/>
        </w:rPr>
      </w:pPr>
    </w:p>
    <w:p w:rsidR="005910CB" w:rsidRPr="00BB5BF0" w:rsidRDefault="005910CB" w:rsidP="006924D1">
      <w:pPr>
        <w:pStyle w:val="Heading1"/>
        <w:snapToGrid w:val="0"/>
        <w:spacing w:after="0" w:line="240" w:lineRule="auto"/>
        <w:jc w:val="both"/>
        <w:rPr>
          <w:sz w:val="20"/>
          <w:szCs w:val="20"/>
        </w:rPr>
      </w:pPr>
      <w:r w:rsidRPr="00BB5BF0">
        <w:rPr>
          <w:sz w:val="20"/>
          <w:szCs w:val="20"/>
        </w:rPr>
        <w:t>Abstract</w:t>
      </w:r>
      <w:r w:rsidR="007E471D" w:rsidRPr="00BB5BF0">
        <w:rPr>
          <w:sz w:val="20"/>
          <w:szCs w:val="20"/>
        </w:rPr>
        <w:t>:</w:t>
      </w:r>
      <w:r w:rsidR="007E471D" w:rsidRPr="00BB5BF0">
        <w:rPr>
          <w:b w:val="0"/>
          <w:bCs w:val="0"/>
          <w:sz w:val="20"/>
          <w:szCs w:val="20"/>
        </w:rPr>
        <w:t xml:space="preserve"> </w:t>
      </w:r>
      <w:r w:rsidRPr="00BB5BF0">
        <w:rPr>
          <w:sz w:val="20"/>
          <w:szCs w:val="20"/>
        </w:rPr>
        <w:t xml:space="preserve">Aim: </w:t>
      </w:r>
      <w:r w:rsidRPr="00BB5BF0">
        <w:rPr>
          <w:b w:val="0"/>
          <w:bCs w:val="0"/>
          <w:sz w:val="20"/>
          <w:szCs w:val="20"/>
        </w:rPr>
        <w:t xml:space="preserve">To </w:t>
      </w:r>
      <w:r w:rsidR="0047337F" w:rsidRPr="00BB5BF0">
        <w:rPr>
          <w:b w:val="0"/>
          <w:bCs w:val="0"/>
          <w:sz w:val="20"/>
          <w:szCs w:val="20"/>
        </w:rPr>
        <w:t>compare the efficacy of oxytocin and Carbetocin to prevent the PPH in cesarean section at high risk of primary postpartum hemorrhage</w:t>
      </w:r>
      <w:r w:rsidRPr="00BB5BF0">
        <w:rPr>
          <w:b w:val="0"/>
          <w:bCs w:val="0"/>
          <w:sz w:val="20"/>
          <w:szCs w:val="20"/>
        </w:rPr>
        <w:t>.</w:t>
      </w:r>
      <w:r w:rsidR="009572A1" w:rsidRPr="00BB5BF0">
        <w:rPr>
          <w:rFonts w:eastAsiaTheme="minorEastAsia" w:hint="eastAsia"/>
          <w:b w:val="0"/>
          <w:bCs w:val="0"/>
          <w:sz w:val="20"/>
          <w:szCs w:val="20"/>
          <w:lang w:eastAsia="zh-CN"/>
        </w:rPr>
        <w:t xml:space="preserve"> </w:t>
      </w:r>
      <w:r w:rsidRPr="00BB5BF0">
        <w:rPr>
          <w:sz w:val="20"/>
          <w:szCs w:val="20"/>
          <w:lang w:eastAsia="zh-CN"/>
        </w:rPr>
        <w:t xml:space="preserve">Material and Methods: </w:t>
      </w:r>
      <w:r w:rsidRPr="00BB5BF0">
        <w:rPr>
          <w:b w:val="0"/>
          <w:sz w:val="20"/>
          <w:szCs w:val="20"/>
          <w:lang w:eastAsia="zh-CN"/>
        </w:rPr>
        <w:t xml:space="preserve">A </w:t>
      </w:r>
      <w:r w:rsidR="0047337F" w:rsidRPr="00BB5BF0">
        <w:rPr>
          <w:b w:val="0"/>
          <w:noProof/>
          <w:sz w:val="20"/>
          <w:szCs w:val="20"/>
          <w:lang w:eastAsia="zh-CN"/>
        </w:rPr>
        <w:t xml:space="preserve">Prospective Randomized Comparative Study </w:t>
      </w:r>
      <w:r w:rsidRPr="00BB5BF0">
        <w:rPr>
          <w:b w:val="0"/>
          <w:sz w:val="20"/>
          <w:szCs w:val="20"/>
          <w:lang w:eastAsia="zh-CN"/>
        </w:rPr>
        <w:t xml:space="preserve">was carried out at </w:t>
      </w:r>
      <w:r w:rsidR="0047337F" w:rsidRPr="00BB5BF0">
        <w:rPr>
          <w:b w:val="0"/>
          <w:sz w:val="20"/>
          <w:szCs w:val="20"/>
          <w:lang w:eastAsia="zh-CN"/>
        </w:rPr>
        <w:t>Sayed Galal and Al Hussein Hospitals at Al Azhar University in Cairo.</w:t>
      </w:r>
      <w:r w:rsidRPr="00BB5BF0">
        <w:rPr>
          <w:b w:val="0"/>
          <w:sz w:val="20"/>
          <w:szCs w:val="20"/>
          <w:lang w:eastAsia="zh-CN"/>
        </w:rPr>
        <w:t xml:space="preserve"> </w:t>
      </w:r>
      <w:r w:rsidR="0047337F" w:rsidRPr="00BB5BF0">
        <w:rPr>
          <w:b w:val="0"/>
          <w:sz w:val="20"/>
          <w:szCs w:val="20"/>
          <w:lang w:eastAsia="zh-CN"/>
        </w:rPr>
        <w:t>200 pregnant women with high risk of primary postpartum hemorrhage undergoing cesarean section were</w:t>
      </w:r>
      <w:r w:rsidRPr="00BB5BF0">
        <w:rPr>
          <w:b w:val="0"/>
          <w:sz w:val="20"/>
          <w:szCs w:val="20"/>
          <w:lang w:eastAsia="zh-CN"/>
        </w:rPr>
        <w:t xml:space="preserve"> involved in the study. </w:t>
      </w:r>
      <w:r w:rsidR="0047337F" w:rsidRPr="00BB5BF0">
        <w:rPr>
          <w:b w:val="0"/>
          <w:sz w:val="20"/>
          <w:szCs w:val="20"/>
          <w:lang w:eastAsia="zh-CN"/>
        </w:rPr>
        <w:t>Patients divided into two groups: Group A (Carbetocin): included (100) pregnant women undergoing elective cesarean section with use a bolus of 100 μg</w:t>
      </w:r>
      <w:r w:rsidR="0047337F" w:rsidRPr="00BB5BF0">
        <w:rPr>
          <w:b w:val="0"/>
          <w:sz w:val="20"/>
          <w:szCs w:val="20"/>
        </w:rPr>
        <w:t xml:space="preserve"> </w:t>
      </w:r>
      <w:r w:rsidR="0047337F" w:rsidRPr="00BB5BF0">
        <w:rPr>
          <w:b w:val="0"/>
          <w:sz w:val="20"/>
          <w:szCs w:val="20"/>
          <w:lang w:eastAsia="zh-CN"/>
        </w:rPr>
        <w:t>Carbetocin IV at delivery of the anterior shoulder and Group B (Oxytocin): included (100) pregnant women undergoing elective cesarean section with use of 20 IU of oxytocin in 1000 ml of 0.9% NaCl solution IV (150 mL/hour) at delivery of the anterior shoulder.</w:t>
      </w:r>
      <w:r w:rsidR="009572A1" w:rsidRPr="00BB5BF0">
        <w:rPr>
          <w:rFonts w:eastAsiaTheme="minorEastAsia" w:hint="eastAsia"/>
          <w:b w:val="0"/>
          <w:sz w:val="20"/>
          <w:szCs w:val="20"/>
          <w:lang w:eastAsia="zh-CN"/>
        </w:rPr>
        <w:t xml:space="preserve"> </w:t>
      </w:r>
      <w:r w:rsidRPr="00BB5BF0">
        <w:rPr>
          <w:sz w:val="20"/>
          <w:szCs w:val="20"/>
          <w:lang w:eastAsia="zh-CN"/>
        </w:rPr>
        <w:t>Results</w:t>
      </w:r>
      <w:r w:rsidRPr="00BB5BF0">
        <w:rPr>
          <w:b w:val="0"/>
          <w:sz w:val="20"/>
          <w:szCs w:val="20"/>
          <w:lang w:eastAsia="zh-CN"/>
        </w:rPr>
        <w:t xml:space="preserve">: </w:t>
      </w:r>
      <w:r w:rsidR="0047337F" w:rsidRPr="00BB5BF0">
        <w:rPr>
          <w:b w:val="0"/>
          <w:sz w:val="20"/>
          <w:szCs w:val="20"/>
          <w:lang w:eastAsia="zh-CN"/>
        </w:rPr>
        <w:t>The present study showed that Hb decrease at 12 hours from delivery in the oxytocin group and Hb level was significant (- 0.6 g/dl vs - 1.2 g/dl, p 0.03). As regards incidence and severity of PPH; In fact, we did not demonstrate any difference in the amount of blood loss after cesarean section but within 2 hours and 24 hours, we showed in the oxytocin group higher degree of blood loss than Carbetocin group and there was no significant difference. Otherwise, no other significant difference between two groups regarding incidence of PPH, need for additional uterotonic drugs (with less need in Carbetocin group than oxytocin group) nor incidence of other side effects like headache.</w:t>
      </w:r>
      <w:r w:rsidR="009572A1" w:rsidRPr="00BB5BF0">
        <w:rPr>
          <w:rFonts w:eastAsiaTheme="minorEastAsia" w:hint="eastAsia"/>
          <w:b w:val="0"/>
          <w:sz w:val="20"/>
          <w:szCs w:val="20"/>
          <w:lang w:eastAsia="zh-CN"/>
        </w:rPr>
        <w:t xml:space="preserve"> </w:t>
      </w:r>
      <w:r w:rsidRPr="00BB5BF0">
        <w:rPr>
          <w:sz w:val="20"/>
          <w:szCs w:val="20"/>
        </w:rPr>
        <w:t>Conclusion</w:t>
      </w:r>
      <w:r w:rsidRPr="00BB5BF0">
        <w:rPr>
          <w:b w:val="0"/>
          <w:sz w:val="20"/>
          <w:szCs w:val="20"/>
        </w:rPr>
        <w:t xml:space="preserve">: </w:t>
      </w:r>
      <w:r w:rsidR="0047337F" w:rsidRPr="00BB5BF0">
        <w:rPr>
          <w:b w:val="0"/>
          <w:sz w:val="20"/>
          <w:szCs w:val="20"/>
        </w:rPr>
        <w:t>single injection of Carbetocin appears to be more effective than a continuous infusion of oxytocin to maintain adequate uterine tone. Further studies are needed to verify our findings.</w:t>
      </w:r>
    </w:p>
    <w:p w:rsidR="006924D1" w:rsidRPr="00BB5BF0" w:rsidRDefault="007E471D" w:rsidP="006924D1">
      <w:pPr>
        <w:snapToGrid w:val="0"/>
        <w:spacing w:after="0" w:line="240" w:lineRule="auto"/>
        <w:rPr>
          <w:bCs/>
          <w:sz w:val="20"/>
          <w:szCs w:val="20"/>
        </w:rPr>
      </w:pPr>
      <w:r w:rsidRPr="00BB5BF0">
        <w:rPr>
          <w:sz w:val="20"/>
          <w:szCs w:val="20"/>
        </w:rPr>
        <w:t>[Abd-Elazem Mohamed Ahmed, Ashraf Hamdy Mohamed and Elsayed Ahmed Abdelaty Abdelkader</w:t>
      </w:r>
      <w:r w:rsidR="006924D1" w:rsidRPr="00BB5BF0">
        <w:rPr>
          <w:sz w:val="20"/>
          <w:szCs w:val="20"/>
        </w:rPr>
        <w:t>.</w:t>
      </w:r>
      <w:r w:rsidR="006924D1" w:rsidRPr="00BB5BF0">
        <w:rPr>
          <w:rFonts w:eastAsiaTheme="minorEastAsia" w:hint="eastAsia"/>
          <w:b/>
          <w:bCs/>
          <w:sz w:val="20"/>
          <w:szCs w:val="20"/>
          <w:lang w:bidi="fa-IR"/>
        </w:rPr>
        <w:t xml:space="preserve"> </w:t>
      </w:r>
      <w:r w:rsidR="006924D1" w:rsidRPr="00BB5BF0">
        <w:rPr>
          <w:b/>
          <w:bCs/>
          <w:color w:val="000000"/>
          <w:sz w:val="20"/>
          <w:szCs w:val="20"/>
        </w:rPr>
        <w:t>Carbetocin versus Oxytocin in Cesarean Section in a Patient with a High Risk of Postpartum Hemorrhage</w:t>
      </w:r>
      <w:r w:rsidR="006924D1" w:rsidRPr="00BB5BF0">
        <w:rPr>
          <w:rFonts w:eastAsia="Times New Roman"/>
          <w:b/>
          <w:bCs/>
          <w:sz w:val="20"/>
          <w:szCs w:val="20"/>
          <w:lang w:bidi="fa-IR"/>
        </w:rPr>
        <w:t>.</w:t>
      </w:r>
      <w:r w:rsidR="006924D1" w:rsidRPr="00BB5BF0">
        <w:rPr>
          <w:bCs/>
          <w:i/>
          <w:sz w:val="20"/>
          <w:szCs w:val="20"/>
        </w:rPr>
        <w:t xml:space="preserve"> Researcher</w:t>
      </w:r>
      <w:r w:rsidR="006924D1" w:rsidRPr="00BB5BF0">
        <w:rPr>
          <w:bCs/>
          <w:sz w:val="20"/>
          <w:szCs w:val="20"/>
        </w:rPr>
        <w:t xml:space="preserve"> 201</w:t>
      </w:r>
      <w:r w:rsidR="006924D1" w:rsidRPr="00BB5BF0">
        <w:rPr>
          <w:rFonts w:hint="eastAsia"/>
          <w:bCs/>
          <w:sz w:val="20"/>
          <w:szCs w:val="20"/>
        </w:rPr>
        <w:t>9</w:t>
      </w:r>
      <w:r w:rsidR="006924D1" w:rsidRPr="00BB5BF0">
        <w:rPr>
          <w:bCs/>
          <w:sz w:val="20"/>
          <w:szCs w:val="20"/>
        </w:rPr>
        <w:t>;</w:t>
      </w:r>
      <w:r w:rsidR="006924D1" w:rsidRPr="00BB5BF0">
        <w:rPr>
          <w:rFonts w:hint="eastAsia"/>
          <w:bCs/>
          <w:sz w:val="20"/>
          <w:szCs w:val="20"/>
        </w:rPr>
        <w:t>11</w:t>
      </w:r>
      <w:r w:rsidR="006924D1" w:rsidRPr="00BB5BF0">
        <w:rPr>
          <w:bCs/>
          <w:sz w:val="20"/>
          <w:szCs w:val="20"/>
        </w:rPr>
        <w:t>(</w:t>
      </w:r>
      <w:r w:rsidR="006924D1" w:rsidRPr="00BB5BF0">
        <w:rPr>
          <w:rFonts w:hint="eastAsia"/>
          <w:bCs/>
          <w:sz w:val="20"/>
          <w:szCs w:val="20"/>
        </w:rPr>
        <w:t>11</w:t>
      </w:r>
      <w:r w:rsidR="006924D1" w:rsidRPr="00BB5BF0">
        <w:rPr>
          <w:bCs/>
          <w:sz w:val="20"/>
          <w:szCs w:val="20"/>
        </w:rPr>
        <w:t>):</w:t>
      </w:r>
      <w:r w:rsidR="002547FF" w:rsidRPr="00BB5BF0">
        <w:rPr>
          <w:noProof/>
          <w:color w:val="000000"/>
          <w:sz w:val="20"/>
          <w:szCs w:val="20"/>
        </w:rPr>
        <w:t>9-1</w:t>
      </w:r>
      <w:r w:rsidR="00BB5BF0">
        <w:rPr>
          <w:rFonts w:eastAsiaTheme="minorEastAsia" w:hint="eastAsia"/>
          <w:noProof/>
          <w:color w:val="000000"/>
          <w:sz w:val="20"/>
          <w:szCs w:val="20"/>
          <w:lang w:eastAsia="zh-CN"/>
        </w:rPr>
        <w:t>5</w:t>
      </w:r>
      <w:r w:rsidR="006924D1" w:rsidRPr="00BB5BF0">
        <w:rPr>
          <w:bCs/>
          <w:sz w:val="20"/>
          <w:szCs w:val="20"/>
        </w:rPr>
        <w:t xml:space="preserve">]. </w:t>
      </w:r>
      <w:r w:rsidR="006924D1" w:rsidRPr="00BB5BF0">
        <w:rPr>
          <w:sz w:val="20"/>
          <w:szCs w:val="20"/>
        </w:rPr>
        <w:t>ISSN 1553-9865 (print); ISSN 2163-8950 (online)</w:t>
      </w:r>
      <w:r w:rsidR="006924D1" w:rsidRPr="00BB5BF0">
        <w:rPr>
          <w:bCs/>
          <w:sz w:val="20"/>
          <w:szCs w:val="20"/>
        </w:rPr>
        <w:t xml:space="preserve">. </w:t>
      </w:r>
      <w:hyperlink r:id="rId9" w:history="1">
        <w:r w:rsidR="006924D1" w:rsidRPr="00BB5BF0">
          <w:rPr>
            <w:rStyle w:val="Hyperlink"/>
            <w:color w:val="0000FF"/>
            <w:sz w:val="20"/>
            <w:szCs w:val="20"/>
          </w:rPr>
          <w:t>http://www.sciencepub.net/researcher</w:t>
        </w:r>
      </w:hyperlink>
      <w:r w:rsidR="006924D1" w:rsidRPr="00BB5BF0">
        <w:rPr>
          <w:bCs/>
          <w:sz w:val="20"/>
          <w:szCs w:val="20"/>
        </w:rPr>
        <w:t>.</w:t>
      </w:r>
      <w:r w:rsidR="006924D1" w:rsidRPr="00BB5BF0">
        <w:rPr>
          <w:rFonts w:hint="eastAsia"/>
          <w:bCs/>
          <w:sz w:val="20"/>
          <w:szCs w:val="20"/>
        </w:rPr>
        <w:t xml:space="preserve"> </w:t>
      </w:r>
      <w:r w:rsidR="006924D1" w:rsidRPr="00BB5BF0">
        <w:rPr>
          <w:rFonts w:eastAsiaTheme="minorEastAsia" w:hint="eastAsia"/>
          <w:bCs/>
          <w:sz w:val="20"/>
          <w:szCs w:val="20"/>
          <w:lang w:eastAsia="zh-CN"/>
        </w:rPr>
        <w:t>2</w:t>
      </w:r>
      <w:r w:rsidR="006924D1" w:rsidRPr="00BB5BF0">
        <w:rPr>
          <w:rFonts w:hint="eastAsia"/>
          <w:bCs/>
          <w:sz w:val="20"/>
          <w:szCs w:val="20"/>
        </w:rPr>
        <w:t xml:space="preserve">. </w:t>
      </w:r>
      <w:r w:rsidR="006924D1" w:rsidRPr="00BB5BF0">
        <w:rPr>
          <w:color w:val="000000"/>
          <w:sz w:val="20"/>
          <w:szCs w:val="20"/>
          <w:shd w:val="clear" w:color="auto" w:fill="FFFFFF"/>
        </w:rPr>
        <w:t>doi:</w:t>
      </w:r>
      <w:hyperlink r:id="rId10" w:history="1">
        <w:r w:rsidR="006924D1" w:rsidRPr="00BB5BF0">
          <w:rPr>
            <w:rStyle w:val="Hyperlink"/>
            <w:color w:val="0000FF"/>
            <w:sz w:val="20"/>
            <w:szCs w:val="20"/>
            <w:shd w:val="clear" w:color="auto" w:fill="FFFFFF"/>
          </w:rPr>
          <w:t>10.7537/mars</w:t>
        </w:r>
        <w:r w:rsidR="006924D1" w:rsidRPr="00BB5BF0">
          <w:rPr>
            <w:rStyle w:val="Hyperlink"/>
            <w:rFonts w:hint="eastAsia"/>
            <w:color w:val="0000FF"/>
            <w:sz w:val="20"/>
            <w:szCs w:val="20"/>
            <w:shd w:val="clear" w:color="auto" w:fill="FFFFFF"/>
          </w:rPr>
          <w:t>r</w:t>
        </w:r>
        <w:r w:rsidR="006924D1" w:rsidRPr="00BB5BF0">
          <w:rPr>
            <w:rStyle w:val="Hyperlink"/>
            <w:color w:val="0000FF"/>
            <w:sz w:val="20"/>
            <w:szCs w:val="20"/>
            <w:shd w:val="clear" w:color="auto" w:fill="FFFFFF"/>
          </w:rPr>
          <w:t>sj</w:t>
        </w:r>
        <w:r w:rsidR="006924D1" w:rsidRPr="00BB5BF0">
          <w:rPr>
            <w:rStyle w:val="Hyperlink"/>
            <w:rFonts w:hint="eastAsia"/>
            <w:color w:val="0000FF"/>
            <w:sz w:val="20"/>
            <w:szCs w:val="20"/>
            <w:shd w:val="clear" w:color="auto" w:fill="FFFFFF"/>
          </w:rPr>
          <w:t>111119.</w:t>
        </w:r>
        <w:r w:rsidR="006924D1" w:rsidRPr="00BB5BF0">
          <w:rPr>
            <w:rStyle w:val="Hyperlink"/>
            <w:color w:val="0000FF"/>
            <w:sz w:val="20"/>
            <w:szCs w:val="20"/>
            <w:shd w:val="clear" w:color="auto" w:fill="FFFFFF"/>
          </w:rPr>
          <w:t>0</w:t>
        </w:r>
        <w:r w:rsidR="006924D1" w:rsidRPr="00BB5BF0">
          <w:rPr>
            <w:rStyle w:val="Hyperlink"/>
            <w:rFonts w:eastAsiaTheme="minorEastAsia" w:hint="eastAsia"/>
            <w:color w:val="0000FF"/>
            <w:sz w:val="20"/>
            <w:szCs w:val="20"/>
            <w:shd w:val="clear" w:color="auto" w:fill="FFFFFF"/>
            <w:lang w:eastAsia="zh-CN"/>
          </w:rPr>
          <w:t>2</w:t>
        </w:r>
      </w:hyperlink>
      <w:r w:rsidR="006924D1" w:rsidRPr="00BB5BF0">
        <w:rPr>
          <w:color w:val="000000"/>
          <w:sz w:val="20"/>
          <w:szCs w:val="20"/>
          <w:shd w:val="clear" w:color="auto" w:fill="FFFFFF"/>
        </w:rPr>
        <w:t>.</w:t>
      </w:r>
    </w:p>
    <w:p w:rsidR="007E471D" w:rsidRPr="00BB5BF0" w:rsidRDefault="007E471D" w:rsidP="006924D1">
      <w:pPr>
        <w:snapToGrid w:val="0"/>
        <w:spacing w:after="0" w:line="240" w:lineRule="auto"/>
        <w:rPr>
          <w:b/>
          <w:bCs/>
          <w:sz w:val="20"/>
          <w:szCs w:val="20"/>
          <w:lang w:eastAsia="zh-CN"/>
        </w:rPr>
      </w:pPr>
    </w:p>
    <w:p w:rsidR="00B2748D" w:rsidRPr="00BB5BF0" w:rsidRDefault="005910CB" w:rsidP="006924D1">
      <w:pPr>
        <w:snapToGrid w:val="0"/>
        <w:spacing w:after="0" w:line="240" w:lineRule="auto"/>
        <w:rPr>
          <w:sz w:val="20"/>
          <w:szCs w:val="20"/>
        </w:rPr>
      </w:pPr>
      <w:r w:rsidRPr="00BB5BF0">
        <w:rPr>
          <w:b/>
          <w:bCs/>
          <w:sz w:val="20"/>
          <w:szCs w:val="20"/>
          <w:lang w:eastAsia="zh-CN"/>
        </w:rPr>
        <w:t>Keywords</w:t>
      </w:r>
      <w:r w:rsidRPr="00BB5BF0">
        <w:rPr>
          <w:b/>
          <w:bCs/>
          <w:sz w:val="20"/>
          <w:szCs w:val="20"/>
        </w:rPr>
        <w:t>:</w:t>
      </w:r>
      <w:r w:rsidRPr="00BB5BF0">
        <w:rPr>
          <w:sz w:val="20"/>
          <w:szCs w:val="20"/>
        </w:rPr>
        <w:t xml:space="preserve"> </w:t>
      </w:r>
      <w:r w:rsidR="00D040F2" w:rsidRPr="00BB5BF0">
        <w:rPr>
          <w:sz w:val="20"/>
          <w:szCs w:val="20"/>
        </w:rPr>
        <w:t>post-partum haemorrhage, uterotonic drugs, carbetocin, oxytocin</w:t>
      </w:r>
      <w:r w:rsidRPr="00BB5BF0">
        <w:rPr>
          <w:sz w:val="20"/>
          <w:szCs w:val="20"/>
        </w:rPr>
        <w:t>.</w:t>
      </w:r>
    </w:p>
    <w:p w:rsidR="007E471D" w:rsidRPr="00BB5BF0" w:rsidRDefault="007E471D" w:rsidP="006924D1">
      <w:pPr>
        <w:pStyle w:val="Heading1"/>
        <w:snapToGrid w:val="0"/>
        <w:spacing w:after="0" w:line="240" w:lineRule="auto"/>
        <w:jc w:val="both"/>
        <w:rPr>
          <w:sz w:val="20"/>
          <w:szCs w:val="20"/>
        </w:rPr>
      </w:pPr>
    </w:p>
    <w:p w:rsidR="006924D1" w:rsidRPr="00BB5BF0" w:rsidRDefault="006924D1" w:rsidP="006924D1">
      <w:pPr>
        <w:pStyle w:val="Heading1"/>
        <w:snapToGrid w:val="0"/>
        <w:spacing w:after="0" w:line="240" w:lineRule="auto"/>
        <w:jc w:val="both"/>
        <w:rPr>
          <w:sz w:val="20"/>
          <w:szCs w:val="20"/>
        </w:rPr>
        <w:sectPr w:rsidR="006924D1" w:rsidRPr="00BB5BF0" w:rsidSect="002547FF">
          <w:headerReference w:type="default" r:id="rId11"/>
          <w:footerReference w:type="default" r:id="rId12"/>
          <w:type w:val="continuous"/>
          <w:pgSz w:w="12240" w:h="15840" w:code="9"/>
          <w:pgMar w:top="1440" w:right="1440" w:bottom="1440" w:left="1440" w:header="720" w:footer="720" w:gutter="0"/>
          <w:pgNumType w:start="9"/>
          <w:cols w:space="720"/>
          <w:rtlGutter/>
          <w:docGrid w:linePitch="360"/>
        </w:sectPr>
      </w:pPr>
    </w:p>
    <w:p w:rsidR="005910CB" w:rsidRPr="00BB5BF0" w:rsidRDefault="007E471D" w:rsidP="006924D1">
      <w:pPr>
        <w:pStyle w:val="Heading1"/>
        <w:snapToGrid w:val="0"/>
        <w:spacing w:after="0" w:line="240" w:lineRule="auto"/>
        <w:jc w:val="both"/>
        <w:rPr>
          <w:sz w:val="20"/>
          <w:szCs w:val="20"/>
        </w:rPr>
      </w:pPr>
      <w:r w:rsidRPr="00BB5BF0">
        <w:rPr>
          <w:sz w:val="20"/>
          <w:szCs w:val="20"/>
        </w:rPr>
        <w:lastRenderedPageBreak/>
        <w:t>1. Introduction</w:t>
      </w:r>
    </w:p>
    <w:p w:rsidR="007F1BCF" w:rsidRPr="00BB5BF0" w:rsidRDefault="007F1BCF" w:rsidP="006924D1">
      <w:pPr>
        <w:snapToGrid w:val="0"/>
        <w:spacing w:after="0" w:line="240" w:lineRule="auto"/>
        <w:ind w:firstLine="425"/>
        <w:rPr>
          <w:noProof/>
          <w:sz w:val="20"/>
          <w:szCs w:val="20"/>
        </w:rPr>
      </w:pPr>
      <w:r w:rsidRPr="00BB5BF0">
        <w:rPr>
          <w:noProof/>
          <w:sz w:val="20"/>
          <w:szCs w:val="20"/>
        </w:rPr>
        <w:t xml:space="preserve">Prevention of post-partum haemorrhage (PPH) is a major issue due to its impact on maternal morbidity and mortality. Postpartum hemorrhage (PPH) is the leading cause of maternal death worldwide, with an estimated mortality rate of 140 000 women per year, or 1 maternal death every 4 minutes </w:t>
      </w:r>
      <w:r w:rsidR="00DB2D08" w:rsidRPr="00BB5BF0">
        <w:rPr>
          <w:noProof/>
          <w:sz w:val="20"/>
          <w:szCs w:val="20"/>
        </w:rPr>
        <w:fldChar w:fldCharType="begin" w:fldLock="1"/>
      </w:r>
      <w:r w:rsidR="00E14E3B" w:rsidRPr="00BB5BF0">
        <w:rPr>
          <w:noProof/>
          <w:sz w:val="20"/>
          <w:szCs w:val="20"/>
        </w:rPr>
        <w:instrText>ADDIN CSL_CITATION {"citationItems":[{"id":"ITEM-1","itemData":{"DOI":"10.7860/JCDR/2017/22659.9463","ISSN":"2249782X","PMID":"28384942","abstract":"Postpartum haemorrhage (PPH) is a leading cause of maternal mortality and morbidity worldwide and 75-90% of these haemorrhage results from uterine atony. Delayed and substandard obstetrics care can kill a woman within hours of Major Obstetric Haemorrhage (MOH). Prenatal identification of at risk women, prompt assessment of blood loss, effective management and involvement of multidisciplinary teams is of utmost importance to save the lives of these women. However, even with the best prenatal care, PPH occurs, it can occur without any risk factors. The first step in management is achieving haemodynamic stability, second being arrest of bleeding, both are done simultaneously. Cases of refractory PPH is managed by postpartum hysterectomy which results in complete inability in hosting a future pregnancy, a psychological impact and risk of intra operative surgical morbidities. This review discusses the current evidence based management of PPH, existing controversies in transfusion of blood and blood products and newer advances in this field. It was conducted by searching the English language medical literature using Medline (1994-2015). The current scenario in developing countries mandates research on newer and practicable strategies to tackle PPH which can be implemented effectively and have an upper edge over the existing practices in the management of PPH.","author":[{"dropping-particle":"","family":"Rani","given":"P Reddi","non-dropping-particle":"","parse-names":false,"suffix":""}],"container-title":"Journal of Clinical and Diagnostic Research","id":"ITEM-1","issue":"2","issued":{"date-parts":[["2017","2"]]},"page":"QE01-QE05","publisher":"JCDR Research &amp; Publications Private Limited","title":"Recent Advances in the Management of Major Postpartum Haemorrhage - A Review","type":"article-journal","volume":"11"},"uris":["http://www.mendeley.com/documents/?uuid=e439747f-2f88-4133-b1b3-4a400b781531"]}],"mendeley":{"formattedCitation":"&lt;b&gt;(Rani, 2017)&lt;/b&gt;","plainTextFormattedCitation":"(Rani, 2017)","previouslyFormattedCitation":"&lt;b&gt;(Rani, 2017)&lt;/b&gt;"},"properties":{"noteIndex":0},"schema":"https://github.com/citation-style-language/schema/raw/master/csl-citation.json"}</w:instrText>
      </w:r>
      <w:r w:rsidR="00DB2D08" w:rsidRPr="00BB5BF0">
        <w:rPr>
          <w:noProof/>
          <w:sz w:val="20"/>
          <w:szCs w:val="20"/>
        </w:rPr>
        <w:fldChar w:fldCharType="separate"/>
      </w:r>
      <w:r w:rsidR="00E14E3B" w:rsidRPr="00BB5BF0">
        <w:rPr>
          <w:b/>
          <w:noProof/>
          <w:sz w:val="20"/>
          <w:szCs w:val="20"/>
        </w:rPr>
        <w:t>(Rani, 2017)</w:t>
      </w:r>
      <w:r w:rsidR="00DB2D08" w:rsidRPr="00BB5BF0">
        <w:rPr>
          <w:noProof/>
          <w:sz w:val="20"/>
          <w:szCs w:val="20"/>
        </w:rPr>
        <w:fldChar w:fldCharType="end"/>
      </w:r>
    </w:p>
    <w:p w:rsidR="007F1BCF" w:rsidRPr="00BB5BF0" w:rsidRDefault="007F1BCF" w:rsidP="006924D1">
      <w:pPr>
        <w:snapToGrid w:val="0"/>
        <w:spacing w:after="0" w:line="240" w:lineRule="auto"/>
        <w:ind w:firstLine="425"/>
        <w:rPr>
          <w:rFonts w:eastAsiaTheme="minorEastAsia" w:hint="eastAsia"/>
          <w:noProof/>
          <w:sz w:val="20"/>
          <w:szCs w:val="20"/>
          <w:lang w:eastAsia="zh-CN"/>
        </w:rPr>
      </w:pPr>
      <w:r w:rsidRPr="00BB5BF0">
        <w:rPr>
          <w:noProof/>
          <w:sz w:val="20"/>
          <w:szCs w:val="20"/>
        </w:rPr>
        <w:t xml:space="preserve">PPH occurs in 5% of all deliveries and is responsible for a major part of maternal mortality </w:t>
      </w:r>
      <w:r w:rsidR="00DB2D08" w:rsidRPr="00BB5BF0">
        <w:rPr>
          <w:noProof/>
          <w:sz w:val="20"/>
          <w:szCs w:val="20"/>
        </w:rPr>
        <w:fldChar w:fldCharType="begin" w:fldLock="1"/>
      </w:r>
      <w:r w:rsidR="00E14E3B" w:rsidRPr="00BB5BF0">
        <w:rPr>
          <w:noProof/>
          <w:sz w:val="20"/>
          <w:szCs w:val="20"/>
        </w:rPr>
        <w:instrText>ADDIN CSL_CITATION {"citationItems":[{"id":"ITEM-1","itemData":{"DOI":"10.2147/IJWH.S119232","ISBN":"1179-1411","ISSN":"11791411","PMID":"27843354","abstract":"BACKGROUND: Primary postpartum hemorrhage (PPH) is defined as blood loss from the genital tract of 500 mL or more following a normal vaginal delivery (NVD) or 1,000 mL or more following a cesarean section within 24 hours of birth. PPH contributes significantly to maternal morbidity and mortality worldwide. Women can rapidly hemorrhage and die soon after giving birth. It can be a devastating outcome to many young families. Women giving birth in low-resource settings are at a higher risk of death than their counterparts in resource-rich environments. PPH is a leading cause of maternal deaths globally, contributing to a quarter of the deaths annually.\\n\\nAIMS: This study aims 1) to document the incidence, risk factors, and causes of PPH in a low-resource setting and 2) to document the maternal outcomes of PPH in low-resource setting.\\n\\nMETHODS: This was a retrospective descriptive cohort study carried out at Mpilo Central Hospital, a tertiary referral government hospital in a low-resource setting in Bulawayo, Zimbabwe. Data were obtained from the labor ward birth registers for patients who had a diagnosis of PPH during the period from January 1, 2016 to June 30, 2016. The case notes were retrieved and the demographic, clinical, and outcome data were gathered. Blood loss was estimated postdelivery by the attending clinician - either a midwife or a doctor. At this maternity unit, blood loss is not measured but estimated owing to prevailing resource constraints. The SPSS Version 21 statistical tool was used to calculate the mean and standard deviation (SD) values. Simple statistical tests were used on absolute numbers to calculate percentages.\\n\\nRESULTS: There were 4,567 deliveries at the institution during the period from January 1, 2016 to June 30, 2016. There were 74 cases of PPH during the study period. The incidence of primary PPH was 1.6%. The mean age was 27.7 years (SD ±6.9), mean gestational age was 38.6 weeks gestation (SD ±2.2), and mean birth weight was 3.16 kg (SD ±0.65) for the studied group of patients. Three-quarters (75.7%) of the cases had NVD. The majority of the cases (77.0%) had an identifiable risk factor for developing primary PPH. The most identifiable risk factor for primary PPH was pregnancy-induced hypertension followed by prolonged labor. Uterine atony was the most common cause of postpartum hemorrhage (82.4%). The women who delivered by NVD, who were diagnosed with a PPH, and who lost an estimated 500-1,000 mL of blood were 73.2…","author":[{"dropping-particle":"","family":"Ngwenya","given":"Solwayo","non-dropping-particle":"","parse-names":false,"suffix":""}],"container-title":"International Journal of Women's Health","id":"ITEM-1","issued":{"date-parts":[["2016"]]},"page":"647-650","publisher":"Dove Press","title":"Postpartum hemorrhage: Incidence, risk factors, and outcomes in a low-resource setting","type":"article-journal","volume":"8"},"uris":["http://www.mendeley.com/documents/?uuid=c36fee69-1e83-4507-b9a8-bbb229031f49"]}],"mendeley":{"formattedCitation":"&lt;b&gt;(Ngwenya, 2016)&lt;/b&gt;","plainTextFormattedCitation":"(Ngwenya, 2016)","previouslyFormattedCitation":"&lt;b&gt;(Ngwenya, 2016)&lt;/b&gt;"},"properties":{"noteIndex":0},"schema":"https://github.com/citation-style-language/schema/raw/master/csl-citation.json"}</w:instrText>
      </w:r>
      <w:r w:rsidR="00DB2D08" w:rsidRPr="00BB5BF0">
        <w:rPr>
          <w:noProof/>
          <w:sz w:val="20"/>
          <w:szCs w:val="20"/>
        </w:rPr>
        <w:fldChar w:fldCharType="separate"/>
      </w:r>
      <w:r w:rsidR="00E14E3B" w:rsidRPr="00BB5BF0">
        <w:rPr>
          <w:b/>
          <w:noProof/>
          <w:sz w:val="20"/>
          <w:szCs w:val="20"/>
        </w:rPr>
        <w:t>(Ngwenya, 2016)</w:t>
      </w:r>
      <w:r w:rsidR="00DB2D08" w:rsidRPr="00BB5BF0">
        <w:rPr>
          <w:noProof/>
          <w:sz w:val="20"/>
          <w:szCs w:val="20"/>
        </w:rPr>
        <w:fldChar w:fldCharType="end"/>
      </w:r>
      <w:r w:rsid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rFonts w:eastAsiaTheme="minorEastAsia" w:hint="eastAsia"/>
          <w:noProof/>
          <w:sz w:val="20"/>
          <w:szCs w:val="20"/>
          <w:lang w:eastAsia="zh-CN"/>
        </w:rPr>
      </w:pPr>
      <w:r w:rsidRPr="00BB5BF0">
        <w:rPr>
          <w:noProof/>
          <w:sz w:val="20"/>
          <w:szCs w:val="20"/>
        </w:rPr>
        <w:t>The majority of these deaths occur within 4 hours of delivery, which indicates that they are a consequence of the third stage of labor</w:t>
      </w:r>
      <w:r w:rsidR="00DB2D08" w:rsidRPr="00BB5BF0">
        <w:rPr>
          <w:noProof/>
          <w:sz w:val="20"/>
          <w:szCs w:val="20"/>
        </w:rPr>
        <w:fldChar w:fldCharType="begin" w:fldLock="1"/>
      </w:r>
      <w:r w:rsidR="00E14E3B" w:rsidRPr="00BB5BF0">
        <w:rPr>
          <w:noProof/>
          <w:sz w:val="20"/>
          <w:szCs w:val="20"/>
        </w:rPr>
        <w:instrText>ADDIN CSL_CITATION {"citationItems":[{"id":"ITEM-1","itemData":{"DOI":"10.4103/2229-3485.100666","ISSN":"2229-5488","PMID":"23125961","abstract":"BACKGROUND AND CONTEXT: Misoprostol is a versatile drug with an effective uterotonic effect on the postpartum uterine tissue and is used through various routes during the third stage of labor.\\n\\nAIMS AND OBJECTIVES: A randomized prospective study was carried out to analyze the most effective route for misoprostol administration, with an emphasis on parturients' acceptability and compliance, a possible shortening of the duration of the third stage of labor, minimization of blood loss and possibly reducing the incidence of potential side effects.\\n\\nMATERIALS AND METHODS: The study groups comprised of 300 healthy parturients, divided randomly into three groups of 100 parturients each, who were administered misoprostol 400 μg through the oral (O), rectal (R), and sublingual (S) routes, respectively, during the third stage of labor. Estimation of blood loss was measured in terms of fall in hemoglobin, hematocrit, and packed cell volume (PCV) levels, and duration of the third stage of labor was also compared.\\n\\nRESULTS: The mean duration for the third stage of labor was significantly shorter in group S (3.62 minutes) as compared to R (4.12 minutes), and O (4.94 minutes) (P = 0.02). The average blood loss was observed to be the least in the group S (210 ml) as compared to group R (230 ml), and group O. The incidence of shivering and fever was observed to be significantly higher (25 and 15%) in the parturients of group S (P &lt; 0.05).\\n\\nCONCLUSIONS: All routes were equally effective in managing the third stage of labor, but administration of misoprostol through the rectal route evoked better acceptability, comparable efficacy, and had an incidence of minimal side effects.","author":[{"dropping-particle":"","family":"Bajwa","given":"Sukhwinder Kaur","non-dropping-particle":"","parse-names":false,"suffix":""},{"dropping-particle":"","family":"Bajwa","given":"Sukhminder Jit Singh","non-dropping-particle":"","parse-names":false,"suffix":""},{"dropping-particle":"","family":"Kaur","given":"Harpreet","non-dropping-particle":"","parse-names":false,"suffix":""},{"dropping-particle":"","family":"Goraya","given":"S P S","non-dropping-particle":"","parse-names":false,"suffix":""},{"dropping-particle":"","family":"Singh","given":"Anita","non-dropping-particle":"","parse-names":false,"suffix":""},{"dropping-particle":"","family":"Kaurishar","given":"Harpreet","non-dropping-particle":"","parse-names":false,"suffix":""}],"container-title":"Perspectives in clinical research","id":"ITEM-1","issue":"3","issued":{"date-parts":[["2012","7"]]},"page":"102-8","publisher":"Wolters Kluwer -- Medknow Publications","title":"Management of third stage of labor with misoprostol: A comparison of three routes of administration.","type":"article-journal","volume":"3"},"uris":["http://www.mendeley.com/documents/?uuid=8f2c4793-36e6-384f-af45-7c75e1ebb398"]}],"mendeley":{"formattedCitation":"&lt;b&gt;(Bajwa et al., 2012)&lt;/b&gt;","plainTextFormattedCitation":"(Bajwa et al., 2012)","previouslyFormattedCitation":"&lt;b&gt;(Bajwa et al., 2012)&lt;/b&gt;"},"properties":{"noteIndex":0},"schema":"https://github.com/citation-style-language/schema/raw/master/csl-citation.json"}</w:instrText>
      </w:r>
      <w:r w:rsidR="00DB2D08" w:rsidRPr="00BB5BF0">
        <w:rPr>
          <w:noProof/>
          <w:sz w:val="20"/>
          <w:szCs w:val="20"/>
        </w:rPr>
        <w:fldChar w:fldCharType="separate"/>
      </w:r>
      <w:r w:rsidR="00E14E3B" w:rsidRPr="00BB5BF0">
        <w:rPr>
          <w:b/>
          <w:noProof/>
          <w:sz w:val="20"/>
          <w:szCs w:val="20"/>
        </w:rPr>
        <w:t>(Bajwa et al., 2012)</w:t>
      </w:r>
      <w:r w:rsidR="00DB2D08" w:rsidRPr="00BB5BF0">
        <w:rPr>
          <w:noProof/>
          <w:sz w:val="20"/>
          <w:szCs w:val="20"/>
        </w:rPr>
        <w:fldChar w:fldCharType="end"/>
      </w:r>
      <w:r w:rsidRPr="00BB5BF0">
        <w:rPr>
          <w:noProof/>
          <w:sz w:val="20"/>
          <w:szCs w:val="20"/>
        </w:rPr>
        <w:t xml:space="preserve"> Non-fatal PPH results in further interventions, iron deficiency anemia, pituitary infarction (Sheehan’s syndrome) with associated poor lactation, exposure to blood products, coagulopathy, and organ damage with associated hypotension and shock </w:t>
      </w:r>
      <w:r w:rsidR="00DB2D08" w:rsidRPr="00BB5BF0">
        <w:rPr>
          <w:b/>
          <w:bCs/>
          <w:noProof/>
          <w:sz w:val="20"/>
          <w:szCs w:val="20"/>
        </w:rPr>
        <w:fldChar w:fldCharType="begin" w:fldLock="1"/>
      </w:r>
      <w:r w:rsidR="00E14E3B" w:rsidRPr="00BB5BF0">
        <w:rPr>
          <w:b/>
          <w:bCs/>
          <w:noProof/>
          <w:sz w:val="20"/>
          <w:szCs w:val="20"/>
        </w:rPr>
        <w:instrText>ADDIN CSL_CITATION {"citationItems":[{"id":"ITEM-1","itemData":{"DOI":"10.1016/j.ajog.2015.02.023","ISBN":"0002-9378","ISSN":"10976868","PMID":"25731692","abstract":"Objective The purpose of this study was to compare 4 national guidelines for the prevention and management of postpartum hemorrhage (PPH). Study Design We performed a descriptive analysis of guidelines from the American College of Obstetrician and Gynecologists practice bulletin, the Royal Australian and New Zealand College of Obstetricians and Gynaecologists, the Royal College of Obstetrician and Gynaecologists (RCOG), and the Society of Obstetricians and Gynaecologists of Canada on PPH to determine differences, if any, with regard to definitions, risk factors, prevention, treatment, and resuscitation. Results PPH was defined differently in all 4 guidelines. Risk factors that were emphasized in the guidelines conferred a high risk of catastrophic bleeding (eg, previous cesarean delivery and placenta previa). All organizations, except the American College of Obstetrician and Gynecologists, recommended active management of the third stage of labor for primary prevention of PPH in all vaginal deliveries. Oxytocin was recommended universally as the medication of choice for PPH prevention in vaginal deliveries. The Royal Australian and New Zealand College of Obstetricians and Gynaecologists and RCOG recommended development of a massive transfusion protocol to manage PPH resuscitation. Recommendations for nonsurgical treatment strategies such as uterine packing and balloon tamponade varied across all guidelines. All organizations recommended transfer to a tertiary care facility for suspicion of abnormal placentation. Specific indications for hysterectomy were not available in any guideline, with RCOG recommending hysterectomy \"sooner rather than later\" with the assistance of a second consultant. Conclusion Substantial variation exists in PPH prevention and management guidelines among 4 national organizations that highlights the need for better evidence and more consistent synthesis of the available evidence with regard to a leading cause of maternal death.","author":[{"dropping-particle":"","family":"Dahlke","given":"Joshua D.","non-dropping-particle":"","parse-names":false,"suffix":""},{"dropping-particle":"","family":"Mendez-Figueroa","given":"Hector","non-dropping-particle":"","parse-names":false,"suffix":""},{"dropping-particle":"","family":"Maggio","given":"Lindsay","non-dropping-particle":"","parse-names":false,"suffix":""},{"dropping-particle":"","family":"Hauspurg","given":"Alisse K.","non-dropping-particle":"","parse-names":false,"suffix":""},{"dropping-particle":"","family":"Sperling","given":"Jeffrey D.","non-dropping-particle":"","parse-names":false,"suffix":""},{"dropping-particle":"","family":"Chauhan","given":"Suneet P.","non-dropping-particle":"","parse-names":false,"suffix":""},{"dropping-particle":"","family":"Rouse","given":"Dwight J.","non-dropping-particle":"","parse-names":false,"suffix":""}],"container-title":"American Journal of Obstetrics and Gynecology","id":"ITEM-1","issue":"1","issued":{"date-parts":[["2015","7","1"]]},"page":"76.e1-76.e10","publisher":"Mosby","title":"Prevention and management of postpartum hemorrhage: a comparison of 4 national guidelines","type":"article-journal","volume":"213"},"uris":["http://www.mendeley.com/documents/?uuid=06bd62de-0edb-3c3e-9c5e-44585fad28fe"]},{"id":"ITEM-2","itemData":{"DOI":"10.1016/S1701-2163(16)34329-8","ISSN":"1701-2163","abstract":"While formation of capillary bridges significantly contributes to the adhesion and friction at micro- and nanoscales, many key aspects of dynamics of capillary condensation and its effect on friction forces are still not well understood. Here, by analytical model and numerical simulations, we address the origin of reduction of friction force with velocity and increase of friction with temperature, which have been experimentally observed under humid ambient conditions. These observations differ significantly from the results of friction experiments carried out under ultrahigh vacuum, and disagree with predictions of thermal Prandtl-Tomlinson model of friction. Our calculations demonstrate what information on the kinetics of capillary condensation can be extracted from measurements of friction forces and suggest optimal conditions for obtaining this information. © 2012 American Institute of Physics.","author":[{"dropping-particle":"","family":"Girard","given":"Isabelle","non-dropping-particle":"","parse-names":false,"suffix":""},{"dropping-particle":"","family":"Qc","given":"Montreal","non-dropping-particle":"","parse-names":false,"suffix":""},{"dropping-particle":"","family":"Jones","given":"Donna","non-dropping-particle":"","parse-names":false,"suffix":""},{"dropping-particle":"","family":"Ab","given":"Calgary","non-dropping-particle":"","parse-names":false,"suffix":""},{"dropping-particle":"","family":"Lee","given":"Lily Shek-yun","non-dropping-particle":"","parse-names":false,"suffix":""},{"dropping-particle":"","family":"Bc","given":"Vancouver","non-dropping-particle":"","parse-names":false,"suffix":""},{"dropping-particle":"","family":"Shepherd","given":"Debra","non-dropping-particle":"","parse-names":false,"suffix":""},{"dropping-particle":"","family":"Sk","given":"Regina","non-dropping-particle":"","parse-names":false,"suffix":""},{"dropping-particle":"","family":"Wilson","given":"Kathleen","non-dropping-particle":"","parse-names":false,"suffix":""},{"dropping-particle":"","family":"On","given":"Ilderton","non-dropping-particle":"","parse-names":false,"suffix":""}],"container-title":"Jogc","id":"ITEM-2","issue":"235","issued":{"date-parts":[["2009"]]},"page":"980-993","title":"SOGC Guideline : Active Management of the Third Stage of Labour : Prevention and Treatment of","type":"article-journal","volume":"2009"},"uris":["http://www.mendeley.com/documents/?uuid=f22debce-fe5a-3091-bf44-6dde4f8b85d2"]}],"mendeley":{"formattedCitation":"&lt;b&gt;(Dahlke et al., 2015; Girard et al., 2009)&lt;/b&gt;","plainTextFormattedCitation":"(Dahlke et al., 2015; Girard et al., 2009)","previouslyFormattedCitation":"&lt;b&gt;(Dahlke et al., 2015; Girard et al., 2009)&lt;/b&gt;"},"properties":{"noteIndex":0},"schema":"https://github.com/citation-style-language/schema/raw/master/csl-citation.json"}</w:instrText>
      </w:r>
      <w:r w:rsidR="00DB2D08" w:rsidRPr="00BB5BF0">
        <w:rPr>
          <w:b/>
          <w:bCs/>
          <w:noProof/>
          <w:sz w:val="20"/>
          <w:szCs w:val="20"/>
        </w:rPr>
        <w:fldChar w:fldCharType="separate"/>
      </w:r>
      <w:r w:rsidR="00E14E3B" w:rsidRPr="00BB5BF0">
        <w:rPr>
          <w:b/>
          <w:bCs/>
          <w:noProof/>
          <w:sz w:val="20"/>
          <w:szCs w:val="20"/>
        </w:rPr>
        <w:t>(Dahlke et al., 2015; Girard et al., 2009)</w:t>
      </w:r>
      <w:r w:rsidR="00DB2D08" w:rsidRPr="00BB5BF0">
        <w:rPr>
          <w:noProof/>
          <w:sz w:val="20"/>
          <w:szCs w:val="20"/>
        </w:rPr>
        <w:fldChar w:fldCharType="end"/>
      </w:r>
      <w:r w:rsid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rFonts w:eastAsiaTheme="minorEastAsia" w:hint="eastAsia"/>
          <w:b/>
          <w:bCs/>
          <w:noProof/>
          <w:sz w:val="20"/>
          <w:szCs w:val="20"/>
          <w:lang w:eastAsia="zh-CN"/>
        </w:rPr>
      </w:pPr>
      <w:r w:rsidRPr="00BB5BF0">
        <w:rPr>
          <w:noProof/>
          <w:sz w:val="20"/>
          <w:szCs w:val="20"/>
        </w:rPr>
        <w:t>Since all parturient women are at risk for PPH, care providers need to possess the knowledge and skills to practice active management of the third stage of labor, to prevent PPH and to recognize, assess, and treat excessive blood loss</w:t>
      </w:r>
      <w:r w:rsidRPr="00BB5BF0">
        <w:rPr>
          <w:b/>
          <w:bCs/>
          <w:noProof/>
          <w:sz w:val="20"/>
          <w:szCs w:val="20"/>
        </w:rPr>
        <w:t>.</w:t>
      </w:r>
      <w:r w:rsidRPr="00BB5BF0">
        <w:rPr>
          <w:noProof/>
          <w:sz w:val="20"/>
          <w:szCs w:val="20"/>
        </w:rPr>
        <w:t xml:space="preserve"> Cesarean section is a recognized risk factor for PPH and the worldwide </w:t>
      </w:r>
      <w:r w:rsidRPr="00BB5BF0">
        <w:rPr>
          <w:noProof/>
          <w:sz w:val="20"/>
          <w:szCs w:val="20"/>
        </w:rPr>
        <w:lastRenderedPageBreak/>
        <w:t>cesarean delivery rate is increasing</w:t>
      </w:r>
      <w:r w:rsidR="00DB2D08" w:rsidRPr="00BB5BF0">
        <w:rPr>
          <w:b/>
          <w:bCs/>
          <w:noProof/>
          <w:sz w:val="20"/>
          <w:szCs w:val="20"/>
        </w:rPr>
        <w:fldChar w:fldCharType="begin" w:fldLock="1"/>
      </w:r>
      <w:r w:rsidR="00E14E3B" w:rsidRPr="00BB5BF0">
        <w:rPr>
          <w:b/>
          <w:bCs/>
          <w:noProof/>
          <w:sz w:val="20"/>
          <w:szCs w:val="20"/>
        </w:rPr>
        <w:instrText>ADDIN CSL_CITATION {"citationItems":[{"id":"ITEM-1","itemData":{"PMID":"29763164","abstract":"Obstetric hemorrhage is the most common and dangerous complication of childbirth. Traditionally, postpartum hemorrhage (PPH) has been traditionally defined as greater than 500 mL estimated blood loss in a vaginal delivery or greater than 1000 mL estimated blood loss at the time of cesarean delivery. This was redefined in 2017 by the American College of Obstetrics and Gynecology as cumulative blood loss greater than 1000 mL with signs and symptoms hypovolemia within 24 hours of the birth process, regardless of the route of delivery.  While this was change was made with the knowledge that blood loss at the time of delivery is routinely underestimated, blood loss at the time of vaginal delivery greater than 500 mL should be considered abnormal with the potential need for intervention. Primary postpartum hemorrhage is bleeding that occurs in the first 24 hours after delivery, while secondary postpartum hemorrhage is characterized as bleeding that occurs 24 hours to 12 weeks postpartum.","author":[{"dropping-particle":"","family":"Wormer","given":"Kelly C.","non-dropping-particle":"","parse-names":false,"suffix":""},{"dropping-particle":"","family":"Bryant","given":"Suzanne B.","non-dropping-particle":"","parse-names":false,"suffix":""}],"container-title":"StatPearls","id":"ITEM-1","issued":{"date-parts":[["2018","10","27"]]},"publisher":"StatPearls Publishing","title":"Pregnancy, Acute Postpartum Hemorrhage","type":"book"},"uris":["http://www.mendeley.com/documents/?uuid=ed72c535-f0aa-35dc-92ac-062882c52145"]}],"mendeley":{"formattedCitation":"&lt;b&gt;(Wormer &amp; Bryant, 2018)&lt;/b&gt;","plainTextFormattedCitation":"(Wormer &amp; Bryant, 2018)","previouslyFormattedCitation":"&lt;b&gt;(Wormer &amp; Bryant, 2018)&lt;/b&gt;"},"properties":{"noteIndex":0},"schema":"https://github.com/citation-style-language/schema/raw/master/csl-citation.json"}</w:instrText>
      </w:r>
      <w:r w:rsidR="00DB2D08" w:rsidRPr="00BB5BF0">
        <w:rPr>
          <w:b/>
          <w:bCs/>
          <w:noProof/>
          <w:sz w:val="20"/>
          <w:szCs w:val="20"/>
        </w:rPr>
        <w:fldChar w:fldCharType="separate"/>
      </w:r>
      <w:r w:rsidR="00E14E3B" w:rsidRPr="00BB5BF0">
        <w:rPr>
          <w:b/>
          <w:bCs/>
          <w:noProof/>
          <w:sz w:val="20"/>
          <w:szCs w:val="20"/>
        </w:rPr>
        <w:t>(Wormer</w:t>
      </w:r>
      <w:r w:rsidR="00ED6927" w:rsidRPr="00BB5BF0">
        <w:rPr>
          <w:b/>
          <w:bCs/>
          <w:noProof/>
          <w:sz w:val="20"/>
          <w:szCs w:val="20"/>
        </w:rPr>
        <w:t xml:space="preserve"> &amp; </w:t>
      </w:r>
      <w:r w:rsidR="00E14E3B" w:rsidRPr="00BB5BF0">
        <w:rPr>
          <w:b/>
          <w:bCs/>
          <w:noProof/>
          <w:sz w:val="20"/>
          <w:szCs w:val="20"/>
        </w:rPr>
        <w:t>Bryant, 2018)</w:t>
      </w:r>
      <w:r w:rsidR="00DB2D08" w:rsidRPr="00BB5BF0">
        <w:rPr>
          <w:noProof/>
          <w:sz w:val="20"/>
          <w:szCs w:val="20"/>
        </w:rPr>
        <w:fldChar w:fldCharType="end"/>
      </w:r>
      <w:r w:rsid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rFonts w:eastAsiaTheme="minorEastAsia" w:hint="eastAsia"/>
          <w:noProof/>
          <w:sz w:val="20"/>
          <w:szCs w:val="20"/>
          <w:lang w:eastAsia="zh-CN"/>
        </w:rPr>
      </w:pPr>
      <w:r w:rsidRPr="00BB5BF0">
        <w:rPr>
          <w:noProof/>
          <w:sz w:val="20"/>
          <w:szCs w:val="20"/>
        </w:rPr>
        <w:t>Systematic reviews have concluded that active management of the third stage of labor, particularly the prophylactic use of uterotonic agents can significantly decrease the incidence of postpartum hemorrhage compared with that of expectant management. An ideal uterotonic agent should promote prompt, strong and sustained uterine contractions after intramuscular (IM) injection without any significant adverse effects</w:t>
      </w:r>
      <w:r w:rsidR="00DB2D08" w:rsidRPr="00BB5BF0">
        <w:rPr>
          <w:b/>
          <w:bCs/>
          <w:noProof/>
          <w:sz w:val="20"/>
          <w:szCs w:val="20"/>
        </w:rPr>
        <w:fldChar w:fldCharType="begin" w:fldLock="1"/>
      </w:r>
      <w:r w:rsidR="00E14E3B" w:rsidRPr="00BB5BF0">
        <w:rPr>
          <w:b/>
          <w:bCs/>
          <w:noProof/>
          <w:sz w:val="20"/>
          <w:szCs w:val="20"/>
        </w:rPr>
        <w:instrText>ADDIN CSL_CITATION {"citationItems":[{"id":"ITEM-1","itemData":{"DOI":"10.1111/j.1471-0528.2006.01105.x","ISSN":"1470-0328","PMID":"17176279","abstract":"OBJECTIVE Syntometrine is an effective uterotonic agent used in preventing primary postpartum haemorrhage but has adverse effects including nausea, vomiting, hypertension and coronary artery spasm. Carbetocin is a newly developed long-acting oxytocin analogue that might be used as an uterotonic agent. We compare the efficacy and safety of intramuscular (IM) carbetocin with IM syntometrine in preventing primary postpartum haemorrhage. DESIGN Prospective, double-blinded, randomised controlled trial. SETTING Delivery suite of a university-based obstetrics unit. POPULATION Women with singleton pregnancy achieving vaginal delivery after and throughout 34 weeks. METHODS Three hundred and twenty-nine eligible women were randomised to receive either a single dose of 100 microgram IM carbetocin or 1 ml IM syntometrine (a mixture of 5 iu oxytocin and 0.5 mg ergometrine) at the end of second stage of labour. MAIN OUTCOME MEASURES Difference in haemoglobin drop measured 2 days after delivery between the two groups. RESULTS There was no difference in the drop of haemoglobin concentration within the first 48 hours between the two groups. The incidence of additional oxytocic injections, postpartum haemorrhage (blood loss &gt; or = 500 ml) and retained placenta were also similar. The use of carbetocin was associated with significant lower incidence of nausea (relative risk [RR] 0.18, 95% confidence interval [CI] 0.04-0.78), vomiting (RR 0.1, 95% CI 0.01-0.74), hypertension 30 minutes (0 versus 8 cases, P &lt; 0.01) and 60 minutes (0 versus 6 cases, P &lt; 0.05) after delivery but a higher incidence of maternal tachycardia (RR 1.68, 95% CI 1.03-3.57). CONCLUSIONS IM carbetocin is as effective as IM syntometrine in preventing primary postpartum haemorrhage after vaginal delivery. It is less likely to induce hypertension and has a low incidence of adverse effect. It should be considered as a good alternative to conventional uterotonic agents used in managing the third stage of labour.","author":[{"dropping-particle":"","family":"Leung","given":"S W","non-dropping-particle":"","parse-names":false,"suffix":""},{"dropping-particle":"","family":"Ng","given":"P S","non-dropping-particle":"","parse-names":false,"suffix":""},{"dropping-particle":"","family":"Wong","given":"W Y","non-dropping-particle":"","parse-names":false,"suffix":""},{"dropping-particle":"","family":"Cheung","given":"T H","non-dropping-particle":"","parse-names":false,"suffix":""}],"container-title":"BJOG : an international journal of obstetrics and gynaecology","id":"ITEM-1","issue":"12","issued":{"date-parts":[["2006","12"]]},"page":"1459-64","publisher":"Wiley-Blackwell","title":"A randomised trial of carbetocin versus syntometrine in the management of the third stage of labour.","type":"article-journal","volume":"113"},"uris":["http://www.mendeley.com/documents/?uuid=346a2196-9a1d-31bd-9f3a-9d6b5dec6852"]},{"id":"ITEM-2","itemData":{"DOI":"10.1016/J.PREGHY.2014.01.003","ISSN":"2210-7789","abstract":"OBJECTIVE\nThis guideline summarizes the quality of the evidence to date and provides a reasonable approach to the diagnosis, evaluation and treatment of the hypertensive disorders of pregnancy (HDP). \n\nEVIDENCE\nThe literature reviewed included the previous Society of Obstetricians and Gynaecologists of Canada (SOGC) HDP guidelines from 2008 and their reference lists, and an update from 2006. Medline, Cochrane Database of Systematic Reviews (CDSR), Cochrane Central Registry of Controlled Trials (CCRCT) and Database of Abstracts and Reviews of Effects (DARE) were searched for literature published between January 2006 and March 2012. Articles were restricted to those published in French or English. Recommendations were evaluated using the criteria of the Canadian Task Force on Preventive Health Care and GRADE.","author":[{"dropping-particle":"","family":"Magee","given":"Laura A.","non-dropping-particle":"","parse-names":false,"suffix":""},{"dropping-particle":"","family":"Pels","given":"Anouk","non-dropping-particle":"","parse-names":false,"suffix":""},{"dropping-particle":"","family":"Helewa","given":"Michael","non-dropping-particle":"","parse-names":false,"suffix":""},{"dropping-particle":"","family":"Rey","given":"Evelyne","non-dropping-particle":"","parse-names":false,"suffix":""},{"dropping-particle":"","family":"Dadelszen","given":"Peter","non-dropping-particle":"von","parse-names":false,"suffix":""}],"container-title":"Pregnancy Hypertension: An International Journal of Women's Cardiovascular Health","id":"ITEM-2","issue":"2","issued":{"date-parts":[["2014","4","1"]]},"page":"105-145","publisher":"Elsevier","title":"Diagnosis, evaluation, and management of the hypertensive disorders of pregnancy","type":"article-journal","volume":"4"},"uris":["http://www.mendeley.com/documents/?uuid=32dca9b4-e9c3-3ad9-8fec-e16b4c7489d9"]}],"mendeley":{"formattedCitation":"&lt;b&gt;(Leung et al., 2006; Magee et al., 2014)&lt;/b&gt;","plainTextFormattedCitation":"(Leung et al., 2006; Magee et al., 2014)","previouslyFormattedCitation":"&lt;b&gt;(Leung et al., 2006; Magee et al., 2014)&lt;/b&gt;"},"properties":{"noteIndex":0},"schema":"https://github.com/citation-style-language/schema/raw/master/csl-citation.json"}</w:instrText>
      </w:r>
      <w:r w:rsidR="00DB2D08" w:rsidRPr="00BB5BF0">
        <w:rPr>
          <w:b/>
          <w:bCs/>
          <w:noProof/>
          <w:sz w:val="20"/>
          <w:szCs w:val="20"/>
        </w:rPr>
        <w:fldChar w:fldCharType="separate"/>
      </w:r>
      <w:r w:rsidR="00E14E3B" w:rsidRPr="00BB5BF0">
        <w:rPr>
          <w:b/>
          <w:bCs/>
          <w:noProof/>
          <w:sz w:val="20"/>
          <w:szCs w:val="20"/>
        </w:rPr>
        <w:t>(Leung et al., 2006; Magee et al., 2014)</w:t>
      </w:r>
      <w:r w:rsidR="00DB2D08" w:rsidRPr="00BB5BF0">
        <w:rPr>
          <w:noProof/>
          <w:sz w:val="20"/>
          <w:szCs w:val="20"/>
        </w:rPr>
        <w:fldChar w:fldCharType="end"/>
      </w:r>
      <w:r w:rsid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rFonts w:eastAsiaTheme="minorEastAsia" w:hint="eastAsia"/>
          <w:noProof/>
          <w:sz w:val="20"/>
          <w:szCs w:val="20"/>
          <w:lang w:eastAsia="zh-CN"/>
        </w:rPr>
      </w:pPr>
      <w:r w:rsidRPr="00BB5BF0">
        <w:rPr>
          <w:noProof/>
          <w:sz w:val="20"/>
          <w:szCs w:val="20"/>
        </w:rPr>
        <w:t>The administration of oxytocics after the delivery of the neonate reduces the likelihood of PPH and 5 IU oxytocin by slow intravenous injection is currently recommended for all cesarean sections</w:t>
      </w:r>
      <w:r w:rsidRPr="00BB5BF0">
        <w:rPr>
          <w:b/>
          <w:bCs/>
          <w:noProof/>
          <w:sz w:val="20"/>
          <w:szCs w:val="20"/>
        </w:rPr>
        <w:t>.</w:t>
      </w:r>
      <w:r w:rsidRPr="00BB5BF0">
        <w:rPr>
          <w:noProof/>
          <w:sz w:val="20"/>
          <w:szCs w:val="20"/>
        </w:rPr>
        <w:t xml:space="preserve"> However, the use of additional oxytocic medication is common, to arrest bleeding, or prophylactically if there are risk factors for PPH</w:t>
      </w:r>
      <w:r w:rsidR="00DB2D08" w:rsidRPr="00BB5BF0">
        <w:rPr>
          <w:noProof/>
          <w:sz w:val="20"/>
          <w:szCs w:val="20"/>
        </w:rPr>
        <w:fldChar w:fldCharType="begin" w:fldLock="1"/>
      </w:r>
      <w:r w:rsidR="00E14E3B" w:rsidRPr="00BB5BF0">
        <w:rPr>
          <w:noProof/>
          <w:sz w:val="20"/>
          <w:szCs w:val="20"/>
        </w:rPr>
        <w:instrText>ADDIN CSL_CITATION {"citationItems":[{"id":"ITEM-1","itemData":{"DOI":"10.4103/0970-9185.105790","ISBN":"0970-9185","ISSN":"0970-9185","PMID":"23493050","abstract":"Background: Oxytocin is routinely administered during cesarean delivery for uterine contraction. Adverse effects are known to occur after intravenous oxytocin administration, notably tachycardia, hypotension, and electrokardiogram (EKG) changes, which can be deleterious in high-risk patients. Aims and Objectives: To compare the hemodynamic changes and uterotonic effect of equivalent dose of oxytocin administered as an intravenous bolus versus intravenous infusion. Study Design: Randomized, double-blind, active controlled trial. Materials and Methods: Eighty parturients undergoing elective cesarean delivery, under spinal anesthesia, were randomly allocated to receive 3 IU of oxytocin either as a bolus intravenous injection over 15 seconds (group B, n = 40) or as an intravenous infusion over 5 minutes (group I, n = 40). Uterine tone was assessed as adequate or inadequate by an obstetrician. Intraoperative heart rate, non-invasive blood pressure, and EKG changes were recorded. These data were compared between the groups. Any other adverse events like chest pain, nausea, vomiting, and flushing were noted. Results: There was significant rise in heart rate and significant decrease in mean arterial pressure in bolus group compared to infusion group. Three patients in bolus group had EKG changes in the form of ST-T depression and 5 patients complained of chest pain. No such complications were found in infusion group. Conclusion: Bolus oxytocin (at a dose of 3 IU over 15 seconds) and infusion of oxytocin (at a dose of 3 IU over 5 minutes) have comparable uterotonic effect. However, the bolus regime shows significantly more adverse cardiovascular events.","author":[{"dropping-particle":"","family":"Ghosh","given":"Sarmila","non-dropping-particle":"","parse-names":false,"suffix":""},{"dropping-particle":"","family":"Ray","given":"Debanjali","non-dropping-particle":"","parse-names":false,"suffix":""},{"dropping-particle":"","family":"Mallik","given":"Suchismita","non-dropping-particle":"","parse-names":false,"suffix":""},{"dropping-particle":"","family":"Laha","given":"Arpita","non-dropping-particle":"","parse-names":false,"suffix":""},{"dropping-particle":"","family":"Bhattacharya","given":"Susmita","non-dropping-particle":"","parse-names":false,"suffix":""}],"container-title":"Journal of Anaesthesiology Clinical Pharmacology","id":"ITEM-1","issue":"1","issued":{"date-parts":[["2013","1"]]},"page":"32","publisher":"Wolters Kluwer -- Medknow Publications","title":"Oxytocin administration during cesarean delivery: Randomized controlled trial to compare intravenous bolus with intravenous infusion regimen","type":"article-journal","volume":"29"},"uris":["http://www.mendeley.com/documents/?uuid=a813e7ea-e78f-34ef-b3ca-12348dab03d7"]}],"mendeley":{"formattedCitation":"&lt;b&gt;(Ghosh et al., 2013)&lt;/b&gt;","plainTextFormattedCitation":"(Ghosh et al., 2013)","previouslyFormattedCitation":"&lt;b&gt;(Ghosh et al., 2013)&lt;/b&gt;"},"properties":{"noteIndex":0},"schema":"https://github.com/citation-style-language/schema/raw/master/csl-citation.json"}</w:instrText>
      </w:r>
      <w:r w:rsidR="00DB2D08" w:rsidRPr="00BB5BF0">
        <w:rPr>
          <w:noProof/>
          <w:sz w:val="20"/>
          <w:szCs w:val="20"/>
        </w:rPr>
        <w:fldChar w:fldCharType="separate"/>
      </w:r>
      <w:r w:rsidR="00E14E3B" w:rsidRPr="00BB5BF0">
        <w:rPr>
          <w:b/>
          <w:noProof/>
          <w:sz w:val="20"/>
          <w:szCs w:val="20"/>
        </w:rPr>
        <w:t>(Ghosh et al., 2013)</w:t>
      </w:r>
      <w:r w:rsidR="00DB2D08" w:rsidRPr="00BB5BF0">
        <w:rPr>
          <w:noProof/>
          <w:sz w:val="20"/>
          <w:szCs w:val="20"/>
        </w:rPr>
        <w:fldChar w:fldCharType="end"/>
      </w:r>
      <w:r w:rsid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rFonts w:eastAsiaTheme="minorEastAsia" w:hint="eastAsia"/>
          <w:b/>
          <w:bCs/>
          <w:noProof/>
          <w:sz w:val="20"/>
          <w:szCs w:val="20"/>
          <w:lang w:eastAsia="zh-CN"/>
        </w:rPr>
      </w:pPr>
      <w:r w:rsidRPr="00BB5BF0">
        <w:rPr>
          <w:noProof/>
          <w:sz w:val="20"/>
          <w:szCs w:val="20"/>
        </w:rPr>
        <w:t>Carbetocin is a synthetic analog of human oxytocin with structural modifications that increase its half-life thereby prolonging its pharmacological effects. Two double-blind Randomised trials compared 100 microgram</w:t>
      </w:r>
      <w:r w:rsidR="006924D1" w:rsidRPr="00BB5BF0">
        <w:rPr>
          <w:noProof/>
          <w:sz w:val="20"/>
          <w:szCs w:val="20"/>
        </w:rPr>
        <w:t>s C</w:t>
      </w:r>
      <w:r w:rsidRPr="00BB5BF0">
        <w:rPr>
          <w:noProof/>
          <w:sz w:val="20"/>
          <w:szCs w:val="20"/>
        </w:rPr>
        <w:t xml:space="preserve">arbetocin (the licensed dose) with different combinations of oxytocin, bolus and infusion, following cesarean section. The first trial </w:t>
      </w:r>
      <w:r w:rsidRPr="00BB5BF0">
        <w:rPr>
          <w:noProof/>
          <w:sz w:val="20"/>
          <w:szCs w:val="20"/>
        </w:rPr>
        <w:lastRenderedPageBreak/>
        <w:t>found that significantly more women needed additional oxytocic interventions in the oxytocin group. The second trial found no significant differences in the intraoperative blood loss</w:t>
      </w:r>
      <w:r w:rsidR="00DB2D08" w:rsidRPr="00BB5BF0">
        <w:rPr>
          <w:b/>
          <w:bCs/>
          <w:noProof/>
          <w:sz w:val="20"/>
          <w:szCs w:val="20"/>
        </w:rPr>
        <w:fldChar w:fldCharType="begin" w:fldLock="1"/>
      </w:r>
      <w:r w:rsidR="00E14E3B" w:rsidRPr="00BB5BF0">
        <w:rPr>
          <w:b/>
          <w:bCs/>
          <w:noProof/>
          <w:sz w:val="20"/>
          <w:szCs w:val="20"/>
        </w:rPr>
        <w:instrText>ADDIN CSL_CITATION {"citationItems":[{"id":"ITEM-1","itemData":{"DOI":"10.1186/s13063-016-1285-5","ISSN":"17456215","PMID":"27004531","abstract":"BACKGROUND: The two most commonly used uterotonic drugs in caesarean section are oxytocin and carbetocin, a synthetic oxytocin analogue. Carbetocin has a longer half-life when compared to oxytocin, resulting in a reduced use of additional uterotonics. Oxytocin is known to cause fewer cardiovascular side effects when administered as a short-infusion compared to as an intravenous bolus. Based on these findings, we aim at comparing carbetocin 100 mcg given as a slow intravenous bolus with carbetocin 100 mcg applied as a short-infusion in 100 ml 0.9 % sodium chloride in women undergoing a planned or unplanned caesarean delivery. We hypothesise uterine contraction not to be inferior to a bolus application (primary efficacy endpoint) and greater haemodynamic stability to be achieved after a short-infusion than after a bolus administration, as measured by heart rate and mean arterial blood pressure (primary safety endpoint).\\n\\nMETHODS/DESIGN: This is a prospective, double-blind, randomised controlled, investigator-initiated, non-inferiority trial taking place at the University Hospital Basel, Switzerland. Uterine tone is quantified by manual palpation by the obstetrician using a linear analogue scale from 0 to 100 at 2, 3, 5 and 10 minutes after cord clamping. We will evaluate whether the lower limit of the confidence interval for the difference of the maximal uterine tone within the first 5 minutes after cord clamping between both groups does not include the pre-specified non-inferiority limit of -10. Both haemodynamic secondary endpoints will be analysed using a linear regression model, adjusting for the baseline value and the dosage of vasoactive drug given between cord clamping and 1 minute thereafter, in order to investigate superiority of a short-infusion as compared to a bolus application. We will follow the extension of CONSORT guidelines for reporting the results of non-inferiority trials.\\n\\nDISCUSSION: Haemodynamic stability and adequate uterine tone are important outcomes in caesarean sections. The results of this trial may be used to optimise these factors and thereby increase patient safety due to a reduction in cardiovascular side effects.\\n\\nTRIAL REGISTRATION: Clinicaltrials.gov NCT02221531 on 19 August 2014 and www.kofam.ch SNCTP000001197 on 15 November 2014.","author":[{"dropping-particle":"","family":"Dell-Kuster","given":"Salome","non-dropping-particle":"","parse-names":false,"suffix":""},{"dropping-particle":"","family":"Hoesli","given":"Irene","non-dropping-particle":"","parse-names":false,"suffix":""},{"dropping-particle":"","family":"Lapaire","given":"Olav","non-dropping-particle":"","parse-names":false,"suffix":""},{"dropping-particle":"","family":"Seeberger","given":"Esther","non-dropping-particle":"","parse-names":false,"suffix":""},{"dropping-particle":"","family":"Steiner","given":"Luzius A.","non-dropping-particle":"","parse-names":false,"suffix":""},{"dropping-particle":"","family":"Bucher","given":"Heiner C.","non-dropping-particle":"","parse-names":false,"suffix":""},{"dropping-particle":"","family":"Girard","given":"Thierry","non-dropping-particle":"","parse-names":false,"suffix":""}],"container-title":"Trials","id":"ITEM-1","issue":"1","issued":{"date-parts":[["2016","3","22"]]},"page":"155","publisher":"BioMed Central","title":"Efficacy and safety of carbetocin applied as an intravenous bolus compared to as a short-infusion for caesarean section: Study protocol for a randomised controlled trial","type":"article-journal","volume":"17"},"uris":["http://www.mendeley.com/documents/?uuid=b065a390-cd2e-3534-9055-674d753feeee"]}],"mendeley":{"formattedCitation":"&lt;b&gt;(Dell-Kuster et al., 2016)&lt;/b&gt;","plainTextFormattedCitation":"(Dell-Kuster et al., 2016)","previouslyFormattedCitation":"&lt;b&gt;(Dell-Kuster et al., 2016)&lt;/b&gt;"},"properties":{"noteIndex":0},"schema":"https://github.com/citation-style-language/schema/raw/master/csl-citation.json"}</w:instrText>
      </w:r>
      <w:r w:rsidR="00DB2D08" w:rsidRPr="00BB5BF0">
        <w:rPr>
          <w:b/>
          <w:bCs/>
          <w:noProof/>
          <w:sz w:val="20"/>
          <w:szCs w:val="20"/>
        </w:rPr>
        <w:fldChar w:fldCharType="separate"/>
      </w:r>
      <w:r w:rsidR="00E14E3B" w:rsidRPr="00BB5BF0">
        <w:rPr>
          <w:b/>
          <w:bCs/>
          <w:noProof/>
          <w:sz w:val="20"/>
          <w:szCs w:val="20"/>
        </w:rPr>
        <w:t>(Dell-Kuster et al., 2016)</w:t>
      </w:r>
      <w:r w:rsidR="00DB2D08" w:rsidRPr="00BB5BF0">
        <w:rPr>
          <w:noProof/>
          <w:sz w:val="20"/>
          <w:szCs w:val="20"/>
        </w:rPr>
        <w:fldChar w:fldCharType="end"/>
      </w:r>
      <w:r w:rsidR="00BB5BF0" w:rsidRPr="00BB5BF0">
        <w:rPr>
          <w:rFonts w:eastAsiaTheme="minorEastAsia" w:hint="eastAsia"/>
          <w:noProof/>
          <w:sz w:val="20"/>
          <w:szCs w:val="20"/>
          <w:lang w:eastAsia="zh-CN"/>
        </w:rPr>
        <w:t>.</w:t>
      </w:r>
    </w:p>
    <w:p w:rsidR="007F1BCF" w:rsidRPr="00BB5BF0" w:rsidRDefault="007F1BCF" w:rsidP="006924D1">
      <w:pPr>
        <w:snapToGrid w:val="0"/>
        <w:spacing w:after="0" w:line="240" w:lineRule="auto"/>
        <w:ind w:firstLine="425"/>
        <w:rPr>
          <w:noProof/>
          <w:sz w:val="20"/>
          <w:szCs w:val="20"/>
        </w:rPr>
      </w:pPr>
      <w:r w:rsidRPr="00BB5BF0">
        <w:rPr>
          <w:noProof/>
          <w:sz w:val="20"/>
          <w:szCs w:val="20"/>
        </w:rPr>
        <w:t>In our study, we investigated the efficacy of Carbetocin vs. oxytocin for prevention of PPH in women undergoing cesarean section with high risk of postpartum hemorrhage.</w:t>
      </w:r>
    </w:p>
    <w:p w:rsidR="005910CB" w:rsidRPr="00BB5BF0" w:rsidRDefault="007E471D" w:rsidP="006924D1">
      <w:pPr>
        <w:pStyle w:val="Heading1"/>
        <w:snapToGrid w:val="0"/>
        <w:spacing w:after="0" w:line="240" w:lineRule="auto"/>
        <w:jc w:val="both"/>
        <w:rPr>
          <w:sz w:val="20"/>
          <w:szCs w:val="20"/>
        </w:rPr>
      </w:pPr>
      <w:r w:rsidRPr="00BB5BF0">
        <w:rPr>
          <w:sz w:val="20"/>
          <w:szCs w:val="20"/>
        </w:rPr>
        <w:t>Patients and Methods</w:t>
      </w:r>
    </w:p>
    <w:p w:rsidR="007E471D" w:rsidRPr="00BB5BF0" w:rsidRDefault="00950E75" w:rsidP="006924D1">
      <w:pPr>
        <w:pStyle w:val="b1Char"/>
        <w:snapToGrid w:val="0"/>
        <w:spacing w:after="0" w:line="240" w:lineRule="auto"/>
        <w:ind w:firstLine="0"/>
        <w:jc w:val="both"/>
        <w:rPr>
          <w:sz w:val="20"/>
          <w:szCs w:val="20"/>
        </w:rPr>
      </w:pPr>
      <w:r w:rsidRPr="00BB5BF0">
        <w:rPr>
          <w:b/>
          <w:bCs/>
          <w:sz w:val="20"/>
          <w:szCs w:val="20"/>
        </w:rPr>
        <w:t>Settings:</w:t>
      </w:r>
      <w:r w:rsidRPr="00BB5BF0">
        <w:rPr>
          <w:sz w:val="20"/>
          <w:szCs w:val="20"/>
        </w:rPr>
        <w:t xml:space="preserve"> </w:t>
      </w:r>
    </w:p>
    <w:p w:rsidR="0017250B" w:rsidRPr="00BB5BF0" w:rsidRDefault="00C04BCD" w:rsidP="006924D1">
      <w:pPr>
        <w:pStyle w:val="b1Char"/>
        <w:snapToGrid w:val="0"/>
        <w:spacing w:after="0" w:line="240" w:lineRule="auto"/>
        <w:ind w:firstLine="425"/>
        <w:jc w:val="both"/>
        <w:rPr>
          <w:sz w:val="20"/>
          <w:szCs w:val="20"/>
        </w:rPr>
      </w:pPr>
      <w:r w:rsidRPr="00BB5BF0">
        <w:rPr>
          <w:sz w:val="20"/>
          <w:szCs w:val="20"/>
        </w:rPr>
        <w:t xml:space="preserve">Prospective Randomized Comparative Study was </w:t>
      </w:r>
      <w:r w:rsidR="0017250B" w:rsidRPr="00BB5BF0">
        <w:rPr>
          <w:sz w:val="20"/>
          <w:szCs w:val="20"/>
        </w:rPr>
        <w:t>conducted at</w:t>
      </w:r>
      <w:r w:rsidR="0017250B" w:rsidRPr="00BB5BF0">
        <w:rPr>
          <w:rFonts w:eastAsia="宋体"/>
          <w:color w:val="231F20"/>
          <w:sz w:val="20"/>
          <w:szCs w:val="20"/>
          <w:lang w:eastAsia="zh-CN"/>
        </w:rPr>
        <w:t xml:space="preserve"> </w:t>
      </w:r>
      <w:r w:rsidR="00CF4B1F" w:rsidRPr="00BB5BF0">
        <w:rPr>
          <w:rFonts w:eastAsia="宋体" w:hint="eastAsia"/>
          <w:color w:val="231F20"/>
          <w:sz w:val="20"/>
          <w:szCs w:val="20"/>
          <w:lang w:eastAsia="zh-CN"/>
        </w:rPr>
        <w:t xml:space="preserve">the </w:t>
      </w:r>
      <w:r w:rsidR="0017250B" w:rsidRPr="00BB5BF0">
        <w:rPr>
          <w:noProof/>
          <w:sz w:val="20"/>
          <w:szCs w:val="20"/>
        </w:rPr>
        <w:t>Obstetrics</w:t>
      </w:r>
      <w:r w:rsidR="0017250B" w:rsidRPr="00BB5BF0">
        <w:rPr>
          <w:sz w:val="20"/>
          <w:szCs w:val="20"/>
        </w:rPr>
        <w:t xml:space="preserve"> and Gynecology Department of </w:t>
      </w:r>
      <w:r w:rsidR="007F1BCF" w:rsidRPr="00BB5BF0">
        <w:rPr>
          <w:sz w:val="20"/>
          <w:szCs w:val="20"/>
        </w:rPr>
        <w:t xml:space="preserve">Sayed Galal and Al Hussein Hospitals at Al Azhar University in Cairo. </w:t>
      </w:r>
      <w:r w:rsidR="007F1BCF" w:rsidRPr="00BB5BF0">
        <w:rPr>
          <w:rFonts w:eastAsia="宋体"/>
          <w:sz w:val="20"/>
          <w:szCs w:val="20"/>
          <w:lang w:eastAsia="zh-CN"/>
        </w:rPr>
        <w:t>200 pregnant women with high risk of primary postpartum hemorrhage undergoing cesarean section</w:t>
      </w:r>
      <w:r w:rsidR="0017250B" w:rsidRPr="00BB5BF0">
        <w:rPr>
          <w:sz w:val="20"/>
          <w:szCs w:val="20"/>
        </w:rPr>
        <w:t xml:space="preserve"> were recruited </w:t>
      </w:r>
      <w:r w:rsidR="0017250B" w:rsidRPr="00BB5BF0">
        <w:rPr>
          <w:rFonts w:eastAsia="宋体"/>
          <w:sz w:val="20"/>
          <w:szCs w:val="20"/>
          <w:lang w:eastAsia="zh-CN"/>
        </w:rPr>
        <w:t>and the</w:t>
      </w:r>
      <w:r w:rsidR="00BE4DD8" w:rsidRPr="00BB5BF0">
        <w:rPr>
          <w:rFonts w:eastAsia="宋体"/>
          <w:sz w:val="20"/>
          <w:szCs w:val="20"/>
          <w:lang w:eastAsia="zh-CN"/>
        </w:rPr>
        <w:t xml:space="preserve">y </w:t>
      </w:r>
      <w:r w:rsidR="0017250B" w:rsidRPr="00BB5BF0">
        <w:rPr>
          <w:rFonts w:eastAsia="宋体"/>
          <w:sz w:val="20"/>
          <w:szCs w:val="20"/>
          <w:lang w:eastAsia="zh-CN"/>
        </w:rPr>
        <w:t xml:space="preserve">were randomized by random method into two groups: </w:t>
      </w:r>
      <w:r w:rsidR="0017250B" w:rsidRPr="00BB5BF0">
        <w:rPr>
          <w:sz w:val="20"/>
          <w:szCs w:val="20"/>
        </w:rPr>
        <w:t xml:space="preserve">Group </w:t>
      </w:r>
      <w:r w:rsidR="007F1BCF" w:rsidRPr="00BB5BF0">
        <w:rPr>
          <w:sz w:val="20"/>
          <w:szCs w:val="20"/>
        </w:rPr>
        <w:t>A</w:t>
      </w:r>
      <w:r w:rsidR="0017250B" w:rsidRPr="00BB5BF0">
        <w:rPr>
          <w:sz w:val="20"/>
          <w:szCs w:val="20"/>
        </w:rPr>
        <w:t xml:space="preserve"> (</w:t>
      </w:r>
      <w:r w:rsidR="007F1BCF" w:rsidRPr="00BB5BF0">
        <w:rPr>
          <w:b/>
          <w:bCs/>
          <w:sz w:val="20"/>
          <w:szCs w:val="20"/>
        </w:rPr>
        <w:t>Carbetocin</w:t>
      </w:r>
      <w:r w:rsidR="0017250B" w:rsidRPr="00BB5BF0">
        <w:rPr>
          <w:sz w:val="20"/>
          <w:szCs w:val="20"/>
        </w:rPr>
        <w:t xml:space="preserve">) included </w:t>
      </w:r>
      <w:r w:rsidR="007F1BCF" w:rsidRPr="00BB5BF0">
        <w:rPr>
          <w:sz w:val="20"/>
          <w:szCs w:val="20"/>
        </w:rPr>
        <w:t>10</w:t>
      </w:r>
      <w:r w:rsidR="0017250B" w:rsidRPr="00BB5BF0">
        <w:rPr>
          <w:sz w:val="20"/>
          <w:szCs w:val="20"/>
        </w:rPr>
        <w:t xml:space="preserve">0 </w:t>
      </w:r>
      <w:r w:rsidR="007F1BCF" w:rsidRPr="00BB5BF0">
        <w:rPr>
          <w:sz w:val="20"/>
          <w:szCs w:val="20"/>
        </w:rPr>
        <w:t>pregnant women undergoing elective cesarean section with use a bolus of 100 μg IV Slowly over2 minute at delivery of the anterior shoulder</w:t>
      </w:r>
      <w:r w:rsidR="0017250B" w:rsidRPr="00BB5BF0">
        <w:rPr>
          <w:sz w:val="20"/>
          <w:szCs w:val="20"/>
        </w:rPr>
        <w:t xml:space="preserve">. Group </w:t>
      </w:r>
      <w:r w:rsidR="007F1BCF" w:rsidRPr="00BB5BF0">
        <w:rPr>
          <w:sz w:val="20"/>
          <w:szCs w:val="20"/>
        </w:rPr>
        <w:t>B</w:t>
      </w:r>
      <w:r w:rsidR="0017250B" w:rsidRPr="00BB5BF0">
        <w:rPr>
          <w:sz w:val="20"/>
          <w:szCs w:val="20"/>
        </w:rPr>
        <w:t xml:space="preserve"> (</w:t>
      </w:r>
      <w:r w:rsidR="007F1BCF" w:rsidRPr="00BB5BF0">
        <w:rPr>
          <w:b/>
          <w:bCs/>
          <w:sz w:val="20"/>
          <w:szCs w:val="20"/>
        </w:rPr>
        <w:t>oxytocin</w:t>
      </w:r>
      <w:r w:rsidR="0017250B" w:rsidRPr="00BB5BF0">
        <w:rPr>
          <w:sz w:val="20"/>
          <w:szCs w:val="20"/>
        </w:rPr>
        <w:t xml:space="preserve">) included </w:t>
      </w:r>
      <w:r w:rsidR="007F1BCF" w:rsidRPr="00BB5BF0">
        <w:rPr>
          <w:sz w:val="20"/>
          <w:szCs w:val="20"/>
        </w:rPr>
        <w:t>10</w:t>
      </w:r>
      <w:r w:rsidR="0017250B" w:rsidRPr="00BB5BF0">
        <w:rPr>
          <w:sz w:val="20"/>
          <w:szCs w:val="20"/>
        </w:rPr>
        <w:t xml:space="preserve">0 </w:t>
      </w:r>
      <w:r w:rsidR="007F1BCF" w:rsidRPr="00BB5BF0">
        <w:rPr>
          <w:sz w:val="20"/>
          <w:szCs w:val="20"/>
        </w:rPr>
        <w:t>pregnant women undergoing elective cesarean section with use of 20 IU of oxytocin in 1000 ml of 0.9% NaCl solution IV (150 mL/hour) at delivery of the anterior shoulder</w:t>
      </w:r>
      <w:r w:rsidR="0017250B" w:rsidRPr="00BB5BF0">
        <w:rPr>
          <w:sz w:val="20"/>
          <w:szCs w:val="20"/>
        </w:rPr>
        <w:t>.</w:t>
      </w:r>
    </w:p>
    <w:p w:rsidR="007E471D" w:rsidRPr="00BB5BF0" w:rsidRDefault="005910CB" w:rsidP="006924D1">
      <w:pPr>
        <w:snapToGrid w:val="0"/>
        <w:spacing w:after="0" w:line="240" w:lineRule="auto"/>
        <w:rPr>
          <w:sz w:val="20"/>
          <w:szCs w:val="20"/>
          <w:lang w:eastAsia="zh-CN"/>
        </w:rPr>
      </w:pPr>
      <w:r w:rsidRPr="00BB5BF0">
        <w:rPr>
          <w:b/>
          <w:bCs/>
          <w:sz w:val="20"/>
          <w:szCs w:val="20"/>
        </w:rPr>
        <w:t>Selection Criteria:</w:t>
      </w:r>
      <w:r w:rsidRPr="00BB5BF0">
        <w:rPr>
          <w:sz w:val="20"/>
          <w:szCs w:val="20"/>
        </w:rPr>
        <w:t xml:space="preserve"> </w:t>
      </w:r>
    </w:p>
    <w:p w:rsidR="005C41FE" w:rsidRPr="00BB5BF0" w:rsidRDefault="00B94B67" w:rsidP="006924D1">
      <w:pPr>
        <w:snapToGrid w:val="0"/>
        <w:spacing w:after="0" w:line="240" w:lineRule="auto"/>
        <w:ind w:firstLine="425"/>
        <w:rPr>
          <w:sz w:val="20"/>
          <w:szCs w:val="20"/>
        </w:rPr>
      </w:pPr>
      <w:r w:rsidRPr="00BB5BF0">
        <w:rPr>
          <w:sz w:val="20"/>
          <w:szCs w:val="20"/>
          <w:lang w:eastAsia="zh-CN"/>
        </w:rPr>
        <w:t xml:space="preserve">Women undergoing elective cesarean sections at term and Presence of risk factors for primary postpartum hemorrhage: Uterine fibroids, Anemia, multiple pregnancy, past history of PPH, Fetal macrosomia </w:t>
      </w:r>
      <w:r w:rsidRPr="00BB5BF0">
        <w:rPr>
          <w:rFonts w:hint="cs"/>
          <w:sz w:val="20"/>
          <w:szCs w:val="20"/>
          <w:lang w:eastAsia="zh-CN"/>
        </w:rPr>
        <w:t>or</w:t>
      </w:r>
      <w:r w:rsidRPr="00BB5BF0">
        <w:rPr>
          <w:sz w:val="20"/>
          <w:szCs w:val="20"/>
          <w:lang w:eastAsia="zh-CN"/>
        </w:rPr>
        <w:t xml:space="preserve"> Polyhydramnios</w:t>
      </w:r>
      <w:r w:rsidRPr="00BB5BF0">
        <w:rPr>
          <w:rFonts w:hint="cs"/>
          <w:sz w:val="20"/>
          <w:szCs w:val="20"/>
          <w:lang w:eastAsia="zh-CN"/>
        </w:rPr>
        <w:t xml:space="preserve"> </w:t>
      </w:r>
      <w:r w:rsidRPr="00BB5BF0">
        <w:rPr>
          <w:sz w:val="20"/>
          <w:szCs w:val="20"/>
          <w:lang w:eastAsia="zh-CN"/>
        </w:rPr>
        <w:t>were included in this study.</w:t>
      </w:r>
      <w:r w:rsidRPr="00BB5BF0">
        <w:rPr>
          <w:rFonts w:hint="cs"/>
          <w:sz w:val="20"/>
          <w:szCs w:val="20"/>
          <w:lang w:eastAsia="zh-CN"/>
        </w:rPr>
        <w:t xml:space="preserve"> </w:t>
      </w:r>
      <w:r w:rsidRPr="00BB5BF0">
        <w:rPr>
          <w:sz w:val="20"/>
          <w:szCs w:val="20"/>
          <w:lang w:eastAsia="zh-CN"/>
        </w:rPr>
        <w:t xml:space="preserve">Pregnant women </w:t>
      </w:r>
      <w:r w:rsidRPr="00BB5BF0">
        <w:rPr>
          <w:sz w:val="20"/>
          <w:szCs w:val="20"/>
        </w:rPr>
        <w:t>with hypertension, preeclampsia, Cardiac, renal or liver diseases, Epilepsy and general anesthesia, Women with history of hypersensitivity to Carbetocin or oxytocin, blood disease e.g thrombocytopenia, anticoagulants or placenta Previa</w:t>
      </w:r>
      <w:r w:rsidR="004D6458" w:rsidRPr="00BB5BF0">
        <w:rPr>
          <w:sz w:val="20"/>
          <w:szCs w:val="20"/>
        </w:rPr>
        <w:t xml:space="preserve"> were all excluded from this study.</w:t>
      </w:r>
    </w:p>
    <w:p w:rsidR="00ED6927" w:rsidRPr="00BB5BF0" w:rsidRDefault="005C41FE" w:rsidP="006924D1">
      <w:pPr>
        <w:snapToGrid w:val="0"/>
        <w:spacing w:after="0" w:line="240" w:lineRule="auto"/>
        <w:ind w:firstLine="425"/>
        <w:rPr>
          <w:bCs/>
          <w:sz w:val="20"/>
          <w:szCs w:val="20"/>
        </w:rPr>
      </w:pPr>
      <w:r w:rsidRPr="00BB5BF0">
        <w:rPr>
          <w:bCs/>
          <w:sz w:val="20"/>
          <w:szCs w:val="20"/>
        </w:rPr>
        <w:t>Every patient subjected to careful and detailed history taking, general examination, abdominal examination and vaginal examination.</w:t>
      </w:r>
    </w:p>
    <w:p w:rsidR="007E471D" w:rsidRPr="00BB5BF0" w:rsidRDefault="00ED6927" w:rsidP="006924D1">
      <w:pPr>
        <w:snapToGrid w:val="0"/>
        <w:spacing w:after="0" w:line="240" w:lineRule="auto"/>
        <w:rPr>
          <w:sz w:val="20"/>
          <w:szCs w:val="20"/>
        </w:rPr>
      </w:pPr>
      <w:r w:rsidRPr="00BB5BF0">
        <w:rPr>
          <w:b/>
          <w:bCs/>
          <w:sz w:val="20"/>
          <w:szCs w:val="20"/>
        </w:rPr>
        <w:t>L</w:t>
      </w:r>
      <w:r w:rsidR="005A20E9" w:rsidRPr="00BB5BF0">
        <w:rPr>
          <w:b/>
          <w:bCs/>
          <w:sz w:val="20"/>
          <w:szCs w:val="20"/>
        </w:rPr>
        <w:t>aboratory processing:</w:t>
      </w:r>
      <w:r w:rsidR="005A20E9" w:rsidRPr="00BB5BF0">
        <w:rPr>
          <w:sz w:val="20"/>
          <w:szCs w:val="20"/>
        </w:rPr>
        <w:t xml:space="preserve"> </w:t>
      </w:r>
    </w:p>
    <w:p w:rsidR="005C41FE" w:rsidRPr="00BB5BF0" w:rsidRDefault="005C41FE" w:rsidP="006924D1">
      <w:pPr>
        <w:snapToGrid w:val="0"/>
        <w:spacing w:after="0" w:line="240" w:lineRule="auto"/>
        <w:ind w:firstLine="425"/>
        <w:rPr>
          <w:b/>
          <w:bCs/>
          <w:sz w:val="20"/>
          <w:szCs w:val="20"/>
        </w:rPr>
      </w:pPr>
      <w:r w:rsidRPr="00BB5BF0">
        <w:rPr>
          <w:sz w:val="20"/>
          <w:szCs w:val="20"/>
        </w:rPr>
        <w:t xml:space="preserve">Complete blood count, Rh typing, Coagulation profile (Prothrombin time, Partial Thromboplastin </w:t>
      </w:r>
      <w:r w:rsidRPr="00BB5BF0">
        <w:rPr>
          <w:sz w:val="20"/>
          <w:szCs w:val="20"/>
        </w:rPr>
        <w:lastRenderedPageBreak/>
        <w:t>Time, INR), Liver function tests and Renal function tests.</w:t>
      </w:r>
    </w:p>
    <w:p w:rsidR="007E471D" w:rsidRPr="00BB5BF0" w:rsidRDefault="00950E75" w:rsidP="006924D1">
      <w:pPr>
        <w:snapToGrid w:val="0"/>
        <w:spacing w:after="0" w:line="240" w:lineRule="auto"/>
        <w:rPr>
          <w:sz w:val="20"/>
          <w:szCs w:val="20"/>
        </w:rPr>
      </w:pPr>
      <w:r w:rsidRPr="00BB5BF0">
        <w:rPr>
          <w:b/>
          <w:bCs/>
          <w:sz w:val="20"/>
          <w:szCs w:val="20"/>
        </w:rPr>
        <w:t>Ultrasound study:</w:t>
      </w:r>
      <w:r w:rsidRPr="00BB5BF0">
        <w:rPr>
          <w:sz w:val="20"/>
          <w:szCs w:val="20"/>
        </w:rPr>
        <w:t xml:space="preserve"> </w:t>
      </w:r>
    </w:p>
    <w:p w:rsidR="005C41FE" w:rsidRPr="00BB5BF0" w:rsidRDefault="007E471D" w:rsidP="006924D1">
      <w:pPr>
        <w:snapToGrid w:val="0"/>
        <w:spacing w:after="0" w:line="240" w:lineRule="auto"/>
        <w:ind w:firstLine="425"/>
        <w:rPr>
          <w:sz w:val="20"/>
          <w:szCs w:val="20"/>
        </w:rPr>
      </w:pPr>
      <w:r w:rsidRPr="00BB5BF0">
        <w:rPr>
          <w:sz w:val="20"/>
          <w:szCs w:val="20"/>
        </w:rPr>
        <w:t>Using</w:t>
      </w:r>
      <w:r w:rsidR="005C41FE" w:rsidRPr="00BB5BF0">
        <w:rPr>
          <w:sz w:val="20"/>
          <w:szCs w:val="20"/>
        </w:rPr>
        <w:t xml:space="preserve"> trans abdominal ultrasound scan to</w:t>
      </w:r>
      <w:r w:rsidR="001B1365" w:rsidRPr="00BB5BF0">
        <w:rPr>
          <w:sz w:val="20"/>
          <w:szCs w:val="20"/>
        </w:rPr>
        <w:t xml:space="preserve"> Confirm gestational age and to d</w:t>
      </w:r>
      <w:r w:rsidR="005C41FE" w:rsidRPr="00BB5BF0">
        <w:rPr>
          <w:sz w:val="20"/>
          <w:szCs w:val="20"/>
        </w:rPr>
        <w:t>etect any risk factors for postpartum hemorrhage.</w:t>
      </w:r>
    </w:p>
    <w:p w:rsidR="007E471D" w:rsidRPr="00BB5BF0" w:rsidRDefault="00C71BF5" w:rsidP="006924D1">
      <w:pPr>
        <w:snapToGrid w:val="0"/>
        <w:spacing w:after="0" w:line="240" w:lineRule="auto"/>
        <w:rPr>
          <w:sz w:val="20"/>
          <w:szCs w:val="20"/>
        </w:rPr>
      </w:pPr>
      <w:r w:rsidRPr="00BB5BF0">
        <w:rPr>
          <w:b/>
          <w:bCs/>
          <w:sz w:val="20"/>
          <w:szCs w:val="20"/>
        </w:rPr>
        <w:t xml:space="preserve">Intervention: </w:t>
      </w:r>
    </w:p>
    <w:p w:rsidR="00C71BF5" w:rsidRPr="00BB5BF0" w:rsidRDefault="00C71BF5" w:rsidP="006924D1">
      <w:pPr>
        <w:snapToGrid w:val="0"/>
        <w:spacing w:after="0" w:line="240" w:lineRule="auto"/>
        <w:ind w:firstLine="425"/>
        <w:rPr>
          <w:sz w:val="20"/>
          <w:szCs w:val="20"/>
        </w:rPr>
      </w:pPr>
      <w:r w:rsidRPr="00BB5BF0">
        <w:rPr>
          <w:sz w:val="20"/>
          <w:szCs w:val="20"/>
        </w:rPr>
        <w:t>Participants received either a bolus of 100 μg IV (group A) or 20 IU of oxytocin in 1000 ml of 0.9% NaCl solution IV (group B) at delivery of the anterior shoulder</w:t>
      </w:r>
      <w:r w:rsidR="00ED6927" w:rsidRPr="00BB5BF0">
        <w:rPr>
          <w:sz w:val="20"/>
          <w:szCs w:val="20"/>
        </w:rPr>
        <w:t xml:space="preserve"> &amp; </w:t>
      </w:r>
      <w:r w:rsidRPr="00BB5BF0">
        <w:rPr>
          <w:sz w:val="20"/>
          <w:szCs w:val="20"/>
        </w:rPr>
        <w:t>spinal anesthesia for all patient.</w:t>
      </w:r>
    </w:p>
    <w:p w:rsidR="007E471D" w:rsidRPr="00BB5BF0" w:rsidRDefault="00BA7BE5" w:rsidP="006924D1">
      <w:pPr>
        <w:snapToGrid w:val="0"/>
        <w:spacing w:after="0" w:line="240" w:lineRule="auto"/>
        <w:rPr>
          <w:sz w:val="20"/>
          <w:szCs w:val="20"/>
        </w:rPr>
      </w:pPr>
      <w:r w:rsidRPr="00BB5BF0">
        <w:rPr>
          <w:b/>
          <w:bCs/>
          <w:sz w:val="20"/>
          <w:szCs w:val="20"/>
        </w:rPr>
        <w:t xml:space="preserve">Follow up: </w:t>
      </w:r>
    </w:p>
    <w:p w:rsidR="00BA7BE5" w:rsidRPr="00BB5BF0" w:rsidRDefault="001B1365" w:rsidP="006924D1">
      <w:pPr>
        <w:snapToGrid w:val="0"/>
        <w:spacing w:after="0" w:line="240" w:lineRule="auto"/>
        <w:ind w:firstLine="425"/>
        <w:rPr>
          <w:sz w:val="20"/>
          <w:szCs w:val="20"/>
        </w:rPr>
      </w:pPr>
      <w:r w:rsidRPr="00BB5BF0">
        <w:rPr>
          <w:sz w:val="20"/>
          <w:szCs w:val="20"/>
        </w:rPr>
        <w:t>Hemoglobin concentration hematocrit value noted before cesarean sections and 24 hours' postpartum. The differences between pre- and post C.S values were calculated in each group. The uterine tone and size were assessed by using a hand resting on the fundus and palpating the anterior wall of the uterus. The presence of a boggy uterus with either heavy vaginal bleeding or increasing uterine size can suspect diagnosis of uterine atony. Need for additional uterotonic drug in each group population were reported and tabulated. Incidence of postpartum hemorrhage was reported and tabulated. All participants operated under spinal anesthesia. All cesarean section procedures performed by surgeons who at least have 2 years' experience in practicing cesarean sections (senior resident).</w:t>
      </w:r>
    </w:p>
    <w:p w:rsidR="007E471D" w:rsidRPr="00BB5BF0" w:rsidRDefault="005910CB" w:rsidP="006924D1">
      <w:pPr>
        <w:snapToGrid w:val="0"/>
        <w:spacing w:after="0" w:line="240" w:lineRule="auto"/>
        <w:rPr>
          <w:b/>
          <w:bCs/>
          <w:sz w:val="20"/>
          <w:szCs w:val="20"/>
        </w:rPr>
      </w:pPr>
      <w:r w:rsidRPr="00BB5BF0">
        <w:rPr>
          <w:b/>
          <w:bCs/>
          <w:sz w:val="20"/>
          <w:szCs w:val="20"/>
        </w:rPr>
        <w:t xml:space="preserve">Statistical analysis: </w:t>
      </w:r>
    </w:p>
    <w:p w:rsidR="00950E75" w:rsidRPr="00BB5BF0" w:rsidRDefault="005910CB" w:rsidP="006924D1">
      <w:pPr>
        <w:snapToGrid w:val="0"/>
        <w:spacing w:after="0" w:line="240" w:lineRule="auto"/>
        <w:ind w:firstLine="425"/>
        <w:rPr>
          <w:b/>
          <w:bCs/>
          <w:sz w:val="20"/>
          <w:szCs w:val="20"/>
        </w:rPr>
      </w:pPr>
      <w:r w:rsidRPr="00BB5BF0">
        <w:rPr>
          <w:sz w:val="20"/>
          <w:szCs w:val="20"/>
        </w:rPr>
        <w:t xml:space="preserve">Data were analyzed using Statistical Program for Social Science (SPSS) version </w:t>
      </w:r>
      <w:r w:rsidR="00C71BF5" w:rsidRPr="00BB5BF0">
        <w:rPr>
          <w:sz w:val="20"/>
          <w:szCs w:val="20"/>
        </w:rPr>
        <w:t>23</w:t>
      </w:r>
      <w:r w:rsidRPr="00BB5BF0">
        <w:rPr>
          <w:sz w:val="20"/>
          <w:szCs w:val="20"/>
        </w:rPr>
        <w:t>.0.</w:t>
      </w:r>
      <w:r w:rsidR="00ED6927" w:rsidRPr="00BB5BF0">
        <w:rPr>
          <w:sz w:val="20"/>
          <w:szCs w:val="20"/>
        </w:rPr>
        <w:t xml:space="preserve"> </w:t>
      </w:r>
      <w:r w:rsidRPr="00BB5BF0">
        <w:rPr>
          <w:sz w:val="20"/>
          <w:szCs w:val="20"/>
          <w:lang w:eastAsia="zh-CN"/>
        </w:rPr>
        <w:t xml:space="preserve">Quantitative data were expressed as </w:t>
      </w:r>
      <w:r w:rsidR="00CF4B1F" w:rsidRPr="00BB5BF0">
        <w:rPr>
          <w:sz w:val="20"/>
          <w:szCs w:val="20"/>
          <w:lang w:eastAsia="zh-CN"/>
        </w:rPr>
        <w:t xml:space="preserve">the </w:t>
      </w:r>
      <w:r w:rsidRPr="00BB5BF0">
        <w:rPr>
          <w:noProof/>
          <w:sz w:val="20"/>
          <w:szCs w:val="20"/>
          <w:lang w:eastAsia="zh-CN"/>
        </w:rPr>
        <w:t>mean±</w:t>
      </w:r>
      <w:r w:rsidRPr="00BB5BF0">
        <w:rPr>
          <w:sz w:val="20"/>
          <w:szCs w:val="20"/>
          <w:lang w:eastAsia="zh-CN"/>
        </w:rPr>
        <w:t xml:space="preserve"> standard deviation</w:t>
      </w:r>
      <w:r w:rsidRPr="00BB5BF0">
        <w:rPr>
          <w:sz w:val="20"/>
          <w:szCs w:val="20"/>
        </w:rPr>
        <w:t xml:space="preserve"> (SD). Qualitative data </w:t>
      </w:r>
      <w:r w:rsidRPr="00BB5BF0">
        <w:rPr>
          <w:sz w:val="20"/>
          <w:szCs w:val="20"/>
          <w:lang w:eastAsia="zh-CN"/>
        </w:rPr>
        <w:t>were expressed</w:t>
      </w:r>
      <w:r w:rsidRPr="00BB5BF0">
        <w:rPr>
          <w:sz w:val="20"/>
          <w:szCs w:val="20"/>
        </w:rPr>
        <w:t xml:space="preserve"> as frequency and percentage.</w:t>
      </w:r>
      <w:r w:rsidR="00C71BF5" w:rsidRPr="00BB5BF0">
        <w:rPr>
          <w:rFonts w:eastAsia="Times New Roman"/>
          <w:sz w:val="20"/>
          <w:szCs w:val="20"/>
        </w:rPr>
        <w:t xml:space="preserve"> </w:t>
      </w:r>
      <w:r w:rsidR="00C71BF5" w:rsidRPr="00BB5BF0">
        <w:rPr>
          <w:sz w:val="20"/>
          <w:szCs w:val="20"/>
        </w:rPr>
        <w:t>P value &lt; 0.05 is significant.</w:t>
      </w:r>
    </w:p>
    <w:p w:rsidR="007E471D" w:rsidRPr="00BB5BF0" w:rsidRDefault="005910CB" w:rsidP="006924D1">
      <w:pPr>
        <w:snapToGrid w:val="0"/>
        <w:spacing w:after="0" w:line="240" w:lineRule="auto"/>
        <w:rPr>
          <w:sz w:val="20"/>
          <w:szCs w:val="20"/>
        </w:rPr>
      </w:pPr>
      <w:r w:rsidRPr="00BB5BF0">
        <w:rPr>
          <w:b/>
          <w:bCs/>
          <w:sz w:val="20"/>
          <w:szCs w:val="20"/>
        </w:rPr>
        <w:t>Ethical consideration:</w:t>
      </w:r>
      <w:r w:rsidRPr="00BB5BF0">
        <w:rPr>
          <w:sz w:val="20"/>
          <w:szCs w:val="20"/>
        </w:rPr>
        <w:t xml:space="preserve"> </w:t>
      </w:r>
    </w:p>
    <w:p w:rsidR="005910CB" w:rsidRPr="00BB5BF0" w:rsidRDefault="005910CB" w:rsidP="006924D1">
      <w:pPr>
        <w:snapToGrid w:val="0"/>
        <w:spacing w:after="0" w:line="240" w:lineRule="auto"/>
        <w:ind w:firstLine="425"/>
        <w:rPr>
          <w:b/>
          <w:bCs/>
          <w:i/>
          <w:sz w:val="20"/>
          <w:szCs w:val="20"/>
        </w:rPr>
      </w:pPr>
      <w:r w:rsidRPr="00BB5BF0">
        <w:rPr>
          <w:sz w:val="20"/>
          <w:szCs w:val="20"/>
        </w:rPr>
        <w:t xml:space="preserve">Agreement for this study </w:t>
      </w:r>
      <w:r w:rsidRPr="00BB5BF0">
        <w:rPr>
          <w:sz w:val="20"/>
          <w:szCs w:val="20"/>
          <w:lang w:eastAsia="zh-CN"/>
        </w:rPr>
        <w:t>was obtained</w:t>
      </w:r>
      <w:r w:rsidRPr="00BB5BF0">
        <w:rPr>
          <w:sz w:val="20"/>
          <w:szCs w:val="20"/>
        </w:rPr>
        <w:t xml:space="preserve"> from the hospital's ethical committee</w:t>
      </w:r>
      <w:r w:rsidR="00CF4B1F" w:rsidRPr="00BB5BF0">
        <w:rPr>
          <w:noProof/>
          <w:sz w:val="20"/>
          <w:szCs w:val="20"/>
        </w:rPr>
        <w:t>,</w:t>
      </w:r>
      <w:r w:rsidRPr="00BB5BF0">
        <w:rPr>
          <w:noProof/>
          <w:sz w:val="20"/>
          <w:szCs w:val="20"/>
        </w:rPr>
        <w:t xml:space="preserve"> and</w:t>
      </w:r>
      <w:r w:rsidRPr="00BB5BF0">
        <w:rPr>
          <w:sz w:val="20"/>
          <w:szCs w:val="20"/>
        </w:rPr>
        <w:t xml:space="preserve"> </w:t>
      </w:r>
      <w:r w:rsidR="00950E75" w:rsidRPr="00BB5BF0">
        <w:rPr>
          <w:iCs/>
          <w:sz w:val="20"/>
          <w:szCs w:val="20"/>
        </w:rPr>
        <w:t xml:space="preserve">an informed oral and written consent were taken from all patients included in </w:t>
      </w:r>
      <w:r w:rsidR="00CF4B1F" w:rsidRPr="00BB5BF0">
        <w:rPr>
          <w:iCs/>
          <w:sz w:val="20"/>
          <w:szCs w:val="20"/>
        </w:rPr>
        <w:t xml:space="preserve">the </w:t>
      </w:r>
      <w:r w:rsidR="00950E75" w:rsidRPr="00BB5BF0">
        <w:rPr>
          <w:iCs/>
          <w:noProof/>
          <w:sz w:val="20"/>
          <w:szCs w:val="20"/>
        </w:rPr>
        <w:t>study</w:t>
      </w:r>
      <w:r w:rsidR="00950E75" w:rsidRPr="00BB5BF0">
        <w:rPr>
          <w:iCs/>
          <w:sz w:val="20"/>
          <w:szCs w:val="20"/>
        </w:rPr>
        <w:t xml:space="preserve"> prior surgery </w:t>
      </w:r>
      <w:r w:rsidRPr="00BB5BF0">
        <w:rPr>
          <w:sz w:val="20"/>
          <w:szCs w:val="20"/>
        </w:rPr>
        <w:t xml:space="preserve">after </w:t>
      </w:r>
      <w:r w:rsidR="00950E75" w:rsidRPr="00BB5BF0">
        <w:rPr>
          <w:iCs/>
          <w:sz w:val="20"/>
          <w:szCs w:val="20"/>
        </w:rPr>
        <w:t>a very clear explanation of both procedure</w:t>
      </w:r>
      <w:r w:rsidR="00950E75" w:rsidRPr="00BB5BF0">
        <w:rPr>
          <w:sz w:val="20"/>
          <w:szCs w:val="20"/>
        </w:rPr>
        <w:t xml:space="preserve">, </w:t>
      </w:r>
      <w:r w:rsidRPr="00BB5BF0">
        <w:rPr>
          <w:sz w:val="20"/>
          <w:szCs w:val="20"/>
        </w:rPr>
        <w:t xml:space="preserve">adequate providing of information about the study necessities, </w:t>
      </w:r>
      <w:r w:rsidRPr="00BB5BF0">
        <w:rPr>
          <w:sz w:val="20"/>
          <w:szCs w:val="20"/>
          <w:lang w:eastAsia="zh-CN"/>
        </w:rPr>
        <w:t>purpose</w:t>
      </w:r>
      <w:r w:rsidR="00CF4B1F" w:rsidRPr="00BB5BF0">
        <w:rPr>
          <w:sz w:val="20"/>
          <w:szCs w:val="20"/>
          <w:lang w:eastAsia="zh-CN"/>
        </w:rPr>
        <w:t>,</w:t>
      </w:r>
      <w:r w:rsidRPr="00BB5BF0">
        <w:rPr>
          <w:sz w:val="20"/>
          <w:szCs w:val="20"/>
        </w:rPr>
        <w:t xml:space="preserve"> </w:t>
      </w:r>
      <w:r w:rsidRPr="00BB5BF0">
        <w:rPr>
          <w:noProof/>
          <w:sz w:val="20"/>
          <w:szCs w:val="20"/>
        </w:rPr>
        <w:t>and</w:t>
      </w:r>
      <w:r w:rsidRPr="00BB5BF0">
        <w:rPr>
          <w:sz w:val="20"/>
          <w:szCs w:val="20"/>
        </w:rPr>
        <w:t xml:space="preserve"> dangers.</w:t>
      </w:r>
    </w:p>
    <w:p w:rsidR="007E471D" w:rsidRPr="00BB5BF0" w:rsidRDefault="007E471D" w:rsidP="006924D1">
      <w:pPr>
        <w:pStyle w:val="Heading1"/>
        <w:snapToGrid w:val="0"/>
        <w:spacing w:after="0" w:line="240" w:lineRule="auto"/>
        <w:jc w:val="both"/>
        <w:rPr>
          <w:sz w:val="20"/>
          <w:szCs w:val="20"/>
        </w:rPr>
      </w:pPr>
      <w:r w:rsidRPr="00BB5BF0">
        <w:rPr>
          <w:sz w:val="20"/>
          <w:szCs w:val="20"/>
        </w:rPr>
        <w:t>3. Results</w:t>
      </w:r>
    </w:p>
    <w:p w:rsidR="006924D1" w:rsidRPr="00BB5BF0" w:rsidRDefault="006924D1" w:rsidP="006924D1">
      <w:pPr>
        <w:snapToGrid w:val="0"/>
        <w:spacing w:after="0" w:line="240" w:lineRule="auto"/>
        <w:jc w:val="center"/>
        <w:rPr>
          <w:b/>
          <w:bCs/>
          <w:i/>
          <w:sz w:val="20"/>
          <w:szCs w:val="20"/>
        </w:rPr>
        <w:sectPr w:rsidR="006924D1" w:rsidRPr="00BB5BF0" w:rsidSect="000C1847">
          <w:type w:val="continuous"/>
          <w:pgSz w:w="12240" w:h="15840" w:code="9"/>
          <w:pgMar w:top="1440" w:right="1440" w:bottom="1440" w:left="1440" w:header="720" w:footer="720" w:gutter="0"/>
          <w:cols w:num="2" w:space="550"/>
          <w:rtlGutter/>
          <w:docGrid w:linePitch="360"/>
        </w:sectPr>
      </w:pPr>
    </w:p>
    <w:p w:rsidR="007E471D" w:rsidRPr="00BB5BF0" w:rsidRDefault="007E471D" w:rsidP="006924D1">
      <w:pPr>
        <w:snapToGrid w:val="0"/>
        <w:spacing w:after="0" w:line="240" w:lineRule="auto"/>
        <w:jc w:val="center"/>
        <w:rPr>
          <w:b/>
          <w:bCs/>
          <w:i/>
          <w:sz w:val="20"/>
          <w:szCs w:val="20"/>
        </w:rPr>
      </w:pPr>
    </w:p>
    <w:p w:rsidR="00D2795E" w:rsidRPr="00BB5BF0" w:rsidRDefault="00D2795E" w:rsidP="006924D1">
      <w:pPr>
        <w:snapToGrid w:val="0"/>
        <w:spacing w:after="0" w:line="240" w:lineRule="auto"/>
        <w:jc w:val="center"/>
        <w:rPr>
          <w:rFonts w:eastAsia="Times New Roman"/>
          <w:b/>
          <w:bCs/>
          <w:sz w:val="20"/>
          <w:szCs w:val="20"/>
        </w:rPr>
      </w:pPr>
      <w:r w:rsidRPr="00BB5BF0">
        <w:rPr>
          <w:rFonts w:eastAsia="Times New Roman"/>
          <w:b/>
          <w:bCs/>
          <w:sz w:val="20"/>
          <w:szCs w:val="20"/>
        </w:rPr>
        <w:t>Table1</w:t>
      </w:r>
      <w:r w:rsidRPr="00BB5BF0">
        <w:rPr>
          <w:rFonts w:eastAsia="Times New Roman"/>
          <w:b/>
          <w:bCs/>
          <w:noProof/>
          <w:sz w:val="20"/>
          <w:szCs w:val="20"/>
        </w:rPr>
        <w:t>: demographic data of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6"/>
        <w:gridCol w:w="1468"/>
        <w:gridCol w:w="568"/>
        <w:gridCol w:w="828"/>
        <w:gridCol w:w="775"/>
        <w:gridCol w:w="1332"/>
        <w:gridCol w:w="1378"/>
        <w:gridCol w:w="1099"/>
      </w:tblGrid>
      <w:tr w:rsidR="00E932CE" w:rsidRPr="00BB5BF0" w:rsidTr="00ED6927">
        <w:trPr>
          <w:jc w:val="center"/>
        </w:trPr>
        <w:tc>
          <w:tcPr>
            <w:tcW w:w="1069"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Characteristics</w:t>
            </w:r>
          </w:p>
        </w:tc>
        <w:tc>
          <w:tcPr>
            <w:tcW w:w="775"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Groups</w:t>
            </w:r>
          </w:p>
        </w:tc>
        <w:tc>
          <w:tcPr>
            <w:tcW w:w="300"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N</w:t>
            </w:r>
          </w:p>
        </w:tc>
        <w:tc>
          <w:tcPr>
            <w:tcW w:w="437"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Mean</w:t>
            </w:r>
          </w:p>
        </w:tc>
        <w:tc>
          <w:tcPr>
            <w:tcW w:w="409"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rPr>
              <w:t>Sd</w:t>
            </w:r>
          </w:p>
        </w:tc>
        <w:tc>
          <w:tcPr>
            <w:tcW w:w="703"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Minimum</w:t>
            </w:r>
          </w:p>
        </w:tc>
        <w:tc>
          <w:tcPr>
            <w:tcW w:w="727"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Maximum</w:t>
            </w:r>
          </w:p>
        </w:tc>
        <w:tc>
          <w:tcPr>
            <w:tcW w:w="582" w:type="pct"/>
            <w:shd w:val="clear" w:color="auto" w:fill="auto"/>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P-Value</w:t>
            </w:r>
          </w:p>
        </w:tc>
      </w:tr>
      <w:tr w:rsidR="00ED6927" w:rsidRPr="00BB5BF0" w:rsidTr="00ED6927">
        <w:trPr>
          <w:jc w:val="center"/>
        </w:trPr>
        <w:tc>
          <w:tcPr>
            <w:tcW w:w="1069" w:type="pct"/>
            <w:vMerge w:val="restart"/>
            <w:shd w:val="clear" w:color="auto" w:fill="F2F2F2"/>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Age</w:t>
            </w:r>
          </w:p>
        </w:tc>
        <w:tc>
          <w:tcPr>
            <w:tcW w:w="775"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Carbetocin</w:t>
            </w:r>
          </w:p>
        </w:tc>
        <w:tc>
          <w:tcPr>
            <w:tcW w:w="300"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26.03</w:t>
            </w:r>
          </w:p>
        </w:tc>
        <w:tc>
          <w:tcPr>
            <w:tcW w:w="409"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4.206</w:t>
            </w:r>
          </w:p>
        </w:tc>
        <w:tc>
          <w:tcPr>
            <w:tcW w:w="703"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18</w:t>
            </w:r>
          </w:p>
        </w:tc>
        <w:tc>
          <w:tcPr>
            <w:tcW w:w="72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37</w:t>
            </w:r>
          </w:p>
        </w:tc>
        <w:tc>
          <w:tcPr>
            <w:tcW w:w="582" w:type="pct"/>
            <w:vMerge w:val="restar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0.31</w:t>
            </w:r>
          </w:p>
        </w:tc>
      </w:tr>
      <w:tr w:rsidR="00E932CE" w:rsidRPr="00BB5BF0" w:rsidTr="00ED6927">
        <w:trPr>
          <w:jc w:val="center"/>
        </w:trPr>
        <w:tc>
          <w:tcPr>
            <w:tcW w:w="1069" w:type="pct"/>
            <w:vMerge/>
            <w:shd w:val="clear" w:color="auto" w:fill="auto"/>
            <w:noWrap/>
            <w:vAlign w:val="center"/>
            <w:hideMark/>
          </w:tcPr>
          <w:p w:rsidR="00D2795E" w:rsidRPr="00BB5BF0" w:rsidRDefault="00D2795E" w:rsidP="006924D1">
            <w:pPr>
              <w:snapToGrid w:val="0"/>
              <w:spacing w:after="0" w:line="240" w:lineRule="auto"/>
              <w:rPr>
                <w:b/>
                <w:bCs/>
                <w:caps/>
                <w:sz w:val="15"/>
                <w:szCs w:val="15"/>
              </w:rPr>
            </w:pPr>
          </w:p>
        </w:tc>
        <w:tc>
          <w:tcPr>
            <w:tcW w:w="775"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Oxytocin</w:t>
            </w:r>
          </w:p>
        </w:tc>
        <w:tc>
          <w:tcPr>
            <w:tcW w:w="300"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27.27</w:t>
            </w:r>
          </w:p>
        </w:tc>
        <w:tc>
          <w:tcPr>
            <w:tcW w:w="409"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6.362</w:t>
            </w:r>
          </w:p>
        </w:tc>
        <w:tc>
          <w:tcPr>
            <w:tcW w:w="703"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18</w:t>
            </w:r>
          </w:p>
        </w:tc>
        <w:tc>
          <w:tcPr>
            <w:tcW w:w="72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39</w:t>
            </w:r>
          </w:p>
        </w:tc>
        <w:tc>
          <w:tcPr>
            <w:tcW w:w="582" w:type="pct"/>
            <w:vMerge/>
            <w:shd w:val="clear" w:color="auto" w:fill="auto"/>
            <w:noWrap/>
            <w:vAlign w:val="center"/>
            <w:hideMark/>
          </w:tcPr>
          <w:p w:rsidR="00D2795E" w:rsidRPr="00BB5BF0" w:rsidRDefault="00D2795E" w:rsidP="006924D1">
            <w:pPr>
              <w:snapToGrid w:val="0"/>
              <w:spacing w:after="0" w:line="240" w:lineRule="auto"/>
              <w:rPr>
                <w:b/>
                <w:bCs/>
                <w:sz w:val="15"/>
                <w:szCs w:val="15"/>
              </w:rPr>
            </w:pPr>
          </w:p>
        </w:tc>
      </w:tr>
      <w:tr w:rsidR="00ED6927" w:rsidRPr="00BB5BF0" w:rsidTr="00ED6927">
        <w:trPr>
          <w:jc w:val="center"/>
        </w:trPr>
        <w:tc>
          <w:tcPr>
            <w:tcW w:w="1069" w:type="pct"/>
            <w:vMerge w:val="restart"/>
            <w:shd w:val="clear" w:color="auto" w:fill="F2F2F2"/>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 xml:space="preserve">Gestational Age </w:t>
            </w:r>
          </w:p>
        </w:tc>
        <w:tc>
          <w:tcPr>
            <w:tcW w:w="775"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Carbetocin</w:t>
            </w:r>
          </w:p>
        </w:tc>
        <w:tc>
          <w:tcPr>
            <w:tcW w:w="300"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39.23</w:t>
            </w:r>
          </w:p>
        </w:tc>
        <w:tc>
          <w:tcPr>
            <w:tcW w:w="409"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0.898</w:t>
            </w:r>
          </w:p>
        </w:tc>
        <w:tc>
          <w:tcPr>
            <w:tcW w:w="703"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38</w:t>
            </w:r>
          </w:p>
        </w:tc>
        <w:tc>
          <w:tcPr>
            <w:tcW w:w="72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41</w:t>
            </w:r>
          </w:p>
        </w:tc>
        <w:tc>
          <w:tcPr>
            <w:tcW w:w="582" w:type="pct"/>
            <w:vMerge w:val="restar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0.5</w:t>
            </w:r>
          </w:p>
        </w:tc>
      </w:tr>
      <w:tr w:rsidR="00E932CE" w:rsidRPr="00BB5BF0" w:rsidTr="00ED6927">
        <w:trPr>
          <w:jc w:val="center"/>
        </w:trPr>
        <w:tc>
          <w:tcPr>
            <w:tcW w:w="1069" w:type="pct"/>
            <w:vMerge/>
            <w:shd w:val="clear" w:color="auto" w:fill="auto"/>
            <w:noWrap/>
            <w:vAlign w:val="center"/>
            <w:hideMark/>
          </w:tcPr>
          <w:p w:rsidR="00D2795E" w:rsidRPr="00BB5BF0" w:rsidRDefault="00D2795E" w:rsidP="006924D1">
            <w:pPr>
              <w:snapToGrid w:val="0"/>
              <w:spacing w:after="0" w:line="240" w:lineRule="auto"/>
              <w:rPr>
                <w:b/>
                <w:bCs/>
                <w:caps/>
                <w:sz w:val="15"/>
                <w:szCs w:val="15"/>
              </w:rPr>
            </w:pPr>
          </w:p>
        </w:tc>
        <w:tc>
          <w:tcPr>
            <w:tcW w:w="775"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Oxytocin</w:t>
            </w:r>
          </w:p>
        </w:tc>
        <w:tc>
          <w:tcPr>
            <w:tcW w:w="300"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39.03</w:t>
            </w:r>
          </w:p>
        </w:tc>
        <w:tc>
          <w:tcPr>
            <w:tcW w:w="409"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0.964</w:t>
            </w:r>
          </w:p>
        </w:tc>
        <w:tc>
          <w:tcPr>
            <w:tcW w:w="703"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38</w:t>
            </w:r>
          </w:p>
        </w:tc>
        <w:tc>
          <w:tcPr>
            <w:tcW w:w="72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41</w:t>
            </w:r>
          </w:p>
        </w:tc>
        <w:tc>
          <w:tcPr>
            <w:tcW w:w="582" w:type="pct"/>
            <w:vMerge/>
            <w:shd w:val="clear" w:color="auto" w:fill="auto"/>
            <w:noWrap/>
            <w:vAlign w:val="center"/>
            <w:hideMark/>
          </w:tcPr>
          <w:p w:rsidR="00D2795E" w:rsidRPr="00BB5BF0" w:rsidRDefault="00D2795E" w:rsidP="006924D1">
            <w:pPr>
              <w:snapToGrid w:val="0"/>
              <w:spacing w:after="0" w:line="240" w:lineRule="auto"/>
              <w:rPr>
                <w:b/>
                <w:bCs/>
                <w:sz w:val="15"/>
                <w:szCs w:val="15"/>
              </w:rPr>
            </w:pPr>
          </w:p>
        </w:tc>
      </w:tr>
      <w:tr w:rsidR="00ED6927" w:rsidRPr="00BB5BF0" w:rsidTr="00ED6927">
        <w:trPr>
          <w:jc w:val="center"/>
        </w:trPr>
        <w:tc>
          <w:tcPr>
            <w:tcW w:w="1069" w:type="pct"/>
            <w:vMerge w:val="restart"/>
            <w:shd w:val="clear" w:color="auto" w:fill="F2F2F2"/>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Gravidity</w:t>
            </w:r>
          </w:p>
        </w:tc>
        <w:tc>
          <w:tcPr>
            <w:tcW w:w="775"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Carbetocin</w:t>
            </w:r>
          </w:p>
        </w:tc>
        <w:tc>
          <w:tcPr>
            <w:tcW w:w="300"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2.53</w:t>
            </w:r>
          </w:p>
        </w:tc>
        <w:tc>
          <w:tcPr>
            <w:tcW w:w="409"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1.196</w:t>
            </w:r>
          </w:p>
        </w:tc>
        <w:tc>
          <w:tcPr>
            <w:tcW w:w="703"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w:t>
            </w:r>
          </w:p>
        </w:tc>
        <w:tc>
          <w:tcPr>
            <w:tcW w:w="72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5</w:t>
            </w:r>
          </w:p>
        </w:tc>
        <w:tc>
          <w:tcPr>
            <w:tcW w:w="582" w:type="pct"/>
            <w:vMerge w:val="restar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0.38</w:t>
            </w:r>
          </w:p>
        </w:tc>
      </w:tr>
      <w:tr w:rsidR="00E932CE" w:rsidRPr="00BB5BF0" w:rsidTr="00ED6927">
        <w:trPr>
          <w:jc w:val="center"/>
        </w:trPr>
        <w:tc>
          <w:tcPr>
            <w:tcW w:w="1069" w:type="pct"/>
            <w:vMerge/>
            <w:shd w:val="clear" w:color="auto" w:fill="auto"/>
            <w:noWrap/>
            <w:vAlign w:val="center"/>
            <w:hideMark/>
          </w:tcPr>
          <w:p w:rsidR="00D2795E" w:rsidRPr="00BB5BF0" w:rsidRDefault="00D2795E" w:rsidP="006924D1">
            <w:pPr>
              <w:snapToGrid w:val="0"/>
              <w:spacing w:after="0" w:line="240" w:lineRule="auto"/>
              <w:rPr>
                <w:b/>
                <w:bCs/>
                <w:caps/>
                <w:sz w:val="15"/>
                <w:szCs w:val="15"/>
              </w:rPr>
            </w:pPr>
          </w:p>
        </w:tc>
        <w:tc>
          <w:tcPr>
            <w:tcW w:w="775"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Oxytocin</w:t>
            </w:r>
          </w:p>
        </w:tc>
        <w:tc>
          <w:tcPr>
            <w:tcW w:w="300"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100</w:t>
            </w:r>
          </w:p>
        </w:tc>
        <w:tc>
          <w:tcPr>
            <w:tcW w:w="437"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2.87</w:t>
            </w:r>
          </w:p>
        </w:tc>
        <w:tc>
          <w:tcPr>
            <w:tcW w:w="409"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1.697</w:t>
            </w:r>
          </w:p>
        </w:tc>
        <w:tc>
          <w:tcPr>
            <w:tcW w:w="703"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1</w:t>
            </w:r>
          </w:p>
        </w:tc>
        <w:tc>
          <w:tcPr>
            <w:tcW w:w="727" w:type="pct"/>
            <w:shd w:val="clear" w:color="auto" w:fill="auto"/>
            <w:noWrap/>
            <w:vAlign w:val="center"/>
            <w:hideMark/>
          </w:tcPr>
          <w:p w:rsidR="00D2795E" w:rsidRPr="00BB5BF0" w:rsidRDefault="00D2795E" w:rsidP="006924D1">
            <w:pPr>
              <w:snapToGrid w:val="0"/>
              <w:spacing w:after="0" w:line="240" w:lineRule="auto"/>
              <w:rPr>
                <w:b/>
                <w:bCs/>
                <w:sz w:val="15"/>
                <w:szCs w:val="15"/>
                <w:lang w:val="en-GB"/>
              </w:rPr>
            </w:pPr>
            <w:r w:rsidRPr="00BB5BF0">
              <w:rPr>
                <w:b/>
                <w:bCs/>
                <w:sz w:val="15"/>
                <w:szCs w:val="15"/>
                <w:lang w:val="en-GB"/>
              </w:rPr>
              <w:t>6</w:t>
            </w:r>
          </w:p>
        </w:tc>
        <w:tc>
          <w:tcPr>
            <w:tcW w:w="582" w:type="pct"/>
            <w:vMerge/>
            <w:shd w:val="clear" w:color="auto" w:fill="auto"/>
            <w:noWrap/>
            <w:vAlign w:val="center"/>
            <w:hideMark/>
          </w:tcPr>
          <w:p w:rsidR="00D2795E" w:rsidRPr="00BB5BF0" w:rsidRDefault="00D2795E" w:rsidP="006924D1">
            <w:pPr>
              <w:snapToGrid w:val="0"/>
              <w:spacing w:after="0" w:line="240" w:lineRule="auto"/>
              <w:rPr>
                <w:b/>
                <w:bCs/>
                <w:sz w:val="15"/>
                <w:szCs w:val="15"/>
              </w:rPr>
            </w:pPr>
          </w:p>
        </w:tc>
      </w:tr>
      <w:tr w:rsidR="00ED6927" w:rsidRPr="00BB5BF0" w:rsidTr="00ED6927">
        <w:trPr>
          <w:jc w:val="center"/>
        </w:trPr>
        <w:tc>
          <w:tcPr>
            <w:tcW w:w="1069" w:type="pct"/>
            <w:vMerge w:val="restart"/>
            <w:shd w:val="clear" w:color="auto" w:fill="F2F2F2"/>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Parity</w:t>
            </w:r>
          </w:p>
        </w:tc>
        <w:tc>
          <w:tcPr>
            <w:tcW w:w="775"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Carbetocin</w:t>
            </w:r>
          </w:p>
        </w:tc>
        <w:tc>
          <w:tcPr>
            <w:tcW w:w="300"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1.23</w:t>
            </w:r>
          </w:p>
        </w:tc>
        <w:tc>
          <w:tcPr>
            <w:tcW w:w="409"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1.135</w:t>
            </w:r>
          </w:p>
        </w:tc>
        <w:tc>
          <w:tcPr>
            <w:tcW w:w="703"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w:t>
            </w:r>
          </w:p>
        </w:tc>
        <w:tc>
          <w:tcPr>
            <w:tcW w:w="72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4</w:t>
            </w:r>
          </w:p>
        </w:tc>
        <w:tc>
          <w:tcPr>
            <w:tcW w:w="582" w:type="pct"/>
            <w:vMerge w:val="restar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0.36</w:t>
            </w:r>
          </w:p>
        </w:tc>
      </w:tr>
      <w:tr w:rsidR="00E932CE" w:rsidRPr="00BB5BF0" w:rsidTr="00ED6927">
        <w:trPr>
          <w:jc w:val="center"/>
        </w:trPr>
        <w:tc>
          <w:tcPr>
            <w:tcW w:w="1069" w:type="pct"/>
            <w:vMerge/>
            <w:shd w:val="clear" w:color="auto" w:fill="auto"/>
            <w:noWrap/>
            <w:vAlign w:val="center"/>
            <w:hideMark/>
          </w:tcPr>
          <w:p w:rsidR="00D2795E" w:rsidRPr="00BB5BF0" w:rsidRDefault="00D2795E" w:rsidP="006924D1">
            <w:pPr>
              <w:snapToGrid w:val="0"/>
              <w:spacing w:after="0" w:line="240" w:lineRule="auto"/>
              <w:rPr>
                <w:b/>
                <w:bCs/>
                <w:caps/>
                <w:sz w:val="15"/>
                <w:szCs w:val="15"/>
              </w:rPr>
            </w:pPr>
          </w:p>
        </w:tc>
        <w:tc>
          <w:tcPr>
            <w:tcW w:w="775"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Oxytocin</w:t>
            </w:r>
          </w:p>
        </w:tc>
        <w:tc>
          <w:tcPr>
            <w:tcW w:w="300"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1.53</w:t>
            </w:r>
          </w:p>
        </w:tc>
        <w:tc>
          <w:tcPr>
            <w:tcW w:w="409"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1.408</w:t>
            </w:r>
          </w:p>
        </w:tc>
        <w:tc>
          <w:tcPr>
            <w:tcW w:w="703"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w:t>
            </w:r>
          </w:p>
        </w:tc>
        <w:tc>
          <w:tcPr>
            <w:tcW w:w="72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4</w:t>
            </w:r>
          </w:p>
        </w:tc>
        <w:tc>
          <w:tcPr>
            <w:tcW w:w="582" w:type="pct"/>
            <w:vMerge/>
            <w:shd w:val="clear" w:color="auto" w:fill="auto"/>
            <w:noWrap/>
            <w:vAlign w:val="center"/>
            <w:hideMark/>
          </w:tcPr>
          <w:p w:rsidR="00D2795E" w:rsidRPr="00BB5BF0" w:rsidRDefault="00D2795E" w:rsidP="006924D1">
            <w:pPr>
              <w:snapToGrid w:val="0"/>
              <w:spacing w:after="0" w:line="240" w:lineRule="auto"/>
              <w:rPr>
                <w:b/>
                <w:bCs/>
                <w:sz w:val="15"/>
                <w:szCs w:val="15"/>
              </w:rPr>
            </w:pPr>
          </w:p>
        </w:tc>
      </w:tr>
      <w:tr w:rsidR="00ED6927" w:rsidRPr="00BB5BF0" w:rsidTr="00ED6927">
        <w:trPr>
          <w:jc w:val="center"/>
        </w:trPr>
        <w:tc>
          <w:tcPr>
            <w:tcW w:w="1069" w:type="pct"/>
            <w:vMerge w:val="restart"/>
            <w:shd w:val="clear" w:color="auto" w:fill="F2F2F2"/>
            <w:noWrap/>
            <w:vAlign w:val="center"/>
            <w:hideMark/>
          </w:tcPr>
          <w:p w:rsidR="00D2795E" w:rsidRPr="00BB5BF0" w:rsidRDefault="00D2795E" w:rsidP="006924D1">
            <w:pPr>
              <w:snapToGrid w:val="0"/>
              <w:spacing w:after="0" w:line="240" w:lineRule="auto"/>
              <w:rPr>
                <w:b/>
                <w:bCs/>
                <w:caps/>
                <w:sz w:val="15"/>
                <w:szCs w:val="15"/>
              </w:rPr>
            </w:pPr>
            <w:r w:rsidRPr="00BB5BF0">
              <w:rPr>
                <w:b/>
                <w:bCs/>
                <w:sz w:val="15"/>
                <w:szCs w:val="15"/>
                <w:lang w:val="en-GB"/>
              </w:rPr>
              <w:t>BMI</w:t>
            </w:r>
          </w:p>
        </w:tc>
        <w:tc>
          <w:tcPr>
            <w:tcW w:w="775"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Carbetocin</w:t>
            </w:r>
          </w:p>
        </w:tc>
        <w:tc>
          <w:tcPr>
            <w:tcW w:w="300"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29.87</w:t>
            </w:r>
          </w:p>
        </w:tc>
        <w:tc>
          <w:tcPr>
            <w:tcW w:w="409"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1.174</w:t>
            </w:r>
          </w:p>
        </w:tc>
        <w:tc>
          <w:tcPr>
            <w:tcW w:w="703"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27.89</w:t>
            </w:r>
          </w:p>
        </w:tc>
        <w:tc>
          <w:tcPr>
            <w:tcW w:w="727" w:type="pc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32.32</w:t>
            </w:r>
          </w:p>
        </w:tc>
        <w:tc>
          <w:tcPr>
            <w:tcW w:w="582" w:type="pct"/>
            <w:vMerge w:val="restart"/>
            <w:shd w:val="clear" w:color="auto" w:fill="F2F2F2"/>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0.08</w:t>
            </w:r>
          </w:p>
        </w:tc>
      </w:tr>
      <w:tr w:rsidR="00E932CE" w:rsidRPr="00BB5BF0" w:rsidTr="00ED6927">
        <w:trPr>
          <w:jc w:val="center"/>
        </w:trPr>
        <w:tc>
          <w:tcPr>
            <w:tcW w:w="1069" w:type="pct"/>
            <w:vMerge/>
            <w:shd w:val="clear" w:color="auto" w:fill="auto"/>
            <w:noWrap/>
            <w:vAlign w:val="center"/>
            <w:hideMark/>
          </w:tcPr>
          <w:p w:rsidR="00D2795E" w:rsidRPr="00BB5BF0" w:rsidRDefault="00D2795E" w:rsidP="006924D1">
            <w:pPr>
              <w:snapToGrid w:val="0"/>
              <w:spacing w:after="0" w:line="240" w:lineRule="auto"/>
              <w:rPr>
                <w:b/>
                <w:bCs/>
                <w:caps/>
                <w:sz w:val="15"/>
                <w:szCs w:val="15"/>
              </w:rPr>
            </w:pPr>
          </w:p>
        </w:tc>
        <w:tc>
          <w:tcPr>
            <w:tcW w:w="775"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Oxytocin</w:t>
            </w:r>
          </w:p>
        </w:tc>
        <w:tc>
          <w:tcPr>
            <w:tcW w:w="300"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100</w:t>
            </w:r>
          </w:p>
        </w:tc>
        <w:tc>
          <w:tcPr>
            <w:tcW w:w="43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29.01</w:t>
            </w:r>
          </w:p>
        </w:tc>
        <w:tc>
          <w:tcPr>
            <w:tcW w:w="409"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1.217</w:t>
            </w:r>
          </w:p>
        </w:tc>
        <w:tc>
          <w:tcPr>
            <w:tcW w:w="703"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25.86</w:t>
            </w:r>
          </w:p>
        </w:tc>
        <w:tc>
          <w:tcPr>
            <w:tcW w:w="727" w:type="pct"/>
            <w:shd w:val="clear" w:color="auto" w:fill="auto"/>
            <w:noWrap/>
            <w:vAlign w:val="center"/>
            <w:hideMark/>
          </w:tcPr>
          <w:p w:rsidR="00D2795E" w:rsidRPr="00BB5BF0" w:rsidRDefault="00D2795E" w:rsidP="006924D1">
            <w:pPr>
              <w:snapToGrid w:val="0"/>
              <w:spacing w:after="0" w:line="240" w:lineRule="auto"/>
              <w:rPr>
                <w:b/>
                <w:bCs/>
                <w:sz w:val="15"/>
                <w:szCs w:val="15"/>
              </w:rPr>
            </w:pPr>
            <w:r w:rsidRPr="00BB5BF0">
              <w:rPr>
                <w:b/>
                <w:bCs/>
                <w:sz w:val="15"/>
                <w:szCs w:val="15"/>
                <w:lang w:val="en-GB"/>
              </w:rPr>
              <w:t>31.6</w:t>
            </w:r>
          </w:p>
        </w:tc>
        <w:tc>
          <w:tcPr>
            <w:tcW w:w="582" w:type="pct"/>
            <w:vMerge/>
            <w:shd w:val="clear" w:color="auto" w:fill="auto"/>
            <w:noWrap/>
            <w:vAlign w:val="center"/>
            <w:hideMark/>
          </w:tcPr>
          <w:p w:rsidR="00D2795E" w:rsidRPr="00BB5BF0" w:rsidRDefault="00D2795E" w:rsidP="006924D1">
            <w:pPr>
              <w:snapToGrid w:val="0"/>
              <w:spacing w:after="0" w:line="240" w:lineRule="auto"/>
              <w:rPr>
                <w:b/>
                <w:bCs/>
                <w:sz w:val="15"/>
                <w:szCs w:val="15"/>
              </w:rPr>
            </w:pPr>
          </w:p>
        </w:tc>
      </w:tr>
    </w:tbl>
    <w:p w:rsidR="006924D1" w:rsidRPr="00BB5BF0" w:rsidRDefault="006924D1" w:rsidP="006924D1">
      <w:pPr>
        <w:autoSpaceDE w:val="0"/>
        <w:autoSpaceDN w:val="0"/>
        <w:adjustRightInd w:val="0"/>
        <w:snapToGrid w:val="0"/>
        <w:spacing w:after="0" w:line="240" w:lineRule="auto"/>
        <w:ind w:firstLine="425"/>
        <w:rPr>
          <w:rFonts w:eastAsia="宋体"/>
          <w:sz w:val="20"/>
          <w:szCs w:val="20"/>
          <w:lang w:eastAsia="zh-CN" w:bidi="ar-EG"/>
        </w:rPr>
      </w:pPr>
    </w:p>
    <w:p w:rsidR="006C797C" w:rsidRPr="00BB5BF0" w:rsidRDefault="006C797C"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lastRenderedPageBreak/>
        <w:t>There were no significant statistical differences among the two groups with regard to (maternal age, gestational age, gravidity, parity, BMI and pulse pre [P &gt;0.05]).</w:t>
      </w:r>
    </w:p>
    <w:p w:rsidR="00ED6927" w:rsidRPr="00BB5BF0" w:rsidRDefault="00ED6927" w:rsidP="006924D1">
      <w:pPr>
        <w:autoSpaceDE w:val="0"/>
        <w:autoSpaceDN w:val="0"/>
        <w:adjustRightInd w:val="0"/>
        <w:snapToGrid w:val="0"/>
        <w:spacing w:after="0" w:line="240" w:lineRule="auto"/>
        <w:jc w:val="center"/>
        <w:rPr>
          <w:rFonts w:eastAsia="宋体"/>
          <w:sz w:val="20"/>
          <w:szCs w:val="20"/>
          <w:lang w:eastAsia="zh-CN" w:bidi="ar-EG"/>
        </w:rPr>
      </w:pPr>
    </w:p>
    <w:p w:rsidR="002D6767" w:rsidRPr="00BB5BF0" w:rsidRDefault="002D6767" w:rsidP="006924D1">
      <w:pPr>
        <w:snapToGrid w:val="0"/>
        <w:spacing w:after="0" w:line="240" w:lineRule="auto"/>
        <w:jc w:val="center"/>
        <w:rPr>
          <w:b/>
          <w:bCs/>
          <w:sz w:val="20"/>
          <w:szCs w:val="20"/>
        </w:rPr>
      </w:pPr>
      <w:r w:rsidRPr="00BB5BF0">
        <w:rPr>
          <w:b/>
          <w:bCs/>
          <w:sz w:val="20"/>
          <w:szCs w:val="20"/>
        </w:rPr>
        <w:t>Table 2</w:t>
      </w:r>
      <w:r w:rsidRPr="00BB5BF0">
        <w:rPr>
          <w:b/>
          <w:bCs/>
          <w:noProof/>
          <w:sz w:val="20"/>
          <w:szCs w:val="20"/>
        </w:rPr>
        <w:t>: Different risk factors among the two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39"/>
        <w:gridCol w:w="2289"/>
        <w:gridCol w:w="1495"/>
        <w:gridCol w:w="1851"/>
      </w:tblGrid>
      <w:tr w:rsidR="007C0CA5" w:rsidRPr="00BB5BF0" w:rsidTr="00ED6927">
        <w:trPr>
          <w:jc w:val="center"/>
        </w:trPr>
        <w:tc>
          <w:tcPr>
            <w:tcW w:w="3234" w:type="pct"/>
            <w:gridSpan w:val="2"/>
            <w:shd w:val="clear" w:color="auto" w:fill="auto"/>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 xml:space="preserve">Risk Factors </w:t>
            </w:r>
          </w:p>
        </w:tc>
        <w:tc>
          <w:tcPr>
            <w:tcW w:w="789" w:type="pct"/>
            <w:shd w:val="clear" w:color="auto" w:fill="auto"/>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Count</w:t>
            </w:r>
          </w:p>
        </w:tc>
        <w:tc>
          <w:tcPr>
            <w:tcW w:w="978" w:type="pct"/>
            <w:shd w:val="clear" w:color="auto" w:fill="auto"/>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P-Value</w:t>
            </w: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History Of Pph</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7</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0.93</w:t>
            </w:r>
          </w:p>
        </w:tc>
      </w:tr>
      <w:tr w:rsidR="007C0CA5" w:rsidRPr="00BB5BF0" w:rsidTr="00ED6927">
        <w:trPr>
          <w:jc w:val="center"/>
        </w:trPr>
        <w:tc>
          <w:tcPr>
            <w:tcW w:w="2026" w:type="pct"/>
            <w:vMerge/>
            <w:shd w:val="clear" w:color="auto" w:fill="auto"/>
            <w:noWrap/>
            <w:vAlign w:val="center"/>
            <w:hideMark/>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10</w:t>
            </w:r>
          </w:p>
        </w:tc>
        <w:tc>
          <w:tcPr>
            <w:tcW w:w="978" w:type="pct"/>
            <w:vMerge/>
            <w:shd w:val="clear" w:color="auto" w:fill="auto"/>
            <w:noWrap/>
            <w:vAlign w:val="center"/>
            <w:hideMark/>
          </w:tcPr>
          <w:p w:rsidR="007C0CA5" w:rsidRPr="00BB5BF0" w:rsidRDefault="007C0CA5" w:rsidP="006924D1">
            <w:pPr>
              <w:snapToGrid w:val="0"/>
              <w:spacing w:after="0" w:line="240" w:lineRule="auto"/>
              <w:rPr>
                <w:sz w:val="20"/>
                <w:szCs w:val="20"/>
              </w:rPr>
            </w:pP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Fetal Macrosomia</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7</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0.68</w:t>
            </w:r>
          </w:p>
        </w:tc>
      </w:tr>
      <w:tr w:rsidR="007C0CA5" w:rsidRPr="00BB5BF0" w:rsidTr="00ED6927">
        <w:trPr>
          <w:jc w:val="center"/>
        </w:trPr>
        <w:tc>
          <w:tcPr>
            <w:tcW w:w="2026" w:type="pct"/>
            <w:vMerge/>
            <w:shd w:val="clear" w:color="auto" w:fill="auto"/>
            <w:noWrap/>
            <w:vAlign w:val="center"/>
            <w:hideMark/>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6</w:t>
            </w:r>
          </w:p>
        </w:tc>
        <w:tc>
          <w:tcPr>
            <w:tcW w:w="978" w:type="pct"/>
            <w:vMerge/>
            <w:shd w:val="clear" w:color="auto" w:fill="auto"/>
            <w:noWrap/>
            <w:vAlign w:val="center"/>
            <w:hideMark/>
          </w:tcPr>
          <w:p w:rsidR="007C0CA5" w:rsidRPr="00BB5BF0" w:rsidRDefault="007C0CA5" w:rsidP="006924D1">
            <w:pPr>
              <w:snapToGrid w:val="0"/>
              <w:spacing w:after="0" w:line="240" w:lineRule="auto"/>
              <w:rPr>
                <w:sz w:val="20"/>
                <w:szCs w:val="20"/>
              </w:rPr>
            </w:pP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Twins</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4</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0.13</w:t>
            </w:r>
          </w:p>
        </w:tc>
      </w:tr>
      <w:tr w:rsidR="007C0CA5" w:rsidRPr="00BB5BF0" w:rsidTr="00ED6927">
        <w:trPr>
          <w:jc w:val="center"/>
        </w:trPr>
        <w:tc>
          <w:tcPr>
            <w:tcW w:w="2026" w:type="pct"/>
            <w:vMerge/>
            <w:shd w:val="clear" w:color="auto" w:fill="auto"/>
            <w:noWrap/>
            <w:vAlign w:val="center"/>
            <w:hideMark/>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5</w:t>
            </w:r>
          </w:p>
        </w:tc>
        <w:tc>
          <w:tcPr>
            <w:tcW w:w="978" w:type="pct"/>
            <w:vMerge/>
            <w:shd w:val="clear" w:color="auto" w:fill="auto"/>
            <w:noWrap/>
            <w:vAlign w:val="center"/>
            <w:hideMark/>
          </w:tcPr>
          <w:p w:rsidR="007C0CA5" w:rsidRPr="00BB5BF0" w:rsidRDefault="007C0CA5" w:rsidP="006924D1">
            <w:pPr>
              <w:snapToGrid w:val="0"/>
              <w:spacing w:after="0" w:line="240" w:lineRule="auto"/>
              <w:rPr>
                <w:sz w:val="20"/>
                <w:szCs w:val="20"/>
              </w:rPr>
            </w:pP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Uterine Fibroids.</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2</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0.21</w:t>
            </w:r>
          </w:p>
        </w:tc>
      </w:tr>
      <w:tr w:rsidR="007C0CA5" w:rsidRPr="00BB5BF0" w:rsidTr="00ED6927">
        <w:trPr>
          <w:jc w:val="center"/>
        </w:trPr>
        <w:tc>
          <w:tcPr>
            <w:tcW w:w="2026" w:type="pct"/>
            <w:vMerge/>
            <w:shd w:val="clear" w:color="auto" w:fill="auto"/>
            <w:noWrap/>
            <w:vAlign w:val="center"/>
            <w:hideMark/>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3</w:t>
            </w:r>
          </w:p>
        </w:tc>
        <w:tc>
          <w:tcPr>
            <w:tcW w:w="978" w:type="pct"/>
            <w:vMerge/>
            <w:shd w:val="clear" w:color="auto" w:fill="auto"/>
            <w:noWrap/>
            <w:vAlign w:val="center"/>
            <w:hideMark/>
          </w:tcPr>
          <w:p w:rsidR="007C0CA5" w:rsidRPr="00BB5BF0" w:rsidRDefault="007C0CA5" w:rsidP="006924D1">
            <w:pPr>
              <w:snapToGrid w:val="0"/>
              <w:spacing w:after="0" w:line="240" w:lineRule="auto"/>
              <w:rPr>
                <w:sz w:val="20"/>
                <w:szCs w:val="20"/>
              </w:rPr>
            </w:pP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Polyhydramnios.</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4</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0.5</w:t>
            </w:r>
          </w:p>
        </w:tc>
      </w:tr>
      <w:tr w:rsidR="007C0CA5" w:rsidRPr="00BB5BF0" w:rsidTr="00ED6927">
        <w:trPr>
          <w:jc w:val="center"/>
        </w:trPr>
        <w:tc>
          <w:tcPr>
            <w:tcW w:w="2026" w:type="pct"/>
            <w:vMerge/>
            <w:shd w:val="clear" w:color="auto" w:fill="auto"/>
            <w:noWrap/>
            <w:vAlign w:val="center"/>
            <w:hideMark/>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hideMark/>
          </w:tcPr>
          <w:p w:rsidR="007C0CA5" w:rsidRPr="00BB5BF0" w:rsidRDefault="007C0CA5" w:rsidP="006924D1">
            <w:pPr>
              <w:snapToGrid w:val="0"/>
              <w:spacing w:after="0" w:line="240" w:lineRule="auto"/>
              <w:rPr>
                <w:sz w:val="20"/>
                <w:szCs w:val="20"/>
              </w:rPr>
            </w:pPr>
            <w:r w:rsidRPr="00BB5BF0">
              <w:rPr>
                <w:sz w:val="20"/>
                <w:szCs w:val="20"/>
              </w:rPr>
              <w:t>5</w:t>
            </w:r>
          </w:p>
        </w:tc>
        <w:tc>
          <w:tcPr>
            <w:tcW w:w="978" w:type="pct"/>
            <w:vMerge/>
            <w:shd w:val="clear" w:color="auto" w:fill="auto"/>
            <w:noWrap/>
            <w:vAlign w:val="center"/>
            <w:hideMark/>
          </w:tcPr>
          <w:p w:rsidR="007C0CA5" w:rsidRPr="00BB5BF0" w:rsidRDefault="007C0CA5" w:rsidP="006924D1">
            <w:pPr>
              <w:snapToGrid w:val="0"/>
              <w:spacing w:after="0" w:line="240" w:lineRule="auto"/>
              <w:rPr>
                <w:sz w:val="20"/>
                <w:szCs w:val="20"/>
              </w:rPr>
            </w:pPr>
          </w:p>
        </w:tc>
      </w:tr>
      <w:tr w:rsidR="007C0CA5" w:rsidRPr="00BB5BF0" w:rsidTr="00ED6927">
        <w:trPr>
          <w:jc w:val="center"/>
        </w:trPr>
        <w:tc>
          <w:tcPr>
            <w:tcW w:w="2026" w:type="pct"/>
            <w:vMerge w:val="restart"/>
            <w:shd w:val="clear" w:color="auto" w:fill="F2F2F2"/>
            <w:noWrap/>
            <w:vAlign w:val="center"/>
            <w:hideMark/>
          </w:tcPr>
          <w:p w:rsidR="007C0CA5" w:rsidRPr="00BB5BF0" w:rsidRDefault="007C0CA5" w:rsidP="006924D1">
            <w:pPr>
              <w:snapToGrid w:val="0"/>
              <w:spacing w:after="0" w:line="240" w:lineRule="auto"/>
              <w:rPr>
                <w:b/>
                <w:bCs/>
                <w:caps/>
                <w:sz w:val="20"/>
                <w:szCs w:val="20"/>
              </w:rPr>
            </w:pPr>
            <w:r w:rsidRPr="00BB5BF0">
              <w:rPr>
                <w:b/>
                <w:bCs/>
                <w:sz w:val="20"/>
                <w:szCs w:val="20"/>
              </w:rPr>
              <w:t>Maternal Anemia</w:t>
            </w:r>
          </w:p>
        </w:tc>
        <w:tc>
          <w:tcPr>
            <w:tcW w:w="1208"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Carbetocin</w:t>
            </w:r>
          </w:p>
        </w:tc>
        <w:tc>
          <w:tcPr>
            <w:tcW w:w="789" w:type="pc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2</w:t>
            </w:r>
          </w:p>
        </w:tc>
        <w:tc>
          <w:tcPr>
            <w:tcW w:w="978" w:type="pct"/>
            <w:vMerge w:val="restart"/>
            <w:shd w:val="clear" w:color="auto" w:fill="F2F2F2"/>
            <w:noWrap/>
            <w:vAlign w:val="center"/>
            <w:hideMark/>
          </w:tcPr>
          <w:p w:rsidR="007C0CA5" w:rsidRPr="00BB5BF0" w:rsidRDefault="007C0CA5" w:rsidP="006924D1">
            <w:pPr>
              <w:snapToGrid w:val="0"/>
              <w:spacing w:after="0" w:line="240" w:lineRule="auto"/>
              <w:rPr>
                <w:sz w:val="20"/>
                <w:szCs w:val="20"/>
              </w:rPr>
            </w:pPr>
            <w:r w:rsidRPr="00BB5BF0">
              <w:rPr>
                <w:sz w:val="20"/>
                <w:szCs w:val="20"/>
              </w:rPr>
              <w:t>0.46</w:t>
            </w:r>
          </w:p>
        </w:tc>
      </w:tr>
      <w:tr w:rsidR="007C0CA5" w:rsidRPr="00BB5BF0" w:rsidTr="00ED6927">
        <w:trPr>
          <w:jc w:val="center"/>
        </w:trPr>
        <w:tc>
          <w:tcPr>
            <w:tcW w:w="2026" w:type="pct"/>
            <w:vMerge/>
            <w:shd w:val="clear" w:color="auto" w:fill="auto"/>
            <w:noWrap/>
            <w:vAlign w:val="center"/>
          </w:tcPr>
          <w:p w:rsidR="007C0CA5" w:rsidRPr="00BB5BF0" w:rsidRDefault="007C0CA5" w:rsidP="006924D1">
            <w:pPr>
              <w:snapToGrid w:val="0"/>
              <w:spacing w:after="0" w:line="240" w:lineRule="auto"/>
              <w:rPr>
                <w:b/>
                <w:bCs/>
                <w:caps/>
                <w:sz w:val="20"/>
                <w:szCs w:val="20"/>
              </w:rPr>
            </w:pPr>
          </w:p>
        </w:tc>
        <w:tc>
          <w:tcPr>
            <w:tcW w:w="1208" w:type="pct"/>
            <w:shd w:val="clear" w:color="auto" w:fill="auto"/>
            <w:noWrap/>
            <w:vAlign w:val="center"/>
          </w:tcPr>
          <w:p w:rsidR="007C0CA5" w:rsidRPr="00BB5BF0" w:rsidRDefault="007C0CA5" w:rsidP="006924D1">
            <w:pPr>
              <w:snapToGrid w:val="0"/>
              <w:spacing w:after="0" w:line="240" w:lineRule="auto"/>
              <w:rPr>
                <w:sz w:val="20"/>
                <w:szCs w:val="20"/>
              </w:rPr>
            </w:pPr>
            <w:r w:rsidRPr="00BB5BF0">
              <w:rPr>
                <w:sz w:val="20"/>
                <w:szCs w:val="20"/>
              </w:rPr>
              <w:t>Oxytocin</w:t>
            </w:r>
          </w:p>
        </w:tc>
        <w:tc>
          <w:tcPr>
            <w:tcW w:w="789" w:type="pct"/>
            <w:shd w:val="clear" w:color="auto" w:fill="auto"/>
            <w:noWrap/>
            <w:vAlign w:val="center"/>
          </w:tcPr>
          <w:p w:rsidR="007C0CA5" w:rsidRPr="00BB5BF0" w:rsidRDefault="007C0CA5" w:rsidP="006924D1">
            <w:pPr>
              <w:snapToGrid w:val="0"/>
              <w:spacing w:after="0" w:line="240" w:lineRule="auto"/>
              <w:rPr>
                <w:sz w:val="20"/>
                <w:szCs w:val="20"/>
              </w:rPr>
            </w:pPr>
            <w:r w:rsidRPr="00BB5BF0">
              <w:rPr>
                <w:sz w:val="20"/>
                <w:szCs w:val="20"/>
              </w:rPr>
              <w:t>3</w:t>
            </w:r>
          </w:p>
        </w:tc>
        <w:tc>
          <w:tcPr>
            <w:tcW w:w="978" w:type="pct"/>
            <w:vMerge/>
            <w:shd w:val="clear" w:color="auto" w:fill="auto"/>
            <w:noWrap/>
            <w:vAlign w:val="center"/>
          </w:tcPr>
          <w:p w:rsidR="007C0CA5" w:rsidRPr="00BB5BF0" w:rsidRDefault="007C0CA5" w:rsidP="006924D1">
            <w:pPr>
              <w:snapToGrid w:val="0"/>
              <w:spacing w:after="0" w:line="240" w:lineRule="auto"/>
              <w:rPr>
                <w:sz w:val="20"/>
                <w:szCs w:val="20"/>
              </w:rPr>
            </w:pPr>
          </w:p>
        </w:tc>
      </w:tr>
    </w:tbl>
    <w:p w:rsidR="006C797C" w:rsidRPr="00BB5BF0" w:rsidRDefault="006C797C" w:rsidP="006924D1">
      <w:pPr>
        <w:autoSpaceDE w:val="0"/>
        <w:autoSpaceDN w:val="0"/>
        <w:adjustRightInd w:val="0"/>
        <w:snapToGrid w:val="0"/>
        <w:spacing w:after="0" w:line="240" w:lineRule="auto"/>
        <w:ind w:firstLine="425"/>
        <w:rPr>
          <w:rFonts w:eastAsia="宋体"/>
          <w:sz w:val="20"/>
          <w:szCs w:val="20"/>
          <w:lang w:eastAsia="zh-CN" w:bidi="ar-EG"/>
        </w:rPr>
      </w:pPr>
    </w:p>
    <w:p w:rsidR="006C797C" w:rsidRPr="00BB5BF0" w:rsidRDefault="007351CF"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t>There was non-significant difference regard to risk factors between</w:t>
      </w:r>
      <w:r w:rsidRPr="00BB5BF0">
        <w:rPr>
          <w:rFonts w:eastAsia="宋体"/>
          <w:sz w:val="20"/>
          <w:szCs w:val="20"/>
          <w:lang w:val="en-GB" w:eastAsia="zh-CN" w:bidi="ar-EG"/>
        </w:rPr>
        <w:t xml:space="preserve"> the</w:t>
      </w:r>
      <w:r w:rsidRPr="00BB5BF0">
        <w:rPr>
          <w:rFonts w:eastAsia="宋体"/>
          <w:sz w:val="20"/>
          <w:szCs w:val="20"/>
          <w:lang w:eastAsia="zh-CN" w:bidi="ar-EG"/>
        </w:rPr>
        <w:t xml:space="preserve"> two groups (P &gt;0.05).</w:t>
      </w:r>
    </w:p>
    <w:p w:rsidR="006C797C" w:rsidRPr="00BB5BF0" w:rsidRDefault="006C797C" w:rsidP="006924D1">
      <w:pPr>
        <w:autoSpaceDE w:val="0"/>
        <w:autoSpaceDN w:val="0"/>
        <w:adjustRightInd w:val="0"/>
        <w:snapToGrid w:val="0"/>
        <w:spacing w:after="0" w:line="240" w:lineRule="auto"/>
        <w:jc w:val="center"/>
        <w:rPr>
          <w:rFonts w:eastAsia="宋体"/>
          <w:sz w:val="20"/>
          <w:szCs w:val="20"/>
          <w:lang w:eastAsia="zh-CN" w:bidi="ar-EG"/>
        </w:rPr>
      </w:pPr>
    </w:p>
    <w:p w:rsidR="006C797C" w:rsidRPr="00BB5BF0" w:rsidRDefault="008A5D29" w:rsidP="006924D1">
      <w:pPr>
        <w:snapToGrid w:val="0"/>
        <w:spacing w:after="0" w:line="240" w:lineRule="auto"/>
        <w:jc w:val="center"/>
        <w:rPr>
          <w:rFonts w:eastAsia="Times New Roman"/>
          <w:b/>
          <w:bCs/>
          <w:sz w:val="20"/>
          <w:szCs w:val="20"/>
        </w:rPr>
      </w:pPr>
      <w:r w:rsidRPr="00BB5BF0">
        <w:rPr>
          <w:b/>
          <w:bCs/>
          <w:sz w:val="20"/>
          <w:szCs w:val="20"/>
        </w:rPr>
        <w:t>Table 3</w:t>
      </w:r>
      <w:r w:rsidRPr="00BB5BF0">
        <w:rPr>
          <w:b/>
          <w:bCs/>
          <w:noProof/>
          <w:sz w:val="20"/>
          <w:szCs w:val="20"/>
        </w:rPr>
        <w:t xml:space="preserve">: </w:t>
      </w:r>
      <w:r w:rsidRPr="00BB5BF0">
        <w:rPr>
          <w:rFonts w:eastAsia="Times New Roman"/>
          <w:b/>
          <w:bCs/>
          <w:noProof/>
          <w:sz w:val="20"/>
          <w:szCs w:val="20"/>
        </w:rPr>
        <w:t>Haemoglobin, hematocrit, and platelets levels before and after cesarean section.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82"/>
        <w:gridCol w:w="885"/>
        <w:gridCol w:w="1929"/>
        <w:gridCol w:w="885"/>
        <w:gridCol w:w="1781"/>
        <w:gridCol w:w="1112"/>
      </w:tblGrid>
      <w:tr w:rsidR="008A5D29" w:rsidRPr="00BB5BF0" w:rsidTr="006924D1">
        <w:trPr>
          <w:jc w:val="center"/>
        </w:trPr>
        <w:tc>
          <w:tcPr>
            <w:tcW w:w="1521" w:type="pct"/>
            <w:shd w:val="clear" w:color="auto" w:fill="FFFFFF"/>
            <w:noWrap/>
            <w:vAlign w:val="center"/>
            <w:hideMark/>
          </w:tcPr>
          <w:p w:rsidR="008A5D29" w:rsidRPr="00BB5BF0" w:rsidRDefault="008A5D29" w:rsidP="006924D1">
            <w:pPr>
              <w:snapToGrid w:val="0"/>
              <w:spacing w:after="0" w:line="240" w:lineRule="auto"/>
              <w:rPr>
                <w:rFonts w:eastAsia="Times New Roman"/>
                <w:i/>
                <w:iCs/>
                <w:sz w:val="20"/>
                <w:szCs w:val="20"/>
              </w:rPr>
            </w:pPr>
          </w:p>
        </w:tc>
        <w:tc>
          <w:tcPr>
            <w:tcW w:w="1485" w:type="pct"/>
            <w:gridSpan w:val="2"/>
            <w:shd w:val="clear" w:color="auto" w:fill="FFFFFF"/>
            <w:noWrap/>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Carbetocin (A)</w:t>
            </w:r>
          </w:p>
        </w:tc>
        <w:tc>
          <w:tcPr>
            <w:tcW w:w="1407" w:type="pct"/>
            <w:gridSpan w:val="2"/>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Oxytocin (B)</w:t>
            </w:r>
          </w:p>
        </w:tc>
        <w:tc>
          <w:tcPr>
            <w:tcW w:w="587" w:type="pct"/>
            <w:shd w:val="clear" w:color="auto" w:fill="FFFFFF"/>
            <w:vAlign w:val="center"/>
            <w:hideMark/>
          </w:tcPr>
          <w:p w:rsidR="008A5D29" w:rsidRPr="00BB5BF0" w:rsidRDefault="008A5D29" w:rsidP="006924D1">
            <w:pPr>
              <w:snapToGrid w:val="0"/>
              <w:spacing w:after="0" w:line="240" w:lineRule="auto"/>
              <w:rPr>
                <w:rFonts w:eastAsia="Times New Roman"/>
                <w:i/>
                <w:iCs/>
                <w:color w:val="FF0000"/>
                <w:sz w:val="20"/>
                <w:szCs w:val="20"/>
                <w:highlight w:val="lightGray"/>
              </w:rPr>
            </w:pPr>
          </w:p>
        </w:tc>
      </w:tr>
      <w:tr w:rsidR="007E471D" w:rsidRPr="00BB5BF0" w:rsidTr="006924D1">
        <w:trPr>
          <w:jc w:val="center"/>
        </w:trPr>
        <w:tc>
          <w:tcPr>
            <w:tcW w:w="1521" w:type="pct"/>
            <w:shd w:val="clear" w:color="auto" w:fill="FFFFFF"/>
            <w:noWrap/>
            <w:vAlign w:val="center"/>
          </w:tcPr>
          <w:p w:rsidR="008A5D29" w:rsidRPr="00BB5BF0" w:rsidRDefault="008A5D29" w:rsidP="006924D1">
            <w:pPr>
              <w:snapToGrid w:val="0"/>
              <w:spacing w:after="0" w:line="240" w:lineRule="auto"/>
              <w:rPr>
                <w:rFonts w:eastAsia="Times New Roman"/>
                <w:b/>
                <w:bCs/>
                <w:i/>
                <w:iCs/>
                <w:color w:val="C45911"/>
                <w:sz w:val="20"/>
                <w:szCs w:val="20"/>
              </w:rPr>
            </w:pPr>
          </w:p>
        </w:tc>
        <w:tc>
          <w:tcPr>
            <w:tcW w:w="467" w:type="pct"/>
            <w:shd w:val="clear" w:color="auto" w:fill="F2F2F2"/>
            <w:noWrap/>
            <w:vAlign w:val="center"/>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Mean</w:t>
            </w:r>
          </w:p>
        </w:tc>
        <w:tc>
          <w:tcPr>
            <w:tcW w:w="1018" w:type="pct"/>
            <w:shd w:val="clear" w:color="auto" w:fill="F2F2F2"/>
            <w:vAlign w:val="center"/>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Range</w:t>
            </w:r>
          </w:p>
        </w:tc>
        <w:tc>
          <w:tcPr>
            <w:tcW w:w="467" w:type="pct"/>
            <w:shd w:val="clear" w:color="auto" w:fill="F2F2F2"/>
            <w:vAlign w:val="center"/>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Mean</w:t>
            </w:r>
          </w:p>
        </w:tc>
        <w:tc>
          <w:tcPr>
            <w:tcW w:w="940" w:type="pct"/>
            <w:shd w:val="clear" w:color="auto" w:fill="F2F2F2"/>
            <w:noWrap/>
            <w:vAlign w:val="center"/>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Range</w:t>
            </w:r>
          </w:p>
        </w:tc>
        <w:tc>
          <w:tcPr>
            <w:tcW w:w="587" w:type="pct"/>
            <w:shd w:val="clear" w:color="auto" w:fill="F2F2F2"/>
            <w:vAlign w:val="center"/>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P-value</w:t>
            </w:r>
          </w:p>
        </w:tc>
      </w:tr>
      <w:tr w:rsidR="008A5D29" w:rsidRPr="00BB5BF0" w:rsidTr="00ED6927">
        <w:trPr>
          <w:jc w:val="center"/>
        </w:trPr>
        <w:tc>
          <w:tcPr>
            <w:tcW w:w="5000" w:type="pct"/>
            <w:gridSpan w:val="6"/>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Pre-Operative Hb (median interquartile ranges) </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w:t>
            </w:r>
            <w:r w:rsidR="00ED6927" w:rsidRPr="00BB5BF0">
              <w:rPr>
                <w:rFonts w:eastAsia="Times New Roman"/>
                <w:i/>
                <w:iCs/>
                <w:sz w:val="20"/>
                <w:szCs w:val="20"/>
              </w:rPr>
              <w:t>b (</w:t>
            </w:r>
            <w:r w:rsidRPr="00BB5BF0">
              <w:rPr>
                <w:rFonts w:eastAsia="Times New Roman"/>
                <w:i/>
                <w:iCs/>
                <w:sz w:val="20"/>
                <w:szCs w:val="20"/>
              </w:rPr>
              <w:t>g/dl)</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11.34</w:t>
            </w:r>
          </w:p>
        </w:tc>
        <w:tc>
          <w:tcPr>
            <w:tcW w:w="1018"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(11.01 - 11.98)</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11.8</w:t>
            </w:r>
          </w:p>
        </w:tc>
        <w:tc>
          <w:tcPr>
            <w:tcW w:w="940"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(11.2 - 12.13)</w:t>
            </w:r>
          </w:p>
        </w:tc>
        <w:tc>
          <w:tcPr>
            <w:tcW w:w="58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0.23</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Ht (%)</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34.6</w:t>
            </w:r>
          </w:p>
        </w:tc>
        <w:tc>
          <w:tcPr>
            <w:tcW w:w="1018"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(31.8 - 35.82)</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33.9</w:t>
            </w:r>
          </w:p>
        </w:tc>
        <w:tc>
          <w:tcPr>
            <w:tcW w:w="940"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(31.03 - 35.9)</w:t>
            </w:r>
          </w:p>
        </w:tc>
        <w:tc>
          <w:tcPr>
            <w:tcW w:w="58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0.61</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PLT</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225</w:t>
            </w:r>
          </w:p>
        </w:tc>
        <w:tc>
          <w:tcPr>
            <w:tcW w:w="1018"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(187 - 268)</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207</w:t>
            </w:r>
          </w:p>
        </w:tc>
        <w:tc>
          <w:tcPr>
            <w:tcW w:w="940"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(152 - 237)</w:t>
            </w:r>
          </w:p>
        </w:tc>
        <w:tc>
          <w:tcPr>
            <w:tcW w:w="58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0.06</w:t>
            </w:r>
          </w:p>
        </w:tc>
      </w:tr>
      <w:tr w:rsidR="008A5D29" w:rsidRPr="00BB5BF0" w:rsidTr="00ED6927">
        <w:trPr>
          <w:jc w:val="center"/>
        </w:trPr>
        <w:tc>
          <w:tcPr>
            <w:tcW w:w="5000" w:type="pct"/>
            <w:gridSpan w:val="6"/>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Post-Operative Hb Drop (median interquartile ranges)</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Hb 2 h after CS (g/dl)</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-0.5</w:t>
            </w:r>
          </w:p>
        </w:tc>
        <w:tc>
          <w:tcPr>
            <w:tcW w:w="1018"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(-1.1</w:t>
            </w:r>
            <w:r w:rsidR="00ED6927" w:rsidRPr="00BB5BF0">
              <w:rPr>
                <w:rFonts w:eastAsia="Times New Roman"/>
                <w:b/>
                <w:bCs/>
                <w:sz w:val="20"/>
                <w:szCs w:val="20"/>
              </w:rPr>
              <w:t>;</w:t>
            </w:r>
            <w:r w:rsidRPr="00BB5BF0">
              <w:rPr>
                <w:rFonts w:eastAsia="Times New Roman"/>
                <w:b/>
                <w:bCs/>
                <w:sz w:val="20"/>
                <w:szCs w:val="20"/>
              </w:rPr>
              <w:t xml:space="preserve"> -0.1)</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-0.7</w:t>
            </w:r>
          </w:p>
        </w:tc>
        <w:tc>
          <w:tcPr>
            <w:tcW w:w="940"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(-1.3</w:t>
            </w:r>
            <w:r w:rsidR="00ED6927" w:rsidRPr="00BB5BF0">
              <w:rPr>
                <w:rFonts w:eastAsia="Times New Roman"/>
                <w:b/>
                <w:bCs/>
                <w:sz w:val="20"/>
                <w:szCs w:val="20"/>
              </w:rPr>
              <w:t>;</w:t>
            </w:r>
            <w:r w:rsidRPr="00BB5BF0">
              <w:rPr>
                <w:rFonts w:eastAsia="Times New Roman"/>
                <w:b/>
                <w:bCs/>
                <w:sz w:val="20"/>
                <w:szCs w:val="20"/>
              </w:rPr>
              <w:t xml:space="preserve"> -0.3)</w:t>
            </w:r>
          </w:p>
        </w:tc>
        <w:tc>
          <w:tcPr>
            <w:tcW w:w="58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0.52</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Hb 12 h after CS (g/dl)</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-0.6</w:t>
            </w:r>
          </w:p>
        </w:tc>
        <w:tc>
          <w:tcPr>
            <w:tcW w:w="1018"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(-1.2</w:t>
            </w:r>
            <w:r w:rsidR="00ED6927" w:rsidRPr="00BB5BF0">
              <w:rPr>
                <w:rFonts w:eastAsia="Times New Roman"/>
                <w:b/>
                <w:bCs/>
                <w:sz w:val="20"/>
                <w:szCs w:val="20"/>
              </w:rPr>
              <w:t>;</w:t>
            </w:r>
            <w:r w:rsidRPr="00BB5BF0">
              <w:rPr>
                <w:rFonts w:eastAsia="Times New Roman"/>
                <w:b/>
                <w:bCs/>
                <w:sz w:val="20"/>
                <w:szCs w:val="20"/>
              </w:rPr>
              <w:t xml:space="preserve"> 0.0)</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-1.2</w:t>
            </w:r>
          </w:p>
        </w:tc>
        <w:tc>
          <w:tcPr>
            <w:tcW w:w="940"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(-1.9</w:t>
            </w:r>
            <w:r w:rsidR="00ED6927" w:rsidRPr="00BB5BF0">
              <w:rPr>
                <w:rFonts w:eastAsia="Times New Roman"/>
                <w:b/>
                <w:bCs/>
                <w:sz w:val="20"/>
                <w:szCs w:val="20"/>
              </w:rPr>
              <w:t>;</w:t>
            </w:r>
            <w:r w:rsidRPr="00BB5BF0">
              <w:rPr>
                <w:rFonts w:eastAsia="Times New Roman"/>
                <w:b/>
                <w:bCs/>
                <w:sz w:val="20"/>
                <w:szCs w:val="20"/>
              </w:rPr>
              <w:t xml:space="preserve"> -0.4)</w:t>
            </w:r>
          </w:p>
        </w:tc>
        <w:tc>
          <w:tcPr>
            <w:tcW w:w="58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u w:val="single"/>
              </w:rPr>
            </w:pPr>
            <w:r w:rsidRPr="00BB5BF0">
              <w:rPr>
                <w:rFonts w:eastAsia="Times New Roman"/>
                <w:b/>
                <w:bCs/>
                <w:sz w:val="20"/>
                <w:szCs w:val="20"/>
                <w:u w:val="single"/>
              </w:rPr>
              <w:t>0.03</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Ht 2 h after CS (%)</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-1.5</w:t>
            </w:r>
          </w:p>
        </w:tc>
        <w:tc>
          <w:tcPr>
            <w:tcW w:w="1018"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(-2.7</w:t>
            </w:r>
            <w:r w:rsidR="00ED6927" w:rsidRPr="00BB5BF0">
              <w:rPr>
                <w:rFonts w:eastAsia="Times New Roman"/>
                <w:b/>
                <w:bCs/>
                <w:sz w:val="20"/>
                <w:szCs w:val="20"/>
              </w:rPr>
              <w:t>;</w:t>
            </w:r>
            <w:r w:rsidRPr="00BB5BF0">
              <w:rPr>
                <w:rFonts w:eastAsia="Times New Roman"/>
                <w:b/>
                <w:bCs/>
                <w:sz w:val="20"/>
                <w:szCs w:val="20"/>
              </w:rPr>
              <w:t xml:space="preserve"> -0.1)</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-1.9</w:t>
            </w:r>
          </w:p>
        </w:tc>
        <w:tc>
          <w:tcPr>
            <w:tcW w:w="940"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(-4.0</w:t>
            </w:r>
            <w:r w:rsidR="00ED6927" w:rsidRPr="00BB5BF0">
              <w:rPr>
                <w:rFonts w:eastAsia="Times New Roman"/>
                <w:b/>
                <w:bCs/>
                <w:sz w:val="20"/>
                <w:szCs w:val="20"/>
              </w:rPr>
              <w:t>;</w:t>
            </w:r>
            <w:r w:rsidRPr="00BB5BF0">
              <w:rPr>
                <w:rFonts w:eastAsia="Times New Roman"/>
                <w:b/>
                <w:bCs/>
                <w:sz w:val="20"/>
                <w:szCs w:val="20"/>
              </w:rPr>
              <w:t xml:space="preserve"> 0.5)</w:t>
            </w:r>
          </w:p>
        </w:tc>
        <w:tc>
          <w:tcPr>
            <w:tcW w:w="58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0.31</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Ht 12 h after C</w:t>
            </w:r>
            <w:r w:rsidR="00ED6927" w:rsidRPr="00BB5BF0">
              <w:rPr>
                <w:rFonts w:eastAsia="Times New Roman"/>
                <w:i/>
                <w:iCs/>
                <w:sz w:val="20"/>
                <w:szCs w:val="20"/>
              </w:rPr>
              <w:t>S (</w:t>
            </w:r>
            <w:r w:rsidRPr="00BB5BF0">
              <w:rPr>
                <w:rFonts w:eastAsia="Times New Roman"/>
                <w:i/>
                <w:iCs/>
                <w:sz w:val="20"/>
                <w:szCs w:val="20"/>
              </w:rPr>
              <w:t>%)</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-1.33</w:t>
            </w:r>
          </w:p>
        </w:tc>
        <w:tc>
          <w:tcPr>
            <w:tcW w:w="1018"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(-3.4</w:t>
            </w:r>
            <w:r w:rsidR="00ED6927" w:rsidRPr="00BB5BF0">
              <w:rPr>
                <w:rFonts w:eastAsia="Times New Roman"/>
                <w:b/>
                <w:bCs/>
                <w:sz w:val="20"/>
                <w:szCs w:val="20"/>
              </w:rPr>
              <w:t>;</w:t>
            </w:r>
            <w:r w:rsidRPr="00BB5BF0">
              <w:rPr>
                <w:rFonts w:eastAsia="Times New Roman"/>
                <w:b/>
                <w:bCs/>
                <w:sz w:val="20"/>
                <w:szCs w:val="20"/>
              </w:rPr>
              <w:t xml:space="preserve"> 0.3)</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-1.7</w:t>
            </w:r>
          </w:p>
        </w:tc>
        <w:tc>
          <w:tcPr>
            <w:tcW w:w="940"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(-5.1</w:t>
            </w:r>
            <w:r w:rsidR="00ED6927" w:rsidRPr="00BB5BF0">
              <w:rPr>
                <w:rFonts w:eastAsia="Times New Roman"/>
                <w:b/>
                <w:bCs/>
                <w:sz w:val="20"/>
                <w:szCs w:val="20"/>
              </w:rPr>
              <w:t>;</w:t>
            </w:r>
            <w:r w:rsidRPr="00BB5BF0">
              <w:rPr>
                <w:rFonts w:eastAsia="Times New Roman"/>
                <w:b/>
                <w:bCs/>
                <w:sz w:val="20"/>
                <w:szCs w:val="20"/>
              </w:rPr>
              <w:t xml:space="preserve"> 0.3)</w:t>
            </w:r>
          </w:p>
        </w:tc>
        <w:tc>
          <w:tcPr>
            <w:tcW w:w="58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0.13</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PLT 2 h after CS</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-19</w:t>
            </w:r>
          </w:p>
        </w:tc>
        <w:tc>
          <w:tcPr>
            <w:tcW w:w="1018"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(-50</w:t>
            </w:r>
            <w:r w:rsidR="00ED6927" w:rsidRPr="00BB5BF0">
              <w:rPr>
                <w:rFonts w:eastAsia="Times New Roman"/>
                <w:b/>
                <w:bCs/>
                <w:sz w:val="20"/>
                <w:szCs w:val="20"/>
              </w:rPr>
              <w:t>;</w:t>
            </w:r>
            <w:r w:rsidRPr="00BB5BF0">
              <w:rPr>
                <w:rFonts w:eastAsia="Times New Roman"/>
                <w:b/>
                <w:bCs/>
                <w:sz w:val="20"/>
                <w:szCs w:val="20"/>
              </w:rPr>
              <w:t xml:space="preserve"> 0)</w:t>
            </w:r>
          </w:p>
        </w:tc>
        <w:tc>
          <w:tcPr>
            <w:tcW w:w="46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-7</w:t>
            </w:r>
          </w:p>
        </w:tc>
        <w:tc>
          <w:tcPr>
            <w:tcW w:w="940"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(-27</w:t>
            </w:r>
            <w:r w:rsidR="00ED6927" w:rsidRPr="00BB5BF0">
              <w:rPr>
                <w:rFonts w:eastAsia="Times New Roman"/>
                <w:b/>
                <w:bCs/>
                <w:sz w:val="20"/>
                <w:szCs w:val="20"/>
              </w:rPr>
              <w:t>;</w:t>
            </w:r>
            <w:r w:rsidRPr="00BB5BF0">
              <w:rPr>
                <w:rFonts w:eastAsia="Times New Roman"/>
                <w:b/>
                <w:bCs/>
                <w:sz w:val="20"/>
                <w:szCs w:val="20"/>
              </w:rPr>
              <w:t xml:space="preserve"> 1 )</w:t>
            </w:r>
          </w:p>
        </w:tc>
        <w:tc>
          <w:tcPr>
            <w:tcW w:w="587" w:type="pct"/>
            <w:shd w:val="clear" w:color="auto" w:fill="F2F2F2"/>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0.41</w:t>
            </w:r>
          </w:p>
        </w:tc>
      </w:tr>
      <w:tr w:rsidR="007E471D" w:rsidRPr="00BB5BF0" w:rsidTr="006924D1">
        <w:trPr>
          <w:jc w:val="center"/>
        </w:trPr>
        <w:tc>
          <w:tcPr>
            <w:tcW w:w="1521" w:type="pct"/>
            <w:shd w:val="clear" w:color="auto" w:fill="FFFFFF"/>
            <w:vAlign w:val="center"/>
            <w:hideMark/>
          </w:tcPr>
          <w:p w:rsidR="008A5D29" w:rsidRPr="00BB5BF0" w:rsidRDefault="008A5D29" w:rsidP="006924D1">
            <w:pPr>
              <w:snapToGrid w:val="0"/>
              <w:spacing w:after="0" w:line="240" w:lineRule="auto"/>
              <w:rPr>
                <w:rFonts w:eastAsia="Times New Roman"/>
                <w:i/>
                <w:iCs/>
                <w:sz w:val="20"/>
                <w:szCs w:val="20"/>
              </w:rPr>
            </w:pPr>
            <w:r w:rsidRPr="00BB5BF0">
              <w:rPr>
                <w:rFonts w:eastAsia="Times New Roman"/>
                <w:i/>
                <w:iCs/>
                <w:sz w:val="20"/>
                <w:szCs w:val="20"/>
              </w:rPr>
              <w:t>PLT 12h after CS</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-17</w:t>
            </w:r>
          </w:p>
        </w:tc>
        <w:tc>
          <w:tcPr>
            <w:tcW w:w="1018"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(-44</w:t>
            </w:r>
            <w:r w:rsidR="00ED6927" w:rsidRPr="00BB5BF0">
              <w:rPr>
                <w:rFonts w:eastAsia="Times New Roman"/>
                <w:b/>
                <w:bCs/>
                <w:sz w:val="20"/>
                <w:szCs w:val="20"/>
              </w:rPr>
              <w:t>;</w:t>
            </w:r>
            <w:r w:rsidRPr="00BB5BF0">
              <w:rPr>
                <w:rFonts w:eastAsia="Times New Roman"/>
                <w:b/>
                <w:bCs/>
                <w:sz w:val="20"/>
                <w:szCs w:val="20"/>
              </w:rPr>
              <w:t xml:space="preserve"> 0)</w:t>
            </w:r>
          </w:p>
        </w:tc>
        <w:tc>
          <w:tcPr>
            <w:tcW w:w="46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-13</w:t>
            </w:r>
          </w:p>
        </w:tc>
        <w:tc>
          <w:tcPr>
            <w:tcW w:w="940"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(-28</w:t>
            </w:r>
            <w:r w:rsidR="00ED6927" w:rsidRPr="00BB5BF0">
              <w:rPr>
                <w:rFonts w:eastAsia="Times New Roman"/>
                <w:b/>
                <w:bCs/>
                <w:sz w:val="20"/>
                <w:szCs w:val="20"/>
              </w:rPr>
              <w:t>;</w:t>
            </w:r>
            <w:r w:rsidRPr="00BB5BF0">
              <w:rPr>
                <w:rFonts w:eastAsia="Times New Roman"/>
                <w:b/>
                <w:bCs/>
                <w:sz w:val="20"/>
                <w:szCs w:val="20"/>
              </w:rPr>
              <w:t xml:space="preserve"> 8)</w:t>
            </w:r>
          </w:p>
        </w:tc>
        <w:tc>
          <w:tcPr>
            <w:tcW w:w="587" w:type="pct"/>
            <w:shd w:val="clear" w:color="auto" w:fill="auto"/>
            <w:vAlign w:val="center"/>
            <w:hideMark/>
          </w:tcPr>
          <w:p w:rsidR="008A5D29" w:rsidRPr="00BB5BF0" w:rsidRDefault="008A5D29" w:rsidP="006924D1">
            <w:pPr>
              <w:snapToGrid w:val="0"/>
              <w:spacing w:after="0" w:line="240" w:lineRule="auto"/>
              <w:rPr>
                <w:rFonts w:eastAsia="Times New Roman"/>
                <w:b/>
                <w:bCs/>
                <w:sz w:val="20"/>
                <w:szCs w:val="20"/>
              </w:rPr>
            </w:pPr>
            <w:r w:rsidRPr="00BB5BF0">
              <w:rPr>
                <w:rFonts w:eastAsia="Times New Roman"/>
                <w:b/>
                <w:bCs/>
                <w:sz w:val="20"/>
                <w:szCs w:val="20"/>
              </w:rPr>
              <w:t>0.74</w:t>
            </w:r>
          </w:p>
        </w:tc>
      </w:tr>
    </w:tbl>
    <w:p w:rsidR="008A5D29" w:rsidRPr="00BB5BF0" w:rsidRDefault="008A5D29" w:rsidP="006924D1">
      <w:pPr>
        <w:autoSpaceDE w:val="0"/>
        <w:autoSpaceDN w:val="0"/>
        <w:adjustRightInd w:val="0"/>
        <w:snapToGrid w:val="0"/>
        <w:spacing w:after="0" w:line="240" w:lineRule="auto"/>
        <w:ind w:firstLine="425"/>
        <w:rPr>
          <w:rFonts w:eastAsia="宋体"/>
          <w:sz w:val="20"/>
          <w:szCs w:val="20"/>
          <w:lang w:eastAsia="zh-CN" w:bidi="ar-EG"/>
        </w:rPr>
      </w:pPr>
    </w:p>
    <w:p w:rsidR="006924D1" w:rsidRPr="00BB5BF0" w:rsidRDefault="006924D1" w:rsidP="006924D1">
      <w:pPr>
        <w:autoSpaceDE w:val="0"/>
        <w:autoSpaceDN w:val="0"/>
        <w:adjustRightInd w:val="0"/>
        <w:snapToGrid w:val="0"/>
        <w:spacing w:after="0" w:line="240" w:lineRule="auto"/>
        <w:ind w:firstLine="425"/>
        <w:rPr>
          <w:rFonts w:eastAsia="宋体"/>
          <w:sz w:val="20"/>
          <w:szCs w:val="20"/>
          <w:lang w:eastAsia="zh-CN" w:bidi="ar-EG"/>
        </w:rPr>
        <w:sectPr w:rsidR="006924D1" w:rsidRPr="00BB5BF0" w:rsidSect="000C1847">
          <w:type w:val="continuous"/>
          <w:pgSz w:w="12240" w:h="15840" w:code="9"/>
          <w:pgMar w:top="1440" w:right="1440" w:bottom="1440" w:left="1440" w:header="720" w:footer="720" w:gutter="0"/>
          <w:cols w:space="720"/>
          <w:rtlGutter/>
          <w:docGrid w:linePitch="360"/>
        </w:sectPr>
      </w:pPr>
    </w:p>
    <w:p w:rsidR="002C5C0B" w:rsidRPr="00BB5BF0" w:rsidRDefault="002C5C0B"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lastRenderedPageBreak/>
        <w:t xml:space="preserve">In both study groups hemoglobin levels before and after 2 hours apart from delivery were similar, confirming no significant difference in the level of blood loss, although we found a roughly lower Hb </w:t>
      </w:r>
      <w:r w:rsidRPr="00BB5BF0">
        <w:rPr>
          <w:rFonts w:eastAsia="宋体"/>
          <w:sz w:val="20"/>
          <w:szCs w:val="20"/>
          <w:lang w:eastAsia="zh-CN" w:bidi="ar-EG"/>
        </w:rPr>
        <w:lastRenderedPageBreak/>
        <w:t>decrease at 12 hours from delivery in the Carbetocin group and Hb level was significant (- 0.6 g/dl vs - 1.2 g/dl, p 0.03).</w:t>
      </w:r>
    </w:p>
    <w:p w:rsidR="006924D1" w:rsidRPr="00BB5BF0" w:rsidRDefault="006924D1" w:rsidP="006924D1">
      <w:pPr>
        <w:autoSpaceDE w:val="0"/>
        <w:autoSpaceDN w:val="0"/>
        <w:adjustRightInd w:val="0"/>
        <w:snapToGrid w:val="0"/>
        <w:spacing w:after="0" w:line="240" w:lineRule="auto"/>
        <w:jc w:val="center"/>
        <w:rPr>
          <w:rFonts w:eastAsia="宋体"/>
          <w:sz w:val="20"/>
          <w:szCs w:val="20"/>
          <w:lang w:eastAsia="zh-CN" w:bidi="ar-EG"/>
        </w:rPr>
        <w:sectPr w:rsidR="006924D1" w:rsidRPr="00BB5BF0" w:rsidSect="000C1847">
          <w:type w:val="continuous"/>
          <w:pgSz w:w="12240" w:h="15840" w:code="9"/>
          <w:pgMar w:top="1440" w:right="1440" w:bottom="1440" w:left="1440" w:header="720" w:footer="720" w:gutter="0"/>
          <w:cols w:num="2" w:space="550"/>
          <w:rtlGutter/>
          <w:docGrid w:linePitch="360"/>
        </w:sectPr>
      </w:pPr>
      <w:bookmarkStart w:id="0" w:name="_Toc14690345"/>
    </w:p>
    <w:p w:rsidR="007E471D" w:rsidRPr="00BB5BF0" w:rsidRDefault="007E471D" w:rsidP="006924D1">
      <w:pPr>
        <w:autoSpaceDE w:val="0"/>
        <w:autoSpaceDN w:val="0"/>
        <w:adjustRightInd w:val="0"/>
        <w:snapToGrid w:val="0"/>
        <w:spacing w:after="0" w:line="240" w:lineRule="auto"/>
        <w:jc w:val="center"/>
        <w:rPr>
          <w:rFonts w:eastAsia="宋体"/>
          <w:sz w:val="20"/>
          <w:szCs w:val="20"/>
          <w:lang w:eastAsia="zh-CN" w:bidi="ar-EG"/>
        </w:rPr>
      </w:pPr>
    </w:p>
    <w:p w:rsidR="00900702" w:rsidRPr="00BB5BF0" w:rsidRDefault="00900702" w:rsidP="006924D1">
      <w:pPr>
        <w:autoSpaceDE w:val="0"/>
        <w:autoSpaceDN w:val="0"/>
        <w:adjustRightInd w:val="0"/>
        <w:snapToGrid w:val="0"/>
        <w:spacing w:after="0" w:line="240" w:lineRule="auto"/>
        <w:jc w:val="center"/>
        <w:rPr>
          <w:rFonts w:eastAsia="宋体"/>
          <w:b/>
          <w:sz w:val="20"/>
          <w:szCs w:val="20"/>
          <w:lang w:eastAsia="zh-CN" w:bidi="ar-EG"/>
        </w:rPr>
      </w:pPr>
      <w:r w:rsidRPr="00BB5BF0">
        <w:rPr>
          <w:rFonts w:eastAsia="宋体"/>
          <w:b/>
          <w:sz w:val="20"/>
          <w:szCs w:val="20"/>
          <w:lang w:eastAsia="zh-CN" w:bidi="ar-EG"/>
        </w:rPr>
        <w:t>Table 4: Comparison between two groups as regards need for additional uterotonics drugs.</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40"/>
        <w:gridCol w:w="2732"/>
        <w:gridCol w:w="1355"/>
        <w:gridCol w:w="1129"/>
        <w:gridCol w:w="1018"/>
      </w:tblGrid>
      <w:tr w:rsidR="00771651" w:rsidRPr="00BB5BF0" w:rsidTr="00ED6927">
        <w:trPr>
          <w:jc w:val="center"/>
        </w:trPr>
        <w:tc>
          <w:tcPr>
            <w:tcW w:w="1710" w:type="pct"/>
            <w:shd w:val="clear" w:color="auto" w:fill="auto"/>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Group</w:t>
            </w:r>
          </w:p>
        </w:tc>
        <w:tc>
          <w:tcPr>
            <w:tcW w:w="1442" w:type="pct"/>
            <w:shd w:val="clear" w:color="auto" w:fill="auto"/>
            <w:noWrap/>
            <w:vAlign w:val="center"/>
          </w:tcPr>
          <w:p w:rsidR="00771651" w:rsidRPr="00BB5BF0" w:rsidRDefault="00771651" w:rsidP="006924D1">
            <w:pPr>
              <w:snapToGrid w:val="0"/>
              <w:spacing w:after="0" w:line="240" w:lineRule="auto"/>
              <w:rPr>
                <w:b/>
                <w:bCs/>
                <w:caps/>
                <w:sz w:val="20"/>
                <w:szCs w:val="20"/>
              </w:rPr>
            </w:pPr>
          </w:p>
        </w:tc>
        <w:tc>
          <w:tcPr>
            <w:tcW w:w="715" w:type="pct"/>
            <w:shd w:val="clear" w:color="auto" w:fill="auto"/>
            <w:noWrap/>
            <w:vAlign w:val="center"/>
          </w:tcPr>
          <w:p w:rsidR="00771651" w:rsidRPr="00BB5BF0" w:rsidRDefault="00771651" w:rsidP="006924D1">
            <w:pPr>
              <w:snapToGrid w:val="0"/>
              <w:spacing w:after="0" w:line="240" w:lineRule="auto"/>
              <w:rPr>
                <w:b/>
                <w:bCs/>
                <w:caps/>
                <w:sz w:val="20"/>
                <w:szCs w:val="20"/>
              </w:rPr>
            </w:pPr>
            <w:r w:rsidRPr="00BB5BF0">
              <w:rPr>
                <w:b/>
                <w:bCs/>
                <w:sz w:val="20"/>
                <w:szCs w:val="20"/>
              </w:rPr>
              <w:t>Carbetocin</w:t>
            </w:r>
          </w:p>
        </w:tc>
        <w:tc>
          <w:tcPr>
            <w:tcW w:w="596" w:type="pct"/>
            <w:shd w:val="clear" w:color="auto" w:fill="auto"/>
            <w:noWrap/>
            <w:vAlign w:val="center"/>
          </w:tcPr>
          <w:p w:rsidR="00771651" w:rsidRPr="00BB5BF0" w:rsidRDefault="00771651" w:rsidP="006924D1">
            <w:pPr>
              <w:snapToGrid w:val="0"/>
              <w:spacing w:after="0" w:line="240" w:lineRule="auto"/>
              <w:rPr>
                <w:b/>
                <w:bCs/>
                <w:caps/>
                <w:sz w:val="20"/>
                <w:szCs w:val="20"/>
              </w:rPr>
            </w:pPr>
            <w:r w:rsidRPr="00BB5BF0">
              <w:rPr>
                <w:b/>
                <w:bCs/>
                <w:sz w:val="20"/>
                <w:szCs w:val="20"/>
              </w:rPr>
              <w:t>Oxytocin</w:t>
            </w:r>
          </w:p>
        </w:tc>
        <w:tc>
          <w:tcPr>
            <w:tcW w:w="537" w:type="pct"/>
            <w:shd w:val="clear" w:color="auto" w:fill="auto"/>
            <w:vAlign w:val="center"/>
          </w:tcPr>
          <w:p w:rsidR="00771651" w:rsidRPr="00BB5BF0" w:rsidRDefault="00771651" w:rsidP="006924D1">
            <w:pPr>
              <w:snapToGrid w:val="0"/>
              <w:spacing w:after="0" w:line="240" w:lineRule="auto"/>
              <w:rPr>
                <w:b/>
                <w:bCs/>
                <w:caps/>
                <w:sz w:val="20"/>
                <w:szCs w:val="20"/>
              </w:rPr>
            </w:pPr>
            <w:r w:rsidRPr="00BB5BF0">
              <w:rPr>
                <w:b/>
                <w:bCs/>
                <w:sz w:val="20"/>
                <w:szCs w:val="20"/>
              </w:rPr>
              <w:t>P-Value</w:t>
            </w:r>
          </w:p>
        </w:tc>
      </w:tr>
      <w:tr w:rsidR="00771651" w:rsidRPr="00BB5BF0" w:rsidTr="00ED6927">
        <w:trPr>
          <w:jc w:val="center"/>
        </w:trPr>
        <w:tc>
          <w:tcPr>
            <w:tcW w:w="1710" w:type="pct"/>
            <w:shd w:val="clear" w:color="auto" w:fill="F2F2F2"/>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Postoperative Syntocinon</w:t>
            </w:r>
          </w:p>
        </w:tc>
        <w:tc>
          <w:tcPr>
            <w:tcW w:w="1442" w:type="pct"/>
            <w:shd w:val="clear" w:color="auto" w:fill="F2F2F2"/>
            <w:noWrap/>
            <w:vAlign w:val="center"/>
          </w:tcPr>
          <w:p w:rsidR="00771651" w:rsidRPr="00BB5BF0" w:rsidRDefault="00771651" w:rsidP="006924D1">
            <w:pPr>
              <w:snapToGrid w:val="0"/>
              <w:spacing w:after="0" w:line="240" w:lineRule="auto"/>
              <w:rPr>
                <w:b/>
                <w:bCs/>
                <w:sz w:val="20"/>
                <w:szCs w:val="20"/>
              </w:rPr>
            </w:pPr>
          </w:p>
        </w:tc>
        <w:tc>
          <w:tcPr>
            <w:tcW w:w="715"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25</w:t>
            </w:r>
          </w:p>
        </w:tc>
        <w:tc>
          <w:tcPr>
            <w:tcW w:w="596"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29</w:t>
            </w:r>
          </w:p>
        </w:tc>
        <w:tc>
          <w:tcPr>
            <w:tcW w:w="537" w:type="pct"/>
            <w:shd w:val="clear" w:color="auto" w:fill="F2F2F2"/>
            <w:vAlign w:val="center"/>
          </w:tcPr>
          <w:p w:rsidR="00771651" w:rsidRPr="00BB5BF0" w:rsidRDefault="00771651" w:rsidP="006924D1">
            <w:pPr>
              <w:snapToGrid w:val="0"/>
              <w:spacing w:after="0" w:line="240" w:lineRule="auto"/>
              <w:rPr>
                <w:b/>
                <w:bCs/>
                <w:sz w:val="20"/>
                <w:szCs w:val="20"/>
              </w:rPr>
            </w:pPr>
            <w:r w:rsidRPr="00BB5BF0">
              <w:rPr>
                <w:b/>
                <w:bCs/>
                <w:sz w:val="20"/>
                <w:szCs w:val="20"/>
              </w:rPr>
              <w:t>0.1</w:t>
            </w:r>
          </w:p>
        </w:tc>
      </w:tr>
      <w:tr w:rsidR="00771651" w:rsidRPr="00BB5BF0" w:rsidTr="00ED6927">
        <w:trPr>
          <w:jc w:val="center"/>
        </w:trPr>
        <w:tc>
          <w:tcPr>
            <w:tcW w:w="1710" w:type="pct"/>
            <w:shd w:val="clear" w:color="auto" w:fill="auto"/>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 xml:space="preserve">Additional Uterotonic Drugs </w:t>
            </w:r>
          </w:p>
        </w:tc>
        <w:tc>
          <w:tcPr>
            <w:tcW w:w="1442" w:type="pct"/>
            <w:shd w:val="clear" w:color="auto" w:fill="auto"/>
            <w:noWrap/>
            <w:vAlign w:val="center"/>
          </w:tcPr>
          <w:p w:rsidR="00771651" w:rsidRPr="00BB5BF0" w:rsidRDefault="00771651" w:rsidP="006924D1">
            <w:pPr>
              <w:snapToGrid w:val="0"/>
              <w:spacing w:after="0" w:line="240" w:lineRule="auto"/>
              <w:rPr>
                <w:b/>
                <w:bCs/>
                <w:sz w:val="20"/>
                <w:szCs w:val="20"/>
              </w:rPr>
            </w:pPr>
          </w:p>
        </w:tc>
        <w:tc>
          <w:tcPr>
            <w:tcW w:w="715" w:type="pct"/>
            <w:shd w:val="clear" w:color="auto" w:fill="auto"/>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23</w:t>
            </w:r>
          </w:p>
        </w:tc>
        <w:tc>
          <w:tcPr>
            <w:tcW w:w="596" w:type="pct"/>
            <w:shd w:val="clear" w:color="auto" w:fill="auto"/>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33</w:t>
            </w:r>
          </w:p>
        </w:tc>
        <w:tc>
          <w:tcPr>
            <w:tcW w:w="537" w:type="pct"/>
            <w:shd w:val="clear" w:color="auto" w:fill="auto"/>
            <w:vAlign w:val="center"/>
          </w:tcPr>
          <w:p w:rsidR="00771651" w:rsidRPr="00BB5BF0" w:rsidRDefault="00771651" w:rsidP="006924D1">
            <w:pPr>
              <w:snapToGrid w:val="0"/>
              <w:spacing w:after="0" w:line="240" w:lineRule="auto"/>
              <w:rPr>
                <w:b/>
                <w:bCs/>
                <w:sz w:val="20"/>
                <w:szCs w:val="20"/>
              </w:rPr>
            </w:pPr>
            <w:r w:rsidRPr="00BB5BF0">
              <w:rPr>
                <w:b/>
                <w:bCs/>
                <w:sz w:val="20"/>
                <w:szCs w:val="20"/>
              </w:rPr>
              <w:t>0.06</w:t>
            </w:r>
          </w:p>
        </w:tc>
      </w:tr>
      <w:tr w:rsidR="00771651" w:rsidRPr="00BB5BF0" w:rsidTr="00ED6927">
        <w:trPr>
          <w:jc w:val="center"/>
        </w:trPr>
        <w:tc>
          <w:tcPr>
            <w:tcW w:w="1710" w:type="pct"/>
            <w:shd w:val="clear" w:color="auto" w:fill="F2F2F2"/>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Intraoperative Carbetocin</w:t>
            </w:r>
          </w:p>
        </w:tc>
        <w:tc>
          <w:tcPr>
            <w:tcW w:w="1442" w:type="pct"/>
            <w:shd w:val="clear" w:color="auto" w:fill="F2F2F2"/>
            <w:noWrap/>
            <w:vAlign w:val="center"/>
          </w:tcPr>
          <w:p w:rsidR="00771651" w:rsidRPr="00BB5BF0" w:rsidRDefault="00771651" w:rsidP="006924D1">
            <w:pPr>
              <w:snapToGrid w:val="0"/>
              <w:spacing w:after="0" w:line="240" w:lineRule="auto"/>
              <w:rPr>
                <w:b/>
                <w:bCs/>
                <w:sz w:val="20"/>
                <w:szCs w:val="20"/>
              </w:rPr>
            </w:pPr>
          </w:p>
        </w:tc>
        <w:tc>
          <w:tcPr>
            <w:tcW w:w="715"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13</w:t>
            </w:r>
          </w:p>
        </w:tc>
        <w:tc>
          <w:tcPr>
            <w:tcW w:w="596"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14</w:t>
            </w:r>
          </w:p>
        </w:tc>
        <w:tc>
          <w:tcPr>
            <w:tcW w:w="537" w:type="pct"/>
            <w:shd w:val="clear" w:color="auto" w:fill="F2F2F2"/>
            <w:vAlign w:val="center"/>
          </w:tcPr>
          <w:p w:rsidR="00771651" w:rsidRPr="00BB5BF0" w:rsidRDefault="00771651" w:rsidP="006924D1">
            <w:pPr>
              <w:snapToGrid w:val="0"/>
              <w:spacing w:after="0" w:line="240" w:lineRule="auto"/>
              <w:rPr>
                <w:b/>
                <w:bCs/>
                <w:sz w:val="20"/>
                <w:szCs w:val="20"/>
              </w:rPr>
            </w:pPr>
            <w:r w:rsidRPr="00BB5BF0">
              <w:rPr>
                <w:b/>
                <w:bCs/>
                <w:sz w:val="20"/>
                <w:szCs w:val="20"/>
              </w:rPr>
              <w:t>0.5</w:t>
            </w:r>
          </w:p>
        </w:tc>
      </w:tr>
      <w:tr w:rsidR="00771651" w:rsidRPr="00BB5BF0" w:rsidTr="00ED6927">
        <w:trPr>
          <w:jc w:val="center"/>
        </w:trPr>
        <w:tc>
          <w:tcPr>
            <w:tcW w:w="1710" w:type="pct"/>
            <w:shd w:val="clear" w:color="auto" w:fill="auto"/>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 xml:space="preserve">Postoperative Ergometrine </w:t>
            </w:r>
          </w:p>
        </w:tc>
        <w:tc>
          <w:tcPr>
            <w:tcW w:w="1442" w:type="pct"/>
            <w:shd w:val="clear" w:color="auto" w:fill="auto"/>
            <w:noWrap/>
            <w:vAlign w:val="center"/>
          </w:tcPr>
          <w:p w:rsidR="00771651" w:rsidRPr="00BB5BF0" w:rsidRDefault="00771651" w:rsidP="006924D1">
            <w:pPr>
              <w:snapToGrid w:val="0"/>
              <w:spacing w:after="0" w:line="240" w:lineRule="auto"/>
              <w:rPr>
                <w:b/>
                <w:bCs/>
                <w:sz w:val="20"/>
                <w:szCs w:val="20"/>
              </w:rPr>
            </w:pPr>
          </w:p>
        </w:tc>
        <w:tc>
          <w:tcPr>
            <w:tcW w:w="715" w:type="pct"/>
            <w:shd w:val="clear" w:color="auto" w:fill="auto"/>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14</w:t>
            </w:r>
          </w:p>
        </w:tc>
        <w:tc>
          <w:tcPr>
            <w:tcW w:w="596" w:type="pct"/>
            <w:shd w:val="clear" w:color="auto" w:fill="auto"/>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19</w:t>
            </w:r>
          </w:p>
        </w:tc>
        <w:tc>
          <w:tcPr>
            <w:tcW w:w="537" w:type="pct"/>
            <w:shd w:val="clear" w:color="auto" w:fill="auto"/>
            <w:vAlign w:val="center"/>
          </w:tcPr>
          <w:p w:rsidR="00771651" w:rsidRPr="00BB5BF0" w:rsidRDefault="00771651" w:rsidP="006924D1">
            <w:pPr>
              <w:snapToGrid w:val="0"/>
              <w:spacing w:after="0" w:line="240" w:lineRule="auto"/>
              <w:rPr>
                <w:b/>
                <w:bCs/>
                <w:sz w:val="20"/>
                <w:szCs w:val="20"/>
              </w:rPr>
            </w:pPr>
            <w:r w:rsidRPr="00BB5BF0">
              <w:rPr>
                <w:b/>
                <w:bCs/>
                <w:sz w:val="20"/>
                <w:szCs w:val="20"/>
              </w:rPr>
              <w:t>0.1</w:t>
            </w:r>
          </w:p>
        </w:tc>
      </w:tr>
      <w:tr w:rsidR="00771651" w:rsidRPr="00BB5BF0" w:rsidTr="00ED6927">
        <w:trPr>
          <w:jc w:val="center"/>
        </w:trPr>
        <w:tc>
          <w:tcPr>
            <w:tcW w:w="1710" w:type="pct"/>
            <w:shd w:val="clear" w:color="auto" w:fill="F2F2F2"/>
            <w:noWrap/>
            <w:vAlign w:val="center"/>
            <w:hideMark/>
          </w:tcPr>
          <w:p w:rsidR="00771651" w:rsidRPr="00BB5BF0" w:rsidRDefault="00771651" w:rsidP="006924D1">
            <w:pPr>
              <w:snapToGrid w:val="0"/>
              <w:spacing w:after="0" w:line="240" w:lineRule="auto"/>
              <w:rPr>
                <w:b/>
                <w:bCs/>
                <w:caps/>
                <w:sz w:val="20"/>
                <w:szCs w:val="20"/>
              </w:rPr>
            </w:pPr>
            <w:r w:rsidRPr="00BB5BF0">
              <w:rPr>
                <w:b/>
                <w:bCs/>
                <w:sz w:val="20"/>
                <w:szCs w:val="20"/>
              </w:rPr>
              <w:t>Intraoperative Ergometrine</w:t>
            </w:r>
          </w:p>
        </w:tc>
        <w:tc>
          <w:tcPr>
            <w:tcW w:w="1442" w:type="pct"/>
            <w:shd w:val="clear" w:color="auto" w:fill="F2F2F2"/>
            <w:noWrap/>
            <w:vAlign w:val="center"/>
          </w:tcPr>
          <w:p w:rsidR="00771651" w:rsidRPr="00BB5BF0" w:rsidRDefault="00771651" w:rsidP="006924D1">
            <w:pPr>
              <w:snapToGrid w:val="0"/>
              <w:spacing w:after="0" w:line="240" w:lineRule="auto"/>
              <w:rPr>
                <w:b/>
                <w:bCs/>
                <w:sz w:val="20"/>
                <w:szCs w:val="20"/>
              </w:rPr>
            </w:pPr>
          </w:p>
        </w:tc>
        <w:tc>
          <w:tcPr>
            <w:tcW w:w="715"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15</w:t>
            </w:r>
          </w:p>
        </w:tc>
        <w:tc>
          <w:tcPr>
            <w:tcW w:w="596" w:type="pct"/>
            <w:shd w:val="clear" w:color="auto" w:fill="F2F2F2"/>
            <w:noWrap/>
            <w:vAlign w:val="center"/>
          </w:tcPr>
          <w:p w:rsidR="00771651" w:rsidRPr="00BB5BF0" w:rsidRDefault="00771651" w:rsidP="006924D1">
            <w:pPr>
              <w:snapToGrid w:val="0"/>
              <w:spacing w:after="0" w:line="240" w:lineRule="auto"/>
              <w:rPr>
                <w:b/>
                <w:bCs/>
                <w:sz w:val="20"/>
                <w:szCs w:val="20"/>
              </w:rPr>
            </w:pPr>
            <w:r w:rsidRPr="00BB5BF0">
              <w:rPr>
                <w:b/>
                <w:bCs/>
                <w:sz w:val="20"/>
                <w:szCs w:val="20"/>
              </w:rPr>
              <w:t>17</w:t>
            </w:r>
          </w:p>
        </w:tc>
        <w:tc>
          <w:tcPr>
            <w:tcW w:w="537" w:type="pct"/>
            <w:shd w:val="clear" w:color="auto" w:fill="F2F2F2"/>
            <w:vAlign w:val="center"/>
          </w:tcPr>
          <w:p w:rsidR="00771651" w:rsidRPr="00BB5BF0" w:rsidRDefault="00771651" w:rsidP="006924D1">
            <w:pPr>
              <w:snapToGrid w:val="0"/>
              <w:spacing w:after="0" w:line="240" w:lineRule="auto"/>
              <w:rPr>
                <w:b/>
                <w:bCs/>
                <w:sz w:val="20"/>
                <w:szCs w:val="20"/>
              </w:rPr>
            </w:pPr>
            <w:r w:rsidRPr="00BB5BF0">
              <w:rPr>
                <w:b/>
                <w:bCs/>
                <w:sz w:val="20"/>
                <w:szCs w:val="20"/>
              </w:rPr>
              <w:t>0.07</w:t>
            </w:r>
          </w:p>
        </w:tc>
      </w:tr>
      <w:tr w:rsidR="00771651" w:rsidRPr="00BB5BF0" w:rsidTr="00ED6927">
        <w:trPr>
          <w:jc w:val="center"/>
        </w:trPr>
        <w:tc>
          <w:tcPr>
            <w:tcW w:w="1710" w:type="pct"/>
            <w:shd w:val="clear" w:color="auto" w:fill="auto"/>
            <w:vAlign w:val="center"/>
          </w:tcPr>
          <w:p w:rsidR="00771651" w:rsidRPr="00BB5BF0" w:rsidRDefault="00771651" w:rsidP="006924D1">
            <w:pPr>
              <w:tabs>
                <w:tab w:val="left" w:pos="940"/>
              </w:tabs>
              <w:snapToGrid w:val="0"/>
              <w:spacing w:after="0" w:line="240" w:lineRule="auto"/>
              <w:rPr>
                <w:b/>
                <w:bCs/>
                <w:caps/>
                <w:sz w:val="20"/>
                <w:szCs w:val="20"/>
              </w:rPr>
            </w:pPr>
          </w:p>
        </w:tc>
        <w:tc>
          <w:tcPr>
            <w:tcW w:w="1442" w:type="pct"/>
            <w:shd w:val="clear" w:color="auto" w:fill="auto"/>
            <w:vAlign w:val="center"/>
          </w:tcPr>
          <w:p w:rsidR="00771651" w:rsidRPr="00BB5BF0" w:rsidRDefault="00771651" w:rsidP="006924D1">
            <w:pPr>
              <w:tabs>
                <w:tab w:val="left" w:pos="940"/>
              </w:tabs>
              <w:snapToGrid w:val="0"/>
              <w:spacing w:after="0" w:line="240" w:lineRule="auto"/>
              <w:rPr>
                <w:sz w:val="20"/>
                <w:szCs w:val="20"/>
              </w:rPr>
            </w:pPr>
          </w:p>
        </w:tc>
        <w:tc>
          <w:tcPr>
            <w:tcW w:w="715"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Carbetocin</w:t>
            </w:r>
          </w:p>
        </w:tc>
        <w:tc>
          <w:tcPr>
            <w:tcW w:w="596"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Oxytocin</w:t>
            </w:r>
          </w:p>
        </w:tc>
        <w:tc>
          <w:tcPr>
            <w:tcW w:w="537"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P-Value</w:t>
            </w:r>
          </w:p>
        </w:tc>
      </w:tr>
      <w:tr w:rsidR="00771651" w:rsidRPr="00BB5BF0" w:rsidTr="00ED6927">
        <w:trPr>
          <w:jc w:val="center"/>
        </w:trPr>
        <w:tc>
          <w:tcPr>
            <w:tcW w:w="1710" w:type="pct"/>
            <w:vMerge w:val="restart"/>
            <w:shd w:val="clear" w:color="auto" w:fill="F2F2F2"/>
            <w:vAlign w:val="center"/>
          </w:tcPr>
          <w:p w:rsidR="00771651" w:rsidRPr="00BB5BF0" w:rsidRDefault="00771651" w:rsidP="006924D1">
            <w:pPr>
              <w:tabs>
                <w:tab w:val="left" w:pos="940"/>
              </w:tabs>
              <w:snapToGrid w:val="0"/>
              <w:spacing w:after="0" w:line="240" w:lineRule="auto"/>
              <w:rPr>
                <w:b/>
                <w:bCs/>
                <w:caps/>
                <w:sz w:val="20"/>
                <w:szCs w:val="20"/>
              </w:rPr>
            </w:pPr>
            <w:r w:rsidRPr="00BB5BF0">
              <w:rPr>
                <w:b/>
                <w:bCs/>
                <w:sz w:val="20"/>
                <w:szCs w:val="20"/>
              </w:rPr>
              <w:t xml:space="preserve">Further Treatment </w:t>
            </w:r>
          </w:p>
          <w:p w:rsidR="00771651" w:rsidRPr="00BB5BF0" w:rsidRDefault="00771651" w:rsidP="006924D1">
            <w:pPr>
              <w:tabs>
                <w:tab w:val="left" w:pos="940"/>
              </w:tabs>
              <w:snapToGrid w:val="0"/>
              <w:spacing w:after="0" w:line="240" w:lineRule="auto"/>
              <w:rPr>
                <w:b/>
                <w:bCs/>
                <w:caps/>
                <w:sz w:val="20"/>
                <w:szCs w:val="20"/>
              </w:rPr>
            </w:pPr>
          </w:p>
        </w:tc>
        <w:tc>
          <w:tcPr>
            <w:tcW w:w="1442"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 xml:space="preserve">Uterine Artery Ligation </w:t>
            </w:r>
          </w:p>
        </w:tc>
        <w:tc>
          <w:tcPr>
            <w:tcW w:w="715"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8</w:t>
            </w:r>
          </w:p>
        </w:tc>
        <w:tc>
          <w:tcPr>
            <w:tcW w:w="596"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12</w:t>
            </w:r>
          </w:p>
        </w:tc>
        <w:tc>
          <w:tcPr>
            <w:tcW w:w="537"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0.15</w:t>
            </w:r>
          </w:p>
        </w:tc>
      </w:tr>
      <w:tr w:rsidR="00771651" w:rsidRPr="00BB5BF0" w:rsidTr="00ED6927">
        <w:trPr>
          <w:jc w:val="center"/>
        </w:trPr>
        <w:tc>
          <w:tcPr>
            <w:tcW w:w="1710" w:type="pct"/>
            <w:vMerge/>
            <w:shd w:val="clear" w:color="auto" w:fill="auto"/>
            <w:vAlign w:val="center"/>
          </w:tcPr>
          <w:p w:rsidR="00771651" w:rsidRPr="00BB5BF0" w:rsidRDefault="00771651" w:rsidP="006924D1">
            <w:pPr>
              <w:tabs>
                <w:tab w:val="left" w:pos="940"/>
              </w:tabs>
              <w:snapToGrid w:val="0"/>
              <w:spacing w:after="0" w:line="240" w:lineRule="auto"/>
              <w:rPr>
                <w:b/>
                <w:bCs/>
                <w:caps/>
                <w:sz w:val="20"/>
                <w:szCs w:val="20"/>
              </w:rPr>
            </w:pPr>
          </w:p>
        </w:tc>
        <w:tc>
          <w:tcPr>
            <w:tcW w:w="1442"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Compression Sutures</w:t>
            </w:r>
          </w:p>
        </w:tc>
        <w:tc>
          <w:tcPr>
            <w:tcW w:w="715"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8</w:t>
            </w:r>
          </w:p>
        </w:tc>
        <w:tc>
          <w:tcPr>
            <w:tcW w:w="596"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12</w:t>
            </w:r>
          </w:p>
        </w:tc>
        <w:tc>
          <w:tcPr>
            <w:tcW w:w="537" w:type="pct"/>
            <w:shd w:val="clear" w:color="auto" w:fill="auto"/>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0.31</w:t>
            </w:r>
          </w:p>
        </w:tc>
      </w:tr>
      <w:tr w:rsidR="00771651" w:rsidRPr="00BB5BF0" w:rsidTr="00ED6927">
        <w:trPr>
          <w:jc w:val="center"/>
        </w:trPr>
        <w:tc>
          <w:tcPr>
            <w:tcW w:w="1710" w:type="pct"/>
            <w:vMerge/>
            <w:shd w:val="clear" w:color="auto" w:fill="F2F2F2"/>
            <w:vAlign w:val="center"/>
          </w:tcPr>
          <w:p w:rsidR="00771651" w:rsidRPr="00BB5BF0" w:rsidRDefault="00771651" w:rsidP="006924D1">
            <w:pPr>
              <w:tabs>
                <w:tab w:val="left" w:pos="940"/>
              </w:tabs>
              <w:snapToGrid w:val="0"/>
              <w:spacing w:after="0" w:line="240" w:lineRule="auto"/>
              <w:rPr>
                <w:b/>
                <w:bCs/>
                <w:caps/>
                <w:sz w:val="20"/>
                <w:szCs w:val="20"/>
              </w:rPr>
            </w:pPr>
          </w:p>
        </w:tc>
        <w:tc>
          <w:tcPr>
            <w:tcW w:w="1442"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Hysterectomy</w:t>
            </w:r>
          </w:p>
        </w:tc>
        <w:tc>
          <w:tcPr>
            <w:tcW w:w="715"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0</w:t>
            </w:r>
          </w:p>
        </w:tc>
        <w:tc>
          <w:tcPr>
            <w:tcW w:w="596"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1</w:t>
            </w:r>
          </w:p>
        </w:tc>
        <w:tc>
          <w:tcPr>
            <w:tcW w:w="537" w:type="pct"/>
            <w:shd w:val="clear" w:color="auto" w:fill="F2F2F2"/>
            <w:vAlign w:val="center"/>
          </w:tcPr>
          <w:p w:rsidR="00771651" w:rsidRPr="00BB5BF0" w:rsidRDefault="00771651" w:rsidP="006924D1">
            <w:pPr>
              <w:tabs>
                <w:tab w:val="left" w:pos="940"/>
              </w:tabs>
              <w:snapToGrid w:val="0"/>
              <w:spacing w:after="0" w:line="240" w:lineRule="auto"/>
              <w:rPr>
                <w:b/>
                <w:bCs/>
                <w:sz w:val="20"/>
                <w:szCs w:val="20"/>
              </w:rPr>
            </w:pPr>
            <w:r w:rsidRPr="00BB5BF0">
              <w:rPr>
                <w:b/>
                <w:bCs/>
                <w:sz w:val="20"/>
                <w:szCs w:val="20"/>
              </w:rPr>
              <w:t>1.0</w:t>
            </w:r>
          </w:p>
        </w:tc>
      </w:tr>
    </w:tbl>
    <w:p w:rsidR="00E84391" w:rsidRPr="00BB5BF0" w:rsidRDefault="00E84391" w:rsidP="006924D1">
      <w:pPr>
        <w:autoSpaceDE w:val="0"/>
        <w:autoSpaceDN w:val="0"/>
        <w:adjustRightInd w:val="0"/>
        <w:snapToGrid w:val="0"/>
        <w:spacing w:after="0" w:line="240" w:lineRule="auto"/>
        <w:ind w:firstLine="425"/>
        <w:rPr>
          <w:rFonts w:eastAsia="宋体"/>
          <w:sz w:val="20"/>
          <w:szCs w:val="20"/>
          <w:lang w:eastAsia="zh-CN" w:bidi="ar-EG"/>
        </w:rPr>
      </w:pPr>
    </w:p>
    <w:p w:rsidR="00E84391" w:rsidRPr="00BB5BF0" w:rsidRDefault="00E84391"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t>When we tested the need for additional uterotonic drug comparing both groups it was non-significant.</w:t>
      </w:r>
    </w:p>
    <w:p w:rsidR="007E471D" w:rsidRPr="00BB5BF0" w:rsidRDefault="007E471D" w:rsidP="006924D1">
      <w:pPr>
        <w:autoSpaceDE w:val="0"/>
        <w:autoSpaceDN w:val="0"/>
        <w:adjustRightInd w:val="0"/>
        <w:snapToGrid w:val="0"/>
        <w:spacing w:after="0" w:line="240" w:lineRule="auto"/>
        <w:jc w:val="center"/>
        <w:rPr>
          <w:rFonts w:eastAsia="宋体"/>
          <w:b/>
          <w:bCs/>
          <w:sz w:val="20"/>
          <w:szCs w:val="20"/>
          <w:lang w:eastAsia="zh-CN" w:bidi="ar-EG"/>
        </w:rPr>
      </w:pPr>
      <w:bookmarkStart w:id="1" w:name="_Toc5539403"/>
    </w:p>
    <w:p w:rsidR="00BB5BF0" w:rsidRDefault="00BB5BF0" w:rsidP="006924D1">
      <w:pPr>
        <w:autoSpaceDE w:val="0"/>
        <w:autoSpaceDN w:val="0"/>
        <w:adjustRightInd w:val="0"/>
        <w:snapToGrid w:val="0"/>
        <w:spacing w:after="0" w:line="240" w:lineRule="auto"/>
        <w:jc w:val="center"/>
        <w:rPr>
          <w:rFonts w:eastAsia="宋体" w:hint="eastAsia"/>
          <w:b/>
          <w:bCs/>
          <w:sz w:val="20"/>
          <w:szCs w:val="20"/>
          <w:lang w:eastAsia="zh-CN" w:bidi="ar-EG"/>
        </w:rPr>
      </w:pPr>
    </w:p>
    <w:p w:rsidR="00900702" w:rsidRPr="00BB5BF0" w:rsidRDefault="00900702" w:rsidP="006924D1">
      <w:pPr>
        <w:autoSpaceDE w:val="0"/>
        <w:autoSpaceDN w:val="0"/>
        <w:adjustRightInd w:val="0"/>
        <w:snapToGrid w:val="0"/>
        <w:spacing w:after="0" w:line="240" w:lineRule="auto"/>
        <w:jc w:val="center"/>
        <w:rPr>
          <w:rFonts w:eastAsia="宋体"/>
          <w:b/>
          <w:bCs/>
          <w:sz w:val="20"/>
          <w:szCs w:val="20"/>
          <w:lang w:eastAsia="zh-CN" w:bidi="ar-EG"/>
        </w:rPr>
      </w:pPr>
      <w:r w:rsidRPr="00BB5BF0">
        <w:rPr>
          <w:rFonts w:eastAsia="宋体"/>
          <w:b/>
          <w:bCs/>
          <w:sz w:val="20"/>
          <w:szCs w:val="20"/>
          <w:lang w:eastAsia="zh-CN" w:bidi="ar-EG"/>
        </w:rPr>
        <w:t>Table 5: additional measures either for prevention or further treatment of postpartum hemorrhage.</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38"/>
        <w:gridCol w:w="2787"/>
        <w:gridCol w:w="1381"/>
        <w:gridCol w:w="1152"/>
        <w:gridCol w:w="1016"/>
      </w:tblGrid>
      <w:tr w:rsidR="00900702" w:rsidRPr="00BB5BF0" w:rsidTr="00ED6927">
        <w:trPr>
          <w:jc w:val="center"/>
        </w:trPr>
        <w:tc>
          <w:tcPr>
            <w:tcW w:w="3127" w:type="pct"/>
            <w:gridSpan w:val="2"/>
            <w:shd w:val="clear" w:color="auto" w:fill="auto"/>
            <w:vAlign w:val="center"/>
          </w:tcPr>
          <w:p w:rsidR="00900702" w:rsidRPr="00BB5BF0" w:rsidRDefault="00900702" w:rsidP="006924D1">
            <w:pPr>
              <w:tabs>
                <w:tab w:val="left" w:pos="940"/>
              </w:tabs>
              <w:snapToGrid w:val="0"/>
              <w:spacing w:after="0" w:line="240" w:lineRule="auto"/>
              <w:rPr>
                <w:b/>
                <w:bCs/>
                <w:caps/>
                <w:sz w:val="20"/>
                <w:szCs w:val="20"/>
              </w:rPr>
            </w:pPr>
          </w:p>
        </w:tc>
        <w:tc>
          <w:tcPr>
            <w:tcW w:w="729" w:type="pct"/>
            <w:shd w:val="clear" w:color="auto" w:fill="auto"/>
            <w:vAlign w:val="center"/>
          </w:tcPr>
          <w:p w:rsidR="00900702" w:rsidRPr="00BB5BF0" w:rsidRDefault="007E471D" w:rsidP="006924D1">
            <w:pPr>
              <w:tabs>
                <w:tab w:val="left" w:pos="940"/>
              </w:tabs>
              <w:snapToGrid w:val="0"/>
              <w:spacing w:after="0" w:line="240" w:lineRule="auto"/>
              <w:rPr>
                <w:b/>
                <w:bCs/>
                <w:caps/>
                <w:sz w:val="20"/>
                <w:szCs w:val="20"/>
              </w:rPr>
            </w:pPr>
            <w:r w:rsidRPr="00BB5BF0">
              <w:rPr>
                <w:b/>
                <w:bCs/>
                <w:sz w:val="20"/>
                <w:szCs w:val="20"/>
              </w:rPr>
              <w:t>Carbetocin</w:t>
            </w:r>
          </w:p>
        </w:tc>
        <w:tc>
          <w:tcPr>
            <w:tcW w:w="608" w:type="pct"/>
            <w:shd w:val="clear" w:color="auto" w:fill="auto"/>
            <w:vAlign w:val="center"/>
          </w:tcPr>
          <w:p w:rsidR="00900702" w:rsidRPr="00BB5BF0" w:rsidRDefault="007E471D" w:rsidP="006924D1">
            <w:pPr>
              <w:tabs>
                <w:tab w:val="left" w:pos="940"/>
              </w:tabs>
              <w:snapToGrid w:val="0"/>
              <w:spacing w:after="0" w:line="240" w:lineRule="auto"/>
              <w:rPr>
                <w:b/>
                <w:bCs/>
                <w:caps/>
                <w:sz w:val="20"/>
                <w:szCs w:val="20"/>
              </w:rPr>
            </w:pPr>
            <w:r w:rsidRPr="00BB5BF0">
              <w:rPr>
                <w:b/>
                <w:bCs/>
                <w:sz w:val="20"/>
                <w:szCs w:val="20"/>
              </w:rPr>
              <w:t>Oxytocin</w:t>
            </w:r>
          </w:p>
        </w:tc>
        <w:tc>
          <w:tcPr>
            <w:tcW w:w="536" w:type="pct"/>
            <w:shd w:val="clear" w:color="auto" w:fill="auto"/>
            <w:vAlign w:val="center"/>
          </w:tcPr>
          <w:p w:rsidR="00900702" w:rsidRPr="00BB5BF0" w:rsidRDefault="007E471D" w:rsidP="006924D1">
            <w:pPr>
              <w:tabs>
                <w:tab w:val="left" w:pos="940"/>
              </w:tabs>
              <w:snapToGrid w:val="0"/>
              <w:spacing w:after="0" w:line="240" w:lineRule="auto"/>
              <w:rPr>
                <w:b/>
                <w:bCs/>
                <w:caps/>
                <w:sz w:val="20"/>
                <w:szCs w:val="20"/>
              </w:rPr>
            </w:pPr>
            <w:r w:rsidRPr="00BB5BF0">
              <w:rPr>
                <w:b/>
                <w:bCs/>
                <w:sz w:val="20"/>
                <w:szCs w:val="20"/>
              </w:rPr>
              <w:t>P Value</w:t>
            </w:r>
          </w:p>
        </w:tc>
      </w:tr>
      <w:tr w:rsidR="00900702" w:rsidRPr="00BB5BF0" w:rsidTr="00ED6927">
        <w:trPr>
          <w:jc w:val="center"/>
        </w:trPr>
        <w:tc>
          <w:tcPr>
            <w:tcW w:w="1656" w:type="pct"/>
            <w:vMerge w:val="restart"/>
            <w:shd w:val="clear" w:color="auto" w:fill="F2F2F2"/>
            <w:vAlign w:val="center"/>
          </w:tcPr>
          <w:p w:rsidR="00900702" w:rsidRPr="00BB5BF0" w:rsidRDefault="006924D1" w:rsidP="006924D1">
            <w:pPr>
              <w:tabs>
                <w:tab w:val="left" w:pos="940"/>
              </w:tabs>
              <w:snapToGrid w:val="0"/>
              <w:spacing w:after="0" w:line="240" w:lineRule="auto"/>
              <w:rPr>
                <w:b/>
                <w:bCs/>
                <w:caps/>
                <w:sz w:val="20"/>
                <w:szCs w:val="20"/>
              </w:rPr>
            </w:pPr>
            <w:r w:rsidRPr="00BB5BF0">
              <w:rPr>
                <w:b/>
                <w:bCs/>
                <w:sz w:val="20"/>
                <w:szCs w:val="20"/>
              </w:rPr>
              <w:t xml:space="preserve">Further Treatment </w:t>
            </w:r>
          </w:p>
          <w:p w:rsidR="00900702" w:rsidRPr="00BB5BF0" w:rsidRDefault="00900702" w:rsidP="006924D1">
            <w:pPr>
              <w:tabs>
                <w:tab w:val="left" w:pos="940"/>
              </w:tabs>
              <w:snapToGrid w:val="0"/>
              <w:spacing w:after="0" w:line="240" w:lineRule="auto"/>
              <w:rPr>
                <w:b/>
                <w:bCs/>
                <w:caps/>
                <w:sz w:val="20"/>
                <w:szCs w:val="20"/>
              </w:rPr>
            </w:pPr>
          </w:p>
        </w:tc>
        <w:tc>
          <w:tcPr>
            <w:tcW w:w="1470"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 xml:space="preserve">Uterine Artery Ligation </w:t>
            </w:r>
          </w:p>
        </w:tc>
        <w:tc>
          <w:tcPr>
            <w:tcW w:w="729"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p>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8</w:t>
            </w:r>
          </w:p>
        </w:tc>
        <w:tc>
          <w:tcPr>
            <w:tcW w:w="608"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p>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12</w:t>
            </w:r>
          </w:p>
        </w:tc>
        <w:tc>
          <w:tcPr>
            <w:tcW w:w="536"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p>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0.15</w:t>
            </w:r>
          </w:p>
        </w:tc>
      </w:tr>
      <w:tr w:rsidR="00900702" w:rsidRPr="00BB5BF0" w:rsidTr="00ED6927">
        <w:trPr>
          <w:jc w:val="center"/>
        </w:trPr>
        <w:tc>
          <w:tcPr>
            <w:tcW w:w="1656" w:type="pct"/>
            <w:vMerge/>
            <w:shd w:val="clear" w:color="auto" w:fill="auto"/>
            <w:vAlign w:val="center"/>
          </w:tcPr>
          <w:p w:rsidR="00900702" w:rsidRPr="00BB5BF0" w:rsidRDefault="00900702" w:rsidP="006924D1">
            <w:pPr>
              <w:tabs>
                <w:tab w:val="left" w:pos="940"/>
              </w:tabs>
              <w:snapToGrid w:val="0"/>
              <w:spacing w:after="0" w:line="240" w:lineRule="auto"/>
              <w:rPr>
                <w:b/>
                <w:bCs/>
                <w:caps/>
                <w:sz w:val="20"/>
                <w:szCs w:val="20"/>
              </w:rPr>
            </w:pPr>
          </w:p>
        </w:tc>
        <w:tc>
          <w:tcPr>
            <w:tcW w:w="1470" w:type="pct"/>
            <w:shd w:val="clear" w:color="auto" w:fill="auto"/>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Compression Sutures</w:t>
            </w:r>
          </w:p>
        </w:tc>
        <w:tc>
          <w:tcPr>
            <w:tcW w:w="729" w:type="pct"/>
            <w:shd w:val="clear" w:color="auto" w:fill="auto"/>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8</w:t>
            </w:r>
          </w:p>
        </w:tc>
        <w:tc>
          <w:tcPr>
            <w:tcW w:w="608" w:type="pct"/>
            <w:shd w:val="clear" w:color="auto" w:fill="auto"/>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12</w:t>
            </w:r>
          </w:p>
        </w:tc>
        <w:tc>
          <w:tcPr>
            <w:tcW w:w="536" w:type="pct"/>
            <w:shd w:val="clear" w:color="auto" w:fill="auto"/>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0.31</w:t>
            </w:r>
          </w:p>
        </w:tc>
      </w:tr>
      <w:tr w:rsidR="00900702" w:rsidRPr="00BB5BF0" w:rsidTr="00ED6927">
        <w:trPr>
          <w:jc w:val="center"/>
        </w:trPr>
        <w:tc>
          <w:tcPr>
            <w:tcW w:w="1656" w:type="pct"/>
            <w:vMerge/>
            <w:shd w:val="clear" w:color="auto" w:fill="F2F2F2"/>
            <w:vAlign w:val="center"/>
          </w:tcPr>
          <w:p w:rsidR="00900702" w:rsidRPr="00BB5BF0" w:rsidRDefault="00900702" w:rsidP="006924D1">
            <w:pPr>
              <w:tabs>
                <w:tab w:val="left" w:pos="940"/>
              </w:tabs>
              <w:snapToGrid w:val="0"/>
              <w:spacing w:after="0" w:line="240" w:lineRule="auto"/>
              <w:rPr>
                <w:b/>
                <w:bCs/>
                <w:caps/>
                <w:sz w:val="20"/>
                <w:szCs w:val="20"/>
              </w:rPr>
            </w:pPr>
          </w:p>
        </w:tc>
        <w:tc>
          <w:tcPr>
            <w:tcW w:w="1470"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Hysterectomy</w:t>
            </w:r>
          </w:p>
        </w:tc>
        <w:tc>
          <w:tcPr>
            <w:tcW w:w="729"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0</w:t>
            </w:r>
          </w:p>
        </w:tc>
        <w:tc>
          <w:tcPr>
            <w:tcW w:w="608"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1</w:t>
            </w:r>
          </w:p>
        </w:tc>
        <w:tc>
          <w:tcPr>
            <w:tcW w:w="536" w:type="pct"/>
            <w:shd w:val="clear" w:color="auto" w:fill="F2F2F2"/>
            <w:vAlign w:val="center"/>
          </w:tcPr>
          <w:p w:rsidR="00900702" w:rsidRPr="00BB5BF0" w:rsidRDefault="00900702" w:rsidP="006924D1">
            <w:pPr>
              <w:tabs>
                <w:tab w:val="left" w:pos="940"/>
              </w:tabs>
              <w:snapToGrid w:val="0"/>
              <w:spacing w:after="0" w:line="240" w:lineRule="auto"/>
              <w:rPr>
                <w:b/>
                <w:bCs/>
                <w:sz w:val="20"/>
                <w:szCs w:val="20"/>
              </w:rPr>
            </w:pPr>
            <w:r w:rsidRPr="00BB5BF0">
              <w:rPr>
                <w:b/>
                <w:bCs/>
                <w:sz w:val="20"/>
                <w:szCs w:val="20"/>
              </w:rPr>
              <w:t>1.0</w:t>
            </w:r>
          </w:p>
        </w:tc>
      </w:tr>
    </w:tbl>
    <w:p w:rsidR="007E471D" w:rsidRDefault="007E471D" w:rsidP="006924D1">
      <w:pPr>
        <w:autoSpaceDE w:val="0"/>
        <w:autoSpaceDN w:val="0"/>
        <w:adjustRightInd w:val="0"/>
        <w:snapToGrid w:val="0"/>
        <w:spacing w:after="0" w:line="240" w:lineRule="auto"/>
        <w:ind w:firstLine="425"/>
        <w:rPr>
          <w:rFonts w:eastAsia="宋体" w:hint="eastAsia"/>
          <w:sz w:val="20"/>
          <w:szCs w:val="20"/>
          <w:lang w:eastAsia="zh-CN" w:bidi="ar-EG"/>
        </w:rPr>
      </w:pPr>
    </w:p>
    <w:p w:rsidR="00BB5BF0" w:rsidRPr="00BB5BF0" w:rsidRDefault="00BB5BF0" w:rsidP="006924D1">
      <w:pPr>
        <w:autoSpaceDE w:val="0"/>
        <w:autoSpaceDN w:val="0"/>
        <w:adjustRightInd w:val="0"/>
        <w:snapToGrid w:val="0"/>
        <w:spacing w:after="0" w:line="240" w:lineRule="auto"/>
        <w:ind w:firstLine="425"/>
        <w:rPr>
          <w:rFonts w:eastAsia="宋体"/>
          <w:sz w:val="20"/>
          <w:szCs w:val="20"/>
          <w:lang w:eastAsia="zh-CN" w:bidi="ar-EG"/>
        </w:rPr>
      </w:pPr>
    </w:p>
    <w:p w:rsidR="006924D1" w:rsidRPr="00BB5BF0" w:rsidRDefault="006924D1" w:rsidP="006924D1">
      <w:pPr>
        <w:autoSpaceDE w:val="0"/>
        <w:autoSpaceDN w:val="0"/>
        <w:adjustRightInd w:val="0"/>
        <w:snapToGrid w:val="0"/>
        <w:spacing w:after="0" w:line="240" w:lineRule="auto"/>
        <w:ind w:firstLine="425"/>
        <w:rPr>
          <w:rFonts w:eastAsia="宋体"/>
          <w:sz w:val="20"/>
          <w:szCs w:val="20"/>
          <w:lang w:eastAsia="zh-CN" w:bidi="ar-EG"/>
        </w:rPr>
        <w:sectPr w:rsidR="006924D1" w:rsidRPr="00BB5BF0" w:rsidSect="000C1847">
          <w:type w:val="continuous"/>
          <w:pgSz w:w="12240" w:h="15840" w:code="9"/>
          <w:pgMar w:top="1440" w:right="1440" w:bottom="1440" w:left="1440" w:header="720" w:footer="720" w:gutter="0"/>
          <w:cols w:space="720"/>
          <w:rtlGutter/>
          <w:docGrid w:linePitch="360"/>
        </w:sectPr>
      </w:pPr>
    </w:p>
    <w:p w:rsidR="009413A9" w:rsidRPr="00BB5BF0" w:rsidRDefault="009413A9"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lastRenderedPageBreak/>
        <w:t>Uterotonics failed to prevent and control PPH in 20 patients (8</w:t>
      </w:r>
      <w:r w:rsidR="007E471D" w:rsidRPr="00BB5BF0">
        <w:rPr>
          <w:rFonts w:eastAsia="宋体"/>
          <w:sz w:val="20"/>
          <w:szCs w:val="20"/>
          <w:lang w:eastAsia="zh-CN" w:bidi="ar-EG"/>
        </w:rPr>
        <w:t xml:space="preserve"> </w:t>
      </w:r>
      <w:r w:rsidRPr="00BB5BF0">
        <w:rPr>
          <w:rFonts w:eastAsia="宋体"/>
          <w:sz w:val="20"/>
          <w:szCs w:val="20"/>
          <w:lang w:eastAsia="zh-CN" w:bidi="ar-EG"/>
        </w:rPr>
        <w:t>patients in Carbetocin group and twelve patients in oxytocin group) who required further surgical management. In Carbetocin group: eight patients had atonic postpartum hemorrhage which managed surgically by bilateral uterine artery ligation followed by compression sutures. In oxytocin group: twelve patients had atonic postpartum hemorrhage which managed surgically by bilateral uterine artery ligation followed compression sutures, hysterectomy was the final solution for intractable hemorrhage in one of them.</w:t>
      </w:r>
    </w:p>
    <w:p w:rsidR="00E4316C" w:rsidRPr="00BB5BF0" w:rsidRDefault="00E4316C" w:rsidP="006924D1">
      <w:pPr>
        <w:autoSpaceDE w:val="0"/>
        <w:autoSpaceDN w:val="0"/>
        <w:adjustRightInd w:val="0"/>
        <w:snapToGrid w:val="0"/>
        <w:spacing w:after="0" w:line="240" w:lineRule="auto"/>
        <w:ind w:firstLine="425"/>
        <w:rPr>
          <w:rFonts w:eastAsia="宋体"/>
          <w:sz w:val="20"/>
          <w:szCs w:val="20"/>
          <w:lang w:eastAsia="zh-CN" w:bidi="ar-EG"/>
        </w:rPr>
      </w:pPr>
      <w:r w:rsidRPr="00BB5BF0">
        <w:rPr>
          <w:rFonts w:eastAsia="宋体"/>
          <w:sz w:val="20"/>
          <w:szCs w:val="20"/>
          <w:lang w:eastAsia="zh-CN" w:bidi="ar-EG"/>
        </w:rPr>
        <w:t>.</w:t>
      </w:r>
    </w:p>
    <w:p w:rsidR="005910CB" w:rsidRPr="00BB5BF0" w:rsidRDefault="007E471D" w:rsidP="006924D1">
      <w:pPr>
        <w:pStyle w:val="Heading1"/>
        <w:snapToGrid w:val="0"/>
        <w:spacing w:after="0" w:line="240" w:lineRule="auto"/>
        <w:jc w:val="both"/>
        <w:rPr>
          <w:sz w:val="20"/>
          <w:szCs w:val="20"/>
        </w:rPr>
      </w:pPr>
      <w:r w:rsidRPr="00BB5BF0">
        <w:rPr>
          <w:sz w:val="20"/>
          <w:szCs w:val="20"/>
        </w:rPr>
        <w:t>4. Discussion</w:t>
      </w:r>
    </w:p>
    <w:p w:rsidR="00D80677" w:rsidRPr="00BB5BF0" w:rsidRDefault="00D80677" w:rsidP="006924D1">
      <w:pPr>
        <w:snapToGrid w:val="0"/>
        <w:spacing w:after="0" w:line="240" w:lineRule="auto"/>
        <w:ind w:firstLine="425"/>
        <w:rPr>
          <w:sz w:val="20"/>
          <w:szCs w:val="20"/>
        </w:rPr>
      </w:pPr>
      <w:r w:rsidRPr="00BB5BF0">
        <w:rPr>
          <w:sz w:val="20"/>
          <w:szCs w:val="20"/>
        </w:rPr>
        <w:t xml:space="preserve">Prevention of post-partum haemorrhage (PPH) is a major issue due to its impact on maternal morbidity and mortality. The primary PPH is defined as blood loss more than 500 mL after vaginal delivery and more than 1000 mL after caesarean section, that occurs in the first 24 hours after delivery </w:t>
      </w:r>
      <w:r w:rsidR="00DB2D08" w:rsidRPr="00BB5BF0">
        <w:rPr>
          <w:sz w:val="20"/>
          <w:szCs w:val="20"/>
        </w:rPr>
        <w:fldChar w:fldCharType="begin" w:fldLock="1"/>
      </w:r>
      <w:r w:rsidR="00E14E3B" w:rsidRPr="00BB5BF0">
        <w:rPr>
          <w:sz w:val="20"/>
          <w:szCs w:val="20"/>
        </w:rPr>
        <w:instrText>ADDIN CSL_CITATION {"citationItems":[{"id":"ITEM-1","itemData":{"DOI":"10.1515/JPM.2011.059","ISBN":"1619-3997","ISSN":"03005577","PMID":"21714767","abstract":"Abstract Objective: To identify risk factors for postpartum hemorrhage (PPH) in low risk patients. Methods: All deliveries between 2001 and 2007 were retrieved. Women with well-established preexisting risk factors for PPH were excluded. Among the remaining women (n=15,198) considered at low risk, various factors were assessed to evaluate their role in PPH. Results: Rates of PPH increased from 1.03 in 2001 to 2.45% in 2007. Gestational age at delivery, induction of labor with oxytocin, cesarean section and regional analgesia were not associated with PPH. Logistic regression analysis demonstrated that the following factors were significantly associated with PPH: increased birth weight (P&lt;0.001), female gender (P=0.006), duration of membrane rupture (P=0.002), duration of second stage (P&lt;0.001), chorioamnionitis (P=0.02), and use of prostaglandins (P=0.041). Conclusion: Early recognition of the specific factors presented as associated with PPH should prompt early intervention to reduce the PPH and maternal morbidity.","author":[{"dropping-particle":"","family":"Malabarey","given":"Ola","non-dropping-particle":"","parse-names":false,"suffix":""},{"dropping-particle":"","family":"Almog","given":"Benny","non-dropping-particle":"","parse-names":false,"suffix":""},{"dropping-particle":"","family":"Brown","given":"Richard","non-dropping-particle":"","parse-names":false,"suffix":""},{"dropping-particle":"","family":"Abenhaim","given":"Haim A.","non-dropping-particle":"","parse-names":false,"suffix":""},{"dropping-particle":"","family":"Shrim","given":"Alon","non-dropping-particle":"","parse-names":false,"suffix":""}],"container-title":"Journal of Perinatal Medicine","id":"ITEM-1","issue":"5","issued":{"date-parts":[["2011","9"]]},"page":"495-498","title":"Postpartum hemorrhage in low risk population","type":"article-journal","volume":"39"},"uris":["http://www.mendeley.com/documents/?uuid=24ff8822-bdd3-3412-b685-fb10e5c19c54"]}],"mendeley":{"formattedCitation":"&lt;b&gt;(Malabarey et al., 2011)&lt;/b&gt;","plainTextFormattedCitation":"(Malabarey et al., 2011)","previouslyFormattedCitation":"&lt;b&gt;(Malabarey et al., 2011)&lt;/b&gt;"},"properties":{"noteIndex":0},"schema":"https://github.com/citation-style-language/schema/raw/master/csl-citation.json"}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(Malabarey et al., 2011)</w:t>
      </w:r>
      <w:r w:rsidR="00DB2D08" w:rsidRPr="00BB5BF0">
        <w:rPr>
          <w:sz w:val="20"/>
          <w:szCs w:val="20"/>
        </w:rPr>
        <w:fldChar w:fldCharType="end"/>
      </w:r>
      <w:r w:rsidR="00ED6927" w:rsidRPr="00BB5BF0">
        <w:rPr>
          <w:b/>
          <w:bCs/>
          <w:sz w:val="20"/>
          <w:szCs w:val="20"/>
        </w:rPr>
        <w:t xml:space="preserve"> </w:t>
      </w:r>
    </w:p>
    <w:p w:rsidR="00D80677" w:rsidRPr="00BB5BF0" w:rsidRDefault="00D80677" w:rsidP="006924D1">
      <w:pPr>
        <w:snapToGrid w:val="0"/>
        <w:spacing w:after="0" w:line="240" w:lineRule="auto"/>
        <w:ind w:firstLine="425"/>
        <w:rPr>
          <w:sz w:val="20"/>
          <w:szCs w:val="20"/>
        </w:rPr>
      </w:pPr>
      <w:r w:rsidRPr="00BB5BF0">
        <w:rPr>
          <w:sz w:val="20"/>
          <w:szCs w:val="20"/>
        </w:rPr>
        <w:t xml:space="preserve">Several uterotonic agents can be used for prevention and treatment of postpartum hemorrhage. Including Oxytocin, Ergot alkaloids, Syntometrine and Prostaglandins. </w:t>
      </w:r>
      <w:r w:rsidRPr="00BB5BF0">
        <w:rPr>
          <w:b/>
          <w:bCs/>
          <w:i/>
          <w:iCs/>
          <w:sz w:val="20"/>
          <w:szCs w:val="20"/>
        </w:rPr>
        <w:t>Soltani et al.,</w:t>
      </w:r>
      <w:r w:rsidRPr="00BB5BF0">
        <w:rPr>
          <w:b/>
          <w:bCs/>
          <w:sz w:val="20"/>
          <w:szCs w:val="20"/>
        </w:rPr>
        <w:t xml:space="preserve"> </w:t>
      </w:r>
      <w:r w:rsidRPr="00BB5BF0">
        <w:rPr>
          <w:sz w:val="20"/>
          <w:szCs w:val="20"/>
        </w:rPr>
        <w:t xml:space="preserve">demonstrated in their study in Egypt that misoprostol is a proven potent uterotonic agent </w:t>
      </w:r>
      <w:r w:rsidR="00DB2D08" w:rsidRPr="00BB5BF0">
        <w:rPr>
          <w:sz w:val="20"/>
          <w:szCs w:val="20"/>
        </w:rPr>
        <w:fldChar w:fldCharType="begin" w:fldLock="1"/>
      </w:r>
      <w:r w:rsidR="00E14E3B" w:rsidRPr="00BB5BF0">
        <w:rPr>
          <w:sz w:val="20"/>
          <w:szCs w:val="20"/>
        </w:rPr>
        <w:instrText>ADDIN CSL_CITATION {"citationItems":[{"id":"ITEM-1","itemData":{"DOI":"10.1002/14651858.CD006173.pub2","ISBN":"1469-493X (Electronic)\\r1361-6137 (Linking)","ISSN":"14651858","PMID":"20687079","abstract":"Administration of the uterotonic drugs is one of the main components of the active management of the third stage of labour. The timing of uterotonics varies considerably across the globe and it may have significant implications on the well-being of the mothers and their babies.","author":[{"dropping-particle":"","family":"Soltani","given":"Hora","non-dropping-particle":"","parse-names":false,"suffix":""},{"dropping-particle":"","family":"Hutchon","given":"David R","non-dropping-particle":"","parse-names":false,"suffix":""},{"dropping-particle":"","family":"Poulose","given":"Thomas A","non-dropping-particle":"","parse-names":false,"suffix":""}],"container-title":"Cochrane Database of Systematic Reviews","id":"ITEM-1","issue":"8","issued":{"date-parts":[["2010","8","4"]]},"page":"CD006173","title":"Timing of prophylactic uterotonics for the third stage of labour after vaginal birth","type":"article-journal"},"uris":["http://www.mendeley.com/documents/?uuid=8b411254-78d2-33a9-91da-e488cbdd7ca7"]}],"mendeley":{"formattedCitation":"&lt;b&gt;(Soltani, Hutchon, &amp; Poulose, 2010)&lt;/b&gt;","plainTextFormattedCitation":"(Soltani, Hutchon, &amp; Poulose, 2010)","previouslyFormattedCitation":"&lt;b&gt;(Soltani, Hutchon, &amp; Poulose, 2010)&lt;/b&gt;"},"properties":{"noteIndex":0},"schema":"https://github.com/citation-style-language/schema/raw/master/csl-citation.json"}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(Soltani, Hutchon,</w:t>
      </w:r>
      <w:r w:rsidR="00ED6927" w:rsidRPr="00BB5BF0">
        <w:rPr>
          <w:b/>
          <w:noProof/>
          <w:sz w:val="20"/>
          <w:szCs w:val="20"/>
        </w:rPr>
        <w:t xml:space="preserve"> &amp; </w:t>
      </w:r>
      <w:r w:rsidR="00E14E3B" w:rsidRPr="00BB5BF0">
        <w:rPr>
          <w:b/>
          <w:noProof/>
          <w:sz w:val="20"/>
          <w:szCs w:val="20"/>
        </w:rPr>
        <w:t>Poulose, 2010)</w:t>
      </w:r>
      <w:r w:rsidR="00DB2D08" w:rsidRPr="00BB5BF0">
        <w:rPr>
          <w:sz w:val="20"/>
          <w:szCs w:val="20"/>
        </w:rPr>
        <w:fldChar w:fldCharType="end"/>
      </w:r>
      <w:r w:rsidR="00ED6927" w:rsidRPr="00BB5BF0">
        <w:rPr>
          <w:sz w:val="20"/>
          <w:szCs w:val="20"/>
        </w:rPr>
        <w:t xml:space="preserve"> </w:t>
      </w:r>
    </w:p>
    <w:p w:rsidR="00D80677" w:rsidRPr="00BB5BF0" w:rsidRDefault="00D80677" w:rsidP="006924D1">
      <w:pPr>
        <w:snapToGrid w:val="0"/>
        <w:spacing w:after="0" w:line="240" w:lineRule="auto"/>
        <w:ind w:firstLine="425"/>
        <w:rPr>
          <w:sz w:val="20"/>
          <w:szCs w:val="20"/>
        </w:rPr>
      </w:pPr>
      <w:r w:rsidRPr="00BB5BF0">
        <w:rPr>
          <w:sz w:val="20"/>
          <w:szCs w:val="20"/>
        </w:rPr>
        <w:t>The aim of our study was to compare the efficacy of oxytocin and Carbetocin to prevent the PPH in caesarean section at high risk of primary post-partum haemorrhage.</w:t>
      </w:r>
    </w:p>
    <w:p w:rsidR="00D80677" w:rsidRPr="00BB5BF0" w:rsidRDefault="00D80677" w:rsidP="006924D1">
      <w:pPr>
        <w:snapToGrid w:val="0"/>
        <w:spacing w:after="0" w:line="240" w:lineRule="auto"/>
        <w:ind w:firstLine="425"/>
        <w:rPr>
          <w:sz w:val="20"/>
          <w:szCs w:val="20"/>
        </w:rPr>
      </w:pPr>
      <w:r w:rsidRPr="00BB5BF0">
        <w:rPr>
          <w:sz w:val="20"/>
          <w:szCs w:val="20"/>
        </w:rPr>
        <w:t xml:space="preserve">The present study showed that as regards the demographic variables; results of comparison between two groups as regards the mean values of maternal age, gestational age, gravidity, parity, BMI and pulse pre </w:t>
      </w:r>
      <w:r w:rsidR="00FA74CE" w:rsidRPr="00BB5BF0">
        <w:rPr>
          <w:sz w:val="20"/>
          <w:szCs w:val="20"/>
        </w:rPr>
        <w:t>were statistically</w:t>
      </w:r>
      <w:r w:rsidRPr="00BB5BF0">
        <w:rPr>
          <w:sz w:val="20"/>
          <w:szCs w:val="20"/>
        </w:rPr>
        <w:t xml:space="preserve"> non</w:t>
      </w:r>
      <w:r w:rsidR="008968D6" w:rsidRPr="00BB5BF0">
        <w:rPr>
          <w:sz w:val="20"/>
          <w:szCs w:val="20"/>
        </w:rPr>
        <w:t>-</w:t>
      </w:r>
      <w:r w:rsidRPr="00BB5BF0">
        <w:rPr>
          <w:sz w:val="20"/>
          <w:szCs w:val="20"/>
        </w:rPr>
        <w:t>significant [P &gt;0.05]. Also we did not note any statistical significant relation among the two groups as regard history of postpartum haemorrhage.</w:t>
      </w:r>
    </w:p>
    <w:p w:rsidR="00D80677" w:rsidRPr="00BB5BF0" w:rsidRDefault="00D80677" w:rsidP="006924D1">
      <w:pPr>
        <w:snapToGrid w:val="0"/>
        <w:spacing w:after="0" w:line="240" w:lineRule="auto"/>
        <w:ind w:firstLine="425"/>
        <w:rPr>
          <w:sz w:val="20"/>
          <w:szCs w:val="20"/>
        </w:rPr>
      </w:pPr>
      <w:r w:rsidRPr="00BB5BF0">
        <w:rPr>
          <w:sz w:val="20"/>
          <w:szCs w:val="20"/>
        </w:rPr>
        <w:t>Population profile regards different risk factors among the two groups and indication to elective caesarean section were similar for each group, however in oxytocin group the main indication has been the history of PPh with non-significant difference regard to risk factors between the two groups (P &gt;0.05).</w:t>
      </w:r>
    </w:p>
    <w:p w:rsidR="00D80677" w:rsidRPr="00BB5BF0" w:rsidRDefault="00D80677" w:rsidP="006924D1">
      <w:pPr>
        <w:snapToGrid w:val="0"/>
        <w:spacing w:after="0" w:line="240" w:lineRule="auto"/>
        <w:ind w:firstLine="425"/>
        <w:rPr>
          <w:sz w:val="20"/>
          <w:szCs w:val="20"/>
        </w:rPr>
      </w:pPr>
      <w:r w:rsidRPr="00BB5BF0">
        <w:rPr>
          <w:sz w:val="20"/>
          <w:szCs w:val="20"/>
        </w:rPr>
        <w:lastRenderedPageBreak/>
        <w:t>In both study groups hemoglobin levels before and after 2 hours apart from delivery were similar, confirming no significant difference in the level of blood loss. But, we found noted Hb decrease at 12 hours from delivery in the oxytocin group and Hb level was significant (- 0.6 g/dl vs - 1.2 g/dl, p 0.03).</w:t>
      </w:r>
    </w:p>
    <w:p w:rsidR="00D80677" w:rsidRPr="00BB5BF0" w:rsidRDefault="00D80677" w:rsidP="006924D1">
      <w:pPr>
        <w:snapToGrid w:val="0"/>
        <w:spacing w:after="0" w:line="240" w:lineRule="auto"/>
        <w:ind w:firstLine="425"/>
        <w:rPr>
          <w:sz w:val="20"/>
          <w:szCs w:val="20"/>
        </w:rPr>
      </w:pPr>
      <w:r w:rsidRPr="00BB5BF0">
        <w:rPr>
          <w:b/>
          <w:bCs/>
          <w:i/>
          <w:iCs/>
          <w:sz w:val="20"/>
          <w:szCs w:val="20"/>
        </w:rPr>
        <w:t>Attilakos et al.,</w:t>
      </w:r>
      <w:r w:rsidRPr="00BB5BF0">
        <w:rPr>
          <w:sz w:val="20"/>
          <w:szCs w:val="20"/>
        </w:rPr>
        <w:t xml:space="preserve"> have randomized 377 women undergoing cesarean sections to receive either IV Carbetocin 100 mg or IV oxytocin 5 IU after the delivery of the baby. The Carbetocin group needed significantly less uterotonic results, which agrees with our findings</w:t>
      </w:r>
      <w:r w:rsidR="00DB2D08" w:rsidRPr="00BB5BF0">
        <w:rPr>
          <w:sz w:val="20"/>
          <w:szCs w:val="20"/>
        </w:rPr>
        <w:fldChar w:fldCharType="begin" w:fldLock="1"/>
      </w:r>
      <w:r w:rsidR="00E14E3B" w:rsidRPr="00BB5BF0">
        <w:rPr>
          <w:sz w:val="20"/>
          <w:szCs w:val="20"/>
        </w:rPr>
        <w:instrText>ADDIN CSL_CITATION {"citationItems":[{"id":"ITEM-1","itemData":{"DOI":"10.1111/j.1471-0528.2010.02585.x","ISBN":"1471-0528","ISSN":"14710528","PMID":"20482535","abstract":"To compare the effectiveness of carbetocin and oxytocin when they are administered after caesarean section for prevention of postpartum haemorrhage (PPH).","author":[{"dropping-particle":"","family":"Attilakos","given":"G.","non-dropping-particle":"","parse-names":false,"suffix":""},{"dropping-particle":"","family":"Psaroudakis","given":"D.","non-dropping-particle":"","parse-names":false,"suffix":""},{"dropping-particle":"","family":"Ash","given":"J.","non-dropping-particle":"","parse-names":false,"suffix":""},{"dropping-particle":"","family":"Buchanan","given":"R.","non-dropping-particle":"","parse-names":false,"suffix":""},{"dropping-particle":"","family":"Winter","given":"C.","non-dropping-particle":"","parse-names":false,"suffix":""},{"dropping-particle":"","family":"Donald","given":"F.","non-dropping-particle":"","parse-names":false,"suffix":""},{"dropping-particle":"","family":"Hunt","given":"L. P.","non-dropping-particle":"","parse-names":false,"suffix":""},{"dropping-particle":"","family":"Draycott","given":"T.","non-dropping-particle":"","parse-names":false,"suffix":""}],"container-title":"BJOG: An International Journal of Obstetrics and Gynaecology","id":"ITEM-1","issue":"8","issued":{"date-parts":[["2010","7","1"]]},"page":"929-936","publisher":"John Wiley &amp; Sons, Ltd (10.1111)","title":"Carbetocin versus oxytocin for the prevention of postpartum haemorrhage following caesarean section: The results of a double-blind randomised trial","type":"article-journal","volume":"117"},"uris":["http://www.mendeley.com/documents/?uuid=2583c783-6cec-30e0-ab8c-6f5279c55ea1"]}],"mendeley":{"formattedCitation":"&lt;b&gt;(Attilakos et al., 2010)&lt;/b&gt;","plainTextFormattedCitation":"(Attilakos et al., 2010)","previouslyFormattedCitation":"&lt;b&gt;(Attilakos et al., 2010)&lt;/b&gt;"},"properties":{"noteIndex":0},"schema":"https://github.com/citation-style-language/schema/raw/master/csl-citation.json"}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(Attilakos et al., 2010)</w:t>
      </w:r>
      <w:r w:rsidR="00DB2D08" w:rsidRPr="00BB5BF0">
        <w:rPr>
          <w:sz w:val="20"/>
          <w:szCs w:val="20"/>
        </w:rPr>
        <w:fldChar w:fldCharType="end"/>
      </w:r>
    </w:p>
    <w:p w:rsidR="00D80677" w:rsidRPr="00BB5BF0" w:rsidRDefault="00D80677" w:rsidP="006924D1">
      <w:pPr>
        <w:snapToGrid w:val="0"/>
        <w:spacing w:after="0" w:line="240" w:lineRule="auto"/>
        <w:ind w:firstLine="425"/>
        <w:rPr>
          <w:sz w:val="20"/>
          <w:szCs w:val="20"/>
        </w:rPr>
      </w:pPr>
      <w:r w:rsidRPr="00BB5BF0">
        <w:rPr>
          <w:sz w:val="20"/>
          <w:szCs w:val="20"/>
        </w:rPr>
        <w:t xml:space="preserve">As regards incidence and severity of PPH; In fact, we did not demonstrate any difference in the amount of blood loss after caesarean section but within 2 hours and 24 hours, we showed in the oxytocin group higher degree of blood loss than </w:t>
      </w:r>
      <w:r w:rsidR="00164428" w:rsidRPr="00BB5BF0">
        <w:rPr>
          <w:sz w:val="20"/>
          <w:szCs w:val="20"/>
        </w:rPr>
        <w:t>Carbetocin</w:t>
      </w:r>
      <w:r w:rsidRPr="00BB5BF0">
        <w:rPr>
          <w:sz w:val="20"/>
          <w:szCs w:val="20"/>
        </w:rPr>
        <w:t xml:space="preserve"> group and there was no significant difference in the amount of estimated blood loss and in the incidence of primary post-partum haemorrhage (&gt;1000 ml) in both groups. </w:t>
      </w:r>
    </w:p>
    <w:p w:rsidR="00D80677" w:rsidRPr="00BB5BF0" w:rsidRDefault="00D80677" w:rsidP="006924D1">
      <w:pPr>
        <w:snapToGrid w:val="0"/>
        <w:spacing w:after="0" w:line="240" w:lineRule="auto"/>
        <w:ind w:firstLine="425"/>
        <w:rPr>
          <w:b/>
          <w:bCs/>
          <w:sz w:val="20"/>
          <w:szCs w:val="20"/>
        </w:rPr>
      </w:pPr>
      <w:r w:rsidRPr="00BB5BF0">
        <w:rPr>
          <w:sz w:val="20"/>
          <w:szCs w:val="20"/>
        </w:rPr>
        <w:t>A study investigated the efficacy of Carbetocin vs. oxytocin for prevention of uterine atony in high-risk women undergoing delivery by caesarean section. Significantly fewer women experienced uterine atony after caesarean delivery with Carbetocin (8%) versus oxytocin (19%)</w:t>
      </w:r>
      <w:r w:rsidR="006924D1" w:rsidRPr="00BB5BF0">
        <w:rPr>
          <w:sz w:val="20"/>
          <w:szCs w:val="20"/>
        </w:rPr>
        <w:t>. B</w:t>
      </w:r>
      <w:r w:rsidRPr="00BB5BF0">
        <w:rPr>
          <w:sz w:val="20"/>
          <w:szCs w:val="20"/>
        </w:rPr>
        <w:t xml:space="preserve">lood loss&gt;500 ml was only observed in women who received oxytocin </w:t>
      </w:r>
      <w:r w:rsidR="00DB2D08" w:rsidRPr="00BB5BF0">
        <w:rPr>
          <w:sz w:val="20"/>
          <w:szCs w:val="20"/>
        </w:rPr>
        <w:fldChar w:fldCharType="begin" w:fldLock="1"/>
      </w:r>
      <w:r w:rsidR="00E14E3B" w:rsidRPr="00BB5BF0">
        <w:rPr>
          <w:sz w:val="20"/>
          <w:szCs w:val="20"/>
        </w:rPr>
        <w:instrText>ADDIN CSL_CITATION {"citationItems":[{"id":"ITEM-1","itemData":{"DOI":"10.1016/j.tjog.2018.08.011","ISSN":"18756263","PMID":"30342650","abstract":"Objective: To compare the efficacy of carbetocin and oxytocin on hemorrhage-related changes in women with cesarean deliveries (CS) for different indications. Materials and methods: A retrospective cohort study was conducted on 1568 women with CS before labor onset (elective CS, n = 1153) or during labor (intrapartum CS, n = 415) after 24 weeks’ gestation. We compared the fall in hemoglobin (Hb) and hematocrit (Hct) levels after CS, estimated blood loss, the need for additional uterotonic agents, blood transfusion, and the rate of postpartum hemorrhage between women with carbetocin and women with oxytocin treatment, stratified by indications for CS. Results: For women with elective CS, decreased Hb and Hct falls were noted with carbetocin treatment compared to oxytocin treatment in women with indications for prior CS, fetal malpresentation, and multiple gestation. The need for additional uterotonics was less in CS for prior CS, fetal malpresentation, and cephalopelvic disproportion and fewer transfusions in CS for multiple gestation in women with carbetocin compared to women with oxytocin treatment. For women with intrapartum CS, carbetocin was associated with decreased use of additional uterotonic agents and transfusion in CS for dysfunctional labor. Conclusion: Carbetocin and oxytocin had differential effects on hemorrhage-related changes in women with CS for different indications.","author":[{"dropping-particle":"","family":"Chen","given":"Yen Tin","non-dropping-particle":"","parse-names":false,"suffix":""},{"dropping-particle":"","family":"Chen","given":"Szu Fu","non-dropping-particle":"","parse-names":false,"suffix":""},{"dropping-particle":"","family":"Hsieh","given":"T'sang T.ang","non-dropping-particle":"","parse-names":false,"suffix":""},{"dropping-particle":"","family":"Lo","given":"Liang Ming","non-dropping-particle":"","parse-names":false,"suffix":""},{"dropping-particle":"","family":"Hung","given":"Tai Ho","non-dropping-particle":"","parse-names":false,"suffix":""}],"container-title":"Taiwanese Journal of Obstetrics and Gynecology","id":"ITEM-1","issue":"5","issued":{"date-parts":[["2018","10","1"]]},"page":"677-682","publisher":"Elsevier","title":"A comparison of the efficacy of carbetocin and oxytocin on hemorrhage-related changes in women with cesarean deliveries for different indications","type":"article-journal","volume":"57"},"uris":["http://www.mendeley.com/documents/?uuid=3d065cd6-5eba-3089-8411-fd2aaf7033d9"]},{"id":"ITEM-2","itemData":{"DOI":"10.3329/fmcj.v10i2.30276","ISSN":"2079-3553","abstract":"&lt;p&gt;Postpartum haemorrhage is the leading cause of maternal mortality worldwide. Total 67-80% of cases are caused by uterine atony. Preventive measures include prophylactic drug use to aid uterine contraction after delivery, thus avoiding severe blood loss and reducing maternal morbidity and mortality. Carbetocin is a synthetic analogue of oxytocin with a long half-life which ensure more effective contraction and less adverse effects. It can be administered as a single dose injection either intravenously or intramuscularly rather than as an infusion over several hours as is the case with oxytocin. Carbetocin is currently indicated for prevention of uterine atony after delivery by caesarean section in spinal or epidural anaesthesia. A reduced need for additional uterotonics was observed with carbetocin vs. oxytocin in high-risk women and carbetocin was at least as effective as syntometrine in low-risk women. Carbetocin is effective treatment for the prevention of postpartum haemorrhage not only following caesarean delivery but also after vaginal delivery in high-risk women and those who suffer from hypertensive disorders in pregnancy. Further research is required to assess whether prophylactic carbetocin is superior to conventional uterotonic agents following vaginal delivery in low-risk women.Faridpur Med. Coll. J. Jul 2015;10(2): 76-83&lt;/p&gt;","author":[{"dropping-particle":"","family":"Begum","given":"Poly","non-dropping-particle":"","parse-names":false,"suffix":""},{"dropping-particle":"","family":"Shaha","given":"Dipti Rani","non-dropping-particle":"","parse-names":false,"suffix":""},{"dropping-particle":"","family":"Mahbuba","given":"-","non-dropping-particle":"","parse-names":false,"suffix":""},{"dropping-particle":"","family":"Sanjowal","given":"Lipika","non-dropping-particle":"","parse-names":false,"suffix":""},{"dropping-particle":"","family":"Hassan","given":"Md Kamrul","non-dropping-particle":"","parse-names":false,"suffix":""}],"container-title":"Faridpur Medical College Journal","id":"ITEM-2","issue":"2","issued":{"date-parts":[["2016","11","7"]]},"page":"76-83","title":"Carbetocin versus Oxytocin for the Prevention of Postpartum Haemorrhage","type":"article-journal","volume":"10"},"uris":["http://www.mendeley.com/documents/?uuid=77b16745-95ca-35a4-a6ef-75e356ec23a6"]}],"mendeley":{"formattedCitation":"&lt;b&gt;(Begum et al., 2016; Chen et al., 2018)&lt;/b&gt;","plainTextFormattedCitation":"(Begum et al., 2016; Chen et al., 2018)","previouslyFormattedCitation":"&lt;b&gt;(Begum et al., 2016; Chen et al., 2018)&lt;/b&gt;"},"properties":{"noteIndex":0},"schema":"https://github.com/citation-style-language/schema/raw/master/csl-citation.json"}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(Begum et al., 2016; Chen et al., 2018)</w:t>
      </w:r>
      <w:r w:rsidR="00DB2D08" w:rsidRPr="00BB5BF0">
        <w:rPr>
          <w:sz w:val="20"/>
          <w:szCs w:val="20"/>
        </w:rPr>
        <w:fldChar w:fldCharType="end"/>
      </w:r>
      <w:r w:rsidRPr="00BB5BF0">
        <w:rPr>
          <w:sz w:val="20"/>
          <w:szCs w:val="20"/>
        </w:rPr>
        <w:t xml:space="preserve"> </w:t>
      </w:r>
    </w:p>
    <w:p w:rsidR="00D80677" w:rsidRPr="00BB5BF0" w:rsidRDefault="00D80677" w:rsidP="006924D1">
      <w:pPr>
        <w:snapToGrid w:val="0"/>
        <w:spacing w:after="0" w:line="240" w:lineRule="auto"/>
        <w:ind w:firstLine="425"/>
        <w:rPr>
          <w:sz w:val="20"/>
          <w:szCs w:val="20"/>
        </w:rPr>
      </w:pPr>
      <w:r w:rsidRPr="00BB5BF0">
        <w:rPr>
          <w:sz w:val="20"/>
          <w:szCs w:val="20"/>
        </w:rPr>
        <w:t>Our analysis tested the need for additional uterotonic drug comparing both groups it was non-significant. but, with less need in Carbetocin group than oxytocin group.</w:t>
      </w:r>
    </w:p>
    <w:p w:rsidR="00D80677" w:rsidRPr="00BB5BF0" w:rsidRDefault="00D80677" w:rsidP="006924D1">
      <w:pPr>
        <w:snapToGrid w:val="0"/>
        <w:spacing w:after="0" w:line="240" w:lineRule="auto"/>
        <w:ind w:firstLine="425"/>
        <w:rPr>
          <w:sz w:val="20"/>
          <w:szCs w:val="20"/>
        </w:rPr>
      </w:pPr>
      <w:r w:rsidRPr="00BB5BF0">
        <w:rPr>
          <w:b/>
          <w:bCs/>
          <w:i/>
          <w:iCs/>
          <w:sz w:val="20"/>
          <w:szCs w:val="20"/>
        </w:rPr>
        <w:t>Borruto et al.,</w:t>
      </w:r>
      <w:r w:rsidRPr="00BB5BF0">
        <w:rPr>
          <w:b/>
          <w:bCs/>
          <w:sz w:val="20"/>
          <w:szCs w:val="20"/>
        </w:rPr>
        <w:t xml:space="preserve"> </w:t>
      </w:r>
      <w:r w:rsidRPr="00BB5BF0">
        <w:rPr>
          <w:sz w:val="20"/>
          <w:szCs w:val="20"/>
        </w:rPr>
        <w:t>demonstrated that in the Carbetocin group, 20 of the 52 women (38.4%) required at least one uterine massage compared to 30 of the 52 women (57.7%) in the oxytocin group (P &lt; 0.01). Overall, uterotonic intervention was clinically indicated in two of the women (3.8%) receiving Carbetocin compared to five of the women (9.6%) given an IV oxytocin infusion (P &lt; 0.01). The odds ratio of treatment failure requiring oxytocic intervention was 1.83 (95% confidence interval, CI, 0.9-2.6) times higher in the oxytocin group compared with the Carbetocin gr</w:t>
      </w:r>
      <w:r w:rsidR="00164428" w:rsidRPr="00BB5BF0">
        <w:rPr>
          <w:sz w:val="20"/>
          <w:szCs w:val="20"/>
        </w:rPr>
        <w:t>oup.</w:t>
      </w:r>
    </w:p>
    <w:p w:rsidR="00D80677" w:rsidRPr="00BB5BF0" w:rsidRDefault="00D80677" w:rsidP="006924D1">
      <w:pPr>
        <w:snapToGrid w:val="0"/>
        <w:spacing w:after="0" w:line="240" w:lineRule="auto"/>
        <w:ind w:firstLine="425"/>
        <w:rPr>
          <w:sz w:val="20"/>
          <w:szCs w:val="20"/>
        </w:rPr>
      </w:pPr>
      <w:r w:rsidRPr="00BB5BF0">
        <w:rPr>
          <w:sz w:val="20"/>
          <w:szCs w:val="20"/>
        </w:rPr>
        <w:t xml:space="preserve">This was in agreement with our thesis despite different mode of delivery. Mode of delivery is an </w:t>
      </w:r>
      <w:r w:rsidRPr="00BB5BF0">
        <w:rPr>
          <w:sz w:val="20"/>
          <w:szCs w:val="20"/>
        </w:rPr>
        <w:lastRenderedPageBreak/>
        <w:t xml:space="preserve">important factor that can influence the treatment outcome. May be uterine scar make uterus respond in a different manner than in vaginal delivery. Thus, it is recommended to undertake more studies including patients with different modes of delivery and risk factors for PPH. </w:t>
      </w:r>
    </w:p>
    <w:p w:rsidR="00D80677" w:rsidRPr="00BB5BF0" w:rsidRDefault="00D80677" w:rsidP="006924D1">
      <w:pPr>
        <w:snapToGrid w:val="0"/>
        <w:spacing w:after="0" w:line="240" w:lineRule="auto"/>
        <w:ind w:firstLine="425"/>
        <w:rPr>
          <w:sz w:val="20"/>
          <w:szCs w:val="20"/>
        </w:rPr>
      </w:pPr>
      <w:r w:rsidRPr="00BB5BF0">
        <w:rPr>
          <w:sz w:val="20"/>
          <w:szCs w:val="20"/>
        </w:rPr>
        <w:t>We find a definitively lack of additional uterotonic need after CS in the Carbetocin receiving women at high risk for PPH. Also, our results suggest the effectiveness of Carbetocin compared to oxytocin regarding the uterine contraction and tonicity.</w:t>
      </w:r>
    </w:p>
    <w:p w:rsidR="00D80677" w:rsidRPr="00BB5BF0" w:rsidRDefault="00D80677" w:rsidP="006924D1">
      <w:pPr>
        <w:snapToGrid w:val="0"/>
        <w:spacing w:after="0" w:line="240" w:lineRule="auto"/>
        <w:ind w:firstLine="425"/>
        <w:rPr>
          <w:rFonts w:eastAsiaTheme="minorEastAsia" w:hint="eastAsia"/>
          <w:sz w:val="20"/>
          <w:szCs w:val="20"/>
          <w:lang w:eastAsia="zh-CN"/>
        </w:rPr>
      </w:pPr>
      <w:r w:rsidRPr="00BB5BF0">
        <w:rPr>
          <w:b/>
          <w:bCs/>
          <w:i/>
          <w:iCs/>
          <w:sz w:val="20"/>
          <w:szCs w:val="20"/>
        </w:rPr>
        <w:t>Reyes OA and Gonzalez GM et al</w:t>
      </w:r>
      <w:r w:rsidRPr="00BB5BF0">
        <w:rPr>
          <w:b/>
          <w:bCs/>
          <w:sz w:val="20"/>
          <w:szCs w:val="20"/>
        </w:rPr>
        <w:t>.,</w:t>
      </w:r>
      <w:r w:rsidRPr="00BB5BF0">
        <w:rPr>
          <w:sz w:val="20"/>
          <w:szCs w:val="20"/>
        </w:rPr>
        <w:t xml:space="preserve"> performed a prospective double-blinded randomized controlled trial in 60 women with severe preeclampsia who were randomized to receive either oxytocin or Carbetocin during the third stage of labor. They found that Carbetocin was as effective as oxytocin in the prevention of PPH. Carbetocin had a safety profile similar to that of oxytocin, and it was not associated with the development of oliguria or hypertension. They concluded that Carbetocin is an appropriate alternative to oxytocin for the prevention of PPH in women with severe preeclampsia</w:t>
      </w:r>
      <w:r w:rsidR="006924D1" w:rsidRPr="00BB5BF0">
        <w:rPr>
          <w:rFonts w:eastAsiaTheme="minorEastAsia" w:hint="eastAsia"/>
          <w:sz w:val="20"/>
          <w:szCs w:val="20"/>
          <w:lang w:eastAsia="zh-CN"/>
        </w:rPr>
        <w:t xml:space="preserve"> </w:t>
      </w:r>
      <w:r w:rsidR="00E14E3B" w:rsidRPr="00BB5BF0">
        <w:rPr>
          <w:b/>
          <w:noProof/>
          <w:sz w:val="20"/>
          <w:szCs w:val="20"/>
        </w:rPr>
        <w:t>(Reyes</w:t>
      </w:r>
      <w:r w:rsidR="00ED6927" w:rsidRPr="00BB5BF0">
        <w:rPr>
          <w:b/>
          <w:noProof/>
          <w:sz w:val="20"/>
          <w:szCs w:val="20"/>
        </w:rPr>
        <w:t xml:space="preserve"> &amp; </w:t>
      </w:r>
      <w:r w:rsidR="00E14E3B" w:rsidRPr="00BB5BF0">
        <w:rPr>
          <w:b/>
          <w:noProof/>
          <w:sz w:val="20"/>
          <w:szCs w:val="20"/>
        </w:rPr>
        <w:t>Gonzalez, 2011)</w:t>
      </w:r>
      <w:r w:rsidR="00BB5BF0">
        <w:rPr>
          <w:rFonts w:eastAsiaTheme="minorEastAsia" w:hint="eastAsia"/>
          <w:b/>
          <w:noProof/>
          <w:sz w:val="20"/>
          <w:szCs w:val="20"/>
          <w:lang w:eastAsia="zh-CN"/>
        </w:rPr>
        <w:t>.</w:t>
      </w:r>
    </w:p>
    <w:p w:rsidR="00D80677" w:rsidRPr="00BB5BF0" w:rsidRDefault="00D80677" w:rsidP="006924D1">
      <w:pPr>
        <w:snapToGrid w:val="0"/>
        <w:spacing w:after="0" w:line="240" w:lineRule="auto"/>
        <w:ind w:firstLine="425"/>
        <w:rPr>
          <w:sz w:val="20"/>
          <w:szCs w:val="20"/>
        </w:rPr>
      </w:pPr>
      <w:r w:rsidRPr="00BB5BF0">
        <w:rPr>
          <w:sz w:val="20"/>
          <w:szCs w:val="20"/>
        </w:rPr>
        <w:t>Uterotonics failed to prevent and control PPH in 20 patients (8</w:t>
      </w:r>
      <w:r w:rsidR="006924D1" w:rsidRPr="00BB5BF0">
        <w:rPr>
          <w:rFonts w:eastAsiaTheme="minorEastAsia" w:hint="eastAsia"/>
          <w:sz w:val="20"/>
          <w:szCs w:val="20"/>
          <w:lang w:eastAsia="zh-CN"/>
        </w:rPr>
        <w:t xml:space="preserve"> </w:t>
      </w:r>
      <w:r w:rsidRPr="00BB5BF0">
        <w:rPr>
          <w:sz w:val="20"/>
          <w:szCs w:val="20"/>
        </w:rPr>
        <w:t>patients in Carbetocin group and twelve patients in oxytocin group) who required further surgical management. In Carbetocin group: eight patients had atonic postpartum hemorrhage which managed surgically by bilateral uterine artery ligation followed by compression sutures.</w:t>
      </w:r>
      <w:r w:rsidR="00ED6927" w:rsidRPr="00BB5BF0">
        <w:rPr>
          <w:sz w:val="20"/>
          <w:szCs w:val="20"/>
        </w:rPr>
        <w:t xml:space="preserve"> </w:t>
      </w:r>
      <w:r w:rsidRPr="00BB5BF0">
        <w:rPr>
          <w:sz w:val="20"/>
          <w:szCs w:val="20"/>
        </w:rPr>
        <w:t>In oxytocin group: twelve patients had atonic postpartum hemorrhage which managed surgically by bilateral uterine artery ligation followed compression sutures, hysterectomy was the final solution for intractable hemorrhage in one of them.</w:t>
      </w:r>
    </w:p>
    <w:p w:rsidR="00D80677" w:rsidRPr="00BB5BF0" w:rsidRDefault="00D80677" w:rsidP="006924D1">
      <w:pPr>
        <w:snapToGrid w:val="0"/>
        <w:spacing w:after="0" w:line="240" w:lineRule="auto"/>
        <w:ind w:firstLine="425"/>
        <w:rPr>
          <w:b/>
          <w:bCs/>
          <w:sz w:val="20"/>
          <w:szCs w:val="20"/>
        </w:rPr>
      </w:pPr>
      <w:r w:rsidRPr="00BB5BF0">
        <w:rPr>
          <w:sz w:val="20"/>
          <w:szCs w:val="20"/>
        </w:rPr>
        <w:t xml:space="preserve">This agree with the fact that Carbetocin has a much longer lasting effect than oxytocin, necessitating only a single dose. Carbetocin inhibits endogenous oxytocin release, interrupting the uterine feedback loop with the hypothalamus and decreasing both central and peripheral release of oxytocin. In comparison with oxytocin, Carbetocin induces a prolonged uterine response when administered postpartum, in terms of both amplitude and frequency of contractions </w:t>
      </w:r>
      <w:r w:rsidR="00DB2D08" w:rsidRPr="00BB5BF0">
        <w:rPr>
          <w:sz w:val="20"/>
          <w:szCs w:val="20"/>
        </w:rPr>
        <w:fldChar w:fldCharType="begin" w:fldLock="1"/>
      </w:r>
      <w:r w:rsidR="00E14E3B" w:rsidRPr="00BB5BF0">
        <w:rPr>
          <w:sz w:val="20"/>
          <w:szCs w:val="20"/>
        </w:rPr>
        <w:instrText>ADDIN CSL_CITATION {"citationItems":[{"id":"ITEM-1","itemData":{"DOI":"10.1080/14767058.2017.1355907","ISSN":"14764954","PMID":"28707488","abstract":"OBJECTIVE: To compare the use of carbetocin and oxytocin in the prevention of postpartum hemorrhage after cesarean section., METHODS: The present study was a prospective double-blind randomized controlled clinical trial performed in two university-based hospitals in Tehran, Iran. Two hundred and twenty women with the gestational age of more than 37 weeks, who needed cesarean operation, participated in the study. Patients were assigned to receive either a single 100mug IV dose of carbetocin or a standard 30-international unit IV infusion of oxytocin during 2h after delivery of placenta. The primary outcome measures were postpartum hemorrhage requiring additional uterotonic drugs, bleeding volume, and the hemoglobin drops., RESULTS: There were meaningful differences in carbetocin versus oxytocin group regarding the hemoglobin drops (1.01 versus 2.05, p=.01), bleeding volume (430.68CC versus 552.6CC, p&lt;.001), uterine massages frequency (3.7 versus 4.26, p&lt;.001), and uterine height at 2, 4, and 24h (p&lt;.001). Oxytocin side effects were significantly higher in comparison with the carbetocin except pruritus which was observed in 27% of patients in the carbetocin versus no cases in the oxytocin group., CONCLUSIONS: It may be concluded that carbetocin is a good alternative modality to conventional uterotonic agents such as oxytocin for the prevention of postpartum hemorrhage after cesarean sections. Registration ID in IRCT: NCT02079558.","author":[{"dropping-particle":"","family":"Taheripanah","given":"Robabeh","non-dropping-particle":"","parse-names":false,"suffix":""},{"dropping-particle":"","family":"Shoman","given":"Amal","non-dropping-particle":"","parse-names":false,"suffix":""},{"dropping-particle":"","family":"Karimzadeh","given":"Mohammad Ali","non-dropping-particle":"","parse-names":false,"suffix":""},{"dropping-particle":"","family":"Zamaniyan","given":"Marzieh","non-dropping-particle":"","parse-names":false,"suffix":""},{"dropping-particle":"","family":"Malih","given":"Narges","non-dropping-particle":"","parse-names":false,"suffix":""}],"container-title":"Journal of Maternal-Fetal and Neonatal Medicine","id":"ITEM-1","issue":"21","issued":{"date-parts":[["2018","11","2"]]},"page":"2807-2812","title":"Efficacy of oxytocin versus carbetocin in prevention of postpartum hemorrhage after cesarean section under general anesthesia: a prospective randomized clinical trial","type":"article-journal","volume":"31"},"uris":["http://www.mendeley.com/documents/?uuid=01f90f67-b2d6-3651-bd79-458a0a185009"]}],"mendeley":{"formattedCitation":"&lt;b&gt;(Taheripanah et al., 2018)&lt;/b&gt;","plainTextFormattedCitation":"(Taheripanah et al., 2018)","previouslyFormattedCitation":"&lt;b&gt;(Taheripanah et al., 2018)&lt;/b&gt;"},"properties":{"noteIndex":0},"schema":"https://github.com/citation-style-language/schema/raw/master/csl-citation.json"}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(Taheripanah et al., 2018)</w:t>
      </w:r>
      <w:r w:rsidR="00DB2D08" w:rsidRPr="00BB5BF0">
        <w:rPr>
          <w:sz w:val="20"/>
          <w:szCs w:val="20"/>
        </w:rPr>
        <w:fldChar w:fldCharType="end"/>
      </w:r>
    </w:p>
    <w:p w:rsidR="00E14E3B" w:rsidRPr="00BB5BF0" w:rsidRDefault="00D80677" w:rsidP="006924D1">
      <w:pPr>
        <w:snapToGrid w:val="0"/>
        <w:spacing w:after="0" w:line="240" w:lineRule="auto"/>
        <w:ind w:firstLine="425"/>
        <w:rPr>
          <w:sz w:val="20"/>
          <w:szCs w:val="20"/>
        </w:rPr>
      </w:pPr>
      <w:r w:rsidRPr="00BB5BF0">
        <w:rPr>
          <w:b/>
          <w:bCs/>
          <w:sz w:val="20"/>
          <w:szCs w:val="20"/>
        </w:rPr>
        <w:t>Askar and colleagues’</w:t>
      </w:r>
      <w:r w:rsidRPr="00BB5BF0">
        <w:rPr>
          <w:sz w:val="20"/>
          <w:szCs w:val="20"/>
        </w:rPr>
        <w:t xml:space="preserve"> performed a study included 240 healthy women with viable normal singleton pregnancies achieving normal vaginal delivery at or beyond 37 weeks' gestation at Al-Azhar University hospital. There was a statistically highly significant difference in the estimated mean blood loss between the carbetocin and syntometrine groups, with a blood loss of 81.5 ml higher in the syntometrine group. The mean drop of hemoglobin concentration 24 h after delivery was 0.8 g/dl in carbetocin group and </w:t>
      </w:r>
      <w:r w:rsidRPr="00BB5BF0">
        <w:rPr>
          <w:sz w:val="20"/>
          <w:szCs w:val="20"/>
        </w:rPr>
        <w:lastRenderedPageBreak/>
        <w:t>1.1 g/dl in syntometrine group, and the difference was statistically highly significant. Women in the carbetocin group were less likely to experience nausea and vomiting</w:t>
      </w:r>
      <w:r w:rsidR="00DB2D08" w:rsidRPr="00BB5BF0">
        <w:rPr>
          <w:sz w:val="20"/>
          <w:szCs w:val="20"/>
        </w:rPr>
        <w:fldChar w:fldCharType="begin" w:fldLock="1"/>
      </w:r>
      <w:r w:rsidR="00E14E3B" w:rsidRPr="00BB5BF0">
        <w:rPr>
          <w:sz w:val="20"/>
          <w:szCs w:val="20"/>
        </w:rPr>
        <w:instrText>ADDIN CSL_CITATION {"citationItems":[{"id":"ITEM-1","itemData":{"ISSN":"0932-0067","author":[{"dropping-particle":"","family":"Askar","given":"Alsaeed A","non-dropping-particle":"","parse-names":false,"suffix":""},{"dropping-particle":"","family":"Ismail","given":"Mohamed Taha","non-dropping-particle":"","parse-names":false,"suffix":""},{"dropping-particle":"","family":"El-Ezz","given":"Amro Abo","non-dropping-particle":"","parse-names":false,"suffix":""},{"dropping-particle":"","family":"Rabie","given":"Noha H","non-dropping-particle":"","parse-names":false,"suffix":""}],"container-title":"Archives of gynecology and obstetrics","id":"ITEM-1","issue":"6","issued":{"date-parts":[["2011"]]},"page":"1359-1365","publisher":"Springer","title":"Carbetocin versus syntometrine in the management of third stage of labor following vaginal delivery","type":"article-journal","volume":"284"},"uris":["http://www.mendeley.com/documents/?uuid=9786947c-573c-4e9a-b38d-b301e8c4756f"]}],"mendeley":{"formattedCitation":"&lt;b&gt;(Askar et al., 2011)&lt;/b&gt;","plainTextFormattedCitation":"(Askar et al., 2011)","previouslyFormattedCitation":"&lt;b&gt;(Askar et al., 2011)&lt;/b&gt;"},"properties":{"noteIndex":0},"schema":"https://github.com/citation-style-language/schema/raw/master/csl-citation.json"}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(Askar et al., 2011)</w:t>
      </w:r>
      <w:r w:rsidR="00DB2D08" w:rsidRPr="00BB5BF0">
        <w:rPr>
          <w:sz w:val="20"/>
          <w:szCs w:val="20"/>
        </w:rPr>
        <w:fldChar w:fldCharType="end"/>
      </w:r>
      <w:r w:rsidRPr="00BB5BF0">
        <w:rPr>
          <w:sz w:val="20"/>
          <w:szCs w:val="20"/>
        </w:rPr>
        <w:t xml:space="preserve"> It is not possible to determine whether carbetocin reduces the incidence of PPH following vaginal delivery, possibly because all the studies have been underpowered for this rare outcome. </w:t>
      </w:r>
    </w:p>
    <w:p w:rsidR="00D80677" w:rsidRPr="00BB5BF0" w:rsidRDefault="00D80677" w:rsidP="006924D1">
      <w:pPr>
        <w:snapToGrid w:val="0"/>
        <w:spacing w:after="0" w:line="240" w:lineRule="auto"/>
        <w:ind w:firstLine="425"/>
        <w:rPr>
          <w:rFonts w:eastAsia="Times New Roman"/>
          <w:b/>
          <w:bCs/>
          <w:sz w:val="20"/>
          <w:szCs w:val="20"/>
        </w:rPr>
      </w:pPr>
      <w:r w:rsidRPr="00BB5BF0">
        <w:rPr>
          <w:sz w:val="20"/>
          <w:szCs w:val="20"/>
        </w:rPr>
        <w:t xml:space="preserve">The results of the current study suggested that carbetocin may be a more potent oxytocic, but it is unclear whether this will reduce the rate of PPH and in particular major PPH. This agree with what demonstrated in previous </w:t>
      </w:r>
      <w:r w:rsidR="00DB2D08" w:rsidRPr="00BB5BF0">
        <w:rPr>
          <w:sz w:val="20"/>
          <w:szCs w:val="20"/>
        </w:rPr>
        <w:fldChar w:fldCharType="begin" w:fldLock="1"/>
      </w:r>
      <w:r w:rsidR="00E14E3B" w:rsidRPr="00BB5BF0">
        <w:rPr>
          <w:sz w:val="20"/>
          <w:szCs w:val="20"/>
        </w:rPr>
        <w:instrText>ADDIN CSL_CITATION {"citationItems":[{"id":"ITEM-1","itemData":{"DOI":"10.1111/j.1471-0528.2010.02585.x","ISBN":"1471-0528","ISSN":"14710528","PMID":"20482535","abstract":"To compare the effectiveness of carbetocin and oxytocin when they are administered after caesarean section for prevention of postpartum haemorrhage (PPH).","author":[{"dropping-particle":"","family":"Attilakos","given":"G.","non-dropping-particle":"","parse-names":false,"suffix":""},{"dropping-particle":"","family":"Psaroudakis","given":"D.","non-dropping-particle":"","parse-names":false,"suffix":""},{"dropping-particle":"","family":"Ash","given":"J.","non-dropping-particle":"","parse-names":false,"suffix":""},{"dropping-particle":"","family":"Buchanan","given":"R.","non-dropping-particle":"","parse-names":false,"suffix":""},{"dropping-particle":"","family":"Winter","given":"C.","non-dropping-particle":"","parse-names":false,"suffix":""},{"dropping-particle":"","family":"Donald","given":"F.","non-dropping-particle":"","parse-names":false,"suffix":""},{"dropping-particle":"","family":"Hunt","given":"L. P.","non-dropping-particle":"","parse-names":false,"suffix":""},{"dropping-particle":"","family":"Draycott","given":"T.","non-dropping-particle":"","parse-names":false,"suffix":""}],"container-title":"BJOG: An International Journal of Obstetrics and Gynaecology","id":"ITEM-1","issue":"8","issued":{"date-parts":[["2010","7","1"]]},"page":"929-936","publisher":"John Wiley &amp; Sons, Ltd (10.1111)","title":"Carbetocin versus oxytocin for the prevention of postpartum haemorrhage following caesarean section: The results of a double-blind randomised trial","type":"article-journal","volume":"117"},"uris":["http://www.mendeley.com/documents/?uuid=2583c783-6cec-30e0-ab8c-6f5279c55ea1"]},{"id":"ITEM-2","itemData":{"ISSN":"1971-3282","PMID":"23741542","abstract":"OBJECTIVES the aims of the present study were to compare the haemodynamic effects of oxytocin and carbetocin and to assess the efficacy of these two drugs in terms of blood loss and the additional uterotonic needed in caesarean section at high risk of primary post-partum haemorrhage. METHODS women in the carbetocin group (group A) received a bolus of 100 μg IV; women in the control group (group B) received 20 IU of oxytocin in 1000 ml of 0,9% Na-Cl solution IV (150 mL/hour). The main parameter evaluated was the haemodynamic effects of drugs and the need for additional uterotonic agents. In addition we compared the drop in haemoglobin level, the uterine tone, the uterine fundal state and the diuresis. RESULTS regarding the haemodynamic effects, both drugs have a hypotensive effect, but we found a greater reduction in blood pressure within the oxytocin group. Significantly more women needed additional uterotonic agents in the oxytocin group (23,5% vs 0%, p&lt;0.01), though there was no significant difference in estimated blood loss and in the drop haemoglobin level (p&gt;0.05). There was a significant difference in the diuresis, higher in carbetocin group (1300 ml ± 450 ml vs 1100 ml ± 250 ml, p=0.01). CONCLUSIONS a single injection of carbetocin appears to be more effective than a continuous infusion of oxytocin to prevent the PPH, with a similar haemodynamic profile and minor antidiuretic effect.","author":[{"dropping-particle":"","family":"Larciprete","given":"Giovanni","non-dropping-particle":"","parse-names":false,"suffix":""},{"dropping-particle":"","family":"Montagnoli","given":"Carlotta","non-dropping-particle":"","parse-names":false,"suffix":""},{"dropping-particle":"","family":"Frigo","given":"Mariagrazia","non-dropping-particle":"","parse-names":false,"suffix":""},{"dropping-particle":"","family":"Panetta","given":"Valentina","non-dropping-particle":"","parse-names":false,"suffix":""},{"dropping-particle":"","family":"Todde","given":"Cristina","non-dropping-particle":"","parse-names":false,"suffix":""},{"dropping-particle":"","family":"Zuppani","given":"Benedetta","non-dropping-particle":"","parse-names":false,"suffix":""},{"dropping-particle":"","family":"Centonze","given":"Chiara","non-dropping-particle":"","parse-names":false,"suffix":""},{"dropping-particle":"","family":"Bompiani","given":"Alessandro","non-dropping-particle":"","parse-names":false,"suffix":""},{"dropping-particle":"","family":"Malandrenis","given":"Ioannis","non-dropping-particle":"","parse-names":false,"suffix":""},{"dropping-particle":"","family":"Cirese","given":"Alio","non-dropping-particle":"","parse-names":false,"suffix":""},{"dropping-particle":"","family":"Valensise","given":"Herbert","non-dropping-particle":"","parse-names":false,"suffix":""}],"container-title":"Journal of prenatal medicine","id":"ITEM-2","issue":"1","issued":{"date-parts":[["2013","1"]]},"page":"12-8","publisher":"CIC Edizioni Internazionali","title":"Carbetocin versus oxytocin in caesarean section with high risk of post-partum haemorrhage.","type":"article-journal","volume":"7"},"uris":["http://www.mendeley.com/documents/?uuid=213dbb1f-94af-4f4d-bbd9-6de5208bfb6f"]}],"mendeley":{"formattedCitation":"&lt;b&gt;(Attilakos et al., 2010; Larciprete et al., 2013)&lt;/b&gt;","plainTextFormattedCitation":"(Attilakos et al., 2010; Larciprete et al., 2013)","previouslyFormattedCitation":"&lt;b&gt;(Attilakos et al., 2010; Dansereau et al., 1996; Larciprete et al., 2013)&lt;/b&gt;"},"properties":{"noteIndex":0},"schema":"https://github.com/citation-style-language/schema/raw/master/csl-citation.json"}</w:instrText>
      </w:r>
      <w:r w:rsidR="00DB2D08" w:rsidRPr="00BB5BF0">
        <w:rPr>
          <w:sz w:val="20"/>
          <w:szCs w:val="20"/>
        </w:rPr>
        <w:fldChar w:fldCharType="separate"/>
      </w:r>
      <w:r w:rsidR="00E14E3B" w:rsidRPr="00BB5BF0">
        <w:rPr>
          <w:b/>
          <w:noProof/>
          <w:sz w:val="20"/>
          <w:szCs w:val="20"/>
        </w:rPr>
        <w:t>(Attilakos et al., 2010; Larciprete et al., 2013)</w:t>
      </w:r>
      <w:r w:rsidR="00DB2D08" w:rsidRPr="00BB5BF0">
        <w:rPr>
          <w:sz w:val="20"/>
          <w:szCs w:val="20"/>
        </w:rPr>
        <w:fldChar w:fldCharType="end"/>
      </w:r>
      <w:r w:rsidRPr="00BB5BF0">
        <w:rPr>
          <w:sz w:val="20"/>
          <w:szCs w:val="20"/>
        </w:rPr>
        <w:t xml:space="preserve">, but no study of those (including this one) had demonstrated a significant difference in the rate of PPH, which is arguably a more important outcome. The reason for this is that only a very large study with many thousands of women would have adequate power to demonstrate a significant difference in this relatively rare outcome. </w:t>
      </w:r>
    </w:p>
    <w:p w:rsidR="00D80677" w:rsidRPr="00BB5BF0" w:rsidRDefault="00D80677" w:rsidP="006924D1">
      <w:pPr>
        <w:snapToGrid w:val="0"/>
        <w:spacing w:after="0" w:line="240" w:lineRule="auto"/>
        <w:ind w:firstLine="425"/>
        <w:rPr>
          <w:sz w:val="20"/>
          <w:szCs w:val="20"/>
        </w:rPr>
      </w:pPr>
      <w:r w:rsidRPr="00BB5BF0">
        <w:rPr>
          <w:sz w:val="20"/>
          <w:szCs w:val="20"/>
        </w:rPr>
        <w:t xml:space="preserve">Nevertheless, the lower use of additional uterotonic drugs is an important outcome with possible financial savings if the additional oxytocic requires prolonged administration on the labour ward or in the recovery area. However, this may be offset by the higher cost of Carbetocin in comparison to oxytocin. The high use of additional uterotonic drugs (administration of oxytocin for the majority of women) raises the question whether an additional oxytocin infusion should be administered routinely after a caesarean section, given the short half-life of oxytocin. If the oxytocin infusion proves superior to the oxytocin bolus, the next logic step would be to compare Carbetocin with oxytocin bolus followed by oxytocin infusion. </w:t>
      </w:r>
    </w:p>
    <w:p w:rsidR="00D80677" w:rsidRPr="00BB5BF0" w:rsidRDefault="00D80677" w:rsidP="006924D1">
      <w:pPr>
        <w:snapToGrid w:val="0"/>
        <w:spacing w:after="0" w:line="240" w:lineRule="auto"/>
        <w:ind w:firstLine="425"/>
        <w:rPr>
          <w:sz w:val="20"/>
          <w:szCs w:val="20"/>
        </w:rPr>
      </w:pPr>
      <w:r w:rsidRPr="00BB5BF0">
        <w:rPr>
          <w:sz w:val="20"/>
          <w:szCs w:val="20"/>
        </w:rPr>
        <w:t xml:space="preserve">Such a study should include in the outcomes the duration of stay in the Delivery Suite/Recovery area, as this has an impact on the efficiency of busy maternity units. </w:t>
      </w:r>
    </w:p>
    <w:p w:rsidR="007E471D" w:rsidRPr="00BB5BF0" w:rsidRDefault="007E471D" w:rsidP="006924D1">
      <w:pPr>
        <w:pStyle w:val="Heading1"/>
        <w:snapToGrid w:val="0"/>
        <w:spacing w:after="0" w:line="240" w:lineRule="auto"/>
        <w:jc w:val="both"/>
        <w:rPr>
          <w:sz w:val="20"/>
          <w:szCs w:val="20"/>
        </w:rPr>
      </w:pPr>
    </w:p>
    <w:p w:rsidR="00674B01" w:rsidRPr="00BB5BF0" w:rsidRDefault="00674B01" w:rsidP="006924D1">
      <w:pPr>
        <w:pStyle w:val="Heading1"/>
        <w:snapToGrid w:val="0"/>
        <w:spacing w:after="0" w:line="240" w:lineRule="auto"/>
        <w:jc w:val="both"/>
        <w:rPr>
          <w:sz w:val="20"/>
          <w:szCs w:val="20"/>
        </w:rPr>
      </w:pPr>
      <w:r w:rsidRPr="00BB5BF0">
        <w:rPr>
          <w:sz w:val="20"/>
          <w:szCs w:val="20"/>
        </w:rPr>
        <w:t>Conclusion</w:t>
      </w:r>
    </w:p>
    <w:p w:rsidR="00182152" w:rsidRPr="00BB5BF0" w:rsidRDefault="007E471D" w:rsidP="006924D1">
      <w:pPr>
        <w:snapToGrid w:val="0"/>
        <w:spacing w:after="0" w:line="240" w:lineRule="auto"/>
        <w:ind w:firstLine="425"/>
        <w:rPr>
          <w:sz w:val="20"/>
          <w:szCs w:val="20"/>
        </w:rPr>
      </w:pPr>
      <w:r w:rsidRPr="00BB5BF0">
        <w:rPr>
          <w:sz w:val="20"/>
          <w:szCs w:val="20"/>
        </w:rPr>
        <w:t>A</w:t>
      </w:r>
      <w:r w:rsidR="00495715" w:rsidRPr="00BB5BF0">
        <w:rPr>
          <w:sz w:val="20"/>
          <w:szCs w:val="20"/>
        </w:rPr>
        <w:t xml:space="preserve"> single injection of Carbetocin appears to be more effective than a continuous infusion of oxytocin to maintain adequate uterine tone. Further studies are needed to verify our findings.</w:t>
      </w:r>
    </w:p>
    <w:p w:rsidR="007E471D" w:rsidRPr="00BB5BF0" w:rsidRDefault="007E471D" w:rsidP="006924D1">
      <w:pPr>
        <w:pStyle w:val="Heading1"/>
        <w:snapToGrid w:val="0"/>
        <w:spacing w:after="0" w:line="240" w:lineRule="auto"/>
        <w:jc w:val="both"/>
        <w:rPr>
          <w:sz w:val="20"/>
          <w:szCs w:val="20"/>
        </w:rPr>
      </w:pPr>
    </w:p>
    <w:p w:rsidR="005910CB" w:rsidRPr="00BB5BF0" w:rsidRDefault="007E471D" w:rsidP="006924D1">
      <w:pPr>
        <w:pStyle w:val="Heading1"/>
        <w:snapToGrid w:val="0"/>
        <w:spacing w:after="0" w:line="240" w:lineRule="auto"/>
        <w:jc w:val="both"/>
        <w:rPr>
          <w:sz w:val="20"/>
          <w:szCs w:val="20"/>
        </w:rPr>
      </w:pPr>
      <w:r w:rsidRPr="00BB5BF0">
        <w:rPr>
          <w:sz w:val="20"/>
          <w:szCs w:val="20"/>
        </w:rPr>
        <w:t>References</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Askar,</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Ismail,</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El-Ezz,</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&amp; </w:t>
      </w:r>
      <w:r w:rsidRPr="00BB5BF0">
        <w:rPr>
          <w:bCs/>
          <w:noProof/>
          <w:sz w:val="20"/>
          <w:szCs w:val="20"/>
        </w:rPr>
        <w:t>Rabie,</w:t>
      </w:r>
      <w:r w:rsidR="00ED6927" w:rsidRPr="00BB5BF0">
        <w:rPr>
          <w:bCs/>
          <w:noProof/>
          <w:sz w:val="20"/>
          <w:szCs w:val="20"/>
        </w:rPr>
        <w:t xml:space="preserve"> </w:t>
      </w:r>
      <w:r w:rsidRPr="00BB5BF0">
        <w:rPr>
          <w:bCs/>
          <w:noProof/>
          <w:sz w:val="20"/>
          <w:szCs w:val="20"/>
        </w:rPr>
        <w:t>N.</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(2011):</w:t>
      </w:r>
      <w:r w:rsidR="00ED6927" w:rsidRPr="00BB5BF0">
        <w:rPr>
          <w:bCs/>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syntometrine</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third</w:t>
      </w:r>
      <w:r w:rsidR="00ED6927" w:rsidRPr="00BB5BF0">
        <w:rPr>
          <w:noProof/>
          <w:sz w:val="20"/>
          <w:szCs w:val="20"/>
        </w:rPr>
        <w:t xml:space="preserve"> </w:t>
      </w:r>
      <w:r w:rsidRPr="00BB5BF0">
        <w:rPr>
          <w:noProof/>
          <w:sz w:val="20"/>
          <w:szCs w:val="20"/>
        </w:rPr>
        <w:t>stage</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labor</w:t>
      </w:r>
      <w:r w:rsidR="00ED6927" w:rsidRPr="00BB5BF0">
        <w:rPr>
          <w:noProof/>
          <w:sz w:val="20"/>
          <w:szCs w:val="20"/>
        </w:rPr>
        <w:t xml:space="preserve"> </w:t>
      </w:r>
      <w:r w:rsidRPr="00BB5BF0">
        <w:rPr>
          <w:noProof/>
          <w:sz w:val="20"/>
          <w:szCs w:val="20"/>
        </w:rPr>
        <w:t>following</w:t>
      </w:r>
      <w:r w:rsidR="00ED6927" w:rsidRPr="00BB5BF0">
        <w:rPr>
          <w:noProof/>
          <w:sz w:val="20"/>
          <w:szCs w:val="20"/>
        </w:rPr>
        <w:t xml:space="preserve"> </w:t>
      </w:r>
      <w:r w:rsidRPr="00BB5BF0">
        <w:rPr>
          <w:noProof/>
          <w:sz w:val="20"/>
          <w:szCs w:val="20"/>
        </w:rPr>
        <w:t>vaginal</w:t>
      </w:r>
      <w:r w:rsidR="00ED6927" w:rsidRPr="00BB5BF0">
        <w:rPr>
          <w:noProof/>
          <w:sz w:val="20"/>
          <w:szCs w:val="20"/>
        </w:rPr>
        <w:t xml:space="preserve"> </w:t>
      </w:r>
      <w:r w:rsidRPr="00BB5BF0">
        <w:rPr>
          <w:noProof/>
          <w:sz w:val="20"/>
          <w:szCs w:val="20"/>
        </w:rPr>
        <w:t>delivery</w:t>
      </w:r>
      <w:r w:rsidRPr="00BB5BF0">
        <w:rPr>
          <w:bCs/>
          <w:noProof/>
          <w:sz w:val="20"/>
          <w:szCs w:val="20"/>
        </w:rPr>
        <w:t>.</w:t>
      </w:r>
      <w:r w:rsidR="00ED6927" w:rsidRPr="00BB5BF0">
        <w:rPr>
          <w:bCs/>
          <w:noProof/>
          <w:sz w:val="20"/>
          <w:szCs w:val="20"/>
        </w:rPr>
        <w:t xml:space="preserve"> </w:t>
      </w:r>
      <w:r w:rsidRPr="00BB5BF0">
        <w:rPr>
          <w:i/>
          <w:iCs/>
          <w:noProof/>
          <w:sz w:val="20"/>
          <w:szCs w:val="20"/>
        </w:rPr>
        <w:t>Archives</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gynecology</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obstetrics</w:t>
      </w:r>
      <w:r w:rsidRPr="00BB5BF0">
        <w:rPr>
          <w:noProof/>
          <w:sz w:val="20"/>
          <w:szCs w:val="20"/>
        </w:rPr>
        <w:t>,</w:t>
      </w:r>
      <w:r w:rsidR="00ED6927" w:rsidRPr="00BB5BF0">
        <w:rPr>
          <w:noProof/>
          <w:sz w:val="20"/>
          <w:szCs w:val="20"/>
        </w:rPr>
        <w:t xml:space="preserve"> </w:t>
      </w:r>
      <w:r w:rsidRPr="00BB5BF0">
        <w:rPr>
          <w:i/>
          <w:iCs/>
          <w:noProof/>
          <w:sz w:val="20"/>
          <w:szCs w:val="20"/>
        </w:rPr>
        <w:t>284</w:t>
      </w:r>
      <w:r w:rsidRPr="00BB5BF0">
        <w:rPr>
          <w:noProof/>
          <w:sz w:val="20"/>
          <w:szCs w:val="20"/>
        </w:rPr>
        <w:t>(6),</w:t>
      </w:r>
      <w:r w:rsidR="00ED6927" w:rsidRPr="00BB5BF0">
        <w:rPr>
          <w:noProof/>
          <w:sz w:val="20"/>
          <w:szCs w:val="20"/>
        </w:rPr>
        <w:t xml:space="preserve"> </w:t>
      </w:r>
      <w:r w:rsidRPr="00BB5BF0">
        <w:rPr>
          <w:noProof/>
          <w:sz w:val="20"/>
          <w:szCs w:val="20"/>
        </w:rPr>
        <w:t>1359–1365.</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Attilakos,</w:t>
      </w:r>
      <w:r w:rsidR="00ED6927" w:rsidRPr="00BB5BF0">
        <w:rPr>
          <w:bCs/>
          <w:noProof/>
          <w:sz w:val="20"/>
          <w:szCs w:val="20"/>
        </w:rPr>
        <w:t xml:space="preserve"> </w:t>
      </w:r>
      <w:r w:rsidRPr="00BB5BF0">
        <w:rPr>
          <w:bCs/>
          <w:noProof/>
          <w:sz w:val="20"/>
          <w:szCs w:val="20"/>
        </w:rPr>
        <w:t>G.,</w:t>
      </w:r>
      <w:r w:rsidR="00ED6927" w:rsidRPr="00BB5BF0">
        <w:rPr>
          <w:bCs/>
          <w:noProof/>
          <w:sz w:val="20"/>
          <w:szCs w:val="20"/>
        </w:rPr>
        <w:t xml:space="preserve"> </w:t>
      </w:r>
      <w:r w:rsidRPr="00BB5BF0">
        <w:rPr>
          <w:bCs/>
          <w:noProof/>
          <w:sz w:val="20"/>
          <w:szCs w:val="20"/>
        </w:rPr>
        <w:t>Psaroudakis,</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Ash,</w:t>
      </w:r>
      <w:r w:rsidR="00ED6927" w:rsidRPr="00BB5BF0">
        <w:rPr>
          <w:bCs/>
          <w:noProof/>
          <w:sz w:val="20"/>
          <w:szCs w:val="20"/>
        </w:rPr>
        <w:t xml:space="preserve"> </w:t>
      </w:r>
      <w:r w:rsidRPr="00BB5BF0">
        <w:rPr>
          <w:bCs/>
          <w:noProof/>
          <w:sz w:val="20"/>
          <w:szCs w:val="20"/>
        </w:rPr>
        <w:t>J.,</w:t>
      </w:r>
      <w:r w:rsidR="00ED6927" w:rsidRPr="00BB5BF0">
        <w:rPr>
          <w:bCs/>
          <w:noProof/>
          <w:sz w:val="20"/>
          <w:szCs w:val="20"/>
        </w:rPr>
        <w:t xml:space="preserve"> </w:t>
      </w:r>
      <w:r w:rsidRPr="00BB5BF0">
        <w:rPr>
          <w:bCs/>
          <w:noProof/>
          <w:sz w:val="20"/>
          <w:szCs w:val="20"/>
        </w:rPr>
        <w:t>Buchanan,</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Winter,</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w:t>
      </w:r>
      <w:r w:rsidRPr="00BB5BF0">
        <w:rPr>
          <w:bCs/>
          <w:noProof/>
          <w:sz w:val="20"/>
          <w:szCs w:val="20"/>
        </w:rPr>
        <w:t>Donald,</w:t>
      </w:r>
      <w:r w:rsidR="00ED6927" w:rsidRPr="00BB5BF0">
        <w:rPr>
          <w:bCs/>
          <w:noProof/>
          <w:sz w:val="20"/>
          <w:szCs w:val="20"/>
        </w:rPr>
        <w:t xml:space="preserve"> </w:t>
      </w:r>
      <w:r w:rsidRPr="00BB5BF0">
        <w:rPr>
          <w:bCs/>
          <w:noProof/>
          <w:sz w:val="20"/>
          <w:szCs w:val="20"/>
        </w:rPr>
        <w:t>F.,</w:t>
      </w:r>
      <w:r w:rsidR="00ED6927" w:rsidRPr="00BB5BF0">
        <w:rPr>
          <w:bCs/>
          <w:noProof/>
          <w:sz w:val="20"/>
          <w:szCs w:val="20"/>
        </w:rPr>
        <w:t xml:space="preserve"> </w:t>
      </w:r>
      <w:r w:rsidRPr="00BB5BF0">
        <w:rPr>
          <w:bCs/>
          <w:noProof/>
          <w:sz w:val="20"/>
          <w:szCs w:val="20"/>
        </w:rPr>
        <w:t>Hunt,</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&amp; </w:t>
      </w:r>
      <w:r w:rsidRPr="00BB5BF0">
        <w:rPr>
          <w:bCs/>
          <w:noProof/>
          <w:sz w:val="20"/>
          <w:szCs w:val="20"/>
        </w:rPr>
        <w:t>Draycott,</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(2010):</w:t>
      </w:r>
      <w:r w:rsidR="00ED6927" w:rsidRPr="00BB5BF0">
        <w:rPr>
          <w:bCs/>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lastRenderedPageBreak/>
        <w:t>haemorrhage</w:t>
      </w:r>
      <w:r w:rsidR="00ED6927" w:rsidRPr="00BB5BF0">
        <w:rPr>
          <w:noProof/>
          <w:sz w:val="20"/>
          <w:szCs w:val="20"/>
        </w:rPr>
        <w:t xml:space="preserve"> </w:t>
      </w:r>
      <w:r w:rsidRPr="00BB5BF0">
        <w:rPr>
          <w:noProof/>
          <w:sz w:val="20"/>
          <w:szCs w:val="20"/>
        </w:rPr>
        <w:t>following</w:t>
      </w:r>
      <w:r w:rsidR="00ED6927" w:rsidRPr="00BB5BF0">
        <w:rPr>
          <w:noProof/>
          <w:sz w:val="20"/>
          <w:szCs w:val="20"/>
        </w:rPr>
        <w:t xml:space="preserve"> </w:t>
      </w:r>
      <w:r w:rsidRPr="00BB5BF0">
        <w:rPr>
          <w:noProof/>
          <w:sz w:val="20"/>
          <w:szCs w:val="20"/>
        </w:rPr>
        <w:t>caesarean</w:t>
      </w:r>
      <w:r w:rsidR="00ED6927" w:rsidRPr="00BB5BF0">
        <w:rPr>
          <w:noProof/>
          <w:sz w:val="20"/>
          <w:szCs w:val="20"/>
        </w:rPr>
        <w:t xml:space="preserve"> </w:t>
      </w:r>
      <w:r w:rsidRPr="00BB5BF0">
        <w:rPr>
          <w:noProof/>
          <w:sz w:val="20"/>
          <w:szCs w:val="20"/>
        </w:rPr>
        <w:t>section:</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results</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double-blind</w:t>
      </w:r>
      <w:r w:rsidR="00ED6927" w:rsidRPr="00BB5BF0">
        <w:rPr>
          <w:noProof/>
          <w:sz w:val="20"/>
          <w:szCs w:val="20"/>
        </w:rPr>
        <w:t xml:space="preserve"> </w:t>
      </w:r>
      <w:r w:rsidRPr="00BB5BF0">
        <w:rPr>
          <w:noProof/>
          <w:sz w:val="20"/>
          <w:szCs w:val="20"/>
        </w:rPr>
        <w:t>randomised</w:t>
      </w:r>
      <w:r w:rsidR="00ED6927" w:rsidRPr="00BB5BF0">
        <w:rPr>
          <w:noProof/>
          <w:sz w:val="20"/>
          <w:szCs w:val="20"/>
        </w:rPr>
        <w:t xml:space="preserve"> </w:t>
      </w:r>
      <w:r w:rsidRPr="00BB5BF0">
        <w:rPr>
          <w:noProof/>
          <w:sz w:val="20"/>
          <w:szCs w:val="20"/>
        </w:rPr>
        <w:t>trial</w:t>
      </w:r>
      <w:r w:rsidRPr="00BB5BF0">
        <w:rPr>
          <w:bCs/>
          <w:noProof/>
          <w:sz w:val="20"/>
          <w:szCs w:val="20"/>
        </w:rPr>
        <w:t>.</w:t>
      </w:r>
      <w:r w:rsidR="00ED6927" w:rsidRPr="00BB5BF0">
        <w:rPr>
          <w:bCs/>
          <w:noProof/>
          <w:sz w:val="20"/>
          <w:szCs w:val="20"/>
        </w:rPr>
        <w:t xml:space="preserve"> </w:t>
      </w:r>
      <w:r w:rsidRPr="00BB5BF0">
        <w:rPr>
          <w:i/>
          <w:iCs/>
          <w:noProof/>
          <w:sz w:val="20"/>
          <w:szCs w:val="20"/>
        </w:rPr>
        <w:t>BJOG:</w:t>
      </w:r>
      <w:r w:rsidR="00ED6927" w:rsidRPr="00BB5BF0">
        <w:rPr>
          <w:i/>
          <w:iCs/>
          <w:noProof/>
          <w:sz w:val="20"/>
          <w:szCs w:val="20"/>
        </w:rPr>
        <w:t xml:space="preserve"> </w:t>
      </w:r>
      <w:r w:rsidRPr="00BB5BF0">
        <w:rPr>
          <w:i/>
          <w:iCs/>
          <w:noProof/>
          <w:sz w:val="20"/>
          <w:szCs w:val="20"/>
        </w:rPr>
        <w:t>An</w:t>
      </w:r>
      <w:r w:rsidR="00ED6927" w:rsidRPr="00BB5BF0">
        <w:rPr>
          <w:i/>
          <w:iCs/>
          <w:noProof/>
          <w:sz w:val="20"/>
          <w:szCs w:val="20"/>
        </w:rPr>
        <w:t xml:space="preserve"> </w:t>
      </w:r>
      <w:r w:rsidRPr="00BB5BF0">
        <w:rPr>
          <w:i/>
          <w:iCs/>
          <w:noProof/>
          <w:sz w:val="20"/>
          <w:szCs w:val="20"/>
        </w:rPr>
        <w:t>International</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Obstetrics</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Gynaecology</w:t>
      </w:r>
      <w:r w:rsidRPr="00BB5BF0">
        <w:rPr>
          <w:noProof/>
          <w:sz w:val="20"/>
          <w:szCs w:val="20"/>
        </w:rPr>
        <w:t>,</w:t>
      </w:r>
      <w:r w:rsidR="00ED6927" w:rsidRPr="00BB5BF0">
        <w:rPr>
          <w:noProof/>
          <w:sz w:val="20"/>
          <w:szCs w:val="20"/>
        </w:rPr>
        <w:t xml:space="preserve"> </w:t>
      </w:r>
      <w:r w:rsidRPr="00BB5BF0">
        <w:rPr>
          <w:i/>
          <w:iCs/>
          <w:noProof/>
          <w:sz w:val="20"/>
          <w:szCs w:val="20"/>
        </w:rPr>
        <w:t>117</w:t>
      </w:r>
      <w:r w:rsidRPr="00BB5BF0">
        <w:rPr>
          <w:noProof/>
          <w:sz w:val="20"/>
          <w:szCs w:val="20"/>
        </w:rPr>
        <w:t>(8),</w:t>
      </w:r>
      <w:r w:rsidR="00ED6927" w:rsidRPr="00BB5BF0">
        <w:rPr>
          <w:noProof/>
          <w:sz w:val="20"/>
          <w:szCs w:val="20"/>
        </w:rPr>
        <w:t xml:space="preserve"> </w:t>
      </w:r>
      <w:r w:rsidRPr="00BB5BF0">
        <w:rPr>
          <w:noProof/>
          <w:sz w:val="20"/>
          <w:szCs w:val="20"/>
        </w:rPr>
        <w:t>929–936.</w:t>
      </w:r>
      <w:r w:rsidR="00ED6927" w:rsidRPr="00BB5BF0">
        <w:rPr>
          <w:noProof/>
          <w:sz w:val="20"/>
          <w:szCs w:val="20"/>
        </w:rPr>
        <w:t xml:space="preserve"> </w:t>
      </w:r>
      <w:r w:rsidRPr="00BB5BF0">
        <w:rPr>
          <w:noProof/>
          <w:sz w:val="20"/>
          <w:szCs w:val="20"/>
        </w:rPr>
        <w:t>https://doi.org/10.1111/j.1471-0528.2010.02585.x</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Bajwa,</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K.,</w:t>
      </w:r>
      <w:r w:rsidR="00ED6927" w:rsidRPr="00BB5BF0">
        <w:rPr>
          <w:bCs/>
          <w:noProof/>
          <w:sz w:val="20"/>
          <w:szCs w:val="20"/>
        </w:rPr>
        <w:t xml:space="preserve"> </w:t>
      </w:r>
      <w:r w:rsidRPr="00BB5BF0">
        <w:rPr>
          <w:bCs/>
          <w:noProof/>
          <w:sz w:val="20"/>
          <w:szCs w:val="20"/>
        </w:rPr>
        <w:t>Bajwa,</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J.</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Kaur,</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Goraya,</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Singh,</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&amp; </w:t>
      </w:r>
      <w:r w:rsidRPr="00BB5BF0">
        <w:rPr>
          <w:bCs/>
          <w:noProof/>
          <w:sz w:val="20"/>
          <w:szCs w:val="20"/>
        </w:rPr>
        <w:t>Kaurishar,</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(2012):</w:t>
      </w:r>
      <w:r w:rsidR="00ED6927" w:rsidRPr="00BB5BF0">
        <w:rPr>
          <w:bCs/>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third</w:t>
      </w:r>
      <w:r w:rsidR="00ED6927" w:rsidRPr="00BB5BF0">
        <w:rPr>
          <w:noProof/>
          <w:sz w:val="20"/>
          <w:szCs w:val="20"/>
        </w:rPr>
        <w:t xml:space="preserve"> </w:t>
      </w:r>
      <w:r w:rsidRPr="00BB5BF0">
        <w:rPr>
          <w:noProof/>
          <w:sz w:val="20"/>
          <w:szCs w:val="20"/>
        </w:rPr>
        <w:t>stage</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labor</w:t>
      </w:r>
      <w:r w:rsidR="00ED6927" w:rsidRPr="00BB5BF0">
        <w:rPr>
          <w:noProof/>
          <w:sz w:val="20"/>
          <w:szCs w:val="20"/>
        </w:rPr>
        <w:t xml:space="preserve"> </w:t>
      </w:r>
      <w:r w:rsidRPr="00BB5BF0">
        <w:rPr>
          <w:noProof/>
          <w:sz w:val="20"/>
          <w:szCs w:val="20"/>
        </w:rPr>
        <w:t>with</w:t>
      </w:r>
      <w:r w:rsidR="00ED6927" w:rsidRPr="00BB5BF0">
        <w:rPr>
          <w:noProof/>
          <w:sz w:val="20"/>
          <w:szCs w:val="20"/>
        </w:rPr>
        <w:t xml:space="preserve"> </w:t>
      </w:r>
      <w:r w:rsidRPr="00BB5BF0">
        <w:rPr>
          <w:noProof/>
          <w:sz w:val="20"/>
          <w:szCs w:val="20"/>
        </w:rPr>
        <w:t>misoprostol:</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comparison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three</w:t>
      </w:r>
      <w:r w:rsidR="00ED6927" w:rsidRPr="00BB5BF0">
        <w:rPr>
          <w:noProof/>
          <w:sz w:val="20"/>
          <w:szCs w:val="20"/>
        </w:rPr>
        <w:t xml:space="preserve"> </w:t>
      </w:r>
      <w:r w:rsidRPr="00BB5BF0">
        <w:rPr>
          <w:noProof/>
          <w:sz w:val="20"/>
          <w:szCs w:val="20"/>
        </w:rPr>
        <w:t>routes</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administration.</w:t>
      </w:r>
      <w:r w:rsidR="00ED6927" w:rsidRPr="00BB5BF0">
        <w:rPr>
          <w:bCs/>
          <w:noProof/>
          <w:sz w:val="20"/>
          <w:szCs w:val="20"/>
        </w:rPr>
        <w:t xml:space="preserve"> </w:t>
      </w:r>
      <w:r w:rsidRPr="00BB5BF0">
        <w:rPr>
          <w:i/>
          <w:iCs/>
          <w:noProof/>
          <w:sz w:val="20"/>
          <w:szCs w:val="20"/>
        </w:rPr>
        <w:t>Perspectives</w:t>
      </w:r>
      <w:r w:rsidR="00ED6927" w:rsidRPr="00BB5BF0">
        <w:rPr>
          <w:i/>
          <w:iCs/>
          <w:noProof/>
          <w:sz w:val="20"/>
          <w:szCs w:val="20"/>
        </w:rPr>
        <w:t xml:space="preserve"> </w:t>
      </w:r>
      <w:r w:rsidRPr="00BB5BF0">
        <w:rPr>
          <w:i/>
          <w:iCs/>
          <w:noProof/>
          <w:sz w:val="20"/>
          <w:szCs w:val="20"/>
        </w:rPr>
        <w:t>in</w:t>
      </w:r>
      <w:r w:rsidR="00ED6927" w:rsidRPr="00BB5BF0">
        <w:rPr>
          <w:i/>
          <w:iCs/>
          <w:noProof/>
          <w:sz w:val="20"/>
          <w:szCs w:val="20"/>
        </w:rPr>
        <w:t xml:space="preserve"> </w:t>
      </w:r>
      <w:r w:rsidRPr="00BB5BF0">
        <w:rPr>
          <w:i/>
          <w:iCs/>
          <w:noProof/>
          <w:sz w:val="20"/>
          <w:szCs w:val="20"/>
        </w:rPr>
        <w:t>clinical</w:t>
      </w:r>
      <w:r w:rsidR="00ED6927" w:rsidRPr="00BB5BF0">
        <w:rPr>
          <w:i/>
          <w:iCs/>
          <w:noProof/>
          <w:sz w:val="20"/>
          <w:szCs w:val="20"/>
        </w:rPr>
        <w:t xml:space="preserve"> </w:t>
      </w:r>
      <w:r w:rsidRPr="00BB5BF0">
        <w:rPr>
          <w:i/>
          <w:iCs/>
          <w:noProof/>
          <w:sz w:val="20"/>
          <w:szCs w:val="20"/>
        </w:rPr>
        <w:t>research</w:t>
      </w:r>
      <w:r w:rsidRPr="00BB5BF0">
        <w:rPr>
          <w:noProof/>
          <w:sz w:val="20"/>
          <w:szCs w:val="20"/>
        </w:rPr>
        <w:t>,</w:t>
      </w:r>
      <w:r w:rsidR="00ED6927" w:rsidRPr="00BB5BF0">
        <w:rPr>
          <w:noProof/>
          <w:sz w:val="20"/>
          <w:szCs w:val="20"/>
        </w:rPr>
        <w:t xml:space="preserve"> </w:t>
      </w:r>
      <w:r w:rsidRPr="00BB5BF0">
        <w:rPr>
          <w:i/>
          <w:iCs/>
          <w:noProof/>
          <w:sz w:val="20"/>
          <w:szCs w:val="20"/>
        </w:rPr>
        <w:t>3</w:t>
      </w:r>
      <w:r w:rsidRPr="00BB5BF0">
        <w:rPr>
          <w:noProof/>
          <w:sz w:val="20"/>
          <w:szCs w:val="20"/>
        </w:rPr>
        <w:t>(3),</w:t>
      </w:r>
      <w:r w:rsidR="00ED6927" w:rsidRPr="00BB5BF0">
        <w:rPr>
          <w:noProof/>
          <w:sz w:val="20"/>
          <w:szCs w:val="20"/>
        </w:rPr>
        <w:t xml:space="preserve"> </w:t>
      </w:r>
      <w:r w:rsidRPr="00BB5BF0">
        <w:rPr>
          <w:noProof/>
          <w:sz w:val="20"/>
          <w:szCs w:val="20"/>
        </w:rPr>
        <w:t>102–8.</w:t>
      </w:r>
      <w:r w:rsidR="00ED6927" w:rsidRPr="00BB5BF0">
        <w:rPr>
          <w:noProof/>
          <w:sz w:val="20"/>
          <w:szCs w:val="20"/>
        </w:rPr>
        <w:t xml:space="preserve"> </w:t>
      </w:r>
      <w:r w:rsidRPr="00BB5BF0">
        <w:rPr>
          <w:noProof/>
          <w:sz w:val="20"/>
          <w:szCs w:val="20"/>
        </w:rPr>
        <w:t>https://doi.org/10.4103/2229-3485.100666</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Begum,</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w:t>
      </w:r>
      <w:r w:rsidRPr="00BB5BF0">
        <w:rPr>
          <w:bCs/>
          <w:noProof/>
          <w:sz w:val="20"/>
          <w:szCs w:val="20"/>
        </w:rPr>
        <w:t>Shaha,</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Mahbuba,</w:t>
      </w:r>
      <w:r w:rsidR="00ED6927" w:rsidRPr="00BB5BF0">
        <w:rPr>
          <w:bCs/>
          <w:noProof/>
          <w:sz w:val="20"/>
          <w:szCs w:val="20"/>
        </w:rPr>
        <w:t xml:space="preserve"> </w:t>
      </w:r>
      <w:r w:rsidRPr="00BB5BF0">
        <w:rPr>
          <w:bCs/>
          <w:noProof/>
          <w:sz w:val="20"/>
          <w:szCs w:val="20"/>
        </w:rPr>
        <w:t>-,</w:t>
      </w:r>
      <w:r w:rsidR="00ED6927" w:rsidRPr="00BB5BF0">
        <w:rPr>
          <w:bCs/>
          <w:noProof/>
          <w:sz w:val="20"/>
          <w:szCs w:val="20"/>
        </w:rPr>
        <w:t xml:space="preserve"> </w:t>
      </w:r>
      <w:r w:rsidRPr="00BB5BF0">
        <w:rPr>
          <w:bCs/>
          <w:noProof/>
          <w:sz w:val="20"/>
          <w:szCs w:val="20"/>
        </w:rPr>
        <w:t>Sanjowal,</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&amp; </w:t>
      </w:r>
      <w:r w:rsidRPr="00BB5BF0">
        <w:rPr>
          <w:bCs/>
          <w:noProof/>
          <w:sz w:val="20"/>
          <w:szCs w:val="20"/>
        </w:rPr>
        <w:t>Hassan,</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K.</w:t>
      </w:r>
      <w:r w:rsidR="00ED6927" w:rsidRPr="00BB5BF0">
        <w:rPr>
          <w:bCs/>
          <w:noProof/>
          <w:sz w:val="20"/>
          <w:szCs w:val="20"/>
        </w:rPr>
        <w:t xml:space="preserve"> </w:t>
      </w:r>
      <w:r w:rsidRPr="00BB5BF0">
        <w:rPr>
          <w:bCs/>
          <w:noProof/>
          <w:sz w:val="20"/>
          <w:szCs w:val="20"/>
        </w:rPr>
        <w:t>(2016):</w:t>
      </w:r>
      <w:r w:rsidR="00ED6927" w:rsidRPr="00BB5BF0">
        <w:rPr>
          <w:bCs/>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Haemorrhage</w:t>
      </w:r>
      <w:r w:rsidRPr="00BB5BF0">
        <w:rPr>
          <w:bCs/>
          <w:noProof/>
          <w:sz w:val="20"/>
          <w:szCs w:val="20"/>
        </w:rPr>
        <w:t>.</w:t>
      </w:r>
      <w:r w:rsidR="00ED6927" w:rsidRPr="00BB5BF0">
        <w:rPr>
          <w:bCs/>
          <w:noProof/>
          <w:sz w:val="20"/>
          <w:szCs w:val="20"/>
        </w:rPr>
        <w:t xml:space="preserve"> </w:t>
      </w:r>
      <w:r w:rsidRPr="00BB5BF0">
        <w:rPr>
          <w:i/>
          <w:iCs/>
          <w:noProof/>
          <w:sz w:val="20"/>
          <w:szCs w:val="20"/>
        </w:rPr>
        <w:t>Faridpur</w:t>
      </w:r>
      <w:r w:rsidR="00ED6927" w:rsidRPr="00BB5BF0">
        <w:rPr>
          <w:i/>
          <w:iCs/>
          <w:noProof/>
          <w:sz w:val="20"/>
          <w:szCs w:val="20"/>
        </w:rPr>
        <w:t xml:space="preserve"> </w:t>
      </w:r>
      <w:r w:rsidRPr="00BB5BF0">
        <w:rPr>
          <w:i/>
          <w:iCs/>
          <w:noProof/>
          <w:sz w:val="20"/>
          <w:szCs w:val="20"/>
        </w:rPr>
        <w:t>Medical</w:t>
      </w:r>
      <w:r w:rsidR="00ED6927" w:rsidRPr="00BB5BF0">
        <w:rPr>
          <w:i/>
          <w:iCs/>
          <w:noProof/>
          <w:sz w:val="20"/>
          <w:szCs w:val="20"/>
        </w:rPr>
        <w:t xml:space="preserve"> </w:t>
      </w:r>
      <w:r w:rsidRPr="00BB5BF0">
        <w:rPr>
          <w:i/>
          <w:iCs/>
          <w:noProof/>
          <w:sz w:val="20"/>
          <w:szCs w:val="20"/>
        </w:rPr>
        <w:t>College</w:t>
      </w:r>
      <w:r w:rsidR="00ED6927" w:rsidRPr="00BB5BF0">
        <w:rPr>
          <w:i/>
          <w:iCs/>
          <w:noProof/>
          <w:sz w:val="20"/>
          <w:szCs w:val="20"/>
        </w:rPr>
        <w:t xml:space="preserve"> </w:t>
      </w:r>
      <w:r w:rsidRPr="00BB5BF0">
        <w:rPr>
          <w:i/>
          <w:iCs/>
          <w:noProof/>
          <w:sz w:val="20"/>
          <w:szCs w:val="20"/>
        </w:rPr>
        <w:t>Journal</w:t>
      </w:r>
      <w:r w:rsidRPr="00BB5BF0">
        <w:rPr>
          <w:noProof/>
          <w:sz w:val="20"/>
          <w:szCs w:val="20"/>
        </w:rPr>
        <w:t>,</w:t>
      </w:r>
      <w:r w:rsidR="00ED6927" w:rsidRPr="00BB5BF0">
        <w:rPr>
          <w:noProof/>
          <w:sz w:val="20"/>
          <w:szCs w:val="20"/>
        </w:rPr>
        <w:t xml:space="preserve"> </w:t>
      </w:r>
      <w:r w:rsidRPr="00BB5BF0">
        <w:rPr>
          <w:i/>
          <w:iCs/>
          <w:noProof/>
          <w:sz w:val="20"/>
          <w:szCs w:val="20"/>
        </w:rPr>
        <w:t>10</w:t>
      </w:r>
      <w:r w:rsidRPr="00BB5BF0">
        <w:rPr>
          <w:noProof/>
          <w:sz w:val="20"/>
          <w:szCs w:val="20"/>
        </w:rPr>
        <w:t>(2),</w:t>
      </w:r>
      <w:r w:rsidR="00ED6927" w:rsidRPr="00BB5BF0">
        <w:rPr>
          <w:noProof/>
          <w:sz w:val="20"/>
          <w:szCs w:val="20"/>
        </w:rPr>
        <w:t xml:space="preserve"> </w:t>
      </w:r>
      <w:r w:rsidRPr="00BB5BF0">
        <w:rPr>
          <w:noProof/>
          <w:sz w:val="20"/>
          <w:szCs w:val="20"/>
        </w:rPr>
        <w:t>76–83.</w:t>
      </w:r>
      <w:r w:rsidR="00ED6927" w:rsidRPr="00BB5BF0">
        <w:rPr>
          <w:noProof/>
          <w:sz w:val="20"/>
          <w:szCs w:val="20"/>
        </w:rPr>
        <w:t xml:space="preserve"> </w:t>
      </w:r>
      <w:r w:rsidRPr="00BB5BF0">
        <w:rPr>
          <w:noProof/>
          <w:sz w:val="20"/>
          <w:szCs w:val="20"/>
        </w:rPr>
        <w:t>https://doi.org/10.3329/fmcj.v10i2.30276</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Chen,</w:t>
      </w:r>
      <w:r w:rsidR="00ED6927" w:rsidRPr="00BB5BF0">
        <w:rPr>
          <w:bCs/>
          <w:noProof/>
          <w:sz w:val="20"/>
          <w:szCs w:val="20"/>
        </w:rPr>
        <w:t xml:space="preserve"> </w:t>
      </w:r>
      <w:r w:rsidRPr="00BB5BF0">
        <w:rPr>
          <w:bCs/>
          <w:noProof/>
          <w:sz w:val="20"/>
          <w:szCs w:val="20"/>
        </w:rPr>
        <w:t>Y.</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Chen,</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F.,</w:t>
      </w:r>
      <w:r w:rsidR="00ED6927" w:rsidRPr="00BB5BF0">
        <w:rPr>
          <w:bCs/>
          <w:noProof/>
          <w:sz w:val="20"/>
          <w:szCs w:val="20"/>
        </w:rPr>
        <w:t xml:space="preserve"> </w:t>
      </w:r>
      <w:r w:rsidRPr="00BB5BF0">
        <w:rPr>
          <w:bCs/>
          <w:noProof/>
          <w:sz w:val="20"/>
          <w:szCs w:val="20"/>
        </w:rPr>
        <w:t>Hsieh,</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an.,</w:t>
      </w:r>
      <w:r w:rsidR="00ED6927" w:rsidRPr="00BB5BF0">
        <w:rPr>
          <w:bCs/>
          <w:noProof/>
          <w:sz w:val="20"/>
          <w:szCs w:val="20"/>
        </w:rPr>
        <w:t xml:space="preserve"> </w:t>
      </w:r>
      <w:r w:rsidRPr="00BB5BF0">
        <w:rPr>
          <w:bCs/>
          <w:noProof/>
          <w:sz w:val="20"/>
          <w:szCs w:val="20"/>
        </w:rPr>
        <w:t>Lo,</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&amp; </w:t>
      </w:r>
      <w:r w:rsidRPr="00BB5BF0">
        <w:rPr>
          <w:bCs/>
          <w:noProof/>
          <w:sz w:val="20"/>
          <w:szCs w:val="20"/>
        </w:rPr>
        <w:t>Hung,</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(2018):</w:t>
      </w:r>
      <w:r w:rsidR="00ED6927" w:rsidRPr="00BB5BF0">
        <w:rPr>
          <w:bCs/>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comparison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efficacy</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on</w:t>
      </w:r>
      <w:r w:rsidR="00ED6927" w:rsidRPr="00BB5BF0">
        <w:rPr>
          <w:noProof/>
          <w:sz w:val="20"/>
          <w:szCs w:val="20"/>
        </w:rPr>
        <w:t xml:space="preserve"> </w:t>
      </w:r>
      <w:r w:rsidRPr="00BB5BF0">
        <w:rPr>
          <w:noProof/>
          <w:sz w:val="20"/>
          <w:szCs w:val="20"/>
        </w:rPr>
        <w:t>hemorrhage-related</w:t>
      </w:r>
      <w:r w:rsidR="00ED6927" w:rsidRPr="00BB5BF0">
        <w:rPr>
          <w:noProof/>
          <w:sz w:val="20"/>
          <w:szCs w:val="20"/>
        </w:rPr>
        <w:t xml:space="preserve"> </w:t>
      </w:r>
      <w:r w:rsidRPr="00BB5BF0">
        <w:rPr>
          <w:noProof/>
          <w:sz w:val="20"/>
          <w:szCs w:val="20"/>
        </w:rPr>
        <w:t>changes</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women</w:t>
      </w:r>
      <w:r w:rsidR="00ED6927" w:rsidRPr="00BB5BF0">
        <w:rPr>
          <w:noProof/>
          <w:sz w:val="20"/>
          <w:szCs w:val="20"/>
        </w:rPr>
        <w:t xml:space="preserve"> </w:t>
      </w:r>
      <w:r w:rsidRPr="00BB5BF0">
        <w:rPr>
          <w:noProof/>
          <w:sz w:val="20"/>
          <w:szCs w:val="20"/>
        </w:rPr>
        <w:t>with</w:t>
      </w:r>
      <w:r w:rsidR="00ED6927" w:rsidRPr="00BB5BF0">
        <w:rPr>
          <w:noProof/>
          <w:sz w:val="20"/>
          <w:szCs w:val="20"/>
        </w:rPr>
        <w:t xml:space="preserve"> </w:t>
      </w:r>
      <w:r w:rsidRPr="00BB5BF0">
        <w:rPr>
          <w:noProof/>
          <w:sz w:val="20"/>
          <w:szCs w:val="20"/>
        </w:rPr>
        <w:t>cesarean</w:t>
      </w:r>
      <w:r w:rsidR="00ED6927" w:rsidRPr="00BB5BF0">
        <w:rPr>
          <w:noProof/>
          <w:sz w:val="20"/>
          <w:szCs w:val="20"/>
        </w:rPr>
        <w:t xml:space="preserve"> </w:t>
      </w:r>
      <w:r w:rsidRPr="00BB5BF0">
        <w:rPr>
          <w:noProof/>
          <w:sz w:val="20"/>
          <w:szCs w:val="20"/>
        </w:rPr>
        <w:t>deliveries</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different</w:t>
      </w:r>
      <w:r w:rsidR="00ED6927" w:rsidRPr="00BB5BF0">
        <w:rPr>
          <w:noProof/>
          <w:sz w:val="20"/>
          <w:szCs w:val="20"/>
        </w:rPr>
        <w:t xml:space="preserve"> </w:t>
      </w:r>
      <w:r w:rsidRPr="00BB5BF0">
        <w:rPr>
          <w:noProof/>
          <w:sz w:val="20"/>
          <w:szCs w:val="20"/>
        </w:rPr>
        <w:t>indications</w:t>
      </w:r>
      <w:r w:rsidRPr="00BB5BF0">
        <w:rPr>
          <w:bCs/>
          <w:noProof/>
          <w:sz w:val="20"/>
          <w:szCs w:val="20"/>
        </w:rPr>
        <w:t>.</w:t>
      </w:r>
      <w:r w:rsidR="00ED6927" w:rsidRPr="00BB5BF0">
        <w:rPr>
          <w:bCs/>
          <w:noProof/>
          <w:sz w:val="20"/>
          <w:szCs w:val="20"/>
        </w:rPr>
        <w:t xml:space="preserve"> </w:t>
      </w:r>
      <w:r w:rsidRPr="00BB5BF0">
        <w:rPr>
          <w:i/>
          <w:iCs/>
          <w:noProof/>
          <w:sz w:val="20"/>
          <w:szCs w:val="20"/>
        </w:rPr>
        <w:t>Taiwanese</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Obstetrics</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Gynecology</w:t>
      </w:r>
      <w:r w:rsidRPr="00BB5BF0">
        <w:rPr>
          <w:noProof/>
          <w:sz w:val="20"/>
          <w:szCs w:val="20"/>
        </w:rPr>
        <w:t>,</w:t>
      </w:r>
      <w:r w:rsidR="00ED6927" w:rsidRPr="00BB5BF0">
        <w:rPr>
          <w:noProof/>
          <w:sz w:val="20"/>
          <w:szCs w:val="20"/>
        </w:rPr>
        <w:t xml:space="preserve"> </w:t>
      </w:r>
      <w:r w:rsidRPr="00BB5BF0">
        <w:rPr>
          <w:i/>
          <w:iCs/>
          <w:noProof/>
          <w:sz w:val="20"/>
          <w:szCs w:val="20"/>
        </w:rPr>
        <w:t>57</w:t>
      </w:r>
      <w:r w:rsidRPr="00BB5BF0">
        <w:rPr>
          <w:noProof/>
          <w:sz w:val="20"/>
          <w:szCs w:val="20"/>
        </w:rPr>
        <w:t>(5),</w:t>
      </w:r>
      <w:r w:rsidR="00ED6927" w:rsidRPr="00BB5BF0">
        <w:rPr>
          <w:noProof/>
          <w:sz w:val="20"/>
          <w:szCs w:val="20"/>
        </w:rPr>
        <w:t xml:space="preserve"> </w:t>
      </w:r>
      <w:r w:rsidRPr="00BB5BF0">
        <w:rPr>
          <w:noProof/>
          <w:sz w:val="20"/>
          <w:szCs w:val="20"/>
        </w:rPr>
        <w:t>677–682.</w:t>
      </w:r>
      <w:r w:rsidR="00ED6927" w:rsidRPr="00BB5BF0">
        <w:rPr>
          <w:noProof/>
          <w:sz w:val="20"/>
          <w:szCs w:val="20"/>
        </w:rPr>
        <w:t xml:space="preserve"> </w:t>
      </w:r>
      <w:r w:rsidRPr="00BB5BF0">
        <w:rPr>
          <w:noProof/>
          <w:sz w:val="20"/>
          <w:szCs w:val="20"/>
        </w:rPr>
        <w:t>https://doi.org/10.1016/j.tjog.2018.08.011</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Dahlke,</w:t>
      </w:r>
      <w:r w:rsidR="00ED6927" w:rsidRPr="00BB5BF0">
        <w:rPr>
          <w:bCs/>
          <w:noProof/>
          <w:sz w:val="20"/>
          <w:szCs w:val="20"/>
        </w:rPr>
        <w:t xml:space="preserve"> </w:t>
      </w:r>
      <w:r w:rsidRPr="00BB5BF0">
        <w:rPr>
          <w:bCs/>
          <w:noProof/>
          <w:sz w:val="20"/>
          <w:szCs w:val="20"/>
        </w:rPr>
        <w:t>J.</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Mendez-Figueroa,</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Maggio,</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Hauspurg,</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K.,</w:t>
      </w:r>
      <w:r w:rsidR="00ED6927" w:rsidRPr="00BB5BF0">
        <w:rPr>
          <w:bCs/>
          <w:noProof/>
          <w:sz w:val="20"/>
          <w:szCs w:val="20"/>
        </w:rPr>
        <w:t xml:space="preserve"> </w:t>
      </w:r>
      <w:r w:rsidRPr="00BB5BF0">
        <w:rPr>
          <w:bCs/>
          <w:noProof/>
          <w:sz w:val="20"/>
          <w:szCs w:val="20"/>
        </w:rPr>
        <w:t>Sperling,</w:t>
      </w:r>
      <w:r w:rsidR="00ED6927" w:rsidRPr="00BB5BF0">
        <w:rPr>
          <w:bCs/>
          <w:noProof/>
          <w:sz w:val="20"/>
          <w:szCs w:val="20"/>
        </w:rPr>
        <w:t xml:space="preserve"> </w:t>
      </w:r>
      <w:r w:rsidRPr="00BB5BF0">
        <w:rPr>
          <w:bCs/>
          <w:noProof/>
          <w:sz w:val="20"/>
          <w:szCs w:val="20"/>
        </w:rPr>
        <w:t>J.</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Chauhan,</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&amp; </w:t>
      </w:r>
      <w:r w:rsidRPr="00BB5BF0">
        <w:rPr>
          <w:bCs/>
          <w:noProof/>
          <w:sz w:val="20"/>
          <w:szCs w:val="20"/>
        </w:rPr>
        <w:t>Rouse,</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J.</w:t>
      </w:r>
      <w:r w:rsidR="00ED6927" w:rsidRPr="00BB5BF0">
        <w:rPr>
          <w:bCs/>
          <w:noProof/>
          <w:sz w:val="20"/>
          <w:szCs w:val="20"/>
        </w:rPr>
        <w:t xml:space="preserve"> </w:t>
      </w:r>
      <w:r w:rsidRPr="00BB5BF0">
        <w:rPr>
          <w:bCs/>
          <w:noProof/>
          <w:sz w:val="20"/>
          <w:szCs w:val="20"/>
        </w:rPr>
        <w:t>(2015):</w:t>
      </w:r>
      <w:r w:rsidR="00ED6927" w:rsidRPr="00BB5BF0">
        <w:rPr>
          <w:bCs/>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hemorrhage:</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comparison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4</w:t>
      </w:r>
      <w:r w:rsidR="00ED6927" w:rsidRPr="00BB5BF0">
        <w:rPr>
          <w:noProof/>
          <w:sz w:val="20"/>
          <w:szCs w:val="20"/>
        </w:rPr>
        <w:t xml:space="preserve"> </w:t>
      </w:r>
      <w:r w:rsidRPr="00BB5BF0">
        <w:rPr>
          <w:noProof/>
          <w:sz w:val="20"/>
          <w:szCs w:val="20"/>
        </w:rPr>
        <w:t>national</w:t>
      </w:r>
      <w:r w:rsidR="00ED6927" w:rsidRPr="00BB5BF0">
        <w:rPr>
          <w:noProof/>
          <w:sz w:val="20"/>
          <w:szCs w:val="20"/>
        </w:rPr>
        <w:t xml:space="preserve"> </w:t>
      </w:r>
      <w:r w:rsidRPr="00BB5BF0">
        <w:rPr>
          <w:noProof/>
          <w:sz w:val="20"/>
          <w:szCs w:val="20"/>
        </w:rPr>
        <w:t>guidelines</w:t>
      </w:r>
      <w:r w:rsidRPr="00BB5BF0">
        <w:rPr>
          <w:bCs/>
          <w:noProof/>
          <w:sz w:val="20"/>
          <w:szCs w:val="20"/>
        </w:rPr>
        <w:t>.</w:t>
      </w:r>
      <w:r w:rsidR="00ED6927" w:rsidRPr="00BB5BF0">
        <w:rPr>
          <w:bCs/>
          <w:noProof/>
          <w:sz w:val="20"/>
          <w:szCs w:val="20"/>
        </w:rPr>
        <w:t xml:space="preserve"> </w:t>
      </w:r>
      <w:r w:rsidRPr="00BB5BF0">
        <w:rPr>
          <w:i/>
          <w:iCs/>
          <w:noProof/>
          <w:sz w:val="20"/>
          <w:szCs w:val="20"/>
        </w:rPr>
        <w:t>American</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Obstetrics</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Gynecology</w:t>
      </w:r>
      <w:r w:rsidRPr="00BB5BF0">
        <w:rPr>
          <w:noProof/>
          <w:sz w:val="20"/>
          <w:szCs w:val="20"/>
        </w:rPr>
        <w:t>,</w:t>
      </w:r>
      <w:r w:rsidR="00ED6927" w:rsidRPr="00BB5BF0">
        <w:rPr>
          <w:noProof/>
          <w:sz w:val="20"/>
          <w:szCs w:val="20"/>
        </w:rPr>
        <w:t xml:space="preserve"> </w:t>
      </w:r>
      <w:r w:rsidRPr="00BB5BF0">
        <w:rPr>
          <w:i/>
          <w:iCs/>
          <w:noProof/>
          <w:sz w:val="20"/>
          <w:szCs w:val="20"/>
        </w:rPr>
        <w:t>213</w:t>
      </w:r>
      <w:r w:rsidRPr="00BB5BF0">
        <w:rPr>
          <w:noProof/>
          <w:sz w:val="20"/>
          <w:szCs w:val="20"/>
        </w:rPr>
        <w:t>(1),</w:t>
      </w:r>
      <w:r w:rsidR="00ED6927" w:rsidRPr="00BB5BF0">
        <w:rPr>
          <w:noProof/>
          <w:sz w:val="20"/>
          <w:szCs w:val="20"/>
        </w:rPr>
        <w:t xml:space="preserve"> </w:t>
      </w:r>
      <w:r w:rsidRPr="00BB5BF0">
        <w:rPr>
          <w:noProof/>
          <w:sz w:val="20"/>
          <w:szCs w:val="20"/>
        </w:rPr>
        <w:t>76.e1-76.e10.</w:t>
      </w:r>
      <w:r w:rsidR="00ED6927" w:rsidRPr="00BB5BF0">
        <w:rPr>
          <w:noProof/>
          <w:sz w:val="20"/>
          <w:szCs w:val="20"/>
        </w:rPr>
        <w:t xml:space="preserve"> </w:t>
      </w:r>
      <w:r w:rsidRPr="00BB5BF0">
        <w:rPr>
          <w:noProof/>
          <w:sz w:val="20"/>
          <w:szCs w:val="20"/>
        </w:rPr>
        <w:t>https://doi.org/10.1016/j.ajog.2015.02.023</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Dell-Kuster,</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Hoesli,</w:t>
      </w:r>
      <w:r w:rsidR="00ED6927" w:rsidRPr="00BB5BF0">
        <w:rPr>
          <w:bCs/>
          <w:noProof/>
          <w:sz w:val="20"/>
          <w:szCs w:val="20"/>
        </w:rPr>
        <w:t xml:space="preserve"> </w:t>
      </w:r>
      <w:r w:rsidRPr="00BB5BF0">
        <w:rPr>
          <w:bCs/>
          <w:noProof/>
          <w:sz w:val="20"/>
          <w:szCs w:val="20"/>
        </w:rPr>
        <w:t>I.,</w:t>
      </w:r>
      <w:r w:rsidR="00ED6927" w:rsidRPr="00BB5BF0">
        <w:rPr>
          <w:bCs/>
          <w:noProof/>
          <w:sz w:val="20"/>
          <w:szCs w:val="20"/>
        </w:rPr>
        <w:t xml:space="preserve"> </w:t>
      </w:r>
      <w:r w:rsidRPr="00BB5BF0">
        <w:rPr>
          <w:bCs/>
          <w:noProof/>
          <w:sz w:val="20"/>
          <w:szCs w:val="20"/>
        </w:rPr>
        <w:t>Lapaire,</w:t>
      </w:r>
      <w:r w:rsidR="00ED6927" w:rsidRPr="00BB5BF0">
        <w:rPr>
          <w:bCs/>
          <w:noProof/>
          <w:sz w:val="20"/>
          <w:szCs w:val="20"/>
        </w:rPr>
        <w:t xml:space="preserve"> </w:t>
      </w:r>
      <w:r w:rsidRPr="00BB5BF0">
        <w:rPr>
          <w:bCs/>
          <w:noProof/>
          <w:sz w:val="20"/>
          <w:szCs w:val="20"/>
        </w:rPr>
        <w:t>O.,</w:t>
      </w:r>
      <w:r w:rsidR="00ED6927" w:rsidRPr="00BB5BF0">
        <w:rPr>
          <w:bCs/>
          <w:noProof/>
          <w:sz w:val="20"/>
          <w:szCs w:val="20"/>
        </w:rPr>
        <w:t xml:space="preserve"> </w:t>
      </w:r>
      <w:r w:rsidRPr="00BB5BF0">
        <w:rPr>
          <w:bCs/>
          <w:noProof/>
          <w:sz w:val="20"/>
          <w:szCs w:val="20"/>
        </w:rPr>
        <w:t>Seeberger,</w:t>
      </w:r>
      <w:r w:rsidR="00ED6927" w:rsidRPr="00BB5BF0">
        <w:rPr>
          <w:bCs/>
          <w:noProof/>
          <w:sz w:val="20"/>
          <w:szCs w:val="20"/>
        </w:rPr>
        <w:t xml:space="preserve"> </w:t>
      </w:r>
      <w:r w:rsidRPr="00BB5BF0">
        <w:rPr>
          <w:bCs/>
          <w:noProof/>
          <w:sz w:val="20"/>
          <w:szCs w:val="20"/>
        </w:rPr>
        <w:t>E.,</w:t>
      </w:r>
      <w:r w:rsidR="00ED6927" w:rsidRPr="00BB5BF0">
        <w:rPr>
          <w:bCs/>
          <w:noProof/>
          <w:sz w:val="20"/>
          <w:szCs w:val="20"/>
        </w:rPr>
        <w:t xml:space="preserve"> </w:t>
      </w:r>
      <w:r w:rsidRPr="00BB5BF0">
        <w:rPr>
          <w:bCs/>
          <w:noProof/>
          <w:sz w:val="20"/>
          <w:szCs w:val="20"/>
        </w:rPr>
        <w:t>Steiner,</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Bucher,</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&amp; </w:t>
      </w:r>
      <w:r w:rsidRPr="00BB5BF0">
        <w:rPr>
          <w:bCs/>
          <w:noProof/>
          <w:sz w:val="20"/>
          <w:szCs w:val="20"/>
        </w:rPr>
        <w:t>Girard,</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(2016):</w:t>
      </w:r>
      <w:r w:rsidR="00ED6927" w:rsidRPr="00BB5BF0">
        <w:rPr>
          <w:bCs/>
          <w:noProof/>
          <w:sz w:val="20"/>
          <w:szCs w:val="20"/>
        </w:rPr>
        <w:t xml:space="preserve"> </w:t>
      </w:r>
      <w:r w:rsidRPr="00BB5BF0">
        <w:rPr>
          <w:noProof/>
          <w:sz w:val="20"/>
          <w:szCs w:val="20"/>
        </w:rPr>
        <w:t>Efficacy</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safety</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applied</w:t>
      </w:r>
      <w:r w:rsidR="00ED6927" w:rsidRPr="00BB5BF0">
        <w:rPr>
          <w:noProof/>
          <w:sz w:val="20"/>
          <w:szCs w:val="20"/>
        </w:rPr>
        <w:t xml:space="preserve"> </w:t>
      </w:r>
      <w:r w:rsidRPr="00BB5BF0">
        <w:rPr>
          <w:noProof/>
          <w:sz w:val="20"/>
          <w:szCs w:val="20"/>
        </w:rPr>
        <w:t>as</w:t>
      </w:r>
      <w:r w:rsidR="00ED6927" w:rsidRPr="00BB5BF0">
        <w:rPr>
          <w:noProof/>
          <w:sz w:val="20"/>
          <w:szCs w:val="20"/>
        </w:rPr>
        <w:t xml:space="preserve"> </w:t>
      </w:r>
      <w:r w:rsidRPr="00BB5BF0">
        <w:rPr>
          <w:noProof/>
          <w:sz w:val="20"/>
          <w:szCs w:val="20"/>
        </w:rPr>
        <w:t>an</w:t>
      </w:r>
      <w:r w:rsidR="00ED6927" w:rsidRPr="00BB5BF0">
        <w:rPr>
          <w:noProof/>
          <w:sz w:val="20"/>
          <w:szCs w:val="20"/>
        </w:rPr>
        <w:t xml:space="preserve"> </w:t>
      </w:r>
      <w:r w:rsidRPr="00BB5BF0">
        <w:rPr>
          <w:noProof/>
          <w:sz w:val="20"/>
          <w:szCs w:val="20"/>
        </w:rPr>
        <w:t>intravenous</w:t>
      </w:r>
      <w:r w:rsidR="00ED6927" w:rsidRPr="00BB5BF0">
        <w:rPr>
          <w:noProof/>
          <w:sz w:val="20"/>
          <w:szCs w:val="20"/>
        </w:rPr>
        <w:t xml:space="preserve"> </w:t>
      </w:r>
      <w:r w:rsidRPr="00BB5BF0">
        <w:rPr>
          <w:noProof/>
          <w:sz w:val="20"/>
          <w:szCs w:val="20"/>
        </w:rPr>
        <w:t>bolus</w:t>
      </w:r>
      <w:r w:rsidR="00ED6927" w:rsidRPr="00BB5BF0">
        <w:rPr>
          <w:noProof/>
          <w:sz w:val="20"/>
          <w:szCs w:val="20"/>
        </w:rPr>
        <w:t xml:space="preserve"> </w:t>
      </w:r>
      <w:r w:rsidRPr="00BB5BF0">
        <w:rPr>
          <w:noProof/>
          <w:sz w:val="20"/>
          <w:szCs w:val="20"/>
        </w:rPr>
        <w:t>compared</w:t>
      </w:r>
      <w:r w:rsidR="00ED6927" w:rsidRPr="00BB5BF0">
        <w:rPr>
          <w:noProof/>
          <w:sz w:val="20"/>
          <w:szCs w:val="20"/>
        </w:rPr>
        <w:t xml:space="preserve"> </w:t>
      </w:r>
      <w:r w:rsidRPr="00BB5BF0">
        <w:rPr>
          <w:noProof/>
          <w:sz w:val="20"/>
          <w:szCs w:val="20"/>
        </w:rPr>
        <w:t>to</w:t>
      </w:r>
      <w:r w:rsidR="00ED6927" w:rsidRPr="00BB5BF0">
        <w:rPr>
          <w:noProof/>
          <w:sz w:val="20"/>
          <w:szCs w:val="20"/>
        </w:rPr>
        <w:t xml:space="preserve"> </w:t>
      </w:r>
      <w:r w:rsidRPr="00BB5BF0">
        <w:rPr>
          <w:noProof/>
          <w:sz w:val="20"/>
          <w:szCs w:val="20"/>
        </w:rPr>
        <w:t>as</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short-infusion</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caesarean</w:t>
      </w:r>
      <w:r w:rsidR="00ED6927" w:rsidRPr="00BB5BF0">
        <w:rPr>
          <w:noProof/>
          <w:sz w:val="20"/>
          <w:szCs w:val="20"/>
        </w:rPr>
        <w:t xml:space="preserve"> </w:t>
      </w:r>
      <w:r w:rsidRPr="00BB5BF0">
        <w:rPr>
          <w:noProof/>
          <w:sz w:val="20"/>
          <w:szCs w:val="20"/>
        </w:rPr>
        <w:t>section:</w:t>
      </w:r>
      <w:r w:rsidR="00ED6927" w:rsidRPr="00BB5BF0">
        <w:rPr>
          <w:noProof/>
          <w:sz w:val="20"/>
          <w:szCs w:val="20"/>
        </w:rPr>
        <w:t xml:space="preserve"> </w:t>
      </w:r>
      <w:r w:rsidRPr="00BB5BF0">
        <w:rPr>
          <w:noProof/>
          <w:sz w:val="20"/>
          <w:szCs w:val="20"/>
        </w:rPr>
        <w:t>Study</w:t>
      </w:r>
      <w:r w:rsidR="00ED6927" w:rsidRPr="00BB5BF0">
        <w:rPr>
          <w:noProof/>
          <w:sz w:val="20"/>
          <w:szCs w:val="20"/>
        </w:rPr>
        <w:t xml:space="preserve"> </w:t>
      </w:r>
      <w:r w:rsidRPr="00BB5BF0">
        <w:rPr>
          <w:noProof/>
          <w:sz w:val="20"/>
          <w:szCs w:val="20"/>
        </w:rPr>
        <w:t>protocol</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randomised</w:t>
      </w:r>
      <w:r w:rsidR="00ED6927" w:rsidRPr="00BB5BF0">
        <w:rPr>
          <w:noProof/>
          <w:sz w:val="20"/>
          <w:szCs w:val="20"/>
        </w:rPr>
        <w:t xml:space="preserve"> </w:t>
      </w:r>
      <w:r w:rsidRPr="00BB5BF0">
        <w:rPr>
          <w:noProof/>
          <w:sz w:val="20"/>
          <w:szCs w:val="20"/>
        </w:rPr>
        <w:t>controlled</w:t>
      </w:r>
      <w:r w:rsidR="00ED6927" w:rsidRPr="00BB5BF0">
        <w:rPr>
          <w:noProof/>
          <w:sz w:val="20"/>
          <w:szCs w:val="20"/>
        </w:rPr>
        <w:t xml:space="preserve"> </w:t>
      </w:r>
      <w:r w:rsidRPr="00BB5BF0">
        <w:rPr>
          <w:noProof/>
          <w:sz w:val="20"/>
          <w:szCs w:val="20"/>
        </w:rPr>
        <w:t>trial</w:t>
      </w:r>
      <w:r w:rsidRPr="00BB5BF0">
        <w:rPr>
          <w:bCs/>
          <w:noProof/>
          <w:sz w:val="20"/>
          <w:szCs w:val="20"/>
        </w:rPr>
        <w:t>.</w:t>
      </w:r>
      <w:r w:rsidR="00ED6927" w:rsidRPr="00BB5BF0">
        <w:rPr>
          <w:bCs/>
          <w:noProof/>
          <w:sz w:val="20"/>
          <w:szCs w:val="20"/>
        </w:rPr>
        <w:t xml:space="preserve"> </w:t>
      </w:r>
      <w:r w:rsidRPr="00BB5BF0">
        <w:rPr>
          <w:i/>
          <w:iCs/>
          <w:noProof/>
          <w:sz w:val="20"/>
          <w:szCs w:val="20"/>
        </w:rPr>
        <w:t>Trials</w:t>
      </w:r>
      <w:r w:rsidRPr="00BB5BF0">
        <w:rPr>
          <w:noProof/>
          <w:sz w:val="20"/>
          <w:szCs w:val="20"/>
        </w:rPr>
        <w:t>,</w:t>
      </w:r>
      <w:r w:rsidR="00ED6927" w:rsidRPr="00BB5BF0">
        <w:rPr>
          <w:noProof/>
          <w:sz w:val="20"/>
          <w:szCs w:val="20"/>
        </w:rPr>
        <w:t xml:space="preserve"> </w:t>
      </w:r>
      <w:r w:rsidRPr="00BB5BF0">
        <w:rPr>
          <w:i/>
          <w:iCs/>
          <w:noProof/>
          <w:sz w:val="20"/>
          <w:szCs w:val="20"/>
        </w:rPr>
        <w:t>17</w:t>
      </w:r>
      <w:r w:rsidRPr="00BB5BF0">
        <w:rPr>
          <w:noProof/>
          <w:sz w:val="20"/>
          <w:szCs w:val="20"/>
        </w:rPr>
        <w:t>(1),</w:t>
      </w:r>
      <w:r w:rsidR="00ED6927" w:rsidRPr="00BB5BF0">
        <w:rPr>
          <w:noProof/>
          <w:sz w:val="20"/>
          <w:szCs w:val="20"/>
        </w:rPr>
        <w:t xml:space="preserve"> </w:t>
      </w:r>
      <w:r w:rsidRPr="00BB5BF0">
        <w:rPr>
          <w:noProof/>
          <w:sz w:val="20"/>
          <w:szCs w:val="20"/>
        </w:rPr>
        <w:t>155.</w:t>
      </w:r>
      <w:r w:rsidR="00ED6927" w:rsidRPr="00BB5BF0">
        <w:rPr>
          <w:noProof/>
          <w:sz w:val="20"/>
          <w:szCs w:val="20"/>
        </w:rPr>
        <w:t xml:space="preserve"> </w:t>
      </w:r>
      <w:r w:rsidRPr="00BB5BF0">
        <w:rPr>
          <w:noProof/>
          <w:sz w:val="20"/>
          <w:szCs w:val="20"/>
        </w:rPr>
        <w:t>https://doi.org/10.1186/s13063-016-1285-5</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Ghosh,</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Ray,</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Mallik,</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Laha,</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&amp; </w:t>
      </w:r>
      <w:r w:rsidRPr="00BB5BF0">
        <w:rPr>
          <w:bCs/>
          <w:noProof/>
          <w:sz w:val="20"/>
          <w:szCs w:val="20"/>
        </w:rPr>
        <w:t>Bhattacharya,</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(2013):</w:t>
      </w:r>
      <w:r w:rsidR="00ED6927" w:rsidRPr="00BB5BF0">
        <w:rPr>
          <w:bCs/>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administration</w:t>
      </w:r>
      <w:r w:rsidR="00ED6927" w:rsidRPr="00BB5BF0">
        <w:rPr>
          <w:noProof/>
          <w:sz w:val="20"/>
          <w:szCs w:val="20"/>
        </w:rPr>
        <w:t xml:space="preserve"> </w:t>
      </w:r>
      <w:r w:rsidRPr="00BB5BF0">
        <w:rPr>
          <w:noProof/>
          <w:sz w:val="20"/>
          <w:szCs w:val="20"/>
        </w:rPr>
        <w:t>during</w:t>
      </w:r>
      <w:r w:rsidR="00ED6927" w:rsidRPr="00BB5BF0">
        <w:rPr>
          <w:noProof/>
          <w:sz w:val="20"/>
          <w:szCs w:val="20"/>
        </w:rPr>
        <w:t xml:space="preserve"> </w:t>
      </w:r>
      <w:r w:rsidRPr="00BB5BF0">
        <w:rPr>
          <w:noProof/>
          <w:sz w:val="20"/>
          <w:szCs w:val="20"/>
        </w:rPr>
        <w:t>cesarean</w:t>
      </w:r>
      <w:r w:rsidR="00ED6927" w:rsidRPr="00BB5BF0">
        <w:rPr>
          <w:noProof/>
          <w:sz w:val="20"/>
          <w:szCs w:val="20"/>
        </w:rPr>
        <w:t xml:space="preserve"> </w:t>
      </w:r>
      <w:r w:rsidRPr="00BB5BF0">
        <w:rPr>
          <w:noProof/>
          <w:sz w:val="20"/>
          <w:szCs w:val="20"/>
        </w:rPr>
        <w:t>delivery:</w:t>
      </w:r>
      <w:r w:rsidR="00ED6927" w:rsidRPr="00BB5BF0">
        <w:rPr>
          <w:noProof/>
          <w:sz w:val="20"/>
          <w:szCs w:val="20"/>
        </w:rPr>
        <w:t xml:space="preserve"> </w:t>
      </w:r>
      <w:r w:rsidRPr="00BB5BF0">
        <w:rPr>
          <w:noProof/>
          <w:sz w:val="20"/>
          <w:szCs w:val="20"/>
        </w:rPr>
        <w:t>Randomized</w:t>
      </w:r>
      <w:r w:rsidR="00ED6927" w:rsidRPr="00BB5BF0">
        <w:rPr>
          <w:noProof/>
          <w:sz w:val="20"/>
          <w:szCs w:val="20"/>
        </w:rPr>
        <w:t xml:space="preserve"> </w:t>
      </w:r>
      <w:r w:rsidRPr="00BB5BF0">
        <w:rPr>
          <w:noProof/>
          <w:sz w:val="20"/>
          <w:szCs w:val="20"/>
        </w:rPr>
        <w:t>controlled</w:t>
      </w:r>
      <w:r w:rsidR="00ED6927" w:rsidRPr="00BB5BF0">
        <w:rPr>
          <w:noProof/>
          <w:sz w:val="20"/>
          <w:szCs w:val="20"/>
        </w:rPr>
        <w:t xml:space="preserve"> </w:t>
      </w:r>
      <w:r w:rsidRPr="00BB5BF0">
        <w:rPr>
          <w:noProof/>
          <w:sz w:val="20"/>
          <w:szCs w:val="20"/>
        </w:rPr>
        <w:t>trial</w:t>
      </w:r>
      <w:r w:rsidR="00ED6927" w:rsidRPr="00BB5BF0">
        <w:rPr>
          <w:noProof/>
          <w:sz w:val="20"/>
          <w:szCs w:val="20"/>
        </w:rPr>
        <w:t xml:space="preserve"> </w:t>
      </w:r>
      <w:r w:rsidRPr="00BB5BF0">
        <w:rPr>
          <w:noProof/>
          <w:sz w:val="20"/>
          <w:szCs w:val="20"/>
        </w:rPr>
        <w:t>to</w:t>
      </w:r>
      <w:r w:rsidR="00ED6927" w:rsidRPr="00BB5BF0">
        <w:rPr>
          <w:noProof/>
          <w:sz w:val="20"/>
          <w:szCs w:val="20"/>
        </w:rPr>
        <w:t xml:space="preserve"> </w:t>
      </w:r>
      <w:r w:rsidRPr="00BB5BF0">
        <w:rPr>
          <w:noProof/>
          <w:sz w:val="20"/>
          <w:szCs w:val="20"/>
        </w:rPr>
        <w:t>compare</w:t>
      </w:r>
      <w:r w:rsidR="00ED6927" w:rsidRPr="00BB5BF0">
        <w:rPr>
          <w:noProof/>
          <w:sz w:val="20"/>
          <w:szCs w:val="20"/>
        </w:rPr>
        <w:t xml:space="preserve"> </w:t>
      </w:r>
      <w:r w:rsidRPr="00BB5BF0">
        <w:rPr>
          <w:noProof/>
          <w:sz w:val="20"/>
          <w:szCs w:val="20"/>
        </w:rPr>
        <w:t>intravenous</w:t>
      </w:r>
      <w:r w:rsidR="00ED6927" w:rsidRPr="00BB5BF0">
        <w:rPr>
          <w:noProof/>
          <w:sz w:val="20"/>
          <w:szCs w:val="20"/>
        </w:rPr>
        <w:t xml:space="preserve"> </w:t>
      </w:r>
      <w:r w:rsidRPr="00BB5BF0">
        <w:rPr>
          <w:noProof/>
          <w:sz w:val="20"/>
          <w:szCs w:val="20"/>
        </w:rPr>
        <w:t>bolus</w:t>
      </w:r>
      <w:r w:rsidR="00ED6927" w:rsidRPr="00BB5BF0">
        <w:rPr>
          <w:noProof/>
          <w:sz w:val="20"/>
          <w:szCs w:val="20"/>
        </w:rPr>
        <w:t xml:space="preserve"> </w:t>
      </w:r>
      <w:r w:rsidRPr="00BB5BF0">
        <w:rPr>
          <w:noProof/>
          <w:sz w:val="20"/>
          <w:szCs w:val="20"/>
        </w:rPr>
        <w:t>with</w:t>
      </w:r>
      <w:r w:rsidR="00ED6927" w:rsidRPr="00BB5BF0">
        <w:rPr>
          <w:noProof/>
          <w:sz w:val="20"/>
          <w:szCs w:val="20"/>
        </w:rPr>
        <w:t xml:space="preserve"> </w:t>
      </w:r>
      <w:r w:rsidRPr="00BB5BF0">
        <w:rPr>
          <w:noProof/>
          <w:sz w:val="20"/>
          <w:szCs w:val="20"/>
        </w:rPr>
        <w:t>intravenous</w:t>
      </w:r>
      <w:r w:rsidR="00ED6927" w:rsidRPr="00BB5BF0">
        <w:rPr>
          <w:noProof/>
          <w:sz w:val="20"/>
          <w:szCs w:val="20"/>
        </w:rPr>
        <w:t xml:space="preserve"> </w:t>
      </w:r>
      <w:r w:rsidRPr="00BB5BF0">
        <w:rPr>
          <w:noProof/>
          <w:sz w:val="20"/>
          <w:szCs w:val="20"/>
        </w:rPr>
        <w:t>infusion</w:t>
      </w:r>
      <w:r w:rsidR="00ED6927" w:rsidRPr="00BB5BF0">
        <w:rPr>
          <w:noProof/>
          <w:sz w:val="20"/>
          <w:szCs w:val="20"/>
        </w:rPr>
        <w:t xml:space="preserve"> </w:t>
      </w:r>
      <w:r w:rsidRPr="00BB5BF0">
        <w:rPr>
          <w:noProof/>
          <w:sz w:val="20"/>
          <w:szCs w:val="20"/>
        </w:rPr>
        <w:t>regimen</w:t>
      </w:r>
      <w:r w:rsidRPr="00BB5BF0">
        <w:rPr>
          <w:bCs/>
          <w:noProof/>
          <w:sz w:val="20"/>
          <w:szCs w:val="20"/>
        </w:rPr>
        <w:t>.</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Anaesthesiology</w:t>
      </w:r>
      <w:r w:rsidR="00ED6927" w:rsidRPr="00BB5BF0">
        <w:rPr>
          <w:i/>
          <w:iCs/>
          <w:noProof/>
          <w:sz w:val="20"/>
          <w:szCs w:val="20"/>
        </w:rPr>
        <w:t xml:space="preserve"> </w:t>
      </w:r>
      <w:r w:rsidRPr="00BB5BF0">
        <w:rPr>
          <w:i/>
          <w:iCs/>
          <w:noProof/>
          <w:sz w:val="20"/>
          <w:szCs w:val="20"/>
        </w:rPr>
        <w:t>Clinical</w:t>
      </w:r>
      <w:r w:rsidR="00ED6927" w:rsidRPr="00BB5BF0">
        <w:rPr>
          <w:i/>
          <w:iCs/>
          <w:noProof/>
          <w:sz w:val="20"/>
          <w:szCs w:val="20"/>
        </w:rPr>
        <w:t xml:space="preserve"> </w:t>
      </w:r>
      <w:r w:rsidRPr="00BB5BF0">
        <w:rPr>
          <w:i/>
          <w:iCs/>
          <w:noProof/>
          <w:sz w:val="20"/>
          <w:szCs w:val="20"/>
        </w:rPr>
        <w:t>Pharmacology</w:t>
      </w:r>
      <w:r w:rsidRPr="00BB5BF0">
        <w:rPr>
          <w:noProof/>
          <w:sz w:val="20"/>
          <w:szCs w:val="20"/>
        </w:rPr>
        <w:t>,</w:t>
      </w:r>
      <w:r w:rsidR="00ED6927" w:rsidRPr="00BB5BF0">
        <w:rPr>
          <w:noProof/>
          <w:sz w:val="20"/>
          <w:szCs w:val="20"/>
        </w:rPr>
        <w:t xml:space="preserve"> </w:t>
      </w:r>
      <w:r w:rsidRPr="00BB5BF0">
        <w:rPr>
          <w:i/>
          <w:iCs/>
          <w:noProof/>
          <w:sz w:val="20"/>
          <w:szCs w:val="20"/>
        </w:rPr>
        <w:t>29</w:t>
      </w:r>
      <w:r w:rsidRPr="00BB5BF0">
        <w:rPr>
          <w:noProof/>
          <w:sz w:val="20"/>
          <w:szCs w:val="20"/>
        </w:rPr>
        <w:t>(1),</w:t>
      </w:r>
      <w:r w:rsidR="00ED6927" w:rsidRPr="00BB5BF0">
        <w:rPr>
          <w:noProof/>
          <w:sz w:val="20"/>
          <w:szCs w:val="20"/>
        </w:rPr>
        <w:t xml:space="preserve"> </w:t>
      </w:r>
      <w:r w:rsidRPr="00BB5BF0">
        <w:rPr>
          <w:noProof/>
          <w:sz w:val="20"/>
          <w:szCs w:val="20"/>
        </w:rPr>
        <w:t>32.</w:t>
      </w:r>
      <w:r w:rsidR="00ED6927" w:rsidRPr="00BB5BF0">
        <w:rPr>
          <w:noProof/>
          <w:sz w:val="20"/>
          <w:szCs w:val="20"/>
        </w:rPr>
        <w:t xml:space="preserve"> </w:t>
      </w:r>
      <w:r w:rsidRPr="00BB5BF0">
        <w:rPr>
          <w:noProof/>
          <w:sz w:val="20"/>
          <w:szCs w:val="20"/>
        </w:rPr>
        <w:t>https://doi.org/10.4103/0970-9185.105790</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Girard,</w:t>
      </w:r>
      <w:r w:rsidR="00ED6927" w:rsidRPr="00BB5BF0">
        <w:rPr>
          <w:bCs/>
          <w:noProof/>
          <w:sz w:val="20"/>
          <w:szCs w:val="20"/>
        </w:rPr>
        <w:t xml:space="preserve"> </w:t>
      </w:r>
      <w:r w:rsidRPr="00BB5BF0">
        <w:rPr>
          <w:bCs/>
          <w:noProof/>
          <w:sz w:val="20"/>
          <w:szCs w:val="20"/>
        </w:rPr>
        <w:t>I.,</w:t>
      </w:r>
      <w:r w:rsidR="00ED6927" w:rsidRPr="00BB5BF0">
        <w:rPr>
          <w:bCs/>
          <w:noProof/>
          <w:sz w:val="20"/>
          <w:szCs w:val="20"/>
        </w:rPr>
        <w:t xml:space="preserve"> </w:t>
      </w:r>
      <w:r w:rsidRPr="00BB5BF0">
        <w:rPr>
          <w:bCs/>
          <w:noProof/>
          <w:sz w:val="20"/>
          <w:szCs w:val="20"/>
        </w:rPr>
        <w:t>Qc,</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Jones,</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Ab,</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w:t>
      </w:r>
      <w:r w:rsidRPr="00BB5BF0">
        <w:rPr>
          <w:bCs/>
          <w:noProof/>
          <w:sz w:val="20"/>
          <w:szCs w:val="20"/>
        </w:rPr>
        <w:t>Lee,</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Bc,</w:t>
      </w:r>
      <w:r w:rsidR="00ED6927" w:rsidRPr="00BB5BF0">
        <w:rPr>
          <w:bCs/>
          <w:noProof/>
          <w:sz w:val="20"/>
          <w:szCs w:val="20"/>
        </w:rPr>
        <w:t xml:space="preserve"> </w:t>
      </w:r>
      <w:r w:rsidRPr="00BB5BF0">
        <w:rPr>
          <w:bCs/>
          <w:noProof/>
          <w:sz w:val="20"/>
          <w:szCs w:val="20"/>
        </w:rPr>
        <w:t>V.,</w:t>
      </w:r>
      <w:r w:rsidR="00ED6927" w:rsidRPr="00BB5BF0">
        <w:rPr>
          <w:bCs/>
          <w:noProof/>
          <w:sz w:val="20"/>
          <w:szCs w:val="20"/>
        </w:rPr>
        <w:t xml:space="preserve"> </w:t>
      </w:r>
      <w:r w:rsidRPr="00BB5BF0">
        <w:rPr>
          <w:bCs/>
          <w:noProof/>
          <w:sz w:val="20"/>
          <w:szCs w:val="20"/>
        </w:rPr>
        <w:t>Shepherd,</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Sk,</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Wilson,</w:t>
      </w:r>
      <w:r w:rsidR="00ED6927" w:rsidRPr="00BB5BF0">
        <w:rPr>
          <w:bCs/>
          <w:noProof/>
          <w:sz w:val="20"/>
          <w:szCs w:val="20"/>
        </w:rPr>
        <w:t xml:space="preserve"> </w:t>
      </w:r>
      <w:r w:rsidRPr="00BB5BF0">
        <w:rPr>
          <w:bCs/>
          <w:noProof/>
          <w:sz w:val="20"/>
          <w:szCs w:val="20"/>
        </w:rPr>
        <w:t>K.,</w:t>
      </w:r>
      <w:r w:rsidR="00ED6927" w:rsidRPr="00BB5BF0">
        <w:rPr>
          <w:bCs/>
          <w:noProof/>
          <w:sz w:val="20"/>
          <w:szCs w:val="20"/>
        </w:rPr>
        <w:t xml:space="preserve"> &amp; </w:t>
      </w:r>
      <w:r w:rsidRPr="00BB5BF0">
        <w:rPr>
          <w:bCs/>
          <w:noProof/>
          <w:sz w:val="20"/>
          <w:szCs w:val="20"/>
        </w:rPr>
        <w:t>On,</w:t>
      </w:r>
      <w:r w:rsidR="00ED6927" w:rsidRPr="00BB5BF0">
        <w:rPr>
          <w:bCs/>
          <w:noProof/>
          <w:sz w:val="20"/>
          <w:szCs w:val="20"/>
        </w:rPr>
        <w:t xml:space="preserve"> </w:t>
      </w:r>
      <w:r w:rsidRPr="00BB5BF0">
        <w:rPr>
          <w:bCs/>
          <w:noProof/>
          <w:sz w:val="20"/>
          <w:szCs w:val="20"/>
        </w:rPr>
        <w:t>I.</w:t>
      </w:r>
      <w:r w:rsidR="00ED6927" w:rsidRPr="00BB5BF0">
        <w:rPr>
          <w:bCs/>
          <w:noProof/>
          <w:sz w:val="20"/>
          <w:szCs w:val="20"/>
        </w:rPr>
        <w:t xml:space="preserve"> </w:t>
      </w:r>
      <w:r w:rsidRPr="00BB5BF0">
        <w:rPr>
          <w:bCs/>
          <w:noProof/>
          <w:sz w:val="20"/>
          <w:szCs w:val="20"/>
        </w:rPr>
        <w:t>(2009):</w:t>
      </w:r>
      <w:r w:rsidR="00ED6927" w:rsidRPr="00BB5BF0">
        <w:rPr>
          <w:bCs/>
          <w:noProof/>
          <w:sz w:val="20"/>
          <w:szCs w:val="20"/>
        </w:rPr>
        <w:t xml:space="preserve"> </w:t>
      </w:r>
      <w:r w:rsidRPr="00BB5BF0">
        <w:rPr>
          <w:noProof/>
          <w:sz w:val="20"/>
          <w:szCs w:val="20"/>
        </w:rPr>
        <w:t>SOGC</w:t>
      </w:r>
      <w:r w:rsidR="00ED6927" w:rsidRPr="00BB5BF0">
        <w:rPr>
          <w:noProof/>
          <w:sz w:val="20"/>
          <w:szCs w:val="20"/>
        </w:rPr>
        <w:t xml:space="preserve"> </w:t>
      </w:r>
      <w:r w:rsidRPr="00BB5BF0">
        <w:rPr>
          <w:noProof/>
          <w:sz w:val="20"/>
          <w:szCs w:val="20"/>
        </w:rPr>
        <w:t>Guideline :</w:t>
      </w:r>
      <w:r w:rsidR="00ED6927" w:rsidRPr="00BB5BF0">
        <w:rPr>
          <w:noProof/>
          <w:sz w:val="20"/>
          <w:szCs w:val="20"/>
        </w:rPr>
        <w:t xml:space="preserve"> </w:t>
      </w:r>
      <w:r w:rsidRPr="00BB5BF0">
        <w:rPr>
          <w:noProof/>
          <w:sz w:val="20"/>
          <w:szCs w:val="20"/>
        </w:rPr>
        <w:t>Active</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Third</w:t>
      </w:r>
      <w:r w:rsidR="00ED6927" w:rsidRPr="00BB5BF0">
        <w:rPr>
          <w:noProof/>
          <w:sz w:val="20"/>
          <w:szCs w:val="20"/>
        </w:rPr>
        <w:t xml:space="preserve"> </w:t>
      </w:r>
      <w:r w:rsidRPr="00BB5BF0">
        <w:rPr>
          <w:noProof/>
          <w:sz w:val="20"/>
          <w:szCs w:val="20"/>
        </w:rPr>
        <w:t>Stage</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Labour :</w:t>
      </w:r>
      <w:r w:rsidR="00ED6927" w:rsidRPr="00BB5BF0">
        <w:rPr>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Treatment</w:t>
      </w:r>
      <w:r w:rsidR="00ED6927" w:rsidRPr="00BB5BF0">
        <w:rPr>
          <w:noProof/>
          <w:sz w:val="20"/>
          <w:szCs w:val="20"/>
        </w:rPr>
        <w:t xml:space="preserve"> </w:t>
      </w:r>
      <w:r w:rsidRPr="00BB5BF0">
        <w:rPr>
          <w:noProof/>
          <w:sz w:val="20"/>
          <w:szCs w:val="20"/>
        </w:rPr>
        <w:t>of</w:t>
      </w:r>
      <w:r w:rsidRPr="00BB5BF0">
        <w:rPr>
          <w:bCs/>
          <w:noProof/>
          <w:sz w:val="20"/>
          <w:szCs w:val="20"/>
        </w:rPr>
        <w:t>.</w:t>
      </w:r>
      <w:r w:rsidR="00ED6927" w:rsidRPr="00BB5BF0">
        <w:rPr>
          <w:bCs/>
          <w:noProof/>
          <w:sz w:val="20"/>
          <w:szCs w:val="20"/>
        </w:rPr>
        <w:t xml:space="preserve"> </w:t>
      </w:r>
      <w:r w:rsidRPr="00BB5BF0">
        <w:rPr>
          <w:i/>
          <w:iCs/>
          <w:noProof/>
          <w:sz w:val="20"/>
          <w:szCs w:val="20"/>
        </w:rPr>
        <w:t>Jogc</w:t>
      </w:r>
      <w:r w:rsidRPr="00BB5BF0">
        <w:rPr>
          <w:noProof/>
          <w:sz w:val="20"/>
          <w:szCs w:val="20"/>
        </w:rPr>
        <w:t>,</w:t>
      </w:r>
      <w:r w:rsidR="00ED6927" w:rsidRPr="00BB5BF0">
        <w:rPr>
          <w:noProof/>
          <w:sz w:val="20"/>
          <w:szCs w:val="20"/>
        </w:rPr>
        <w:t xml:space="preserve"> </w:t>
      </w:r>
      <w:r w:rsidRPr="00BB5BF0">
        <w:rPr>
          <w:i/>
          <w:iCs/>
          <w:noProof/>
          <w:sz w:val="20"/>
          <w:szCs w:val="20"/>
        </w:rPr>
        <w:t>2009</w:t>
      </w:r>
      <w:r w:rsidRPr="00BB5BF0">
        <w:rPr>
          <w:noProof/>
          <w:sz w:val="20"/>
          <w:szCs w:val="20"/>
        </w:rPr>
        <w:t>(235),</w:t>
      </w:r>
      <w:r w:rsidR="00ED6927" w:rsidRPr="00BB5BF0">
        <w:rPr>
          <w:noProof/>
          <w:sz w:val="20"/>
          <w:szCs w:val="20"/>
        </w:rPr>
        <w:t xml:space="preserve"> </w:t>
      </w:r>
      <w:r w:rsidRPr="00BB5BF0">
        <w:rPr>
          <w:noProof/>
          <w:sz w:val="20"/>
          <w:szCs w:val="20"/>
        </w:rPr>
        <w:t>980–993.</w:t>
      </w:r>
      <w:r w:rsidR="00ED6927" w:rsidRPr="00BB5BF0">
        <w:rPr>
          <w:noProof/>
          <w:sz w:val="20"/>
          <w:szCs w:val="20"/>
        </w:rPr>
        <w:t xml:space="preserve"> </w:t>
      </w:r>
      <w:r w:rsidRPr="00BB5BF0">
        <w:rPr>
          <w:noProof/>
          <w:sz w:val="20"/>
          <w:szCs w:val="20"/>
        </w:rPr>
        <w:t>https://doi.org/10.1016/S1701-2163(16)34329-8</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lastRenderedPageBreak/>
        <w:t>Larciprete,</w:t>
      </w:r>
      <w:r w:rsidR="00ED6927" w:rsidRPr="00BB5BF0">
        <w:rPr>
          <w:bCs/>
          <w:noProof/>
          <w:sz w:val="20"/>
          <w:szCs w:val="20"/>
        </w:rPr>
        <w:t xml:space="preserve"> </w:t>
      </w:r>
      <w:r w:rsidRPr="00BB5BF0">
        <w:rPr>
          <w:bCs/>
          <w:noProof/>
          <w:sz w:val="20"/>
          <w:szCs w:val="20"/>
        </w:rPr>
        <w:t>G.,</w:t>
      </w:r>
      <w:r w:rsidR="00ED6927" w:rsidRPr="00BB5BF0">
        <w:rPr>
          <w:bCs/>
          <w:noProof/>
          <w:sz w:val="20"/>
          <w:szCs w:val="20"/>
        </w:rPr>
        <w:t xml:space="preserve"> </w:t>
      </w:r>
      <w:r w:rsidRPr="00BB5BF0">
        <w:rPr>
          <w:bCs/>
          <w:noProof/>
          <w:sz w:val="20"/>
          <w:szCs w:val="20"/>
        </w:rPr>
        <w:t>Montagnoli,</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w:t>
      </w:r>
      <w:r w:rsidRPr="00BB5BF0">
        <w:rPr>
          <w:bCs/>
          <w:noProof/>
          <w:sz w:val="20"/>
          <w:szCs w:val="20"/>
        </w:rPr>
        <w:t>Frigo,</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Panetta,</w:t>
      </w:r>
      <w:r w:rsidR="00ED6927" w:rsidRPr="00BB5BF0">
        <w:rPr>
          <w:bCs/>
          <w:noProof/>
          <w:sz w:val="20"/>
          <w:szCs w:val="20"/>
        </w:rPr>
        <w:t xml:space="preserve"> </w:t>
      </w:r>
      <w:r w:rsidRPr="00BB5BF0">
        <w:rPr>
          <w:bCs/>
          <w:noProof/>
          <w:sz w:val="20"/>
          <w:szCs w:val="20"/>
        </w:rPr>
        <w:t>V.,</w:t>
      </w:r>
      <w:r w:rsidR="00ED6927" w:rsidRPr="00BB5BF0">
        <w:rPr>
          <w:bCs/>
          <w:noProof/>
          <w:sz w:val="20"/>
          <w:szCs w:val="20"/>
        </w:rPr>
        <w:t xml:space="preserve"> </w:t>
      </w:r>
      <w:r w:rsidRPr="00BB5BF0">
        <w:rPr>
          <w:bCs/>
          <w:noProof/>
          <w:sz w:val="20"/>
          <w:szCs w:val="20"/>
        </w:rPr>
        <w:t>Todde,</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w:t>
      </w:r>
      <w:r w:rsidRPr="00BB5BF0">
        <w:rPr>
          <w:bCs/>
          <w:noProof/>
          <w:sz w:val="20"/>
          <w:szCs w:val="20"/>
        </w:rPr>
        <w:t>Zuppani,</w:t>
      </w:r>
      <w:r w:rsidR="00ED6927" w:rsidRPr="00BB5BF0">
        <w:rPr>
          <w:bCs/>
          <w:noProof/>
          <w:sz w:val="20"/>
          <w:szCs w:val="20"/>
        </w:rPr>
        <w:t xml:space="preserve"> </w:t>
      </w:r>
      <w:r w:rsidRPr="00BB5BF0">
        <w:rPr>
          <w:bCs/>
          <w:noProof/>
          <w:sz w:val="20"/>
          <w:szCs w:val="20"/>
        </w:rPr>
        <w:t>B.,</w:t>
      </w:r>
      <w:r w:rsidR="00ED6927" w:rsidRPr="00BB5BF0">
        <w:rPr>
          <w:bCs/>
          <w:noProof/>
          <w:sz w:val="20"/>
          <w:szCs w:val="20"/>
        </w:rPr>
        <w:t xml:space="preserve"> </w:t>
      </w:r>
      <w:r w:rsidRPr="00BB5BF0">
        <w:rPr>
          <w:bCs/>
          <w:noProof/>
          <w:sz w:val="20"/>
          <w:szCs w:val="20"/>
        </w:rPr>
        <w:t>Centonze,</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w:t>
      </w:r>
      <w:r w:rsidRPr="00BB5BF0">
        <w:rPr>
          <w:bCs/>
          <w:noProof/>
          <w:sz w:val="20"/>
          <w:szCs w:val="20"/>
        </w:rPr>
        <w:t>Valensise,</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(2013):</w:t>
      </w:r>
      <w:r w:rsidR="00ED6927" w:rsidRPr="00BB5BF0">
        <w:rPr>
          <w:bCs/>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caesarean</w:t>
      </w:r>
      <w:r w:rsidR="00ED6927" w:rsidRPr="00BB5BF0">
        <w:rPr>
          <w:noProof/>
          <w:sz w:val="20"/>
          <w:szCs w:val="20"/>
        </w:rPr>
        <w:t xml:space="preserve"> </w:t>
      </w:r>
      <w:r w:rsidRPr="00BB5BF0">
        <w:rPr>
          <w:noProof/>
          <w:sz w:val="20"/>
          <w:szCs w:val="20"/>
        </w:rPr>
        <w:t>section</w:t>
      </w:r>
      <w:r w:rsidR="00ED6927" w:rsidRPr="00BB5BF0">
        <w:rPr>
          <w:noProof/>
          <w:sz w:val="20"/>
          <w:szCs w:val="20"/>
        </w:rPr>
        <w:t xml:space="preserve"> </w:t>
      </w:r>
      <w:r w:rsidRPr="00BB5BF0">
        <w:rPr>
          <w:noProof/>
          <w:sz w:val="20"/>
          <w:szCs w:val="20"/>
        </w:rPr>
        <w:t>with</w:t>
      </w:r>
      <w:r w:rsidR="00ED6927" w:rsidRPr="00BB5BF0">
        <w:rPr>
          <w:noProof/>
          <w:sz w:val="20"/>
          <w:szCs w:val="20"/>
        </w:rPr>
        <w:t xml:space="preserve"> </w:t>
      </w:r>
      <w:r w:rsidRPr="00BB5BF0">
        <w:rPr>
          <w:noProof/>
          <w:sz w:val="20"/>
          <w:szCs w:val="20"/>
        </w:rPr>
        <w:t>high</w:t>
      </w:r>
      <w:r w:rsidR="00ED6927" w:rsidRPr="00BB5BF0">
        <w:rPr>
          <w:noProof/>
          <w:sz w:val="20"/>
          <w:szCs w:val="20"/>
        </w:rPr>
        <w:t xml:space="preserve"> </w:t>
      </w:r>
      <w:r w:rsidRPr="00BB5BF0">
        <w:rPr>
          <w:noProof/>
          <w:sz w:val="20"/>
          <w:szCs w:val="20"/>
        </w:rPr>
        <w:t>risk</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haemorrhage.</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prenatal</w:t>
      </w:r>
      <w:r w:rsidR="00ED6927" w:rsidRPr="00BB5BF0">
        <w:rPr>
          <w:i/>
          <w:iCs/>
          <w:noProof/>
          <w:sz w:val="20"/>
          <w:szCs w:val="20"/>
        </w:rPr>
        <w:t xml:space="preserve"> </w:t>
      </w:r>
      <w:r w:rsidRPr="00BB5BF0">
        <w:rPr>
          <w:i/>
          <w:iCs/>
          <w:noProof/>
          <w:sz w:val="20"/>
          <w:szCs w:val="20"/>
        </w:rPr>
        <w:t>medicine</w:t>
      </w:r>
      <w:r w:rsidRPr="00BB5BF0">
        <w:rPr>
          <w:noProof/>
          <w:sz w:val="20"/>
          <w:szCs w:val="20"/>
        </w:rPr>
        <w:t>,</w:t>
      </w:r>
      <w:r w:rsidR="00ED6927" w:rsidRPr="00BB5BF0">
        <w:rPr>
          <w:noProof/>
          <w:sz w:val="20"/>
          <w:szCs w:val="20"/>
        </w:rPr>
        <w:t xml:space="preserve"> </w:t>
      </w:r>
      <w:r w:rsidRPr="00BB5BF0">
        <w:rPr>
          <w:i/>
          <w:iCs/>
          <w:noProof/>
          <w:sz w:val="20"/>
          <w:szCs w:val="20"/>
        </w:rPr>
        <w:t>7</w:t>
      </w:r>
      <w:r w:rsidRPr="00BB5BF0">
        <w:rPr>
          <w:noProof/>
          <w:sz w:val="20"/>
          <w:szCs w:val="20"/>
        </w:rPr>
        <w:t>(1),</w:t>
      </w:r>
      <w:r w:rsidR="00ED6927" w:rsidRPr="00BB5BF0">
        <w:rPr>
          <w:noProof/>
          <w:sz w:val="20"/>
          <w:szCs w:val="20"/>
        </w:rPr>
        <w:t xml:space="preserve"> </w:t>
      </w:r>
      <w:r w:rsidRPr="00BB5BF0">
        <w:rPr>
          <w:noProof/>
          <w:sz w:val="20"/>
          <w:szCs w:val="20"/>
        </w:rPr>
        <w:t>12–8.</w:t>
      </w:r>
      <w:r w:rsidR="00ED6927" w:rsidRPr="00BB5BF0">
        <w:rPr>
          <w:noProof/>
          <w:sz w:val="20"/>
          <w:szCs w:val="20"/>
        </w:rPr>
        <w:t xml:space="preserve"> </w:t>
      </w:r>
      <w:r w:rsidRPr="00BB5BF0">
        <w:rPr>
          <w:noProof/>
          <w:sz w:val="20"/>
          <w:szCs w:val="20"/>
        </w:rPr>
        <w:t>Opgehaal</w:t>
      </w:r>
      <w:r w:rsidR="00ED6927" w:rsidRPr="00BB5BF0">
        <w:rPr>
          <w:noProof/>
          <w:sz w:val="20"/>
          <w:szCs w:val="20"/>
        </w:rPr>
        <w:t xml:space="preserve"> </w:t>
      </w:r>
      <w:r w:rsidRPr="00BB5BF0">
        <w:rPr>
          <w:noProof/>
          <w:sz w:val="20"/>
          <w:szCs w:val="20"/>
        </w:rPr>
        <w:t>van</w:t>
      </w:r>
      <w:r w:rsidR="00ED6927" w:rsidRPr="00BB5BF0">
        <w:rPr>
          <w:noProof/>
          <w:sz w:val="20"/>
          <w:szCs w:val="20"/>
        </w:rPr>
        <w:t xml:space="preserve"> </w:t>
      </w:r>
      <w:hyperlink r:id="rId13" w:history="1">
        <w:r w:rsidR="00BB5BF0" w:rsidRPr="00BB5BF0">
          <w:rPr>
            <w:rStyle w:val="Hyperlink"/>
            <w:noProof/>
            <w:sz w:val="20"/>
            <w:szCs w:val="20"/>
          </w:rPr>
          <w:t>http://www.ncbi.nlm.nih.gov/pubmed/23741542</w:t>
        </w:r>
      </w:hyperlink>
      <w:r w:rsidR="00BB5BF0" w:rsidRPr="00BB5BF0">
        <w:rPr>
          <w:rFonts w:eastAsiaTheme="minorEastAsia" w:hint="eastAsia"/>
          <w:noProof/>
          <w:sz w:val="20"/>
          <w:szCs w:val="20"/>
          <w:lang w:eastAsia="zh-CN"/>
        </w:rPr>
        <w:t xml:space="preserve">. </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Leung,</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W.,</w:t>
      </w:r>
      <w:r w:rsidR="00ED6927" w:rsidRPr="00BB5BF0">
        <w:rPr>
          <w:bCs/>
          <w:noProof/>
          <w:sz w:val="20"/>
          <w:szCs w:val="20"/>
        </w:rPr>
        <w:t xml:space="preserve"> </w:t>
      </w:r>
      <w:r w:rsidRPr="00BB5BF0">
        <w:rPr>
          <w:bCs/>
          <w:noProof/>
          <w:sz w:val="20"/>
          <w:szCs w:val="20"/>
        </w:rPr>
        <w:t>Ng,</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Wong,</w:t>
      </w:r>
      <w:r w:rsidR="00ED6927" w:rsidRPr="00BB5BF0">
        <w:rPr>
          <w:bCs/>
          <w:noProof/>
          <w:sz w:val="20"/>
          <w:szCs w:val="20"/>
        </w:rPr>
        <w:t xml:space="preserve"> </w:t>
      </w:r>
      <w:r w:rsidRPr="00BB5BF0">
        <w:rPr>
          <w:bCs/>
          <w:noProof/>
          <w:sz w:val="20"/>
          <w:szCs w:val="20"/>
        </w:rPr>
        <w:t>W.</w:t>
      </w:r>
      <w:r w:rsidR="00ED6927" w:rsidRPr="00BB5BF0">
        <w:rPr>
          <w:bCs/>
          <w:noProof/>
          <w:sz w:val="20"/>
          <w:szCs w:val="20"/>
        </w:rPr>
        <w:t xml:space="preserve"> </w:t>
      </w:r>
      <w:r w:rsidRPr="00BB5BF0">
        <w:rPr>
          <w:bCs/>
          <w:noProof/>
          <w:sz w:val="20"/>
          <w:szCs w:val="20"/>
        </w:rPr>
        <w:t>Y.,</w:t>
      </w:r>
      <w:r w:rsidR="00ED6927" w:rsidRPr="00BB5BF0">
        <w:rPr>
          <w:bCs/>
          <w:noProof/>
          <w:sz w:val="20"/>
          <w:szCs w:val="20"/>
        </w:rPr>
        <w:t xml:space="preserve"> &amp; </w:t>
      </w:r>
      <w:r w:rsidRPr="00BB5BF0">
        <w:rPr>
          <w:bCs/>
          <w:noProof/>
          <w:sz w:val="20"/>
          <w:szCs w:val="20"/>
        </w:rPr>
        <w:t>Cheung,</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(2006):</w:t>
      </w:r>
      <w:r w:rsidR="00ED6927" w:rsidRPr="00BB5BF0">
        <w:rPr>
          <w:bCs/>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randomised</w:t>
      </w:r>
      <w:r w:rsidR="00ED6927" w:rsidRPr="00BB5BF0">
        <w:rPr>
          <w:noProof/>
          <w:sz w:val="20"/>
          <w:szCs w:val="20"/>
        </w:rPr>
        <w:t xml:space="preserve"> </w:t>
      </w:r>
      <w:r w:rsidRPr="00BB5BF0">
        <w:rPr>
          <w:noProof/>
          <w:sz w:val="20"/>
          <w:szCs w:val="20"/>
        </w:rPr>
        <w:t>trial</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syntometrine</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third</w:t>
      </w:r>
      <w:r w:rsidR="00ED6927" w:rsidRPr="00BB5BF0">
        <w:rPr>
          <w:noProof/>
          <w:sz w:val="20"/>
          <w:szCs w:val="20"/>
        </w:rPr>
        <w:t xml:space="preserve"> </w:t>
      </w:r>
      <w:r w:rsidRPr="00BB5BF0">
        <w:rPr>
          <w:noProof/>
          <w:sz w:val="20"/>
          <w:szCs w:val="20"/>
        </w:rPr>
        <w:t>stage</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labour.</w:t>
      </w:r>
      <w:r w:rsidR="00ED6927" w:rsidRPr="00BB5BF0">
        <w:rPr>
          <w:bCs/>
          <w:noProof/>
          <w:sz w:val="20"/>
          <w:szCs w:val="20"/>
        </w:rPr>
        <w:t xml:space="preserve"> </w:t>
      </w:r>
      <w:r w:rsidRPr="00BB5BF0">
        <w:rPr>
          <w:i/>
          <w:iCs/>
          <w:noProof/>
          <w:sz w:val="20"/>
          <w:szCs w:val="20"/>
        </w:rPr>
        <w:t>BJOG :</w:t>
      </w:r>
      <w:r w:rsidR="00ED6927" w:rsidRPr="00BB5BF0">
        <w:rPr>
          <w:i/>
          <w:iCs/>
          <w:noProof/>
          <w:sz w:val="20"/>
          <w:szCs w:val="20"/>
        </w:rPr>
        <w:t xml:space="preserve"> </w:t>
      </w:r>
      <w:r w:rsidRPr="00BB5BF0">
        <w:rPr>
          <w:i/>
          <w:iCs/>
          <w:noProof/>
          <w:sz w:val="20"/>
          <w:szCs w:val="20"/>
        </w:rPr>
        <w:t>an</w:t>
      </w:r>
      <w:r w:rsidR="00ED6927" w:rsidRPr="00BB5BF0">
        <w:rPr>
          <w:i/>
          <w:iCs/>
          <w:noProof/>
          <w:sz w:val="20"/>
          <w:szCs w:val="20"/>
        </w:rPr>
        <w:t xml:space="preserve"> </w:t>
      </w:r>
      <w:r w:rsidRPr="00BB5BF0">
        <w:rPr>
          <w:i/>
          <w:iCs/>
          <w:noProof/>
          <w:sz w:val="20"/>
          <w:szCs w:val="20"/>
        </w:rPr>
        <w:t>international</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obstetrics</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gynaecology</w:t>
      </w:r>
      <w:r w:rsidRPr="00BB5BF0">
        <w:rPr>
          <w:noProof/>
          <w:sz w:val="20"/>
          <w:szCs w:val="20"/>
        </w:rPr>
        <w:t>,</w:t>
      </w:r>
      <w:r w:rsidR="00ED6927" w:rsidRPr="00BB5BF0">
        <w:rPr>
          <w:noProof/>
          <w:sz w:val="20"/>
          <w:szCs w:val="20"/>
        </w:rPr>
        <w:t xml:space="preserve"> </w:t>
      </w:r>
      <w:r w:rsidRPr="00BB5BF0">
        <w:rPr>
          <w:i/>
          <w:iCs/>
          <w:noProof/>
          <w:sz w:val="20"/>
          <w:szCs w:val="20"/>
        </w:rPr>
        <w:t>113</w:t>
      </w:r>
      <w:r w:rsidRPr="00BB5BF0">
        <w:rPr>
          <w:noProof/>
          <w:sz w:val="20"/>
          <w:szCs w:val="20"/>
        </w:rPr>
        <w:t>(12),</w:t>
      </w:r>
      <w:r w:rsidR="00ED6927" w:rsidRPr="00BB5BF0">
        <w:rPr>
          <w:noProof/>
          <w:sz w:val="20"/>
          <w:szCs w:val="20"/>
        </w:rPr>
        <w:t xml:space="preserve"> </w:t>
      </w:r>
      <w:r w:rsidRPr="00BB5BF0">
        <w:rPr>
          <w:noProof/>
          <w:sz w:val="20"/>
          <w:szCs w:val="20"/>
        </w:rPr>
        <w:t>1459–64.</w:t>
      </w:r>
      <w:r w:rsidR="00ED6927" w:rsidRPr="00BB5BF0">
        <w:rPr>
          <w:noProof/>
          <w:sz w:val="20"/>
          <w:szCs w:val="20"/>
        </w:rPr>
        <w:t xml:space="preserve"> </w:t>
      </w:r>
      <w:r w:rsidRPr="00BB5BF0">
        <w:rPr>
          <w:noProof/>
          <w:sz w:val="20"/>
          <w:szCs w:val="20"/>
        </w:rPr>
        <w:t>https://doi.org/10.1111/j.1471-0528.2006.01105.x</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Magee,</w:t>
      </w:r>
      <w:r w:rsidR="00ED6927" w:rsidRPr="00BB5BF0">
        <w:rPr>
          <w:bCs/>
          <w:noProof/>
          <w:sz w:val="20"/>
          <w:szCs w:val="20"/>
        </w:rPr>
        <w:t xml:space="preserve"> </w:t>
      </w:r>
      <w:r w:rsidRPr="00BB5BF0">
        <w:rPr>
          <w:bCs/>
          <w:noProof/>
          <w:sz w:val="20"/>
          <w:szCs w:val="20"/>
        </w:rPr>
        <w:t>L.</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Pels,</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Helewa,</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Rey,</w:t>
      </w:r>
      <w:r w:rsidR="00ED6927" w:rsidRPr="00BB5BF0">
        <w:rPr>
          <w:bCs/>
          <w:noProof/>
          <w:sz w:val="20"/>
          <w:szCs w:val="20"/>
        </w:rPr>
        <w:t xml:space="preserve"> </w:t>
      </w:r>
      <w:r w:rsidRPr="00BB5BF0">
        <w:rPr>
          <w:bCs/>
          <w:noProof/>
          <w:sz w:val="20"/>
          <w:szCs w:val="20"/>
        </w:rPr>
        <w:t>E.,</w:t>
      </w:r>
      <w:r w:rsidR="00ED6927" w:rsidRPr="00BB5BF0">
        <w:rPr>
          <w:bCs/>
          <w:noProof/>
          <w:sz w:val="20"/>
          <w:szCs w:val="20"/>
        </w:rPr>
        <w:t xml:space="preserve"> &amp; </w:t>
      </w:r>
      <w:r w:rsidRPr="00BB5BF0">
        <w:rPr>
          <w:bCs/>
          <w:noProof/>
          <w:sz w:val="20"/>
          <w:szCs w:val="20"/>
        </w:rPr>
        <w:t>von</w:t>
      </w:r>
      <w:r w:rsidR="00ED6927" w:rsidRPr="00BB5BF0">
        <w:rPr>
          <w:bCs/>
          <w:noProof/>
          <w:sz w:val="20"/>
          <w:szCs w:val="20"/>
        </w:rPr>
        <w:t xml:space="preserve"> </w:t>
      </w:r>
      <w:r w:rsidRPr="00BB5BF0">
        <w:rPr>
          <w:bCs/>
          <w:noProof/>
          <w:sz w:val="20"/>
          <w:szCs w:val="20"/>
        </w:rPr>
        <w:t>Dadelszen,</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w:t>
      </w:r>
      <w:r w:rsidRPr="00BB5BF0">
        <w:rPr>
          <w:bCs/>
          <w:noProof/>
          <w:sz w:val="20"/>
          <w:szCs w:val="20"/>
        </w:rPr>
        <w:t>(2014):</w:t>
      </w:r>
      <w:r w:rsidR="00ED6927" w:rsidRPr="00BB5BF0">
        <w:rPr>
          <w:bCs/>
          <w:noProof/>
          <w:sz w:val="20"/>
          <w:szCs w:val="20"/>
        </w:rPr>
        <w:t xml:space="preserve"> </w:t>
      </w:r>
      <w:r w:rsidRPr="00BB5BF0">
        <w:rPr>
          <w:noProof/>
          <w:sz w:val="20"/>
          <w:szCs w:val="20"/>
        </w:rPr>
        <w:t>Diagnosis,</w:t>
      </w:r>
      <w:r w:rsidR="00ED6927" w:rsidRPr="00BB5BF0">
        <w:rPr>
          <w:noProof/>
          <w:sz w:val="20"/>
          <w:szCs w:val="20"/>
        </w:rPr>
        <w:t xml:space="preserve"> </w:t>
      </w:r>
      <w:r w:rsidRPr="00BB5BF0">
        <w:rPr>
          <w:noProof/>
          <w:sz w:val="20"/>
          <w:szCs w:val="20"/>
        </w:rPr>
        <w:t>evaluation,</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hypertensive</w:t>
      </w:r>
      <w:r w:rsidR="00ED6927" w:rsidRPr="00BB5BF0">
        <w:rPr>
          <w:noProof/>
          <w:sz w:val="20"/>
          <w:szCs w:val="20"/>
        </w:rPr>
        <w:t xml:space="preserve"> </w:t>
      </w:r>
      <w:r w:rsidRPr="00BB5BF0">
        <w:rPr>
          <w:noProof/>
          <w:sz w:val="20"/>
          <w:szCs w:val="20"/>
        </w:rPr>
        <w:t>disorders</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pregnancy</w:t>
      </w:r>
      <w:r w:rsidRPr="00BB5BF0">
        <w:rPr>
          <w:bCs/>
          <w:noProof/>
          <w:sz w:val="20"/>
          <w:szCs w:val="20"/>
        </w:rPr>
        <w:t>.</w:t>
      </w:r>
      <w:r w:rsidR="00ED6927" w:rsidRPr="00BB5BF0">
        <w:rPr>
          <w:bCs/>
          <w:noProof/>
          <w:sz w:val="20"/>
          <w:szCs w:val="20"/>
        </w:rPr>
        <w:t xml:space="preserve"> </w:t>
      </w:r>
      <w:r w:rsidRPr="00BB5BF0">
        <w:rPr>
          <w:i/>
          <w:iCs/>
          <w:noProof/>
          <w:sz w:val="20"/>
          <w:szCs w:val="20"/>
        </w:rPr>
        <w:t>Pregnancy</w:t>
      </w:r>
      <w:r w:rsidR="00ED6927" w:rsidRPr="00BB5BF0">
        <w:rPr>
          <w:i/>
          <w:iCs/>
          <w:noProof/>
          <w:sz w:val="20"/>
          <w:szCs w:val="20"/>
        </w:rPr>
        <w:t xml:space="preserve"> </w:t>
      </w:r>
      <w:r w:rsidRPr="00BB5BF0">
        <w:rPr>
          <w:i/>
          <w:iCs/>
          <w:noProof/>
          <w:sz w:val="20"/>
          <w:szCs w:val="20"/>
        </w:rPr>
        <w:t>Hypertension:</w:t>
      </w:r>
      <w:r w:rsidR="00ED6927" w:rsidRPr="00BB5BF0">
        <w:rPr>
          <w:i/>
          <w:iCs/>
          <w:noProof/>
          <w:sz w:val="20"/>
          <w:szCs w:val="20"/>
        </w:rPr>
        <w:t xml:space="preserve"> </w:t>
      </w:r>
      <w:r w:rsidRPr="00BB5BF0">
        <w:rPr>
          <w:i/>
          <w:iCs/>
          <w:noProof/>
          <w:sz w:val="20"/>
          <w:szCs w:val="20"/>
        </w:rPr>
        <w:t>An</w:t>
      </w:r>
      <w:r w:rsidR="00ED6927" w:rsidRPr="00BB5BF0">
        <w:rPr>
          <w:i/>
          <w:iCs/>
          <w:noProof/>
          <w:sz w:val="20"/>
          <w:szCs w:val="20"/>
        </w:rPr>
        <w:t xml:space="preserve"> </w:t>
      </w:r>
      <w:r w:rsidRPr="00BB5BF0">
        <w:rPr>
          <w:i/>
          <w:iCs/>
          <w:noProof/>
          <w:sz w:val="20"/>
          <w:szCs w:val="20"/>
        </w:rPr>
        <w:t>International</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Women’s</w:t>
      </w:r>
      <w:r w:rsidR="00ED6927" w:rsidRPr="00BB5BF0">
        <w:rPr>
          <w:i/>
          <w:iCs/>
          <w:noProof/>
          <w:sz w:val="20"/>
          <w:szCs w:val="20"/>
        </w:rPr>
        <w:t xml:space="preserve"> </w:t>
      </w:r>
      <w:r w:rsidRPr="00BB5BF0">
        <w:rPr>
          <w:i/>
          <w:iCs/>
          <w:noProof/>
          <w:sz w:val="20"/>
          <w:szCs w:val="20"/>
        </w:rPr>
        <w:t>Cardiovascular</w:t>
      </w:r>
      <w:r w:rsidR="00ED6927" w:rsidRPr="00BB5BF0">
        <w:rPr>
          <w:i/>
          <w:iCs/>
          <w:noProof/>
          <w:sz w:val="20"/>
          <w:szCs w:val="20"/>
        </w:rPr>
        <w:t xml:space="preserve"> </w:t>
      </w:r>
      <w:r w:rsidRPr="00BB5BF0">
        <w:rPr>
          <w:i/>
          <w:iCs/>
          <w:noProof/>
          <w:sz w:val="20"/>
          <w:szCs w:val="20"/>
        </w:rPr>
        <w:t>Health</w:t>
      </w:r>
      <w:r w:rsidRPr="00BB5BF0">
        <w:rPr>
          <w:noProof/>
          <w:sz w:val="20"/>
          <w:szCs w:val="20"/>
        </w:rPr>
        <w:t>,</w:t>
      </w:r>
      <w:r w:rsidR="00ED6927" w:rsidRPr="00BB5BF0">
        <w:rPr>
          <w:noProof/>
          <w:sz w:val="20"/>
          <w:szCs w:val="20"/>
        </w:rPr>
        <w:t xml:space="preserve"> </w:t>
      </w:r>
      <w:r w:rsidRPr="00BB5BF0">
        <w:rPr>
          <w:i/>
          <w:iCs/>
          <w:noProof/>
          <w:sz w:val="20"/>
          <w:szCs w:val="20"/>
        </w:rPr>
        <w:t>4</w:t>
      </w:r>
      <w:r w:rsidRPr="00BB5BF0">
        <w:rPr>
          <w:noProof/>
          <w:sz w:val="20"/>
          <w:szCs w:val="20"/>
        </w:rPr>
        <w:t>(2),</w:t>
      </w:r>
      <w:r w:rsidR="00ED6927" w:rsidRPr="00BB5BF0">
        <w:rPr>
          <w:noProof/>
          <w:sz w:val="20"/>
          <w:szCs w:val="20"/>
        </w:rPr>
        <w:t xml:space="preserve"> </w:t>
      </w:r>
      <w:r w:rsidRPr="00BB5BF0">
        <w:rPr>
          <w:noProof/>
          <w:sz w:val="20"/>
          <w:szCs w:val="20"/>
        </w:rPr>
        <w:t>105–145.</w:t>
      </w:r>
      <w:r w:rsidR="00ED6927" w:rsidRPr="00BB5BF0">
        <w:rPr>
          <w:noProof/>
          <w:sz w:val="20"/>
          <w:szCs w:val="20"/>
        </w:rPr>
        <w:t xml:space="preserve"> </w:t>
      </w:r>
      <w:r w:rsidRPr="00BB5BF0">
        <w:rPr>
          <w:noProof/>
          <w:sz w:val="20"/>
          <w:szCs w:val="20"/>
        </w:rPr>
        <w:t>https://doi.org/10.1016/J.PREGHY.2014.01.003</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Malabarey,</w:t>
      </w:r>
      <w:r w:rsidR="00ED6927" w:rsidRPr="00BB5BF0">
        <w:rPr>
          <w:bCs/>
          <w:noProof/>
          <w:sz w:val="20"/>
          <w:szCs w:val="20"/>
        </w:rPr>
        <w:t xml:space="preserve"> </w:t>
      </w:r>
      <w:r w:rsidRPr="00BB5BF0">
        <w:rPr>
          <w:bCs/>
          <w:noProof/>
          <w:sz w:val="20"/>
          <w:szCs w:val="20"/>
        </w:rPr>
        <w:t>O.,</w:t>
      </w:r>
      <w:r w:rsidR="00ED6927" w:rsidRPr="00BB5BF0">
        <w:rPr>
          <w:bCs/>
          <w:noProof/>
          <w:sz w:val="20"/>
          <w:szCs w:val="20"/>
        </w:rPr>
        <w:t xml:space="preserve"> </w:t>
      </w:r>
      <w:r w:rsidRPr="00BB5BF0">
        <w:rPr>
          <w:bCs/>
          <w:noProof/>
          <w:sz w:val="20"/>
          <w:szCs w:val="20"/>
        </w:rPr>
        <w:t>Almog,</w:t>
      </w:r>
      <w:r w:rsidR="00ED6927" w:rsidRPr="00BB5BF0">
        <w:rPr>
          <w:bCs/>
          <w:noProof/>
          <w:sz w:val="20"/>
          <w:szCs w:val="20"/>
        </w:rPr>
        <w:t xml:space="preserve"> </w:t>
      </w:r>
      <w:r w:rsidRPr="00BB5BF0">
        <w:rPr>
          <w:bCs/>
          <w:noProof/>
          <w:sz w:val="20"/>
          <w:szCs w:val="20"/>
        </w:rPr>
        <w:t>B.,</w:t>
      </w:r>
      <w:r w:rsidR="00ED6927" w:rsidRPr="00BB5BF0">
        <w:rPr>
          <w:bCs/>
          <w:noProof/>
          <w:sz w:val="20"/>
          <w:szCs w:val="20"/>
        </w:rPr>
        <w:t xml:space="preserve"> </w:t>
      </w:r>
      <w:r w:rsidRPr="00BB5BF0">
        <w:rPr>
          <w:bCs/>
          <w:noProof/>
          <w:sz w:val="20"/>
          <w:szCs w:val="20"/>
        </w:rPr>
        <w:t>Brown,</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Abenhaim,</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&amp; </w:t>
      </w:r>
      <w:r w:rsidRPr="00BB5BF0">
        <w:rPr>
          <w:bCs/>
          <w:noProof/>
          <w:sz w:val="20"/>
          <w:szCs w:val="20"/>
        </w:rPr>
        <w:t>Shrim,</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(2011):</w:t>
      </w:r>
      <w:r w:rsidR="00ED6927" w:rsidRPr="00BB5BF0">
        <w:rPr>
          <w:bCs/>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hemorrhage</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low</w:t>
      </w:r>
      <w:r w:rsidR="00ED6927" w:rsidRPr="00BB5BF0">
        <w:rPr>
          <w:noProof/>
          <w:sz w:val="20"/>
          <w:szCs w:val="20"/>
        </w:rPr>
        <w:t xml:space="preserve"> </w:t>
      </w:r>
      <w:r w:rsidRPr="00BB5BF0">
        <w:rPr>
          <w:noProof/>
          <w:sz w:val="20"/>
          <w:szCs w:val="20"/>
        </w:rPr>
        <w:t>risk</w:t>
      </w:r>
      <w:r w:rsidR="00ED6927" w:rsidRPr="00BB5BF0">
        <w:rPr>
          <w:noProof/>
          <w:sz w:val="20"/>
          <w:szCs w:val="20"/>
        </w:rPr>
        <w:t xml:space="preserve"> </w:t>
      </w:r>
      <w:r w:rsidRPr="00BB5BF0">
        <w:rPr>
          <w:noProof/>
          <w:sz w:val="20"/>
          <w:szCs w:val="20"/>
        </w:rPr>
        <w:t>population</w:t>
      </w:r>
      <w:r w:rsidRPr="00BB5BF0">
        <w:rPr>
          <w:bCs/>
          <w:noProof/>
          <w:sz w:val="20"/>
          <w:szCs w:val="20"/>
        </w:rPr>
        <w:t>.</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Perinatal</w:t>
      </w:r>
      <w:r w:rsidR="00ED6927" w:rsidRPr="00BB5BF0">
        <w:rPr>
          <w:i/>
          <w:iCs/>
          <w:noProof/>
          <w:sz w:val="20"/>
          <w:szCs w:val="20"/>
        </w:rPr>
        <w:t xml:space="preserve"> </w:t>
      </w:r>
      <w:r w:rsidRPr="00BB5BF0">
        <w:rPr>
          <w:i/>
          <w:iCs/>
          <w:noProof/>
          <w:sz w:val="20"/>
          <w:szCs w:val="20"/>
        </w:rPr>
        <w:t>Medicine</w:t>
      </w:r>
      <w:r w:rsidRPr="00BB5BF0">
        <w:rPr>
          <w:noProof/>
          <w:sz w:val="20"/>
          <w:szCs w:val="20"/>
        </w:rPr>
        <w:t>,</w:t>
      </w:r>
      <w:r w:rsidR="00ED6927" w:rsidRPr="00BB5BF0">
        <w:rPr>
          <w:noProof/>
          <w:sz w:val="20"/>
          <w:szCs w:val="20"/>
        </w:rPr>
        <w:t xml:space="preserve"> </w:t>
      </w:r>
      <w:r w:rsidRPr="00BB5BF0">
        <w:rPr>
          <w:i/>
          <w:iCs/>
          <w:noProof/>
          <w:sz w:val="20"/>
          <w:szCs w:val="20"/>
        </w:rPr>
        <w:t>39</w:t>
      </w:r>
      <w:r w:rsidRPr="00BB5BF0">
        <w:rPr>
          <w:noProof/>
          <w:sz w:val="20"/>
          <w:szCs w:val="20"/>
        </w:rPr>
        <w:t>(5),</w:t>
      </w:r>
      <w:r w:rsidR="00ED6927" w:rsidRPr="00BB5BF0">
        <w:rPr>
          <w:noProof/>
          <w:sz w:val="20"/>
          <w:szCs w:val="20"/>
        </w:rPr>
        <w:t xml:space="preserve"> </w:t>
      </w:r>
      <w:r w:rsidRPr="00BB5BF0">
        <w:rPr>
          <w:noProof/>
          <w:sz w:val="20"/>
          <w:szCs w:val="20"/>
        </w:rPr>
        <w:t>495–498.</w:t>
      </w:r>
      <w:r w:rsidR="00ED6927" w:rsidRPr="00BB5BF0">
        <w:rPr>
          <w:noProof/>
          <w:sz w:val="20"/>
          <w:szCs w:val="20"/>
        </w:rPr>
        <w:t xml:space="preserve"> </w:t>
      </w:r>
      <w:r w:rsidRPr="00BB5BF0">
        <w:rPr>
          <w:noProof/>
          <w:sz w:val="20"/>
          <w:szCs w:val="20"/>
        </w:rPr>
        <w:t>https://doi.org/10.1515/JPM.2011.059</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Ngwenya,</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(2016):</w:t>
      </w:r>
      <w:r w:rsidR="00ED6927" w:rsidRPr="00BB5BF0">
        <w:rPr>
          <w:bCs/>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hemorrhage:</w:t>
      </w:r>
      <w:r w:rsidR="00ED6927" w:rsidRPr="00BB5BF0">
        <w:rPr>
          <w:noProof/>
          <w:sz w:val="20"/>
          <w:szCs w:val="20"/>
        </w:rPr>
        <w:t xml:space="preserve"> </w:t>
      </w:r>
      <w:r w:rsidRPr="00BB5BF0">
        <w:rPr>
          <w:noProof/>
          <w:sz w:val="20"/>
          <w:szCs w:val="20"/>
        </w:rPr>
        <w:t>Incidence,</w:t>
      </w:r>
      <w:r w:rsidR="00ED6927" w:rsidRPr="00BB5BF0">
        <w:rPr>
          <w:noProof/>
          <w:sz w:val="20"/>
          <w:szCs w:val="20"/>
        </w:rPr>
        <w:t xml:space="preserve"> </w:t>
      </w:r>
      <w:r w:rsidRPr="00BB5BF0">
        <w:rPr>
          <w:noProof/>
          <w:sz w:val="20"/>
          <w:szCs w:val="20"/>
        </w:rPr>
        <w:t>risk</w:t>
      </w:r>
      <w:r w:rsidR="00ED6927" w:rsidRPr="00BB5BF0">
        <w:rPr>
          <w:noProof/>
          <w:sz w:val="20"/>
          <w:szCs w:val="20"/>
        </w:rPr>
        <w:t xml:space="preserve"> </w:t>
      </w:r>
      <w:r w:rsidRPr="00BB5BF0">
        <w:rPr>
          <w:noProof/>
          <w:sz w:val="20"/>
          <w:szCs w:val="20"/>
        </w:rPr>
        <w:t>factors,</w:t>
      </w:r>
      <w:r w:rsidR="00ED6927" w:rsidRPr="00BB5BF0">
        <w:rPr>
          <w:noProof/>
          <w:sz w:val="20"/>
          <w:szCs w:val="20"/>
        </w:rPr>
        <w:t xml:space="preserve"> </w:t>
      </w:r>
      <w:r w:rsidRPr="00BB5BF0">
        <w:rPr>
          <w:noProof/>
          <w:sz w:val="20"/>
          <w:szCs w:val="20"/>
        </w:rPr>
        <w:t>and</w:t>
      </w:r>
      <w:r w:rsidR="00ED6927" w:rsidRPr="00BB5BF0">
        <w:rPr>
          <w:noProof/>
          <w:sz w:val="20"/>
          <w:szCs w:val="20"/>
        </w:rPr>
        <w:t xml:space="preserve"> </w:t>
      </w:r>
      <w:r w:rsidRPr="00BB5BF0">
        <w:rPr>
          <w:noProof/>
          <w:sz w:val="20"/>
          <w:szCs w:val="20"/>
        </w:rPr>
        <w:t>outcomes</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low-resource</w:t>
      </w:r>
      <w:r w:rsidR="00ED6927" w:rsidRPr="00BB5BF0">
        <w:rPr>
          <w:noProof/>
          <w:sz w:val="20"/>
          <w:szCs w:val="20"/>
        </w:rPr>
        <w:t xml:space="preserve"> </w:t>
      </w:r>
      <w:r w:rsidRPr="00BB5BF0">
        <w:rPr>
          <w:noProof/>
          <w:sz w:val="20"/>
          <w:szCs w:val="20"/>
        </w:rPr>
        <w:t>setting</w:t>
      </w:r>
      <w:r w:rsidRPr="00BB5BF0">
        <w:rPr>
          <w:bCs/>
          <w:noProof/>
          <w:sz w:val="20"/>
          <w:szCs w:val="20"/>
        </w:rPr>
        <w:t>.</w:t>
      </w:r>
      <w:r w:rsidR="00ED6927" w:rsidRPr="00BB5BF0">
        <w:rPr>
          <w:bCs/>
          <w:noProof/>
          <w:sz w:val="20"/>
          <w:szCs w:val="20"/>
        </w:rPr>
        <w:t xml:space="preserve"> </w:t>
      </w:r>
      <w:r w:rsidRPr="00BB5BF0">
        <w:rPr>
          <w:i/>
          <w:iCs/>
          <w:noProof/>
          <w:sz w:val="20"/>
          <w:szCs w:val="20"/>
        </w:rPr>
        <w:t>International</w:t>
      </w:r>
      <w:r w:rsidR="00ED6927" w:rsidRPr="00BB5BF0">
        <w:rPr>
          <w:i/>
          <w:i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Women’s</w:t>
      </w:r>
      <w:r w:rsidR="00ED6927" w:rsidRPr="00BB5BF0">
        <w:rPr>
          <w:i/>
          <w:iCs/>
          <w:noProof/>
          <w:sz w:val="20"/>
          <w:szCs w:val="20"/>
        </w:rPr>
        <w:t xml:space="preserve"> </w:t>
      </w:r>
      <w:r w:rsidRPr="00BB5BF0">
        <w:rPr>
          <w:i/>
          <w:iCs/>
          <w:noProof/>
          <w:sz w:val="20"/>
          <w:szCs w:val="20"/>
        </w:rPr>
        <w:t>Health</w:t>
      </w:r>
      <w:r w:rsidRPr="00BB5BF0">
        <w:rPr>
          <w:noProof/>
          <w:sz w:val="20"/>
          <w:szCs w:val="20"/>
        </w:rPr>
        <w:t>,</w:t>
      </w:r>
      <w:r w:rsidR="00ED6927" w:rsidRPr="00BB5BF0">
        <w:rPr>
          <w:noProof/>
          <w:sz w:val="20"/>
          <w:szCs w:val="20"/>
        </w:rPr>
        <w:t xml:space="preserve"> </w:t>
      </w:r>
      <w:r w:rsidRPr="00BB5BF0">
        <w:rPr>
          <w:i/>
          <w:iCs/>
          <w:noProof/>
          <w:sz w:val="20"/>
          <w:szCs w:val="20"/>
        </w:rPr>
        <w:t>8</w:t>
      </w:r>
      <w:r w:rsidRPr="00BB5BF0">
        <w:rPr>
          <w:noProof/>
          <w:sz w:val="20"/>
          <w:szCs w:val="20"/>
        </w:rPr>
        <w:t>,</w:t>
      </w:r>
      <w:r w:rsidR="00ED6927" w:rsidRPr="00BB5BF0">
        <w:rPr>
          <w:noProof/>
          <w:sz w:val="20"/>
          <w:szCs w:val="20"/>
        </w:rPr>
        <w:t xml:space="preserve"> </w:t>
      </w:r>
      <w:r w:rsidRPr="00BB5BF0">
        <w:rPr>
          <w:noProof/>
          <w:sz w:val="20"/>
          <w:szCs w:val="20"/>
        </w:rPr>
        <w:t>647–650.</w:t>
      </w:r>
      <w:r w:rsidR="00ED6927" w:rsidRPr="00BB5BF0">
        <w:rPr>
          <w:noProof/>
          <w:sz w:val="20"/>
          <w:szCs w:val="20"/>
        </w:rPr>
        <w:t xml:space="preserve"> </w:t>
      </w:r>
      <w:r w:rsidRPr="00BB5BF0">
        <w:rPr>
          <w:noProof/>
          <w:sz w:val="20"/>
          <w:szCs w:val="20"/>
        </w:rPr>
        <w:t>https://doi.org/10.2147/IJWH.S119232</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Rani,</w:t>
      </w:r>
      <w:r w:rsidR="00ED6927" w:rsidRPr="00BB5BF0">
        <w:rPr>
          <w:bCs/>
          <w:noProof/>
          <w:sz w:val="20"/>
          <w:szCs w:val="20"/>
        </w:rPr>
        <w:t xml:space="preserve"> </w:t>
      </w:r>
      <w:r w:rsidRPr="00BB5BF0">
        <w:rPr>
          <w:bCs/>
          <w:noProof/>
          <w:sz w:val="20"/>
          <w:szCs w:val="20"/>
        </w:rPr>
        <w:t>P.</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(2017):</w:t>
      </w:r>
      <w:r w:rsidR="00ED6927" w:rsidRPr="00BB5BF0">
        <w:rPr>
          <w:bCs/>
          <w:noProof/>
          <w:sz w:val="20"/>
          <w:szCs w:val="20"/>
        </w:rPr>
        <w:t xml:space="preserve"> </w:t>
      </w:r>
      <w:r w:rsidRPr="00BB5BF0">
        <w:rPr>
          <w:noProof/>
          <w:sz w:val="20"/>
          <w:szCs w:val="20"/>
        </w:rPr>
        <w:t>Recent</w:t>
      </w:r>
      <w:r w:rsidR="00ED6927" w:rsidRPr="00BB5BF0">
        <w:rPr>
          <w:noProof/>
          <w:sz w:val="20"/>
          <w:szCs w:val="20"/>
        </w:rPr>
        <w:t xml:space="preserve"> </w:t>
      </w:r>
      <w:r w:rsidRPr="00BB5BF0">
        <w:rPr>
          <w:noProof/>
          <w:sz w:val="20"/>
          <w:szCs w:val="20"/>
        </w:rPr>
        <w:t>Advances</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Management</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Major</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Haemorrhage</w:t>
      </w:r>
      <w:r w:rsidR="00ED6927" w:rsidRPr="00BB5BF0">
        <w:rPr>
          <w:noProof/>
          <w:sz w:val="20"/>
          <w:szCs w:val="20"/>
        </w:rPr>
        <w:t xml:space="preserve"> </w:t>
      </w:r>
      <w:r w:rsidRPr="00BB5BF0">
        <w:rPr>
          <w:noProof/>
          <w:sz w:val="20"/>
          <w:szCs w:val="20"/>
        </w:rPr>
        <w:t>-</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Review</w:t>
      </w:r>
      <w:r w:rsidRPr="00BB5BF0">
        <w:rPr>
          <w:bCs/>
          <w:noProof/>
          <w:sz w:val="20"/>
          <w:szCs w:val="20"/>
        </w:rPr>
        <w:t>.</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Clinical</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Diagnostic</w:t>
      </w:r>
      <w:r w:rsidR="00ED6927" w:rsidRPr="00BB5BF0">
        <w:rPr>
          <w:i/>
          <w:iCs/>
          <w:noProof/>
          <w:sz w:val="20"/>
          <w:szCs w:val="20"/>
        </w:rPr>
        <w:t xml:space="preserve"> </w:t>
      </w:r>
      <w:r w:rsidRPr="00BB5BF0">
        <w:rPr>
          <w:i/>
          <w:iCs/>
          <w:noProof/>
          <w:sz w:val="20"/>
          <w:szCs w:val="20"/>
        </w:rPr>
        <w:t>Research</w:t>
      </w:r>
      <w:r w:rsidRPr="00BB5BF0">
        <w:rPr>
          <w:noProof/>
          <w:sz w:val="20"/>
          <w:szCs w:val="20"/>
        </w:rPr>
        <w:t>,</w:t>
      </w:r>
      <w:r w:rsidR="00ED6927" w:rsidRPr="00BB5BF0">
        <w:rPr>
          <w:noProof/>
          <w:sz w:val="20"/>
          <w:szCs w:val="20"/>
        </w:rPr>
        <w:t xml:space="preserve"> </w:t>
      </w:r>
      <w:r w:rsidRPr="00BB5BF0">
        <w:rPr>
          <w:i/>
          <w:iCs/>
          <w:noProof/>
          <w:sz w:val="20"/>
          <w:szCs w:val="20"/>
        </w:rPr>
        <w:t>11</w:t>
      </w:r>
      <w:r w:rsidRPr="00BB5BF0">
        <w:rPr>
          <w:noProof/>
          <w:sz w:val="20"/>
          <w:szCs w:val="20"/>
        </w:rPr>
        <w:t>(2),</w:t>
      </w:r>
      <w:r w:rsidR="00ED6927" w:rsidRPr="00BB5BF0">
        <w:rPr>
          <w:noProof/>
          <w:sz w:val="20"/>
          <w:szCs w:val="20"/>
        </w:rPr>
        <w:t xml:space="preserve"> </w:t>
      </w:r>
      <w:r w:rsidRPr="00BB5BF0">
        <w:rPr>
          <w:noProof/>
          <w:sz w:val="20"/>
          <w:szCs w:val="20"/>
        </w:rPr>
        <w:t>QE01–QE05.</w:t>
      </w:r>
      <w:r w:rsidR="00ED6927" w:rsidRPr="00BB5BF0">
        <w:rPr>
          <w:noProof/>
          <w:sz w:val="20"/>
          <w:szCs w:val="20"/>
        </w:rPr>
        <w:t xml:space="preserve"> </w:t>
      </w:r>
      <w:r w:rsidRPr="00BB5BF0">
        <w:rPr>
          <w:noProof/>
          <w:sz w:val="20"/>
          <w:szCs w:val="20"/>
        </w:rPr>
        <w:t>https://doi.org/10.7860/JCDR/2017/22659.9463</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Reyes,</w:t>
      </w:r>
      <w:r w:rsidR="00ED6927" w:rsidRPr="00BB5BF0">
        <w:rPr>
          <w:bCs/>
          <w:noProof/>
          <w:sz w:val="20"/>
          <w:szCs w:val="20"/>
        </w:rPr>
        <w:t xml:space="preserve"> </w:t>
      </w:r>
      <w:r w:rsidRPr="00BB5BF0">
        <w:rPr>
          <w:bCs/>
          <w:noProof/>
          <w:sz w:val="20"/>
          <w:szCs w:val="20"/>
        </w:rPr>
        <w:t>O.</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&amp; </w:t>
      </w:r>
      <w:r w:rsidRPr="00BB5BF0">
        <w:rPr>
          <w:bCs/>
          <w:noProof/>
          <w:sz w:val="20"/>
          <w:szCs w:val="20"/>
        </w:rPr>
        <w:t>Gonzalez,</w:t>
      </w:r>
      <w:r w:rsidR="00ED6927" w:rsidRPr="00BB5BF0">
        <w:rPr>
          <w:bCs/>
          <w:noProof/>
          <w:sz w:val="20"/>
          <w:szCs w:val="20"/>
        </w:rPr>
        <w:t xml:space="preserve"> </w:t>
      </w:r>
      <w:r w:rsidRPr="00BB5BF0">
        <w:rPr>
          <w:bCs/>
          <w:noProof/>
          <w:sz w:val="20"/>
          <w:szCs w:val="20"/>
        </w:rPr>
        <w:t>G.</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(2011):</w:t>
      </w:r>
      <w:r w:rsidR="00ED6927" w:rsidRPr="00BB5BF0">
        <w:rPr>
          <w:bCs/>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Hemorrhage</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Patients</w:t>
      </w:r>
      <w:r w:rsidR="00ED6927" w:rsidRPr="00BB5BF0">
        <w:rPr>
          <w:noProof/>
          <w:sz w:val="20"/>
          <w:szCs w:val="20"/>
        </w:rPr>
        <w:t xml:space="preserve"> </w:t>
      </w:r>
      <w:r w:rsidRPr="00BB5BF0">
        <w:rPr>
          <w:noProof/>
          <w:sz w:val="20"/>
          <w:szCs w:val="20"/>
        </w:rPr>
        <w:t>With</w:t>
      </w:r>
      <w:r w:rsidR="00ED6927" w:rsidRPr="00BB5BF0">
        <w:rPr>
          <w:noProof/>
          <w:sz w:val="20"/>
          <w:szCs w:val="20"/>
        </w:rPr>
        <w:t xml:space="preserve"> </w:t>
      </w:r>
      <w:r w:rsidRPr="00BB5BF0">
        <w:rPr>
          <w:noProof/>
          <w:sz w:val="20"/>
          <w:szCs w:val="20"/>
        </w:rPr>
        <w:t>Severe</w:t>
      </w:r>
      <w:r w:rsidR="00ED6927" w:rsidRPr="00BB5BF0">
        <w:rPr>
          <w:noProof/>
          <w:sz w:val="20"/>
          <w:szCs w:val="20"/>
        </w:rPr>
        <w:t xml:space="preserve"> </w:t>
      </w:r>
      <w:r w:rsidRPr="00BB5BF0">
        <w:rPr>
          <w:noProof/>
          <w:sz w:val="20"/>
          <w:szCs w:val="20"/>
        </w:rPr>
        <w:t>Preeclampsia:</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Double-Blind</w:t>
      </w:r>
      <w:r w:rsidR="00ED6927" w:rsidRPr="00BB5BF0">
        <w:rPr>
          <w:noProof/>
          <w:sz w:val="20"/>
          <w:szCs w:val="20"/>
        </w:rPr>
        <w:t xml:space="preserve"> </w:t>
      </w:r>
      <w:r w:rsidRPr="00BB5BF0">
        <w:rPr>
          <w:noProof/>
          <w:sz w:val="20"/>
          <w:szCs w:val="20"/>
        </w:rPr>
        <w:t>Randomized</w:t>
      </w:r>
      <w:r w:rsidR="00ED6927" w:rsidRPr="00BB5BF0">
        <w:rPr>
          <w:noProof/>
          <w:sz w:val="20"/>
          <w:szCs w:val="20"/>
        </w:rPr>
        <w:t xml:space="preserve"> </w:t>
      </w:r>
      <w:r w:rsidRPr="00BB5BF0">
        <w:rPr>
          <w:noProof/>
          <w:sz w:val="20"/>
          <w:szCs w:val="20"/>
        </w:rPr>
        <w:t>Controlled</w:t>
      </w:r>
      <w:r w:rsidR="00ED6927" w:rsidRPr="00BB5BF0">
        <w:rPr>
          <w:noProof/>
          <w:sz w:val="20"/>
          <w:szCs w:val="20"/>
        </w:rPr>
        <w:t xml:space="preserve"> </w:t>
      </w:r>
      <w:r w:rsidRPr="00BB5BF0">
        <w:rPr>
          <w:noProof/>
          <w:sz w:val="20"/>
          <w:szCs w:val="20"/>
        </w:rPr>
        <w:t>Trial</w:t>
      </w:r>
      <w:r w:rsidRPr="00BB5BF0">
        <w:rPr>
          <w:bCs/>
          <w:noProof/>
          <w:sz w:val="20"/>
          <w:szCs w:val="20"/>
        </w:rPr>
        <w:t>.</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Obstetrics</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Gynaecology</w:t>
      </w:r>
      <w:r w:rsidR="00ED6927" w:rsidRPr="00BB5BF0">
        <w:rPr>
          <w:i/>
          <w:iCs/>
          <w:noProof/>
          <w:sz w:val="20"/>
          <w:szCs w:val="20"/>
        </w:rPr>
        <w:t xml:space="preserve"> </w:t>
      </w:r>
      <w:r w:rsidRPr="00BB5BF0">
        <w:rPr>
          <w:i/>
          <w:iCs/>
          <w:noProof/>
          <w:sz w:val="20"/>
          <w:szCs w:val="20"/>
        </w:rPr>
        <w:t>Canada</w:t>
      </w:r>
      <w:r w:rsidRPr="00BB5BF0">
        <w:rPr>
          <w:noProof/>
          <w:sz w:val="20"/>
          <w:szCs w:val="20"/>
        </w:rPr>
        <w:t>,</w:t>
      </w:r>
      <w:r w:rsidR="00ED6927" w:rsidRPr="00BB5BF0">
        <w:rPr>
          <w:noProof/>
          <w:sz w:val="20"/>
          <w:szCs w:val="20"/>
        </w:rPr>
        <w:t xml:space="preserve"> </w:t>
      </w:r>
      <w:r w:rsidRPr="00BB5BF0">
        <w:rPr>
          <w:i/>
          <w:iCs/>
          <w:noProof/>
          <w:sz w:val="20"/>
          <w:szCs w:val="20"/>
        </w:rPr>
        <w:t>33</w:t>
      </w:r>
      <w:r w:rsidRPr="00BB5BF0">
        <w:rPr>
          <w:noProof/>
          <w:sz w:val="20"/>
          <w:szCs w:val="20"/>
        </w:rPr>
        <w:t>(11),</w:t>
      </w:r>
      <w:r w:rsidR="00ED6927" w:rsidRPr="00BB5BF0">
        <w:rPr>
          <w:noProof/>
          <w:sz w:val="20"/>
          <w:szCs w:val="20"/>
        </w:rPr>
        <w:t xml:space="preserve"> </w:t>
      </w:r>
      <w:r w:rsidRPr="00BB5BF0">
        <w:rPr>
          <w:noProof/>
          <w:sz w:val="20"/>
          <w:szCs w:val="20"/>
        </w:rPr>
        <w:t>1099–1104.</w:t>
      </w:r>
      <w:r w:rsidR="00ED6927" w:rsidRPr="00BB5BF0">
        <w:rPr>
          <w:noProof/>
          <w:sz w:val="20"/>
          <w:szCs w:val="20"/>
        </w:rPr>
        <w:t xml:space="preserve"> </w:t>
      </w:r>
      <w:r w:rsidRPr="00BB5BF0">
        <w:rPr>
          <w:noProof/>
          <w:sz w:val="20"/>
          <w:szCs w:val="20"/>
        </w:rPr>
        <w:t>https://doi.org/10.1016/S1701-2163(16)35077-0</w:t>
      </w:r>
      <w:r w:rsidR="00BB5BF0" w:rsidRPr="00BB5BF0">
        <w:rPr>
          <w:rFonts w:eastAsiaTheme="minorEastAsia" w:hint="eastAsia"/>
          <w:noProof/>
          <w:sz w:val="20"/>
          <w:szCs w:val="20"/>
          <w:lang w:eastAsia="zh-CN"/>
        </w:rPr>
        <w:t>.</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Soltani,</w:t>
      </w:r>
      <w:r w:rsidR="00ED6927" w:rsidRPr="00BB5BF0">
        <w:rPr>
          <w:bCs/>
          <w:noProof/>
          <w:sz w:val="20"/>
          <w:szCs w:val="20"/>
        </w:rPr>
        <w:t xml:space="preserve"> </w:t>
      </w:r>
      <w:r w:rsidRPr="00BB5BF0">
        <w:rPr>
          <w:bCs/>
          <w:noProof/>
          <w:sz w:val="20"/>
          <w:szCs w:val="20"/>
        </w:rPr>
        <w:t>H.,</w:t>
      </w:r>
      <w:r w:rsidR="00ED6927" w:rsidRPr="00BB5BF0">
        <w:rPr>
          <w:bCs/>
          <w:noProof/>
          <w:sz w:val="20"/>
          <w:szCs w:val="20"/>
        </w:rPr>
        <w:t xml:space="preserve"> </w:t>
      </w:r>
      <w:r w:rsidRPr="00BB5BF0">
        <w:rPr>
          <w:bCs/>
          <w:noProof/>
          <w:sz w:val="20"/>
          <w:szCs w:val="20"/>
        </w:rPr>
        <w:t>Hutchon,</w:t>
      </w:r>
      <w:r w:rsidR="00ED6927" w:rsidRPr="00BB5BF0">
        <w:rPr>
          <w:bCs/>
          <w:noProof/>
          <w:sz w:val="20"/>
          <w:szCs w:val="20"/>
        </w:rPr>
        <w:t xml:space="preserve"> </w:t>
      </w:r>
      <w:r w:rsidRPr="00BB5BF0">
        <w:rPr>
          <w:bCs/>
          <w:noProof/>
          <w:sz w:val="20"/>
          <w:szCs w:val="20"/>
        </w:rPr>
        <w:t>D.</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&amp; </w:t>
      </w:r>
      <w:r w:rsidRPr="00BB5BF0">
        <w:rPr>
          <w:bCs/>
          <w:noProof/>
          <w:sz w:val="20"/>
          <w:szCs w:val="20"/>
        </w:rPr>
        <w:t>Poulose,</w:t>
      </w:r>
      <w:r w:rsidR="00ED6927" w:rsidRPr="00BB5BF0">
        <w:rPr>
          <w:bCs/>
          <w:noProof/>
          <w:sz w:val="20"/>
          <w:szCs w:val="20"/>
        </w:rPr>
        <w:t xml:space="preserve"> </w:t>
      </w:r>
      <w:r w:rsidRPr="00BB5BF0">
        <w:rPr>
          <w:bCs/>
          <w:noProof/>
          <w:sz w:val="20"/>
          <w:szCs w:val="20"/>
        </w:rPr>
        <w:t>T.</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(2010):</w:t>
      </w:r>
      <w:r w:rsidR="00ED6927" w:rsidRPr="00BB5BF0">
        <w:rPr>
          <w:bCs/>
          <w:noProof/>
          <w:sz w:val="20"/>
          <w:szCs w:val="20"/>
        </w:rPr>
        <w:t xml:space="preserve"> </w:t>
      </w:r>
      <w:r w:rsidRPr="00BB5BF0">
        <w:rPr>
          <w:noProof/>
          <w:sz w:val="20"/>
          <w:szCs w:val="20"/>
        </w:rPr>
        <w:t>Timing</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prophylactic</w:t>
      </w:r>
      <w:r w:rsidR="00ED6927" w:rsidRPr="00BB5BF0">
        <w:rPr>
          <w:noProof/>
          <w:sz w:val="20"/>
          <w:szCs w:val="20"/>
        </w:rPr>
        <w:t xml:space="preserve"> </w:t>
      </w:r>
      <w:r w:rsidRPr="00BB5BF0">
        <w:rPr>
          <w:noProof/>
          <w:sz w:val="20"/>
          <w:szCs w:val="20"/>
        </w:rPr>
        <w:t>uterotonics</w:t>
      </w:r>
      <w:r w:rsidR="00ED6927" w:rsidRPr="00BB5BF0">
        <w:rPr>
          <w:noProof/>
          <w:sz w:val="20"/>
          <w:szCs w:val="20"/>
        </w:rPr>
        <w:t xml:space="preserve"> </w:t>
      </w:r>
      <w:r w:rsidRPr="00BB5BF0">
        <w:rPr>
          <w:noProof/>
          <w:sz w:val="20"/>
          <w:szCs w:val="20"/>
        </w:rPr>
        <w:t>for</w:t>
      </w:r>
      <w:r w:rsidR="00ED6927" w:rsidRPr="00BB5BF0">
        <w:rPr>
          <w:noProof/>
          <w:sz w:val="20"/>
          <w:szCs w:val="20"/>
        </w:rPr>
        <w:t xml:space="preserve"> </w:t>
      </w:r>
      <w:r w:rsidRPr="00BB5BF0">
        <w:rPr>
          <w:noProof/>
          <w:sz w:val="20"/>
          <w:szCs w:val="20"/>
        </w:rPr>
        <w:t>the</w:t>
      </w:r>
      <w:r w:rsidR="00ED6927" w:rsidRPr="00BB5BF0">
        <w:rPr>
          <w:noProof/>
          <w:sz w:val="20"/>
          <w:szCs w:val="20"/>
        </w:rPr>
        <w:t xml:space="preserve"> </w:t>
      </w:r>
      <w:r w:rsidRPr="00BB5BF0">
        <w:rPr>
          <w:noProof/>
          <w:sz w:val="20"/>
          <w:szCs w:val="20"/>
        </w:rPr>
        <w:t>third</w:t>
      </w:r>
      <w:r w:rsidR="00ED6927" w:rsidRPr="00BB5BF0">
        <w:rPr>
          <w:noProof/>
          <w:sz w:val="20"/>
          <w:szCs w:val="20"/>
        </w:rPr>
        <w:t xml:space="preserve"> </w:t>
      </w:r>
      <w:r w:rsidRPr="00BB5BF0">
        <w:rPr>
          <w:noProof/>
          <w:sz w:val="20"/>
          <w:szCs w:val="20"/>
        </w:rPr>
        <w:t>stage</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labour</w:t>
      </w:r>
      <w:r w:rsidR="00ED6927" w:rsidRPr="00BB5BF0">
        <w:rPr>
          <w:noProof/>
          <w:sz w:val="20"/>
          <w:szCs w:val="20"/>
        </w:rPr>
        <w:t xml:space="preserve"> </w:t>
      </w:r>
      <w:r w:rsidRPr="00BB5BF0">
        <w:rPr>
          <w:noProof/>
          <w:sz w:val="20"/>
          <w:szCs w:val="20"/>
        </w:rPr>
        <w:t>after</w:t>
      </w:r>
      <w:r w:rsidR="00ED6927" w:rsidRPr="00BB5BF0">
        <w:rPr>
          <w:noProof/>
          <w:sz w:val="20"/>
          <w:szCs w:val="20"/>
        </w:rPr>
        <w:t xml:space="preserve"> </w:t>
      </w:r>
      <w:r w:rsidRPr="00BB5BF0">
        <w:rPr>
          <w:noProof/>
          <w:sz w:val="20"/>
          <w:szCs w:val="20"/>
        </w:rPr>
        <w:t>vaginal</w:t>
      </w:r>
      <w:r w:rsidR="00ED6927" w:rsidRPr="00BB5BF0">
        <w:rPr>
          <w:noProof/>
          <w:sz w:val="20"/>
          <w:szCs w:val="20"/>
        </w:rPr>
        <w:t xml:space="preserve"> </w:t>
      </w:r>
      <w:r w:rsidRPr="00BB5BF0">
        <w:rPr>
          <w:noProof/>
          <w:sz w:val="20"/>
          <w:szCs w:val="20"/>
        </w:rPr>
        <w:t>birth</w:t>
      </w:r>
      <w:r w:rsidRPr="00BB5BF0">
        <w:rPr>
          <w:bCs/>
          <w:noProof/>
          <w:sz w:val="20"/>
          <w:szCs w:val="20"/>
        </w:rPr>
        <w:t>.</w:t>
      </w:r>
      <w:r w:rsidR="00ED6927" w:rsidRPr="00BB5BF0">
        <w:rPr>
          <w:bCs/>
          <w:noProof/>
          <w:sz w:val="20"/>
          <w:szCs w:val="20"/>
        </w:rPr>
        <w:t xml:space="preserve"> </w:t>
      </w:r>
      <w:r w:rsidRPr="00BB5BF0">
        <w:rPr>
          <w:i/>
          <w:iCs/>
          <w:noProof/>
          <w:sz w:val="20"/>
          <w:szCs w:val="20"/>
        </w:rPr>
        <w:t>Cochrane</w:t>
      </w:r>
      <w:r w:rsidR="00ED6927" w:rsidRPr="00BB5BF0">
        <w:rPr>
          <w:i/>
          <w:iCs/>
          <w:noProof/>
          <w:sz w:val="20"/>
          <w:szCs w:val="20"/>
        </w:rPr>
        <w:t xml:space="preserve"> </w:t>
      </w:r>
      <w:r w:rsidRPr="00BB5BF0">
        <w:rPr>
          <w:i/>
          <w:iCs/>
          <w:noProof/>
          <w:sz w:val="20"/>
          <w:szCs w:val="20"/>
        </w:rPr>
        <w:t>Database</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Systematic</w:t>
      </w:r>
      <w:r w:rsidR="00ED6927" w:rsidRPr="00BB5BF0">
        <w:rPr>
          <w:i/>
          <w:iCs/>
          <w:noProof/>
          <w:sz w:val="20"/>
          <w:szCs w:val="20"/>
        </w:rPr>
        <w:t xml:space="preserve"> </w:t>
      </w:r>
      <w:r w:rsidRPr="00BB5BF0">
        <w:rPr>
          <w:i/>
          <w:iCs/>
          <w:noProof/>
          <w:sz w:val="20"/>
          <w:szCs w:val="20"/>
        </w:rPr>
        <w:t>Reviews</w:t>
      </w:r>
      <w:r w:rsidRPr="00BB5BF0">
        <w:rPr>
          <w:noProof/>
          <w:sz w:val="20"/>
          <w:szCs w:val="20"/>
        </w:rPr>
        <w:t>,</w:t>
      </w:r>
      <w:r w:rsidR="00ED6927" w:rsidRPr="00BB5BF0">
        <w:rPr>
          <w:noProof/>
          <w:sz w:val="20"/>
          <w:szCs w:val="20"/>
        </w:rPr>
        <w:t xml:space="preserve"> </w:t>
      </w:r>
      <w:r w:rsidRPr="00BB5BF0">
        <w:rPr>
          <w:noProof/>
          <w:sz w:val="20"/>
          <w:szCs w:val="20"/>
        </w:rPr>
        <w:t>(8),</w:t>
      </w:r>
      <w:r w:rsidR="00ED6927" w:rsidRPr="00BB5BF0">
        <w:rPr>
          <w:noProof/>
          <w:sz w:val="20"/>
          <w:szCs w:val="20"/>
        </w:rPr>
        <w:t xml:space="preserve"> </w:t>
      </w:r>
      <w:r w:rsidRPr="00BB5BF0">
        <w:rPr>
          <w:noProof/>
          <w:sz w:val="20"/>
          <w:szCs w:val="20"/>
        </w:rPr>
        <w:t>CD006173.</w:t>
      </w:r>
      <w:r w:rsidR="00ED6927" w:rsidRPr="00BB5BF0">
        <w:rPr>
          <w:noProof/>
          <w:sz w:val="20"/>
          <w:szCs w:val="20"/>
        </w:rPr>
        <w:t xml:space="preserve"> </w:t>
      </w:r>
      <w:r w:rsidRPr="00BB5BF0">
        <w:rPr>
          <w:noProof/>
          <w:sz w:val="20"/>
          <w:szCs w:val="20"/>
        </w:rPr>
        <w:t>https://doi.org/10.1002/14651858.CD006173.pub2</w:t>
      </w:r>
    </w:p>
    <w:p w:rsidR="00E14E3B"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noProof/>
          <w:sz w:val="20"/>
          <w:szCs w:val="20"/>
        </w:rPr>
      </w:pPr>
      <w:r w:rsidRPr="00BB5BF0">
        <w:rPr>
          <w:bCs/>
          <w:noProof/>
          <w:sz w:val="20"/>
          <w:szCs w:val="20"/>
        </w:rPr>
        <w:t>Taheripanah,</w:t>
      </w:r>
      <w:r w:rsidR="00ED6927" w:rsidRPr="00BB5BF0">
        <w:rPr>
          <w:bCs/>
          <w:noProof/>
          <w:sz w:val="20"/>
          <w:szCs w:val="20"/>
        </w:rPr>
        <w:t xml:space="preserve"> </w:t>
      </w:r>
      <w:r w:rsidRPr="00BB5BF0">
        <w:rPr>
          <w:bCs/>
          <w:noProof/>
          <w:sz w:val="20"/>
          <w:szCs w:val="20"/>
        </w:rPr>
        <w:t>R.,</w:t>
      </w:r>
      <w:r w:rsidR="00ED6927" w:rsidRPr="00BB5BF0">
        <w:rPr>
          <w:bCs/>
          <w:noProof/>
          <w:sz w:val="20"/>
          <w:szCs w:val="20"/>
        </w:rPr>
        <w:t xml:space="preserve"> </w:t>
      </w:r>
      <w:r w:rsidRPr="00BB5BF0">
        <w:rPr>
          <w:bCs/>
          <w:noProof/>
          <w:sz w:val="20"/>
          <w:szCs w:val="20"/>
        </w:rPr>
        <w:t>Shoman,</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Karimzadeh,</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w:t>
      </w:r>
      <w:r w:rsidRPr="00BB5BF0">
        <w:rPr>
          <w:bCs/>
          <w:noProof/>
          <w:sz w:val="20"/>
          <w:szCs w:val="20"/>
        </w:rPr>
        <w:t>A.,</w:t>
      </w:r>
      <w:r w:rsidR="00ED6927" w:rsidRPr="00BB5BF0">
        <w:rPr>
          <w:bCs/>
          <w:noProof/>
          <w:sz w:val="20"/>
          <w:szCs w:val="20"/>
        </w:rPr>
        <w:t xml:space="preserve"> </w:t>
      </w:r>
      <w:r w:rsidRPr="00BB5BF0">
        <w:rPr>
          <w:bCs/>
          <w:noProof/>
          <w:sz w:val="20"/>
          <w:szCs w:val="20"/>
        </w:rPr>
        <w:t>Zamaniyan,</w:t>
      </w:r>
      <w:r w:rsidR="00ED6927" w:rsidRPr="00BB5BF0">
        <w:rPr>
          <w:bCs/>
          <w:noProof/>
          <w:sz w:val="20"/>
          <w:szCs w:val="20"/>
        </w:rPr>
        <w:t xml:space="preserve"> </w:t>
      </w:r>
      <w:r w:rsidRPr="00BB5BF0">
        <w:rPr>
          <w:bCs/>
          <w:noProof/>
          <w:sz w:val="20"/>
          <w:szCs w:val="20"/>
        </w:rPr>
        <w:t>M.,</w:t>
      </w:r>
      <w:r w:rsidR="00ED6927" w:rsidRPr="00BB5BF0">
        <w:rPr>
          <w:bCs/>
          <w:noProof/>
          <w:sz w:val="20"/>
          <w:szCs w:val="20"/>
        </w:rPr>
        <w:t xml:space="preserve"> &amp; </w:t>
      </w:r>
      <w:r w:rsidRPr="00BB5BF0">
        <w:rPr>
          <w:bCs/>
          <w:noProof/>
          <w:sz w:val="20"/>
          <w:szCs w:val="20"/>
        </w:rPr>
        <w:t>Malih,</w:t>
      </w:r>
      <w:r w:rsidR="00ED6927" w:rsidRPr="00BB5BF0">
        <w:rPr>
          <w:bCs/>
          <w:noProof/>
          <w:sz w:val="20"/>
          <w:szCs w:val="20"/>
        </w:rPr>
        <w:t xml:space="preserve"> </w:t>
      </w:r>
      <w:r w:rsidRPr="00BB5BF0">
        <w:rPr>
          <w:bCs/>
          <w:noProof/>
          <w:sz w:val="20"/>
          <w:szCs w:val="20"/>
        </w:rPr>
        <w:t>N.</w:t>
      </w:r>
      <w:r w:rsidR="00ED6927" w:rsidRPr="00BB5BF0">
        <w:rPr>
          <w:bCs/>
          <w:noProof/>
          <w:sz w:val="20"/>
          <w:szCs w:val="20"/>
        </w:rPr>
        <w:t xml:space="preserve"> </w:t>
      </w:r>
      <w:r w:rsidRPr="00BB5BF0">
        <w:rPr>
          <w:bCs/>
          <w:noProof/>
          <w:sz w:val="20"/>
          <w:szCs w:val="20"/>
        </w:rPr>
        <w:t>(2018):</w:t>
      </w:r>
      <w:r w:rsidR="00ED6927" w:rsidRPr="00BB5BF0">
        <w:rPr>
          <w:bCs/>
          <w:noProof/>
          <w:sz w:val="20"/>
          <w:szCs w:val="20"/>
        </w:rPr>
        <w:t xml:space="preserve"> </w:t>
      </w:r>
      <w:r w:rsidRPr="00BB5BF0">
        <w:rPr>
          <w:noProof/>
          <w:sz w:val="20"/>
          <w:szCs w:val="20"/>
        </w:rPr>
        <w:t>Efficacy</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oxytocin</w:t>
      </w:r>
      <w:r w:rsidR="00ED6927" w:rsidRPr="00BB5BF0">
        <w:rPr>
          <w:noProof/>
          <w:sz w:val="20"/>
          <w:szCs w:val="20"/>
        </w:rPr>
        <w:t xml:space="preserve"> </w:t>
      </w:r>
      <w:r w:rsidRPr="00BB5BF0">
        <w:rPr>
          <w:noProof/>
          <w:sz w:val="20"/>
          <w:szCs w:val="20"/>
        </w:rPr>
        <w:t>versus</w:t>
      </w:r>
      <w:r w:rsidR="00ED6927" w:rsidRPr="00BB5BF0">
        <w:rPr>
          <w:noProof/>
          <w:sz w:val="20"/>
          <w:szCs w:val="20"/>
        </w:rPr>
        <w:t xml:space="preserve"> </w:t>
      </w:r>
      <w:r w:rsidRPr="00BB5BF0">
        <w:rPr>
          <w:noProof/>
          <w:sz w:val="20"/>
          <w:szCs w:val="20"/>
        </w:rPr>
        <w:t>carbetocin</w:t>
      </w:r>
      <w:r w:rsidR="00ED6927" w:rsidRPr="00BB5BF0">
        <w:rPr>
          <w:noProof/>
          <w:sz w:val="20"/>
          <w:szCs w:val="20"/>
        </w:rPr>
        <w:t xml:space="preserve"> </w:t>
      </w:r>
      <w:r w:rsidRPr="00BB5BF0">
        <w:rPr>
          <w:noProof/>
          <w:sz w:val="20"/>
          <w:szCs w:val="20"/>
        </w:rPr>
        <w:t>in</w:t>
      </w:r>
      <w:r w:rsidR="00ED6927" w:rsidRPr="00BB5BF0">
        <w:rPr>
          <w:noProof/>
          <w:sz w:val="20"/>
          <w:szCs w:val="20"/>
        </w:rPr>
        <w:t xml:space="preserve"> </w:t>
      </w:r>
      <w:r w:rsidRPr="00BB5BF0">
        <w:rPr>
          <w:noProof/>
          <w:sz w:val="20"/>
          <w:szCs w:val="20"/>
        </w:rPr>
        <w:t>prevention</w:t>
      </w:r>
      <w:r w:rsidR="00ED6927" w:rsidRPr="00BB5BF0">
        <w:rPr>
          <w:noProof/>
          <w:sz w:val="20"/>
          <w:szCs w:val="20"/>
        </w:rPr>
        <w:t xml:space="preserve"> </w:t>
      </w:r>
      <w:r w:rsidRPr="00BB5BF0">
        <w:rPr>
          <w:noProof/>
          <w:sz w:val="20"/>
          <w:szCs w:val="20"/>
        </w:rPr>
        <w:t>of</w:t>
      </w:r>
      <w:r w:rsidR="00ED6927" w:rsidRPr="00BB5BF0">
        <w:rPr>
          <w:noProof/>
          <w:sz w:val="20"/>
          <w:szCs w:val="20"/>
        </w:rPr>
        <w:t xml:space="preserve"> </w:t>
      </w:r>
      <w:r w:rsidRPr="00BB5BF0">
        <w:rPr>
          <w:noProof/>
          <w:sz w:val="20"/>
          <w:szCs w:val="20"/>
        </w:rPr>
        <w:t>postpartum</w:t>
      </w:r>
      <w:r w:rsidR="00ED6927" w:rsidRPr="00BB5BF0">
        <w:rPr>
          <w:noProof/>
          <w:sz w:val="20"/>
          <w:szCs w:val="20"/>
        </w:rPr>
        <w:t xml:space="preserve"> </w:t>
      </w:r>
      <w:r w:rsidRPr="00BB5BF0">
        <w:rPr>
          <w:noProof/>
          <w:sz w:val="20"/>
          <w:szCs w:val="20"/>
        </w:rPr>
        <w:t>hemorrhage</w:t>
      </w:r>
      <w:r w:rsidR="00ED6927" w:rsidRPr="00BB5BF0">
        <w:rPr>
          <w:noProof/>
          <w:sz w:val="20"/>
          <w:szCs w:val="20"/>
        </w:rPr>
        <w:t xml:space="preserve"> </w:t>
      </w:r>
      <w:r w:rsidRPr="00BB5BF0">
        <w:rPr>
          <w:noProof/>
          <w:sz w:val="20"/>
          <w:szCs w:val="20"/>
        </w:rPr>
        <w:t>after</w:t>
      </w:r>
      <w:r w:rsidR="00ED6927" w:rsidRPr="00BB5BF0">
        <w:rPr>
          <w:noProof/>
          <w:sz w:val="20"/>
          <w:szCs w:val="20"/>
        </w:rPr>
        <w:t xml:space="preserve"> </w:t>
      </w:r>
      <w:r w:rsidRPr="00BB5BF0">
        <w:rPr>
          <w:noProof/>
          <w:sz w:val="20"/>
          <w:szCs w:val="20"/>
        </w:rPr>
        <w:t>cesarean</w:t>
      </w:r>
      <w:r w:rsidR="00ED6927" w:rsidRPr="00BB5BF0">
        <w:rPr>
          <w:noProof/>
          <w:sz w:val="20"/>
          <w:szCs w:val="20"/>
        </w:rPr>
        <w:t xml:space="preserve"> </w:t>
      </w:r>
      <w:r w:rsidRPr="00BB5BF0">
        <w:rPr>
          <w:noProof/>
          <w:sz w:val="20"/>
          <w:szCs w:val="20"/>
        </w:rPr>
        <w:t>section</w:t>
      </w:r>
      <w:r w:rsidR="00ED6927" w:rsidRPr="00BB5BF0">
        <w:rPr>
          <w:noProof/>
          <w:sz w:val="20"/>
          <w:szCs w:val="20"/>
        </w:rPr>
        <w:t xml:space="preserve"> </w:t>
      </w:r>
      <w:r w:rsidRPr="00BB5BF0">
        <w:rPr>
          <w:noProof/>
          <w:sz w:val="20"/>
          <w:szCs w:val="20"/>
        </w:rPr>
        <w:t>under</w:t>
      </w:r>
      <w:r w:rsidR="00ED6927" w:rsidRPr="00BB5BF0">
        <w:rPr>
          <w:noProof/>
          <w:sz w:val="20"/>
          <w:szCs w:val="20"/>
        </w:rPr>
        <w:t xml:space="preserve"> </w:t>
      </w:r>
      <w:r w:rsidRPr="00BB5BF0">
        <w:rPr>
          <w:noProof/>
          <w:sz w:val="20"/>
          <w:szCs w:val="20"/>
        </w:rPr>
        <w:t>general</w:t>
      </w:r>
      <w:r w:rsidR="00ED6927" w:rsidRPr="00BB5BF0">
        <w:rPr>
          <w:noProof/>
          <w:sz w:val="20"/>
          <w:szCs w:val="20"/>
        </w:rPr>
        <w:t xml:space="preserve"> </w:t>
      </w:r>
      <w:r w:rsidRPr="00BB5BF0">
        <w:rPr>
          <w:noProof/>
          <w:sz w:val="20"/>
          <w:szCs w:val="20"/>
        </w:rPr>
        <w:t>anesthesia:</w:t>
      </w:r>
      <w:r w:rsidR="00ED6927" w:rsidRPr="00BB5BF0">
        <w:rPr>
          <w:noProof/>
          <w:sz w:val="20"/>
          <w:szCs w:val="20"/>
        </w:rPr>
        <w:t xml:space="preserve"> </w:t>
      </w:r>
      <w:r w:rsidRPr="00BB5BF0">
        <w:rPr>
          <w:noProof/>
          <w:sz w:val="20"/>
          <w:szCs w:val="20"/>
        </w:rPr>
        <w:t>a</w:t>
      </w:r>
      <w:r w:rsidR="00ED6927" w:rsidRPr="00BB5BF0">
        <w:rPr>
          <w:noProof/>
          <w:sz w:val="20"/>
          <w:szCs w:val="20"/>
        </w:rPr>
        <w:t xml:space="preserve"> </w:t>
      </w:r>
      <w:r w:rsidRPr="00BB5BF0">
        <w:rPr>
          <w:noProof/>
          <w:sz w:val="20"/>
          <w:szCs w:val="20"/>
        </w:rPr>
        <w:t>prospective</w:t>
      </w:r>
      <w:r w:rsidR="00ED6927" w:rsidRPr="00BB5BF0">
        <w:rPr>
          <w:noProof/>
          <w:sz w:val="20"/>
          <w:szCs w:val="20"/>
        </w:rPr>
        <w:t xml:space="preserve"> </w:t>
      </w:r>
      <w:r w:rsidRPr="00BB5BF0">
        <w:rPr>
          <w:noProof/>
          <w:sz w:val="20"/>
          <w:szCs w:val="20"/>
        </w:rPr>
        <w:lastRenderedPageBreak/>
        <w:t>randomized</w:t>
      </w:r>
      <w:r w:rsidR="00ED6927" w:rsidRPr="00BB5BF0">
        <w:rPr>
          <w:noProof/>
          <w:sz w:val="20"/>
          <w:szCs w:val="20"/>
        </w:rPr>
        <w:t xml:space="preserve"> </w:t>
      </w:r>
      <w:r w:rsidRPr="00BB5BF0">
        <w:rPr>
          <w:noProof/>
          <w:sz w:val="20"/>
          <w:szCs w:val="20"/>
        </w:rPr>
        <w:t>clinical</w:t>
      </w:r>
      <w:r w:rsidR="00ED6927" w:rsidRPr="00BB5BF0">
        <w:rPr>
          <w:noProof/>
          <w:sz w:val="20"/>
          <w:szCs w:val="20"/>
        </w:rPr>
        <w:t xml:space="preserve"> </w:t>
      </w:r>
      <w:r w:rsidRPr="00BB5BF0">
        <w:rPr>
          <w:noProof/>
          <w:sz w:val="20"/>
          <w:szCs w:val="20"/>
        </w:rPr>
        <w:t>trial</w:t>
      </w:r>
      <w:r w:rsidRPr="00BB5BF0">
        <w:rPr>
          <w:bCs/>
          <w:noProof/>
          <w:sz w:val="20"/>
          <w:szCs w:val="20"/>
        </w:rPr>
        <w:t>.</w:t>
      </w:r>
      <w:r w:rsidR="00ED6927" w:rsidRPr="00BB5BF0">
        <w:rPr>
          <w:bCs/>
          <w:noProof/>
          <w:sz w:val="20"/>
          <w:szCs w:val="20"/>
        </w:rPr>
        <w:t xml:space="preserve"> </w:t>
      </w:r>
      <w:r w:rsidRPr="00BB5BF0">
        <w:rPr>
          <w:i/>
          <w:iCs/>
          <w:noProof/>
          <w:sz w:val="20"/>
          <w:szCs w:val="20"/>
        </w:rPr>
        <w:t>Journal</w:t>
      </w:r>
      <w:r w:rsidR="00ED6927" w:rsidRPr="00BB5BF0">
        <w:rPr>
          <w:i/>
          <w:iCs/>
          <w:noProof/>
          <w:sz w:val="20"/>
          <w:szCs w:val="20"/>
        </w:rPr>
        <w:t xml:space="preserve"> </w:t>
      </w:r>
      <w:r w:rsidRPr="00BB5BF0">
        <w:rPr>
          <w:i/>
          <w:iCs/>
          <w:noProof/>
          <w:sz w:val="20"/>
          <w:szCs w:val="20"/>
        </w:rPr>
        <w:t>of</w:t>
      </w:r>
      <w:r w:rsidR="00ED6927" w:rsidRPr="00BB5BF0">
        <w:rPr>
          <w:i/>
          <w:iCs/>
          <w:noProof/>
          <w:sz w:val="20"/>
          <w:szCs w:val="20"/>
        </w:rPr>
        <w:t xml:space="preserve"> </w:t>
      </w:r>
      <w:r w:rsidRPr="00BB5BF0">
        <w:rPr>
          <w:i/>
          <w:iCs/>
          <w:noProof/>
          <w:sz w:val="20"/>
          <w:szCs w:val="20"/>
        </w:rPr>
        <w:t>Maternal-Fetal</w:t>
      </w:r>
      <w:r w:rsidR="00ED6927" w:rsidRPr="00BB5BF0">
        <w:rPr>
          <w:i/>
          <w:iCs/>
          <w:noProof/>
          <w:sz w:val="20"/>
          <w:szCs w:val="20"/>
        </w:rPr>
        <w:t xml:space="preserve"> </w:t>
      </w:r>
      <w:r w:rsidRPr="00BB5BF0">
        <w:rPr>
          <w:i/>
          <w:iCs/>
          <w:noProof/>
          <w:sz w:val="20"/>
          <w:szCs w:val="20"/>
        </w:rPr>
        <w:t>and</w:t>
      </w:r>
      <w:r w:rsidR="00ED6927" w:rsidRPr="00BB5BF0">
        <w:rPr>
          <w:i/>
          <w:iCs/>
          <w:noProof/>
          <w:sz w:val="20"/>
          <w:szCs w:val="20"/>
        </w:rPr>
        <w:t xml:space="preserve"> </w:t>
      </w:r>
      <w:r w:rsidRPr="00BB5BF0">
        <w:rPr>
          <w:i/>
          <w:iCs/>
          <w:noProof/>
          <w:sz w:val="20"/>
          <w:szCs w:val="20"/>
        </w:rPr>
        <w:t>Neonatal</w:t>
      </w:r>
      <w:r w:rsidR="00ED6927" w:rsidRPr="00BB5BF0">
        <w:rPr>
          <w:i/>
          <w:iCs/>
          <w:noProof/>
          <w:sz w:val="20"/>
          <w:szCs w:val="20"/>
        </w:rPr>
        <w:t xml:space="preserve"> </w:t>
      </w:r>
      <w:r w:rsidRPr="00BB5BF0">
        <w:rPr>
          <w:i/>
          <w:iCs/>
          <w:noProof/>
          <w:sz w:val="20"/>
          <w:szCs w:val="20"/>
        </w:rPr>
        <w:t>Medicine</w:t>
      </w:r>
      <w:r w:rsidRPr="00BB5BF0">
        <w:rPr>
          <w:noProof/>
          <w:sz w:val="20"/>
          <w:szCs w:val="20"/>
        </w:rPr>
        <w:t>,</w:t>
      </w:r>
      <w:r w:rsidR="00ED6927" w:rsidRPr="00BB5BF0">
        <w:rPr>
          <w:noProof/>
          <w:sz w:val="20"/>
          <w:szCs w:val="20"/>
        </w:rPr>
        <w:t xml:space="preserve"> </w:t>
      </w:r>
      <w:r w:rsidRPr="00BB5BF0">
        <w:rPr>
          <w:i/>
          <w:iCs/>
          <w:noProof/>
          <w:sz w:val="20"/>
          <w:szCs w:val="20"/>
        </w:rPr>
        <w:t>31</w:t>
      </w:r>
      <w:r w:rsidRPr="00BB5BF0">
        <w:rPr>
          <w:noProof/>
          <w:sz w:val="20"/>
          <w:szCs w:val="20"/>
        </w:rPr>
        <w:t>(21),</w:t>
      </w:r>
      <w:r w:rsidR="00ED6927" w:rsidRPr="00BB5BF0">
        <w:rPr>
          <w:noProof/>
          <w:sz w:val="20"/>
          <w:szCs w:val="20"/>
        </w:rPr>
        <w:t xml:space="preserve"> </w:t>
      </w:r>
      <w:r w:rsidRPr="00BB5BF0">
        <w:rPr>
          <w:noProof/>
          <w:sz w:val="20"/>
          <w:szCs w:val="20"/>
        </w:rPr>
        <w:t>2807–2812.</w:t>
      </w:r>
      <w:r w:rsidR="00ED6927" w:rsidRPr="00BB5BF0">
        <w:rPr>
          <w:noProof/>
          <w:sz w:val="20"/>
          <w:szCs w:val="20"/>
        </w:rPr>
        <w:t xml:space="preserve"> </w:t>
      </w:r>
      <w:r w:rsidRPr="00BB5BF0">
        <w:rPr>
          <w:noProof/>
          <w:sz w:val="20"/>
          <w:szCs w:val="20"/>
        </w:rPr>
        <w:t>https://doi.org/10.1080/14767058.2017.1355907</w:t>
      </w:r>
      <w:r w:rsidR="00BB5BF0" w:rsidRPr="00BB5BF0">
        <w:rPr>
          <w:rFonts w:eastAsiaTheme="minorEastAsia" w:hint="eastAsia"/>
          <w:noProof/>
          <w:sz w:val="20"/>
          <w:szCs w:val="20"/>
          <w:lang w:eastAsia="zh-CN"/>
        </w:rPr>
        <w:t>.</w:t>
      </w:r>
    </w:p>
    <w:p w:rsidR="00ED6927" w:rsidRPr="00BB5BF0" w:rsidRDefault="00E14E3B" w:rsidP="006924D1">
      <w:pPr>
        <w:pStyle w:val="ListParagraph"/>
        <w:widowControl w:val="0"/>
        <w:numPr>
          <w:ilvl w:val="0"/>
          <w:numId w:val="5"/>
        </w:numPr>
        <w:autoSpaceDE w:val="0"/>
        <w:autoSpaceDN w:val="0"/>
        <w:adjustRightInd w:val="0"/>
        <w:snapToGrid w:val="0"/>
        <w:spacing w:after="0" w:line="240" w:lineRule="auto"/>
        <w:ind w:left="425" w:hanging="425"/>
        <w:rPr>
          <w:sz w:val="20"/>
          <w:szCs w:val="20"/>
        </w:rPr>
      </w:pPr>
      <w:r w:rsidRPr="00BB5BF0">
        <w:rPr>
          <w:bCs/>
          <w:noProof/>
          <w:sz w:val="20"/>
          <w:szCs w:val="20"/>
        </w:rPr>
        <w:lastRenderedPageBreak/>
        <w:t>Wormer,</w:t>
      </w:r>
      <w:r w:rsidR="00ED6927" w:rsidRPr="00BB5BF0">
        <w:rPr>
          <w:bCs/>
          <w:noProof/>
          <w:sz w:val="20"/>
          <w:szCs w:val="20"/>
        </w:rPr>
        <w:t xml:space="preserve"> </w:t>
      </w:r>
      <w:r w:rsidRPr="00BB5BF0">
        <w:rPr>
          <w:bCs/>
          <w:noProof/>
          <w:sz w:val="20"/>
          <w:szCs w:val="20"/>
        </w:rPr>
        <w:t>K.</w:t>
      </w:r>
      <w:r w:rsidR="00ED6927" w:rsidRPr="00BB5BF0">
        <w:rPr>
          <w:bCs/>
          <w:noProof/>
          <w:sz w:val="20"/>
          <w:szCs w:val="20"/>
        </w:rPr>
        <w:t xml:space="preserve"> </w:t>
      </w:r>
      <w:r w:rsidRPr="00BB5BF0">
        <w:rPr>
          <w:bCs/>
          <w:noProof/>
          <w:sz w:val="20"/>
          <w:szCs w:val="20"/>
        </w:rPr>
        <w:t>C.,</w:t>
      </w:r>
      <w:r w:rsidR="00ED6927" w:rsidRPr="00BB5BF0">
        <w:rPr>
          <w:bCs/>
          <w:noProof/>
          <w:sz w:val="20"/>
          <w:szCs w:val="20"/>
        </w:rPr>
        <w:t xml:space="preserve"> &amp; </w:t>
      </w:r>
      <w:r w:rsidRPr="00BB5BF0">
        <w:rPr>
          <w:bCs/>
          <w:noProof/>
          <w:sz w:val="20"/>
          <w:szCs w:val="20"/>
        </w:rPr>
        <w:t>Bryant,</w:t>
      </w:r>
      <w:r w:rsidR="00ED6927" w:rsidRPr="00BB5BF0">
        <w:rPr>
          <w:bCs/>
          <w:noProof/>
          <w:sz w:val="20"/>
          <w:szCs w:val="20"/>
        </w:rPr>
        <w:t xml:space="preserve"> </w:t>
      </w:r>
      <w:r w:rsidRPr="00BB5BF0">
        <w:rPr>
          <w:bCs/>
          <w:noProof/>
          <w:sz w:val="20"/>
          <w:szCs w:val="20"/>
        </w:rPr>
        <w:t>S.</w:t>
      </w:r>
      <w:r w:rsidR="00ED6927" w:rsidRPr="00BB5BF0">
        <w:rPr>
          <w:bCs/>
          <w:noProof/>
          <w:sz w:val="20"/>
          <w:szCs w:val="20"/>
        </w:rPr>
        <w:t xml:space="preserve"> </w:t>
      </w:r>
      <w:r w:rsidRPr="00BB5BF0">
        <w:rPr>
          <w:bCs/>
          <w:noProof/>
          <w:sz w:val="20"/>
          <w:szCs w:val="20"/>
        </w:rPr>
        <w:t>B.</w:t>
      </w:r>
      <w:r w:rsidR="00ED6927" w:rsidRPr="00BB5BF0">
        <w:rPr>
          <w:bCs/>
          <w:noProof/>
          <w:sz w:val="20"/>
          <w:szCs w:val="20"/>
        </w:rPr>
        <w:t xml:space="preserve"> </w:t>
      </w:r>
      <w:r w:rsidRPr="00BB5BF0">
        <w:rPr>
          <w:bCs/>
          <w:noProof/>
          <w:sz w:val="20"/>
          <w:szCs w:val="20"/>
        </w:rPr>
        <w:t>(2018):</w:t>
      </w:r>
      <w:r w:rsidR="00ED6927" w:rsidRPr="00BB5BF0">
        <w:rPr>
          <w:bCs/>
          <w:noProof/>
          <w:sz w:val="20"/>
          <w:szCs w:val="20"/>
        </w:rPr>
        <w:t xml:space="preserve"> </w:t>
      </w:r>
      <w:r w:rsidRPr="00BB5BF0">
        <w:rPr>
          <w:i/>
          <w:iCs/>
          <w:noProof/>
          <w:sz w:val="20"/>
          <w:szCs w:val="20"/>
        </w:rPr>
        <w:t>Pregnancy,</w:t>
      </w:r>
      <w:r w:rsidR="00ED6927" w:rsidRPr="00BB5BF0">
        <w:rPr>
          <w:i/>
          <w:iCs/>
          <w:noProof/>
          <w:sz w:val="20"/>
          <w:szCs w:val="20"/>
        </w:rPr>
        <w:t xml:space="preserve"> </w:t>
      </w:r>
      <w:r w:rsidRPr="00BB5BF0">
        <w:rPr>
          <w:i/>
          <w:iCs/>
          <w:noProof/>
          <w:sz w:val="20"/>
          <w:szCs w:val="20"/>
        </w:rPr>
        <w:t>Acute</w:t>
      </w:r>
      <w:r w:rsidR="00ED6927" w:rsidRPr="00BB5BF0">
        <w:rPr>
          <w:i/>
          <w:iCs/>
          <w:noProof/>
          <w:sz w:val="20"/>
          <w:szCs w:val="20"/>
        </w:rPr>
        <w:t xml:space="preserve"> </w:t>
      </w:r>
      <w:r w:rsidRPr="00BB5BF0">
        <w:rPr>
          <w:i/>
          <w:iCs/>
          <w:noProof/>
          <w:sz w:val="20"/>
          <w:szCs w:val="20"/>
        </w:rPr>
        <w:t>Postpartum</w:t>
      </w:r>
      <w:r w:rsidR="00ED6927" w:rsidRPr="00BB5BF0">
        <w:rPr>
          <w:i/>
          <w:iCs/>
          <w:noProof/>
          <w:sz w:val="20"/>
          <w:szCs w:val="20"/>
        </w:rPr>
        <w:t xml:space="preserve"> </w:t>
      </w:r>
      <w:r w:rsidRPr="00BB5BF0">
        <w:rPr>
          <w:i/>
          <w:iCs/>
          <w:noProof/>
          <w:sz w:val="20"/>
          <w:szCs w:val="20"/>
        </w:rPr>
        <w:t>Hemorrhage</w:t>
      </w:r>
      <w:r w:rsidRPr="00BB5BF0">
        <w:rPr>
          <w:bCs/>
          <w:noProof/>
          <w:sz w:val="20"/>
          <w:szCs w:val="20"/>
        </w:rPr>
        <w:t>.</w:t>
      </w:r>
      <w:r w:rsidR="00ED6927" w:rsidRPr="00BB5BF0">
        <w:rPr>
          <w:bCs/>
          <w:noProof/>
          <w:sz w:val="20"/>
          <w:szCs w:val="20"/>
        </w:rPr>
        <w:t xml:space="preserve"> </w:t>
      </w:r>
      <w:r w:rsidRPr="00BB5BF0">
        <w:rPr>
          <w:bCs/>
          <w:i/>
          <w:iCs/>
          <w:noProof/>
          <w:sz w:val="20"/>
          <w:szCs w:val="20"/>
        </w:rPr>
        <w:t>StatPearls</w:t>
      </w:r>
      <w:r w:rsidRPr="00BB5BF0">
        <w:rPr>
          <w:noProof/>
          <w:sz w:val="20"/>
          <w:szCs w:val="20"/>
        </w:rPr>
        <w:t>.</w:t>
      </w:r>
      <w:r w:rsidR="00ED6927" w:rsidRPr="00BB5BF0">
        <w:rPr>
          <w:noProof/>
          <w:sz w:val="20"/>
          <w:szCs w:val="20"/>
        </w:rPr>
        <w:t xml:space="preserve"> </w:t>
      </w:r>
      <w:r w:rsidRPr="00BB5BF0">
        <w:rPr>
          <w:noProof/>
          <w:sz w:val="20"/>
          <w:szCs w:val="20"/>
        </w:rPr>
        <w:t>StatPearls</w:t>
      </w:r>
      <w:r w:rsidR="00ED6927" w:rsidRPr="00BB5BF0">
        <w:rPr>
          <w:noProof/>
          <w:sz w:val="20"/>
          <w:szCs w:val="20"/>
        </w:rPr>
        <w:t xml:space="preserve"> </w:t>
      </w:r>
      <w:r w:rsidRPr="00BB5BF0">
        <w:rPr>
          <w:noProof/>
          <w:sz w:val="20"/>
          <w:szCs w:val="20"/>
        </w:rPr>
        <w:t>Publishing.</w:t>
      </w:r>
      <w:r w:rsidR="00ED6927" w:rsidRPr="00BB5BF0">
        <w:rPr>
          <w:noProof/>
          <w:sz w:val="20"/>
          <w:szCs w:val="20"/>
        </w:rPr>
        <w:t xml:space="preserve"> </w:t>
      </w:r>
      <w:r w:rsidRPr="00BB5BF0">
        <w:rPr>
          <w:noProof/>
          <w:sz w:val="20"/>
          <w:szCs w:val="20"/>
        </w:rPr>
        <w:t>Opgehaal</w:t>
      </w:r>
      <w:r w:rsidR="00ED6927" w:rsidRPr="00BB5BF0">
        <w:rPr>
          <w:noProof/>
          <w:sz w:val="20"/>
          <w:szCs w:val="20"/>
        </w:rPr>
        <w:t xml:space="preserve"> </w:t>
      </w:r>
      <w:r w:rsidRPr="00BB5BF0">
        <w:rPr>
          <w:noProof/>
          <w:sz w:val="20"/>
          <w:szCs w:val="20"/>
        </w:rPr>
        <w:t>van</w:t>
      </w:r>
      <w:r w:rsidR="00ED6927" w:rsidRPr="00BB5BF0">
        <w:rPr>
          <w:noProof/>
          <w:sz w:val="20"/>
          <w:szCs w:val="20"/>
        </w:rPr>
        <w:t xml:space="preserve"> </w:t>
      </w:r>
      <w:r w:rsidRPr="00BB5BF0">
        <w:rPr>
          <w:noProof/>
          <w:sz w:val="20"/>
          <w:szCs w:val="20"/>
        </w:rPr>
        <w:t>http://www.ncbi.nlm.nih.gov/pubmed/29763164</w:t>
      </w:r>
      <w:r w:rsidR="00BB5BF0" w:rsidRPr="00BB5BF0">
        <w:rPr>
          <w:rFonts w:eastAsiaTheme="minorEastAsia" w:hint="eastAsia"/>
          <w:noProof/>
          <w:sz w:val="20"/>
          <w:szCs w:val="20"/>
          <w:lang w:eastAsia="zh-CN"/>
        </w:rPr>
        <w:t>.</w:t>
      </w:r>
    </w:p>
    <w:p w:rsidR="006924D1" w:rsidRPr="00BB5BF0" w:rsidRDefault="006924D1" w:rsidP="006924D1">
      <w:pPr>
        <w:snapToGrid w:val="0"/>
        <w:spacing w:after="0" w:line="240" w:lineRule="auto"/>
        <w:ind w:left="425" w:hanging="425"/>
        <w:rPr>
          <w:sz w:val="20"/>
          <w:szCs w:val="20"/>
        </w:rPr>
        <w:sectPr w:rsidR="006924D1" w:rsidRPr="00BB5BF0" w:rsidSect="000C1847">
          <w:type w:val="continuous"/>
          <w:pgSz w:w="12240" w:h="15840" w:code="9"/>
          <w:pgMar w:top="1440" w:right="1440" w:bottom="1440" w:left="1440" w:header="720" w:footer="720" w:gutter="0"/>
          <w:cols w:num="2" w:space="550"/>
          <w:rtlGutter/>
          <w:docGrid w:linePitch="360"/>
        </w:sectPr>
      </w:pPr>
    </w:p>
    <w:p w:rsidR="006924D1" w:rsidRPr="00BB5BF0" w:rsidRDefault="006924D1" w:rsidP="006924D1">
      <w:pPr>
        <w:snapToGrid w:val="0"/>
        <w:spacing w:after="0" w:line="240" w:lineRule="auto"/>
        <w:ind w:left="425" w:hanging="425"/>
        <w:rPr>
          <w:rFonts w:eastAsiaTheme="minorEastAsia"/>
          <w:sz w:val="20"/>
          <w:szCs w:val="20"/>
          <w:lang w:eastAsia="zh-CN"/>
        </w:rPr>
      </w:pPr>
    </w:p>
    <w:p w:rsidR="006924D1" w:rsidRPr="00BB5BF0" w:rsidRDefault="006924D1" w:rsidP="006924D1">
      <w:pPr>
        <w:snapToGrid w:val="0"/>
        <w:spacing w:after="0" w:line="240" w:lineRule="auto"/>
        <w:ind w:firstLine="425"/>
        <w:rPr>
          <w:rFonts w:eastAsiaTheme="minorEastAsia"/>
          <w:sz w:val="20"/>
          <w:szCs w:val="20"/>
          <w:lang w:eastAsia="zh-CN"/>
        </w:rPr>
      </w:pPr>
      <w:r w:rsidRPr="00BB5BF0">
        <w:rPr>
          <w:rFonts w:eastAsiaTheme="minorEastAsia" w:hint="eastAsia"/>
          <w:sz w:val="20"/>
          <w:szCs w:val="20"/>
          <w:lang w:eastAsia="zh-CN"/>
        </w:rPr>
        <w:t xml:space="preserve"> </w:t>
      </w:r>
    </w:p>
    <w:p w:rsidR="005910CB" w:rsidRPr="00BB5BF0" w:rsidRDefault="00ED6927" w:rsidP="006924D1">
      <w:pPr>
        <w:snapToGrid w:val="0"/>
        <w:spacing w:after="0" w:line="240" w:lineRule="auto"/>
        <w:rPr>
          <w:sz w:val="20"/>
          <w:szCs w:val="20"/>
        </w:rPr>
      </w:pPr>
      <w:r w:rsidRPr="00BB5BF0">
        <w:rPr>
          <w:sz w:val="20"/>
          <w:szCs w:val="20"/>
        </w:rPr>
        <w:t>10/28/2019</w:t>
      </w:r>
    </w:p>
    <w:sectPr w:rsidR="005910CB" w:rsidRPr="00BB5BF0" w:rsidSect="000C1847">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32" w:rsidRDefault="00851132" w:rsidP="00B2748D">
      <w:pPr>
        <w:spacing w:after="0" w:line="240" w:lineRule="auto"/>
      </w:pPr>
      <w:r>
        <w:separator/>
      </w:r>
    </w:p>
  </w:endnote>
  <w:endnote w:type="continuationSeparator" w:id="0">
    <w:p w:rsidR="00851132" w:rsidRDefault="00851132" w:rsidP="00B27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85" w:rsidRPr="000C1847" w:rsidRDefault="00DB2D08" w:rsidP="000C1847">
    <w:pPr>
      <w:spacing w:after="0" w:line="240" w:lineRule="auto"/>
      <w:jc w:val="center"/>
      <w:rPr>
        <w:sz w:val="20"/>
      </w:rPr>
    </w:pPr>
    <w:r w:rsidRPr="000C1847">
      <w:rPr>
        <w:sz w:val="20"/>
      </w:rPr>
      <w:fldChar w:fldCharType="begin"/>
    </w:r>
    <w:r w:rsidR="000C1847" w:rsidRPr="000C1847">
      <w:rPr>
        <w:sz w:val="20"/>
      </w:rPr>
      <w:instrText xml:space="preserve"> page </w:instrText>
    </w:r>
    <w:r w:rsidRPr="000C1847">
      <w:rPr>
        <w:sz w:val="20"/>
      </w:rPr>
      <w:fldChar w:fldCharType="separate"/>
    </w:r>
    <w:r w:rsidR="00BB5BF0">
      <w:rPr>
        <w:noProof/>
        <w:sz w:val="20"/>
      </w:rPr>
      <w:t>15</w:t>
    </w:r>
    <w:r w:rsidRPr="000C184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32" w:rsidRDefault="00851132" w:rsidP="00B2748D">
      <w:pPr>
        <w:spacing w:after="0" w:line="240" w:lineRule="auto"/>
      </w:pPr>
      <w:r>
        <w:separator/>
      </w:r>
    </w:p>
  </w:footnote>
  <w:footnote w:type="continuationSeparator" w:id="0">
    <w:p w:rsidR="00851132" w:rsidRDefault="00851132" w:rsidP="00B27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47" w:rsidRPr="000C1847" w:rsidRDefault="000C1847" w:rsidP="000C1847">
    <w:pPr>
      <w:pBdr>
        <w:bottom w:val="thinThickMediumGap" w:sz="12" w:space="1" w:color="auto"/>
      </w:pBdr>
      <w:tabs>
        <w:tab w:val="left" w:pos="851"/>
        <w:tab w:val="right" w:pos="8364"/>
      </w:tabs>
      <w:adjustRightInd w:val="0"/>
      <w:snapToGrid w:val="0"/>
      <w:spacing w:after="0" w:line="240" w:lineRule="auto"/>
      <w:rPr>
        <w:iCs/>
        <w:sz w:val="20"/>
        <w:szCs w:val="20"/>
      </w:rPr>
    </w:pPr>
    <w:r w:rsidRPr="000C1847">
      <w:rPr>
        <w:rFonts w:hint="eastAsia"/>
        <w:iCs/>
        <w:color w:val="000000"/>
        <w:sz w:val="20"/>
        <w:szCs w:val="20"/>
      </w:rPr>
      <w:tab/>
    </w:r>
    <w:r w:rsidRPr="000C1847">
      <w:rPr>
        <w:iCs/>
        <w:color w:val="000000"/>
        <w:sz w:val="20"/>
        <w:szCs w:val="20"/>
      </w:rPr>
      <w:t xml:space="preserve">Researcher </w:t>
    </w:r>
    <w:r w:rsidRPr="000C1847">
      <w:rPr>
        <w:iCs/>
        <w:sz w:val="20"/>
        <w:szCs w:val="20"/>
      </w:rPr>
      <w:t>201</w:t>
    </w:r>
    <w:r w:rsidRPr="000C1847">
      <w:rPr>
        <w:rFonts w:hint="eastAsia"/>
        <w:iCs/>
        <w:sz w:val="20"/>
        <w:szCs w:val="20"/>
      </w:rPr>
      <w:t>9</w:t>
    </w:r>
    <w:r w:rsidRPr="000C1847">
      <w:rPr>
        <w:iCs/>
        <w:sz w:val="20"/>
        <w:szCs w:val="20"/>
      </w:rPr>
      <w:t>;</w:t>
    </w:r>
    <w:r w:rsidRPr="000C1847">
      <w:rPr>
        <w:rFonts w:hint="eastAsia"/>
        <w:iCs/>
        <w:sz w:val="20"/>
        <w:szCs w:val="20"/>
      </w:rPr>
      <w:t>11</w:t>
    </w:r>
    <w:r w:rsidRPr="000C1847">
      <w:rPr>
        <w:iCs/>
        <w:sz w:val="20"/>
        <w:szCs w:val="20"/>
      </w:rPr>
      <w:t>(</w:t>
    </w:r>
    <w:r w:rsidRPr="000C1847">
      <w:rPr>
        <w:rFonts w:hint="eastAsia"/>
        <w:iCs/>
        <w:sz w:val="20"/>
        <w:szCs w:val="20"/>
      </w:rPr>
      <w:t>11</w:t>
    </w:r>
    <w:r w:rsidRPr="000C1847">
      <w:rPr>
        <w:iCs/>
        <w:sz w:val="20"/>
        <w:szCs w:val="20"/>
      </w:rPr>
      <w:t xml:space="preserve">)  </w:t>
    </w:r>
    <w:r w:rsidRPr="000C1847">
      <w:rPr>
        <w:rFonts w:hint="eastAsia"/>
        <w:iCs/>
        <w:sz w:val="20"/>
        <w:szCs w:val="20"/>
      </w:rPr>
      <w:t xml:space="preserve"> </w:t>
    </w:r>
    <w:r w:rsidRPr="000C1847">
      <w:rPr>
        <w:iCs/>
        <w:sz w:val="20"/>
        <w:szCs w:val="20"/>
      </w:rPr>
      <w:t xml:space="preserve"> </w:t>
    </w:r>
    <w:r w:rsidRPr="000C1847">
      <w:rPr>
        <w:rFonts w:hint="eastAsia"/>
        <w:iCs/>
        <w:sz w:val="20"/>
        <w:szCs w:val="20"/>
      </w:rPr>
      <w:tab/>
    </w:r>
    <w:r w:rsidRPr="000C1847">
      <w:rPr>
        <w:iCs/>
        <w:sz w:val="20"/>
        <w:szCs w:val="20"/>
      </w:rPr>
      <w:t xml:space="preserve">    </w:t>
    </w:r>
    <w:r w:rsidRPr="000C1847">
      <w:rPr>
        <w:sz w:val="20"/>
        <w:szCs w:val="20"/>
      </w:rPr>
      <w:t xml:space="preserve"> </w:t>
    </w:r>
    <w:hyperlink r:id="rId1" w:history="1">
      <w:r w:rsidRPr="000C1847">
        <w:rPr>
          <w:rStyle w:val="Hyperlink"/>
          <w:color w:val="0000FF"/>
          <w:sz w:val="20"/>
          <w:szCs w:val="20"/>
        </w:rPr>
        <w:t>http://www.sciencepub.net/researcher</w:t>
      </w:r>
    </w:hyperlink>
    <w:r w:rsidRPr="000C1847">
      <w:rPr>
        <w:rFonts w:hint="eastAsia"/>
        <w:sz w:val="20"/>
      </w:rPr>
      <w:t xml:space="preserve">   </w:t>
    </w:r>
    <w:r w:rsidRPr="000C1847">
      <w:rPr>
        <w:rFonts w:hint="eastAsia"/>
        <w:b/>
        <w:i/>
        <w:color w:val="FF0000"/>
        <w:sz w:val="20"/>
        <w:szCs w:val="20"/>
        <w:bdr w:val="single" w:sz="4" w:space="0" w:color="FF0000"/>
      </w:rPr>
      <w:t>RSJ</w:t>
    </w:r>
  </w:p>
  <w:p w:rsidR="000C1847" w:rsidRPr="000C1847" w:rsidRDefault="000C1847" w:rsidP="000C1847">
    <w:pPr>
      <w:tabs>
        <w:tab w:val="left" w:pos="851"/>
        <w:tab w:val="right" w:pos="8364"/>
      </w:tabs>
      <w:adjustRightInd w:val="0"/>
      <w:snapToGrid w:val="0"/>
      <w:spacing w:after="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2B1"/>
    <w:multiLevelType w:val="hybridMultilevel"/>
    <w:tmpl w:val="2EF6F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014DB0"/>
    <w:multiLevelType w:val="hybridMultilevel"/>
    <w:tmpl w:val="E280EBCE"/>
    <w:lvl w:ilvl="0" w:tplc="FC9486CC">
      <w:start w:val="1"/>
      <w:numFmt w:val="decimal"/>
      <w:suff w:val="space"/>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26A8C"/>
    <w:multiLevelType w:val="hybridMultilevel"/>
    <w:tmpl w:val="948C3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6A4F68"/>
    <w:multiLevelType w:val="hybridMultilevel"/>
    <w:tmpl w:val="2970280C"/>
    <w:lvl w:ilvl="0" w:tplc="ACFA8DD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8D5FF0"/>
    <w:multiLevelType w:val="multilevel"/>
    <w:tmpl w:val="638D5FF0"/>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10"/>
  <w:displayHorizontalDrawingGridEvery w:val="2"/>
  <w:characterSpacingControl w:val="doNotCompress"/>
  <w:hdrShapeDefaults>
    <o:shapedefaults v:ext="edit" spidmax="18434" fillcolor="white">
      <v:fill color="white"/>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gFCIwMLSxNTcxMTSyUdpeDU4uLM/DyQAvNaAGOj20ksAAAA"/>
  </w:docVars>
  <w:rsids>
    <w:rsidRoot w:val="00172A27"/>
    <w:rsid w:val="00025111"/>
    <w:rsid w:val="00063372"/>
    <w:rsid w:val="00070D2B"/>
    <w:rsid w:val="00076282"/>
    <w:rsid w:val="000C0A00"/>
    <w:rsid w:val="000C1847"/>
    <w:rsid w:val="000F7D71"/>
    <w:rsid w:val="00114D31"/>
    <w:rsid w:val="001166FC"/>
    <w:rsid w:val="001263E2"/>
    <w:rsid w:val="0013084C"/>
    <w:rsid w:val="001333D0"/>
    <w:rsid w:val="00134350"/>
    <w:rsid w:val="00141E6C"/>
    <w:rsid w:val="0015349A"/>
    <w:rsid w:val="00164428"/>
    <w:rsid w:val="0017250B"/>
    <w:rsid w:val="00172A27"/>
    <w:rsid w:val="00175C3E"/>
    <w:rsid w:val="00182152"/>
    <w:rsid w:val="001B1365"/>
    <w:rsid w:val="001B2734"/>
    <w:rsid w:val="001E23C0"/>
    <w:rsid w:val="002127A4"/>
    <w:rsid w:val="002547FF"/>
    <w:rsid w:val="002929E5"/>
    <w:rsid w:val="002A1719"/>
    <w:rsid w:val="002A4290"/>
    <w:rsid w:val="002C5C0B"/>
    <w:rsid w:val="002C7373"/>
    <w:rsid w:val="002D4810"/>
    <w:rsid w:val="002D6767"/>
    <w:rsid w:val="002F1E98"/>
    <w:rsid w:val="003013F4"/>
    <w:rsid w:val="0030480F"/>
    <w:rsid w:val="00365B69"/>
    <w:rsid w:val="003714C7"/>
    <w:rsid w:val="003A207D"/>
    <w:rsid w:val="003A74F0"/>
    <w:rsid w:val="003D4C62"/>
    <w:rsid w:val="003E13C1"/>
    <w:rsid w:val="00405024"/>
    <w:rsid w:val="00406C2C"/>
    <w:rsid w:val="004167CA"/>
    <w:rsid w:val="00434544"/>
    <w:rsid w:val="004425E1"/>
    <w:rsid w:val="004471BC"/>
    <w:rsid w:val="00457794"/>
    <w:rsid w:val="004601B0"/>
    <w:rsid w:val="004712E6"/>
    <w:rsid w:val="0047337F"/>
    <w:rsid w:val="0048253D"/>
    <w:rsid w:val="00490B10"/>
    <w:rsid w:val="00495715"/>
    <w:rsid w:val="004D24D0"/>
    <w:rsid w:val="004D6458"/>
    <w:rsid w:val="00524C3C"/>
    <w:rsid w:val="00527DCC"/>
    <w:rsid w:val="005371C4"/>
    <w:rsid w:val="005418A1"/>
    <w:rsid w:val="0058663D"/>
    <w:rsid w:val="005910CB"/>
    <w:rsid w:val="005A20E9"/>
    <w:rsid w:val="005A49AD"/>
    <w:rsid w:val="005C41FE"/>
    <w:rsid w:val="005F26F7"/>
    <w:rsid w:val="005F3F3E"/>
    <w:rsid w:val="005F47AB"/>
    <w:rsid w:val="005F636B"/>
    <w:rsid w:val="005F6BED"/>
    <w:rsid w:val="0061047E"/>
    <w:rsid w:val="0062203B"/>
    <w:rsid w:val="00622095"/>
    <w:rsid w:val="00640508"/>
    <w:rsid w:val="00674B01"/>
    <w:rsid w:val="006848A8"/>
    <w:rsid w:val="00684F8B"/>
    <w:rsid w:val="006924D1"/>
    <w:rsid w:val="006C797C"/>
    <w:rsid w:val="00703CDE"/>
    <w:rsid w:val="00714A14"/>
    <w:rsid w:val="00724C38"/>
    <w:rsid w:val="007351CF"/>
    <w:rsid w:val="00755559"/>
    <w:rsid w:val="00771651"/>
    <w:rsid w:val="00780385"/>
    <w:rsid w:val="007B014B"/>
    <w:rsid w:val="007C0CA5"/>
    <w:rsid w:val="007C3591"/>
    <w:rsid w:val="007E06B3"/>
    <w:rsid w:val="007E0A29"/>
    <w:rsid w:val="007E471D"/>
    <w:rsid w:val="007E56E6"/>
    <w:rsid w:val="007F1BCF"/>
    <w:rsid w:val="008072E9"/>
    <w:rsid w:val="00812C15"/>
    <w:rsid w:val="00823E99"/>
    <w:rsid w:val="00851132"/>
    <w:rsid w:val="00857BFC"/>
    <w:rsid w:val="008968D6"/>
    <w:rsid w:val="008A5D29"/>
    <w:rsid w:val="008B1C85"/>
    <w:rsid w:val="008B3ADB"/>
    <w:rsid w:val="008D5BC9"/>
    <w:rsid w:val="00900702"/>
    <w:rsid w:val="00937EA5"/>
    <w:rsid w:val="009413A9"/>
    <w:rsid w:val="00950E75"/>
    <w:rsid w:val="009572A1"/>
    <w:rsid w:val="009D277F"/>
    <w:rsid w:val="009D7C54"/>
    <w:rsid w:val="009E25B6"/>
    <w:rsid w:val="009F43C3"/>
    <w:rsid w:val="00A22F31"/>
    <w:rsid w:val="00A55572"/>
    <w:rsid w:val="00A73B15"/>
    <w:rsid w:val="00A80D66"/>
    <w:rsid w:val="00A83975"/>
    <w:rsid w:val="00AA49C1"/>
    <w:rsid w:val="00AB6133"/>
    <w:rsid w:val="00AF1E46"/>
    <w:rsid w:val="00B07739"/>
    <w:rsid w:val="00B2748D"/>
    <w:rsid w:val="00B609B6"/>
    <w:rsid w:val="00B6372A"/>
    <w:rsid w:val="00B705A7"/>
    <w:rsid w:val="00B84B31"/>
    <w:rsid w:val="00B911A9"/>
    <w:rsid w:val="00B94B67"/>
    <w:rsid w:val="00BA14C7"/>
    <w:rsid w:val="00BA7BE5"/>
    <w:rsid w:val="00BB5BF0"/>
    <w:rsid w:val="00BD114E"/>
    <w:rsid w:val="00BE3BC2"/>
    <w:rsid w:val="00BE4551"/>
    <w:rsid w:val="00BE4DD8"/>
    <w:rsid w:val="00BF2258"/>
    <w:rsid w:val="00BF5135"/>
    <w:rsid w:val="00C04BCD"/>
    <w:rsid w:val="00C42804"/>
    <w:rsid w:val="00C61F27"/>
    <w:rsid w:val="00C71BF5"/>
    <w:rsid w:val="00CA7857"/>
    <w:rsid w:val="00CC3501"/>
    <w:rsid w:val="00CC53D0"/>
    <w:rsid w:val="00CD1212"/>
    <w:rsid w:val="00CE1033"/>
    <w:rsid w:val="00CE4C58"/>
    <w:rsid w:val="00CF4B1F"/>
    <w:rsid w:val="00D035E8"/>
    <w:rsid w:val="00D040F2"/>
    <w:rsid w:val="00D06267"/>
    <w:rsid w:val="00D16D52"/>
    <w:rsid w:val="00D2353D"/>
    <w:rsid w:val="00D2795E"/>
    <w:rsid w:val="00D429CD"/>
    <w:rsid w:val="00D5431B"/>
    <w:rsid w:val="00D76119"/>
    <w:rsid w:val="00D80677"/>
    <w:rsid w:val="00DB2D08"/>
    <w:rsid w:val="00DC3082"/>
    <w:rsid w:val="00DF3D56"/>
    <w:rsid w:val="00E10753"/>
    <w:rsid w:val="00E138B2"/>
    <w:rsid w:val="00E14E3B"/>
    <w:rsid w:val="00E22741"/>
    <w:rsid w:val="00E26C26"/>
    <w:rsid w:val="00E3617D"/>
    <w:rsid w:val="00E4316C"/>
    <w:rsid w:val="00E461ED"/>
    <w:rsid w:val="00E603F9"/>
    <w:rsid w:val="00E623E7"/>
    <w:rsid w:val="00E62E98"/>
    <w:rsid w:val="00E632E2"/>
    <w:rsid w:val="00E75FE0"/>
    <w:rsid w:val="00E84391"/>
    <w:rsid w:val="00E86F2C"/>
    <w:rsid w:val="00E932CE"/>
    <w:rsid w:val="00EC610A"/>
    <w:rsid w:val="00ED137A"/>
    <w:rsid w:val="00ED487E"/>
    <w:rsid w:val="00ED6927"/>
    <w:rsid w:val="00EE171A"/>
    <w:rsid w:val="00EE204D"/>
    <w:rsid w:val="00F27A1E"/>
    <w:rsid w:val="00F322F9"/>
    <w:rsid w:val="00F65D68"/>
    <w:rsid w:val="00F665C3"/>
    <w:rsid w:val="00F67316"/>
    <w:rsid w:val="00F93710"/>
    <w:rsid w:val="00FA2142"/>
    <w:rsid w:val="00FA74CE"/>
    <w:rsid w:val="00FA7923"/>
    <w:rsid w:val="00FB5AAA"/>
    <w:rsid w:val="00FC1078"/>
    <w:rsid w:val="00FC794A"/>
    <w:rsid w:val="00FD283E"/>
    <w:rsid w:val="00FE4C5E"/>
    <w:rsid w:val="14CB64CB"/>
    <w:rsid w:val="62965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uiPriority="39"/>
    <w:lsdException w:name="toc 7" w:uiPriority="39"/>
    <w:lsdException w:name="toc 8" w:uiPriority="39"/>
    <w:lsdException w:name="toc 9" w:uiPriority="39"/>
    <w:lsdException w:name="header" w:semiHidden="0" w:uiPriority="0"/>
    <w:lsdException w:name="footer" w:semiHidden="0"/>
    <w:lsdException w:name="caption" w:semiHidden="0" w:uiPriority="0" w:unhideWhenUsed="0"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94"/>
    <w:pPr>
      <w:spacing w:after="160" w:line="276" w:lineRule="auto"/>
      <w:jc w:val="both"/>
    </w:pPr>
    <w:rPr>
      <w:rFonts w:ascii="Times New Roman" w:eastAsia="Calibri" w:hAnsi="Times New Roman" w:cs="Times New Roman"/>
      <w:sz w:val="22"/>
      <w:szCs w:val="22"/>
      <w:lang w:eastAsia="en-US"/>
    </w:rPr>
  </w:style>
  <w:style w:type="paragraph" w:styleId="Heading1">
    <w:name w:val="heading 1"/>
    <w:basedOn w:val="Normal"/>
    <w:next w:val="Normal"/>
    <w:link w:val="Heading1Char"/>
    <w:uiPriority w:val="1"/>
    <w:qFormat/>
    <w:rsid w:val="00457794"/>
    <w:pPr>
      <w:autoSpaceDE w:val="0"/>
      <w:autoSpaceDN w:val="0"/>
      <w:adjustRightInd w:val="0"/>
      <w:spacing w:after="240"/>
      <w:jc w:val="center"/>
      <w:outlineLvl w:val="0"/>
    </w:pPr>
    <w:rPr>
      <w:b/>
      <w:bCs/>
      <w:color w:val="000000"/>
      <w:sz w:val="28"/>
      <w:szCs w:val="28"/>
    </w:rPr>
  </w:style>
  <w:style w:type="paragraph" w:styleId="Heading2">
    <w:name w:val="heading 2"/>
    <w:basedOn w:val="Normal"/>
    <w:next w:val="Normal"/>
    <w:link w:val="Heading2Char"/>
    <w:uiPriority w:val="9"/>
    <w:qFormat/>
    <w:rsid w:val="00457794"/>
    <w:pPr>
      <w:keepNext/>
      <w:keepLines/>
      <w:spacing w:before="40"/>
      <w:jc w:val="center"/>
      <w:outlineLvl w:val="1"/>
    </w:pPr>
    <w:rPr>
      <w:rFonts w:ascii="Arial Black" w:eastAsia="Times New Roman" w:hAnsi="Arial Black"/>
      <w:color w:val="000000"/>
      <w:sz w:val="32"/>
      <w:szCs w:val="32"/>
    </w:rPr>
  </w:style>
  <w:style w:type="paragraph" w:styleId="Heading3">
    <w:name w:val="heading 3"/>
    <w:basedOn w:val="Normal"/>
    <w:next w:val="Normal"/>
    <w:link w:val="Heading3Char"/>
    <w:uiPriority w:val="9"/>
    <w:qFormat/>
    <w:rsid w:val="00457794"/>
    <w:pPr>
      <w:keepNext/>
      <w:keepLines/>
      <w:spacing w:before="40"/>
      <w:outlineLvl w:val="2"/>
    </w:pPr>
    <w:rPr>
      <w:rFonts w:ascii="Arial Black" w:eastAsia="Arial" w:hAnsi="Arial Black"/>
      <w:color w:val="1F4D78"/>
      <w:sz w:val="24"/>
      <w:szCs w:val="24"/>
    </w:rPr>
  </w:style>
  <w:style w:type="paragraph" w:styleId="Heading4">
    <w:name w:val="heading 4"/>
    <w:basedOn w:val="Normal"/>
    <w:next w:val="Normal"/>
    <w:link w:val="Heading4Char"/>
    <w:uiPriority w:val="9"/>
    <w:qFormat/>
    <w:rsid w:val="00457794"/>
    <w:pPr>
      <w:keepNext/>
      <w:keepLines/>
      <w:outlineLvl w:val="3"/>
    </w:pPr>
    <w:rPr>
      <w:rFonts w:eastAsia="Arial"/>
      <w:b/>
      <w:bCs/>
      <w:color w:val="2E74B5"/>
      <w:sz w:val="24"/>
      <w:szCs w:val="24"/>
    </w:rPr>
  </w:style>
  <w:style w:type="paragraph" w:styleId="Heading5">
    <w:name w:val="heading 5"/>
    <w:basedOn w:val="Normal"/>
    <w:next w:val="Normal"/>
    <w:link w:val="Heading5Char"/>
    <w:uiPriority w:val="9"/>
    <w:qFormat/>
    <w:rsid w:val="00457794"/>
    <w:pPr>
      <w:keepNext/>
      <w:keepLines/>
      <w:spacing w:before="40"/>
      <w:outlineLvl w:val="4"/>
    </w:pPr>
    <w:rPr>
      <w:rFonts w:ascii="Calibri Light" w:eastAsia="Times New Roman" w:hAnsi="Calibri Light"/>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7794"/>
    <w:rPr>
      <w:color w:val="0563C1"/>
      <w:u w:val="single"/>
    </w:rPr>
  </w:style>
  <w:style w:type="character" w:styleId="Strong">
    <w:name w:val="Strong"/>
    <w:uiPriority w:val="22"/>
    <w:qFormat/>
    <w:rsid w:val="00457794"/>
    <w:rPr>
      <w:b/>
      <w:bCs/>
    </w:rPr>
  </w:style>
  <w:style w:type="character" w:customStyle="1" w:styleId="Heading5Char">
    <w:name w:val="Heading 5 Char"/>
    <w:link w:val="Heading5"/>
    <w:uiPriority w:val="9"/>
    <w:rsid w:val="00457794"/>
    <w:rPr>
      <w:rFonts w:ascii="Calibri Light" w:eastAsia="Times New Roman" w:hAnsi="Calibri Light" w:cs="Times New Roman"/>
      <w:color w:val="2E74B5"/>
    </w:rPr>
  </w:style>
  <w:style w:type="character" w:customStyle="1" w:styleId="Heading1Char">
    <w:name w:val="Heading 1 Char"/>
    <w:link w:val="Heading1"/>
    <w:uiPriority w:val="1"/>
    <w:rsid w:val="00457794"/>
    <w:rPr>
      <w:rFonts w:ascii="Times New Roman" w:eastAsia="Calibri" w:hAnsi="Times New Roman" w:cs="Times New Roman"/>
      <w:b/>
      <w:bCs/>
      <w:color w:val="000000"/>
      <w:sz w:val="28"/>
      <w:szCs w:val="28"/>
    </w:rPr>
  </w:style>
  <w:style w:type="character" w:customStyle="1" w:styleId="Heading2Char">
    <w:name w:val="Heading 2 Char"/>
    <w:link w:val="Heading2"/>
    <w:uiPriority w:val="9"/>
    <w:rsid w:val="00457794"/>
    <w:rPr>
      <w:rFonts w:ascii="Arial Black" w:eastAsia="Times New Roman" w:hAnsi="Arial Black" w:cs="Times New Roman"/>
      <w:color w:val="000000"/>
      <w:sz w:val="32"/>
      <w:szCs w:val="32"/>
    </w:rPr>
  </w:style>
  <w:style w:type="character" w:customStyle="1" w:styleId="HeaderChar">
    <w:name w:val="Header Char"/>
    <w:link w:val="Header"/>
    <w:rsid w:val="00457794"/>
    <w:rPr>
      <w:rFonts w:ascii="Calibri" w:eastAsia="Calibri" w:hAnsi="Calibri" w:cs="Arial"/>
      <w:sz w:val="22"/>
      <w:szCs w:val="22"/>
    </w:rPr>
  </w:style>
  <w:style w:type="character" w:customStyle="1" w:styleId="Heading3Char">
    <w:name w:val="Heading 3 Char"/>
    <w:link w:val="Heading3"/>
    <w:uiPriority w:val="9"/>
    <w:rsid w:val="00457794"/>
    <w:rPr>
      <w:rFonts w:ascii="Arial Black" w:eastAsia="Arial" w:hAnsi="Arial Black" w:cs="Times New Roman"/>
      <w:color w:val="1F4D78"/>
      <w:sz w:val="24"/>
      <w:szCs w:val="24"/>
    </w:rPr>
  </w:style>
  <w:style w:type="character" w:customStyle="1" w:styleId="Heading4Char">
    <w:name w:val="Heading 4 Char"/>
    <w:link w:val="Heading4"/>
    <w:uiPriority w:val="9"/>
    <w:rsid w:val="00457794"/>
    <w:rPr>
      <w:rFonts w:ascii="Times New Roman" w:eastAsia="Arial" w:hAnsi="Times New Roman" w:cs="Times New Roman"/>
      <w:b/>
      <w:bCs/>
      <w:color w:val="2E74B5"/>
      <w:sz w:val="24"/>
      <w:szCs w:val="24"/>
    </w:rPr>
  </w:style>
  <w:style w:type="character" w:customStyle="1" w:styleId="ThesisChar">
    <w:name w:val="Thesis Char"/>
    <w:link w:val="Thesis"/>
    <w:rsid w:val="00457794"/>
    <w:rPr>
      <w:rFonts w:ascii="Times New Roman" w:eastAsia="Times New Roman" w:hAnsi="Times New Roman" w:cs="Times New Roman"/>
      <w:sz w:val="28"/>
      <w:szCs w:val="28"/>
    </w:rPr>
  </w:style>
  <w:style w:type="character" w:customStyle="1" w:styleId="BodyTextChar">
    <w:name w:val="Body Text Char"/>
    <w:link w:val="BodyText"/>
    <w:uiPriority w:val="1"/>
    <w:rsid w:val="00457794"/>
    <w:rPr>
      <w:rFonts w:ascii="Times New Roman" w:eastAsia="Times New Roman" w:hAnsi="Times New Roman"/>
      <w:sz w:val="24"/>
      <w:szCs w:val="24"/>
    </w:rPr>
  </w:style>
  <w:style w:type="character" w:customStyle="1" w:styleId="FooterChar">
    <w:name w:val="Footer Char"/>
    <w:link w:val="Footer"/>
    <w:uiPriority w:val="99"/>
    <w:rsid w:val="00457794"/>
    <w:rPr>
      <w:rFonts w:ascii="Times New Roman" w:eastAsia="Calibri" w:hAnsi="Times New Roman" w:cs="Times New Roman"/>
      <w:sz w:val="22"/>
      <w:szCs w:val="22"/>
    </w:rPr>
  </w:style>
  <w:style w:type="paragraph" w:styleId="TOC4">
    <w:name w:val="toc 4"/>
    <w:basedOn w:val="Normal"/>
    <w:uiPriority w:val="1"/>
    <w:qFormat/>
    <w:rsid w:val="00457794"/>
    <w:pPr>
      <w:widowControl w:val="0"/>
      <w:spacing w:before="9"/>
      <w:ind w:left="1183"/>
    </w:pPr>
    <w:rPr>
      <w:rFonts w:ascii="Arial" w:eastAsia="Arial" w:hAnsi="Arial"/>
    </w:rPr>
  </w:style>
  <w:style w:type="paragraph" w:styleId="NormalWeb">
    <w:name w:val="Normal (Web)"/>
    <w:basedOn w:val="Normal"/>
    <w:rsid w:val="00457794"/>
    <w:pPr>
      <w:spacing w:before="100" w:beforeAutospacing="1" w:after="100" w:afterAutospacing="1"/>
    </w:pPr>
  </w:style>
  <w:style w:type="paragraph" w:styleId="Footer">
    <w:name w:val="footer"/>
    <w:basedOn w:val="Normal"/>
    <w:link w:val="FooterChar"/>
    <w:uiPriority w:val="99"/>
    <w:unhideWhenUsed/>
    <w:rsid w:val="00457794"/>
    <w:pPr>
      <w:tabs>
        <w:tab w:val="center" w:pos="4153"/>
        <w:tab w:val="right" w:pos="8306"/>
      </w:tabs>
    </w:pPr>
  </w:style>
  <w:style w:type="paragraph" w:styleId="TOC2">
    <w:name w:val="toc 2"/>
    <w:basedOn w:val="Normal"/>
    <w:uiPriority w:val="1"/>
    <w:qFormat/>
    <w:rsid w:val="00457794"/>
    <w:pPr>
      <w:widowControl w:val="0"/>
      <w:ind w:left="537"/>
    </w:pPr>
    <w:rPr>
      <w:rFonts w:ascii="Arial" w:eastAsia="Arial" w:hAnsi="Arial"/>
    </w:rPr>
  </w:style>
  <w:style w:type="paragraph" w:styleId="Caption">
    <w:name w:val="caption"/>
    <w:basedOn w:val="Normal"/>
    <w:next w:val="Normal"/>
    <w:qFormat/>
    <w:rsid w:val="00457794"/>
    <w:rPr>
      <w:i/>
      <w:iCs/>
      <w:color w:val="44546A"/>
      <w:sz w:val="18"/>
      <w:szCs w:val="18"/>
    </w:rPr>
  </w:style>
  <w:style w:type="paragraph" w:customStyle="1" w:styleId="TableParagraph">
    <w:name w:val="Table Paragraph"/>
    <w:basedOn w:val="Normal"/>
    <w:uiPriority w:val="1"/>
    <w:qFormat/>
    <w:rsid w:val="00457794"/>
    <w:pPr>
      <w:widowControl w:val="0"/>
    </w:pPr>
  </w:style>
  <w:style w:type="paragraph" w:styleId="BodyText">
    <w:name w:val="Body Text"/>
    <w:basedOn w:val="Normal"/>
    <w:link w:val="BodyTextChar"/>
    <w:uiPriority w:val="1"/>
    <w:qFormat/>
    <w:rsid w:val="00457794"/>
    <w:pPr>
      <w:widowControl w:val="0"/>
      <w:ind w:left="440"/>
    </w:pPr>
    <w:rPr>
      <w:rFonts w:eastAsia="Times New Roman"/>
      <w:sz w:val="24"/>
      <w:szCs w:val="24"/>
    </w:rPr>
  </w:style>
  <w:style w:type="paragraph" w:styleId="TOC5">
    <w:name w:val="toc 5"/>
    <w:basedOn w:val="Normal"/>
    <w:uiPriority w:val="1"/>
    <w:qFormat/>
    <w:rsid w:val="00457794"/>
    <w:pPr>
      <w:widowControl w:val="0"/>
      <w:ind w:left="1393"/>
    </w:pPr>
    <w:rPr>
      <w:rFonts w:ascii="Arial" w:eastAsia="Arial" w:hAnsi="Arial"/>
    </w:rPr>
  </w:style>
  <w:style w:type="paragraph" w:styleId="TOC1">
    <w:name w:val="toc 1"/>
    <w:basedOn w:val="Normal"/>
    <w:uiPriority w:val="39"/>
    <w:qFormat/>
    <w:rsid w:val="00457794"/>
    <w:pPr>
      <w:widowControl w:val="0"/>
      <w:spacing w:before="234"/>
      <w:ind w:left="539" w:hanging="437"/>
    </w:pPr>
    <w:rPr>
      <w:rFonts w:ascii="Tahoma" w:eastAsia="Arial" w:hAnsi="Tahoma"/>
    </w:rPr>
  </w:style>
  <w:style w:type="paragraph" w:styleId="TOC3">
    <w:name w:val="toc 3"/>
    <w:basedOn w:val="Normal"/>
    <w:uiPriority w:val="1"/>
    <w:qFormat/>
    <w:rsid w:val="00457794"/>
    <w:pPr>
      <w:widowControl w:val="0"/>
      <w:ind w:left="973"/>
    </w:pPr>
    <w:rPr>
      <w:rFonts w:ascii="Arial" w:eastAsia="Arial" w:hAnsi="Arial"/>
    </w:rPr>
  </w:style>
  <w:style w:type="paragraph" w:styleId="Header">
    <w:name w:val="header"/>
    <w:basedOn w:val="Normal"/>
    <w:link w:val="HeaderChar"/>
    <w:unhideWhenUsed/>
    <w:rsid w:val="00457794"/>
    <w:pPr>
      <w:tabs>
        <w:tab w:val="center" w:pos="4320"/>
        <w:tab w:val="right" w:pos="8640"/>
      </w:tabs>
      <w:spacing w:after="0" w:line="240" w:lineRule="auto"/>
      <w:ind w:left="357" w:hanging="357"/>
      <w:jc w:val="left"/>
    </w:pPr>
    <w:rPr>
      <w:rFonts w:ascii="Calibri" w:hAnsi="Calibri"/>
    </w:rPr>
  </w:style>
  <w:style w:type="paragraph" w:styleId="NoSpacing">
    <w:name w:val="No Spacing"/>
    <w:uiPriority w:val="1"/>
    <w:qFormat/>
    <w:rsid w:val="00457794"/>
    <w:pPr>
      <w:bidi/>
      <w:spacing w:before="240"/>
      <w:jc w:val="both"/>
    </w:pPr>
    <w:rPr>
      <w:sz w:val="24"/>
      <w:szCs w:val="22"/>
      <w:lang w:eastAsia="en-US"/>
    </w:rPr>
  </w:style>
  <w:style w:type="paragraph" w:styleId="ListParagraph">
    <w:name w:val="List Paragraph"/>
    <w:basedOn w:val="Normal"/>
    <w:uiPriority w:val="1"/>
    <w:qFormat/>
    <w:rsid w:val="00457794"/>
    <w:pPr>
      <w:ind w:left="720"/>
      <w:contextualSpacing/>
    </w:pPr>
  </w:style>
  <w:style w:type="paragraph" w:customStyle="1" w:styleId="Thesis">
    <w:name w:val="Thesis"/>
    <w:basedOn w:val="NormalWeb"/>
    <w:link w:val="ThesisChar"/>
    <w:qFormat/>
    <w:rsid w:val="00457794"/>
    <w:pPr>
      <w:spacing w:before="240" w:beforeAutospacing="0" w:after="0" w:afterAutospacing="0" w:line="480" w:lineRule="auto"/>
      <w:jc w:val="lowKashida"/>
    </w:pPr>
    <w:rPr>
      <w:rFonts w:eastAsia="Times New Roman"/>
      <w:sz w:val="28"/>
      <w:szCs w:val="28"/>
    </w:rPr>
  </w:style>
  <w:style w:type="table" w:styleId="TableGrid">
    <w:name w:val="Table Grid"/>
    <w:basedOn w:val="TableNormal"/>
    <w:uiPriority w:val="39"/>
    <w:rsid w:val="00457794"/>
    <w:rPr>
      <w:rFonts w:eastAsia="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Char">
    <w:name w:val="b1 Char"/>
    <w:basedOn w:val="Normal"/>
    <w:link w:val="b1CharChar"/>
    <w:rsid w:val="0017250B"/>
    <w:pPr>
      <w:spacing w:after="240" w:line="360" w:lineRule="auto"/>
      <w:ind w:firstLine="567"/>
      <w:jc w:val="lowKashida"/>
    </w:pPr>
    <w:rPr>
      <w:rFonts w:eastAsia="Times New Roman"/>
      <w:sz w:val="30"/>
      <w:szCs w:val="28"/>
      <w:lang w:eastAsia="ar-SA" w:bidi="ar-EG"/>
    </w:rPr>
  </w:style>
  <w:style w:type="character" w:customStyle="1" w:styleId="b1CharChar">
    <w:name w:val="b1 Char Char"/>
    <w:link w:val="b1Char"/>
    <w:rsid w:val="0017250B"/>
    <w:rPr>
      <w:rFonts w:ascii="Times New Roman" w:hAnsi="Times New Roman" w:cs="Times New Roman"/>
      <w:sz w:val="30"/>
      <w:szCs w:val="28"/>
      <w:lang w:eastAsia="ar-SA" w:bidi="ar-EG"/>
    </w:rPr>
  </w:style>
  <w:style w:type="paragraph" w:customStyle="1" w:styleId="bodytext0">
    <w:name w:val="bodytext"/>
    <w:basedOn w:val="BodyText"/>
    <w:rsid w:val="003D4C62"/>
    <w:pPr>
      <w:widowControl/>
      <w:spacing w:after="240" w:line="360" w:lineRule="auto"/>
      <w:ind w:left="0" w:firstLine="567"/>
      <w:jc w:val="lowKashida"/>
    </w:pPr>
    <w:rPr>
      <w:sz w:val="30"/>
      <w:szCs w:val="28"/>
      <w:lang w:eastAsia="ar-SA" w:bidi="ar-EG"/>
    </w:rPr>
  </w:style>
  <w:style w:type="table" w:customStyle="1" w:styleId="GridTable1Light">
    <w:name w:val="Grid Table 1 Light"/>
    <w:basedOn w:val="TableNormal"/>
    <w:uiPriority w:val="46"/>
    <w:rsid w:val="0015349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b">
    <w:name w:val="bb"/>
    <w:basedOn w:val="BodyText"/>
    <w:qFormat/>
    <w:rsid w:val="00182152"/>
    <w:pPr>
      <w:widowControl/>
      <w:spacing w:after="240" w:line="360" w:lineRule="auto"/>
      <w:ind w:left="0" w:firstLine="562"/>
      <w:jc w:val="lowKashida"/>
    </w:pPr>
    <w:rPr>
      <w:sz w:val="30"/>
      <w:szCs w:val="28"/>
      <w:lang w:eastAsia="ar-SA"/>
    </w:rPr>
  </w:style>
  <w:style w:type="character" w:customStyle="1" w:styleId="ref">
    <w:name w:val="ref"/>
    <w:rsid w:val="00182152"/>
    <w:rPr>
      <w:b/>
    </w:rPr>
  </w:style>
  <w:style w:type="table" w:customStyle="1" w:styleId="GridTable5Dark-Accent11">
    <w:name w:val="Grid Table 5 Dark - Accent 11"/>
    <w:basedOn w:val="TableNormal"/>
    <w:uiPriority w:val="50"/>
    <w:rsid w:val="00D2795E"/>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PlainTable3">
    <w:name w:val="Plain Table 3"/>
    <w:basedOn w:val="TableNormal"/>
    <w:uiPriority w:val="43"/>
    <w:rsid w:val="00D2795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111">
    <w:name w:val="Grid Table 5 Dark - Accent 111"/>
    <w:basedOn w:val="TableNormal"/>
    <w:uiPriority w:val="50"/>
    <w:rsid w:val="007C0CA5"/>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PlainTable51">
    <w:name w:val="Plain Table 51"/>
    <w:basedOn w:val="TableNormal"/>
    <w:uiPriority w:val="45"/>
    <w:rsid w:val="008A5D29"/>
    <w:rPr>
      <w:rFonts w:eastAsia="Calibri"/>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2">
    <w:name w:val="Grid Table 5 Dark - Accent 112"/>
    <w:basedOn w:val="TableNormal"/>
    <w:uiPriority w:val="50"/>
    <w:rsid w:val="00771651"/>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edman1987@hotmail.com" TargetMode="External"/><Relationship Id="rId13" Type="http://schemas.openxmlformats.org/officeDocument/2006/relationships/hyperlink" Target="http://www.ncbi.nlm.nih.gov/pubmed/237415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1119.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EB73-13B3-43C0-9C9A-9BB08DEF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11579</Words>
  <Characters>66001</Characters>
  <Application>Microsoft Office Word</Application>
  <DocSecurity>0</DocSecurity>
  <PresentationFormat/>
  <Lines>550</Lines>
  <Paragraphs>154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77426</CharactersWithSpaces>
  <SharedDoc>false</SharedDoc>
  <HLinks>
    <vt:vector size="6" baseType="variant">
      <vt:variant>
        <vt:i4>917553</vt:i4>
      </vt:variant>
      <vt:variant>
        <vt:i4>0</vt:i4>
      </vt:variant>
      <vt:variant>
        <vt:i4>0</vt:i4>
      </vt:variant>
      <vt:variant>
        <vt:i4>5</vt:i4>
      </vt:variant>
      <vt:variant>
        <vt:lpwstr>mailto:Sayedman1987@hotmail.com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Administrator</cp:lastModifiedBy>
  <cp:revision>3</cp:revision>
  <cp:lastPrinted>2019-10-29T09:49:00Z</cp:lastPrinted>
  <dcterms:created xsi:type="dcterms:W3CDTF">2019-10-30T14:43:00Z</dcterms:created>
  <dcterms:modified xsi:type="dcterms:W3CDTF">2019-10-31T00:41:00Z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http://csl.mendeley.com/styles/455358711/american-political-science-association-2</vt:lpwstr>
  </property>
  <property fmtid="{D5CDD505-2E9C-101B-9397-08002B2CF9AE}" pid="5" name="Mendeley Recent Style Name 1_1">
    <vt:lpwstr>American Political Science Association - Mohamed Elzayat</vt:lpwstr>
  </property>
  <property fmtid="{D5CDD505-2E9C-101B-9397-08002B2CF9AE}" pid="6" name="Mendeley Recent Style Id 2_1">
    <vt:lpwstr>http://csl.mendeley.com/styles/455358711/american-political-science-association-3</vt:lpwstr>
  </property>
  <property fmtid="{D5CDD505-2E9C-101B-9397-08002B2CF9AE}" pid="7" name="Mendeley Recent Style Name 2_1">
    <vt:lpwstr>American Political Science Association - Mohamed Elzayat</vt:lpwstr>
  </property>
  <property fmtid="{D5CDD505-2E9C-101B-9397-08002B2CF9AE}" pid="8" name="Mendeley Recent Style Id 3_1">
    <vt:lpwstr>http://csl.mendeley.com/styles/455358711/APSA</vt:lpwstr>
  </property>
  <property fmtid="{D5CDD505-2E9C-101B-9397-08002B2CF9AE}" pid="9" name="Mendeley Recent Style Name 3_1">
    <vt:lpwstr>American Political Science Association - Mohamed Elzayat</vt:lpwstr>
  </property>
  <property fmtid="{D5CDD505-2E9C-101B-9397-08002B2CF9AE}" pid="10" name="Mendeley Recent Style Id 4_1">
    <vt:lpwstr>http://csl.mendeley.com/styles/455358711/APSA1</vt:lpwstr>
  </property>
  <property fmtid="{D5CDD505-2E9C-101B-9397-08002B2CF9AE}" pid="11" name="Mendeley Recent Style Name 4_1">
    <vt:lpwstr>American Political Science Association - Mohamed Elzayat</vt:lpwstr>
  </property>
  <property fmtid="{D5CDD505-2E9C-101B-9397-08002B2CF9AE}" pid="12" name="Mendeley Recent Style Id 5_1">
    <vt:lpwstr>http://www.zotero.org/styles/apa</vt:lpwstr>
  </property>
  <property fmtid="{D5CDD505-2E9C-101B-9397-08002B2CF9AE}" pid="13" name="Mendeley Recent Style Name 5_1">
    <vt:lpwstr>American Psychological Association 6th edition</vt:lpwstr>
  </property>
  <property fmtid="{D5CDD505-2E9C-101B-9397-08002B2CF9AE}" pid="14" name="Mendeley Recent Style Id 6_1">
    <vt:lpwstr>http://csl.mendeley.com/styles/455358711/apa-4</vt:lpwstr>
  </property>
  <property fmtid="{D5CDD505-2E9C-101B-9397-08002B2CF9AE}" pid="15" name="Mendeley Recent Style Name 6_1">
    <vt:lpwstr>American Psychological Association 6th edition - Mohamed Elzayat</vt:lpwstr>
  </property>
  <property fmtid="{D5CDD505-2E9C-101B-9397-08002B2CF9AE}" pid="16" name="Mendeley Recent Style Id 7_1">
    <vt:lpwstr>http://www.zotero.org/styles/egyptian-journal-of-basic-and-applied-sciences</vt:lpwstr>
  </property>
  <property fmtid="{D5CDD505-2E9C-101B-9397-08002B2CF9AE}" pid="17" name="Mendeley Recent Style Name 7_1">
    <vt:lpwstr>Egyptian Journal of Basic and Applied Sciences</vt:lpwstr>
  </property>
  <property fmtid="{D5CDD505-2E9C-101B-9397-08002B2CF9AE}" pid="18" name="Mendeley Recent Style Id 8_1">
    <vt:lpwstr>http://csl.mendeley.com/styles/521463831/ALPHAB-23</vt:lpwstr>
  </property>
  <property fmtid="{D5CDD505-2E9C-101B-9397-08002B2CF9AE}" pid="19" name="Mendeley Recent Style Name 8_1">
    <vt:lpwstr>Springer - Basic (author-date) - Mohamed Elzayat</vt:lpwstr>
  </property>
  <property fmtid="{D5CDD505-2E9C-101B-9397-08002B2CF9AE}" pid="20" name="Mendeley Recent Style Id 9_1">
    <vt:lpwstr>http://csl.mendeley.com/styles/521463831/ALPHAB</vt:lpwstr>
  </property>
  <property fmtid="{D5CDD505-2E9C-101B-9397-08002B2CF9AE}" pid="21" name="Mendeley Recent Style Name 9_1">
    <vt:lpwstr>Springer - Basic (author-date) - Mohamed Elzayat</vt:lpwstr>
  </property>
  <property fmtid="{D5CDD505-2E9C-101B-9397-08002B2CF9AE}" pid="22" name="Mendeley Document_1">
    <vt:lpwstr>True</vt:lpwstr>
  </property>
  <property fmtid="{D5CDD505-2E9C-101B-9397-08002B2CF9AE}" pid="23" name="Mendeley Unique User Id_1">
    <vt:lpwstr>c44488ed-f6c1-319f-80b1-4dc264227f7f</vt:lpwstr>
  </property>
  <property fmtid="{D5CDD505-2E9C-101B-9397-08002B2CF9AE}" pid="24" name="Mendeley Citation Style_1">
    <vt:lpwstr>http://csl.mendeley.com/styles/521463831/harvard-cite-them-right</vt:lpwstr>
  </property>
  <property fmtid="{D5CDD505-2E9C-101B-9397-08002B2CF9AE}" pid="25" name="KSOProductBuildVer">
    <vt:lpwstr>1033-10.1.0.5507</vt:lpwstr>
  </property>
</Properties>
</file>