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24" w:rsidRPr="00C02348" w:rsidRDefault="00346BAE" w:rsidP="006644F1">
      <w:pPr>
        <w:snapToGrid w:val="0"/>
        <w:spacing w:after="0" w:line="240" w:lineRule="auto"/>
        <w:jc w:val="center"/>
        <w:rPr>
          <w:rFonts w:ascii="Times New Roman" w:hAnsi="Times New Roman" w:cs="Times New Roman"/>
          <w:b/>
          <w:sz w:val="20"/>
          <w:szCs w:val="20"/>
          <w:shd w:val="clear" w:color="auto" w:fill="FFFFFF"/>
          <w:lang w:eastAsia="zh-CN"/>
        </w:rPr>
      </w:pPr>
      <w:r w:rsidRPr="00C02348">
        <w:rPr>
          <w:rFonts w:ascii="Times New Roman" w:hAnsi="Times New Roman" w:cs="Times New Roman"/>
          <w:b/>
          <w:sz w:val="20"/>
          <w:szCs w:val="20"/>
        </w:rPr>
        <w:t xml:space="preserve">Impacts of green synthesized Silver-Nanoparticles against </w:t>
      </w:r>
      <w:r w:rsidRPr="00C02348">
        <w:rPr>
          <w:rFonts w:ascii="Times New Roman" w:hAnsi="Times New Roman" w:cs="Times New Roman"/>
          <w:b/>
          <w:i/>
          <w:sz w:val="20"/>
          <w:szCs w:val="20"/>
        </w:rPr>
        <w:t>Tribolium castaneum</w:t>
      </w:r>
      <w:r w:rsidR="00DF4524" w:rsidRPr="00C02348">
        <w:rPr>
          <w:rFonts w:ascii="Times New Roman" w:hAnsi="Times New Roman" w:cs="Times New Roman"/>
          <w:b/>
          <w:i/>
          <w:sz w:val="20"/>
          <w:szCs w:val="20"/>
        </w:rPr>
        <w:t xml:space="preserve"> </w:t>
      </w:r>
      <w:r w:rsidRPr="00C02348">
        <w:rPr>
          <w:rFonts w:ascii="Times New Roman" w:hAnsi="Times New Roman" w:cs="Times New Roman"/>
          <w:b/>
          <w:sz w:val="20"/>
          <w:szCs w:val="20"/>
          <w:shd w:val="clear" w:color="auto" w:fill="FFFFFF"/>
        </w:rPr>
        <w:t xml:space="preserve">‎(Coleoptera: </w:t>
      </w:r>
      <w:hyperlink r:id="rId7" w:history="1">
        <w:r w:rsidRPr="00C02348">
          <w:rPr>
            <w:rStyle w:val="Hyperlink"/>
            <w:rFonts w:ascii="Times New Roman" w:hAnsi="Times New Roman" w:cs="Times New Roman"/>
            <w:b/>
            <w:color w:val="auto"/>
            <w:sz w:val="20"/>
            <w:szCs w:val="20"/>
            <w:shd w:val="clear" w:color="auto" w:fill="FFFFFF"/>
          </w:rPr>
          <w:t>Tenebrionidae</w:t>
        </w:r>
      </w:hyperlink>
      <w:r w:rsidRPr="00C02348">
        <w:rPr>
          <w:rFonts w:ascii="Times New Roman" w:hAnsi="Times New Roman" w:cs="Times New Roman"/>
          <w:b/>
          <w:sz w:val="20"/>
          <w:szCs w:val="20"/>
          <w:shd w:val="clear" w:color="auto" w:fill="FFFFFF"/>
        </w:rPr>
        <w:t>)</w:t>
      </w:r>
    </w:p>
    <w:p w:rsidR="00DF4524" w:rsidRPr="00C02348" w:rsidRDefault="00DF4524" w:rsidP="006644F1">
      <w:pPr>
        <w:snapToGrid w:val="0"/>
        <w:spacing w:after="0" w:line="240" w:lineRule="auto"/>
        <w:jc w:val="center"/>
        <w:rPr>
          <w:rFonts w:ascii="Times New Roman" w:hAnsi="Times New Roman" w:cs="Times New Roman"/>
          <w:b/>
          <w:sz w:val="20"/>
          <w:szCs w:val="20"/>
          <w:shd w:val="clear" w:color="auto" w:fill="FFFFFF"/>
          <w:lang w:eastAsia="zh-CN"/>
        </w:rPr>
      </w:pPr>
    </w:p>
    <w:p w:rsidR="00DF4524" w:rsidRPr="00C02348" w:rsidRDefault="00002C8C" w:rsidP="006644F1">
      <w:pPr>
        <w:snapToGrid w:val="0"/>
        <w:spacing w:after="0" w:line="240" w:lineRule="auto"/>
        <w:jc w:val="center"/>
        <w:rPr>
          <w:rFonts w:ascii="Times New Roman" w:hAnsi="Times New Roman" w:cs="Times New Roman"/>
          <w:sz w:val="20"/>
          <w:szCs w:val="20"/>
          <w:shd w:val="clear" w:color="auto" w:fill="FFFFFF"/>
          <w:vertAlign w:val="superscript"/>
          <w:lang w:eastAsia="zh-CN"/>
        </w:rPr>
      </w:pPr>
      <w:r w:rsidRPr="00C02348">
        <w:rPr>
          <w:rFonts w:ascii="Times New Roman" w:hAnsi="Times New Roman" w:cs="Times New Roman"/>
          <w:sz w:val="20"/>
          <w:szCs w:val="20"/>
          <w:shd w:val="clear" w:color="auto" w:fill="FFFFFF"/>
        </w:rPr>
        <w:t>Kanwal Shahzadi</w:t>
      </w:r>
      <w:r w:rsidR="00346BAE" w:rsidRPr="00C02348">
        <w:rPr>
          <w:rFonts w:ascii="Times New Roman" w:hAnsi="Times New Roman" w:cs="Times New Roman"/>
          <w:sz w:val="20"/>
          <w:szCs w:val="20"/>
          <w:shd w:val="clear" w:color="auto" w:fill="FFFFFF"/>
          <w:vertAlign w:val="superscript"/>
        </w:rPr>
        <w:t>1</w:t>
      </w:r>
      <w:r w:rsidR="008413E8" w:rsidRPr="00C02348">
        <w:rPr>
          <w:rFonts w:ascii="Times New Roman" w:hAnsi="Times New Roman" w:cs="Times New Roman"/>
          <w:sz w:val="20"/>
          <w:szCs w:val="20"/>
          <w:shd w:val="clear" w:color="auto" w:fill="FFFFFF"/>
          <w:vertAlign w:val="superscript"/>
        </w:rPr>
        <w:t>*</w:t>
      </w:r>
      <w:r w:rsidRPr="00C02348">
        <w:rPr>
          <w:rFonts w:ascii="Times New Roman" w:hAnsi="Times New Roman" w:cs="Times New Roman"/>
          <w:sz w:val="20"/>
          <w:szCs w:val="20"/>
          <w:shd w:val="clear" w:color="auto" w:fill="FFFFFF"/>
        </w:rPr>
        <w:t>, Farwa Bashir</w:t>
      </w:r>
      <w:r w:rsidR="00346BAE" w:rsidRPr="00C02348">
        <w:rPr>
          <w:rFonts w:ascii="Times New Roman" w:hAnsi="Times New Roman" w:cs="Times New Roman"/>
          <w:sz w:val="20"/>
          <w:szCs w:val="20"/>
          <w:shd w:val="clear" w:color="auto" w:fill="FFFFFF"/>
          <w:vertAlign w:val="superscript"/>
        </w:rPr>
        <w:t>1</w:t>
      </w:r>
      <w:r w:rsidR="008413E8" w:rsidRPr="00C02348">
        <w:rPr>
          <w:rFonts w:ascii="Times New Roman" w:hAnsi="Times New Roman" w:cs="Times New Roman"/>
          <w:sz w:val="20"/>
          <w:szCs w:val="20"/>
          <w:shd w:val="clear" w:color="auto" w:fill="FFFFFF"/>
          <w:vertAlign w:val="superscript"/>
        </w:rPr>
        <w:t>*</w:t>
      </w:r>
      <w:r w:rsidRPr="00C02348">
        <w:rPr>
          <w:rFonts w:ascii="Times New Roman" w:hAnsi="Times New Roman" w:cs="Times New Roman"/>
          <w:sz w:val="20"/>
          <w:szCs w:val="20"/>
          <w:shd w:val="clear" w:color="auto" w:fill="FFFFFF"/>
        </w:rPr>
        <w:t>, Kiaenat Nazir</w:t>
      </w:r>
      <w:r w:rsidR="00346BAE" w:rsidRPr="00C02348">
        <w:rPr>
          <w:rFonts w:ascii="Times New Roman" w:hAnsi="Times New Roman" w:cs="Times New Roman"/>
          <w:sz w:val="20"/>
          <w:szCs w:val="20"/>
          <w:shd w:val="clear" w:color="auto" w:fill="FFFFFF"/>
          <w:vertAlign w:val="superscript"/>
        </w:rPr>
        <w:t>1</w:t>
      </w:r>
      <w:r w:rsidRPr="00C02348">
        <w:rPr>
          <w:rFonts w:ascii="Times New Roman" w:hAnsi="Times New Roman" w:cs="Times New Roman"/>
          <w:sz w:val="20"/>
          <w:szCs w:val="20"/>
          <w:shd w:val="clear" w:color="auto" w:fill="FFFFFF"/>
        </w:rPr>
        <w:t>, Safora Seemab</w:t>
      </w:r>
      <w:r w:rsidR="00346BAE" w:rsidRPr="00C02348">
        <w:rPr>
          <w:rFonts w:ascii="Times New Roman" w:hAnsi="Times New Roman" w:cs="Times New Roman"/>
          <w:sz w:val="20"/>
          <w:szCs w:val="20"/>
          <w:shd w:val="clear" w:color="auto" w:fill="FFFFFF"/>
          <w:vertAlign w:val="superscript"/>
        </w:rPr>
        <w:t>1</w:t>
      </w:r>
      <w:r w:rsidRPr="00C02348">
        <w:rPr>
          <w:rFonts w:ascii="Times New Roman" w:hAnsi="Times New Roman" w:cs="Times New Roman"/>
          <w:sz w:val="20"/>
          <w:szCs w:val="20"/>
          <w:shd w:val="clear" w:color="auto" w:fill="FFFFFF"/>
        </w:rPr>
        <w:t>, Muhammad Afsar Ali Shaker</w:t>
      </w:r>
      <w:r w:rsidR="00346BAE" w:rsidRPr="00C02348">
        <w:rPr>
          <w:rFonts w:ascii="Times New Roman" w:hAnsi="Times New Roman" w:cs="Times New Roman"/>
          <w:sz w:val="20"/>
          <w:szCs w:val="20"/>
          <w:shd w:val="clear" w:color="auto" w:fill="FFFFFF"/>
          <w:vertAlign w:val="superscript"/>
        </w:rPr>
        <w:t>2</w:t>
      </w:r>
      <w:r w:rsidRPr="00C02348">
        <w:rPr>
          <w:rFonts w:ascii="Times New Roman" w:hAnsi="Times New Roman" w:cs="Times New Roman"/>
          <w:sz w:val="20"/>
          <w:szCs w:val="20"/>
          <w:shd w:val="clear" w:color="auto" w:fill="FFFFFF"/>
        </w:rPr>
        <w:t>, Irum Waheed</w:t>
      </w:r>
      <w:r w:rsidRPr="00C02348">
        <w:rPr>
          <w:rFonts w:ascii="Times New Roman" w:hAnsi="Times New Roman" w:cs="Times New Roman"/>
          <w:sz w:val="20"/>
          <w:szCs w:val="20"/>
          <w:shd w:val="clear" w:color="auto" w:fill="FFFFFF"/>
          <w:vertAlign w:val="superscript"/>
        </w:rPr>
        <w:t>1</w:t>
      </w:r>
      <w:r w:rsidRPr="00C02348">
        <w:rPr>
          <w:rFonts w:ascii="Times New Roman" w:hAnsi="Times New Roman" w:cs="Times New Roman"/>
          <w:sz w:val="20"/>
          <w:szCs w:val="20"/>
          <w:shd w:val="clear" w:color="auto" w:fill="FFFFFF"/>
        </w:rPr>
        <w:t>, Asad Shehzaib</w:t>
      </w:r>
      <w:r w:rsidRPr="00C02348">
        <w:rPr>
          <w:rFonts w:ascii="Times New Roman" w:hAnsi="Times New Roman" w:cs="Times New Roman"/>
          <w:sz w:val="20"/>
          <w:szCs w:val="20"/>
          <w:shd w:val="clear" w:color="auto" w:fill="FFFFFF"/>
          <w:vertAlign w:val="superscript"/>
        </w:rPr>
        <w:t>3</w:t>
      </w:r>
      <w:r w:rsidR="008B0CC7" w:rsidRPr="00C02348">
        <w:rPr>
          <w:rFonts w:ascii="Times New Roman" w:hAnsi="Times New Roman" w:cs="Times New Roman"/>
          <w:sz w:val="20"/>
          <w:szCs w:val="20"/>
          <w:shd w:val="clear" w:color="auto" w:fill="FFFFFF"/>
        </w:rPr>
        <w:t>,</w:t>
      </w:r>
      <w:r w:rsidR="008B0CC7" w:rsidRPr="00C02348">
        <w:rPr>
          <w:rFonts w:ascii="Times New Roman" w:hAnsi="Times New Roman" w:cs="Times New Roman"/>
          <w:sz w:val="20"/>
          <w:szCs w:val="20"/>
          <w:shd w:val="clear" w:color="auto" w:fill="FFFFFF"/>
          <w:vertAlign w:val="superscript"/>
        </w:rPr>
        <w:t xml:space="preserve"> </w:t>
      </w:r>
      <w:r w:rsidR="008B0CC7" w:rsidRPr="00C02348">
        <w:rPr>
          <w:rFonts w:ascii="Times New Roman" w:hAnsi="Times New Roman" w:cs="Times New Roman"/>
          <w:sz w:val="20"/>
          <w:szCs w:val="20"/>
          <w:shd w:val="clear" w:color="auto" w:fill="FFFFFF"/>
        </w:rPr>
        <w:t>Kainat Fatima</w:t>
      </w:r>
      <w:r w:rsidR="008B0CC7" w:rsidRPr="00C02348">
        <w:rPr>
          <w:rFonts w:ascii="Times New Roman" w:hAnsi="Times New Roman" w:cs="Times New Roman"/>
          <w:sz w:val="20"/>
          <w:szCs w:val="20"/>
          <w:shd w:val="clear" w:color="auto" w:fill="FFFFFF"/>
          <w:vertAlign w:val="superscript"/>
        </w:rPr>
        <w:t>1</w:t>
      </w:r>
    </w:p>
    <w:p w:rsidR="00DF4524" w:rsidRPr="00C02348" w:rsidRDefault="00DF4524" w:rsidP="006644F1">
      <w:pPr>
        <w:snapToGrid w:val="0"/>
        <w:spacing w:after="0" w:line="240" w:lineRule="auto"/>
        <w:jc w:val="center"/>
        <w:rPr>
          <w:rFonts w:ascii="Times New Roman" w:hAnsi="Times New Roman" w:cs="Times New Roman"/>
          <w:sz w:val="20"/>
          <w:szCs w:val="20"/>
          <w:shd w:val="clear" w:color="auto" w:fill="FFFFFF"/>
          <w:vertAlign w:val="superscript"/>
          <w:lang w:eastAsia="zh-CN"/>
        </w:rPr>
      </w:pPr>
    </w:p>
    <w:p w:rsidR="00346BAE" w:rsidRPr="00C02348" w:rsidRDefault="00346BAE" w:rsidP="006644F1">
      <w:pPr>
        <w:snapToGrid w:val="0"/>
        <w:spacing w:after="0" w:line="240" w:lineRule="auto"/>
        <w:jc w:val="center"/>
        <w:rPr>
          <w:rFonts w:ascii="Times New Roman" w:hAnsi="Times New Roman" w:cs="Times New Roman"/>
          <w:sz w:val="20"/>
          <w:szCs w:val="20"/>
          <w:shd w:val="clear" w:color="auto" w:fill="FFFFFF"/>
        </w:rPr>
      </w:pPr>
      <w:r w:rsidRPr="00C02348">
        <w:rPr>
          <w:rFonts w:ascii="Times New Roman" w:hAnsi="Times New Roman" w:cs="Times New Roman"/>
          <w:sz w:val="20"/>
          <w:szCs w:val="20"/>
          <w:shd w:val="clear" w:color="auto" w:fill="FFFFFF"/>
          <w:vertAlign w:val="superscript"/>
        </w:rPr>
        <w:t>1</w:t>
      </w:r>
      <w:r w:rsidR="00002C8C" w:rsidRPr="00C02348">
        <w:rPr>
          <w:rFonts w:ascii="Times New Roman" w:hAnsi="Times New Roman" w:cs="Times New Roman"/>
          <w:sz w:val="20"/>
          <w:szCs w:val="20"/>
          <w:shd w:val="clear" w:color="auto" w:fill="FFFFFF"/>
        </w:rPr>
        <w:t>Department of Zoology Wildlife and Fisheries</w:t>
      </w:r>
      <w:r w:rsidRPr="00C02348">
        <w:rPr>
          <w:rFonts w:ascii="Times New Roman" w:hAnsi="Times New Roman" w:cs="Times New Roman"/>
          <w:sz w:val="20"/>
          <w:szCs w:val="20"/>
          <w:shd w:val="clear" w:color="auto" w:fill="FFFFFF"/>
        </w:rPr>
        <w:t>, University of Agriculture, Faisalabad.</w:t>
      </w:r>
    </w:p>
    <w:p w:rsidR="00346BAE" w:rsidRPr="00C02348" w:rsidRDefault="00346BAE" w:rsidP="006644F1">
      <w:pPr>
        <w:snapToGrid w:val="0"/>
        <w:spacing w:after="0" w:line="240" w:lineRule="auto"/>
        <w:jc w:val="center"/>
        <w:rPr>
          <w:rFonts w:ascii="Times New Roman" w:hAnsi="Times New Roman" w:cs="Times New Roman"/>
          <w:sz w:val="20"/>
          <w:szCs w:val="20"/>
          <w:shd w:val="clear" w:color="auto" w:fill="FFFFFF"/>
        </w:rPr>
      </w:pPr>
      <w:r w:rsidRPr="00C02348">
        <w:rPr>
          <w:rFonts w:ascii="Times New Roman" w:hAnsi="Times New Roman" w:cs="Times New Roman"/>
          <w:sz w:val="20"/>
          <w:szCs w:val="20"/>
          <w:shd w:val="clear" w:color="auto" w:fill="FFFFFF"/>
          <w:vertAlign w:val="superscript"/>
        </w:rPr>
        <w:t>2</w:t>
      </w:r>
      <w:r w:rsidRPr="00C02348">
        <w:rPr>
          <w:rFonts w:ascii="Times New Roman" w:hAnsi="Times New Roman" w:cs="Times New Roman"/>
          <w:sz w:val="20"/>
          <w:szCs w:val="20"/>
          <w:shd w:val="clear" w:color="auto" w:fill="FFFFFF"/>
        </w:rPr>
        <w:t>Department of Entomology, BZU Bahadur sub-campus, Layyah.</w:t>
      </w:r>
    </w:p>
    <w:p w:rsidR="006C2559" w:rsidRPr="00C02348" w:rsidRDefault="00346BAE" w:rsidP="006644F1">
      <w:pPr>
        <w:snapToGrid w:val="0"/>
        <w:spacing w:after="0" w:line="240" w:lineRule="auto"/>
        <w:jc w:val="center"/>
        <w:rPr>
          <w:rFonts w:ascii="Times New Roman" w:hAnsi="Times New Roman" w:cs="Times New Roman"/>
          <w:sz w:val="20"/>
          <w:szCs w:val="20"/>
          <w:shd w:val="clear" w:color="auto" w:fill="FFFFFF"/>
        </w:rPr>
      </w:pPr>
      <w:r w:rsidRPr="00C02348">
        <w:rPr>
          <w:rFonts w:ascii="Times New Roman" w:hAnsi="Times New Roman" w:cs="Times New Roman"/>
          <w:sz w:val="20"/>
          <w:szCs w:val="20"/>
          <w:shd w:val="clear" w:color="auto" w:fill="FFFFFF"/>
          <w:vertAlign w:val="superscript"/>
        </w:rPr>
        <w:t>3</w:t>
      </w:r>
      <w:r w:rsidR="008413E8" w:rsidRPr="00C02348">
        <w:rPr>
          <w:rFonts w:ascii="Times New Roman" w:hAnsi="Times New Roman" w:cs="Times New Roman"/>
          <w:sz w:val="20"/>
          <w:szCs w:val="20"/>
          <w:shd w:val="clear" w:color="auto" w:fill="FFFFFF"/>
        </w:rPr>
        <w:t>Institue</w:t>
      </w:r>
      <w:r w:rsidRPr="00C02348">
        <w:rPr>
          <w:rFonts w:ascii="Times New Roman" w:hAnsi="Times New Roman" w:cs="Times New Roman"/>
          <w:sz w:val="20"/>
          <w:szCs w:val="20"/>
          <w:shd w:val="clear" w:color="auto" w:fill="FFFFFF"/>
        </w:rPr>
        <w:t xml:space="preserve"> of </w:t>
      </w:r>
      <w:r w:rsidR="00002C8C" w:rsidRPr="00C02348">
        <w:rPr>
          <w:rFonts w:ascii="Times New Roman" w:hAnsi="Times New Roman" w:cs="Times New Roman"/>
          <w:sz w:val="20"/>
          <w:szCs w:val="20"/>
          <w:shd w:val="clear" w:color="auto" w:fill="FFFFFF"/>
        </w:rPr>
        <w:t>Horticulture</w:t>
      </w:r>
      <w:r w:rsidR="008413E8" w:rsidRPr="00C02348">
        <w:rPr>
          <w:rFonts w:ascii="Times New Roman" w:hAnsi="Times New Roman" w:cs="Times New Roman"/>
          <w:sz w:val="20"/>
          <w:szCs w:val="20"/>
          <w:shd w:val="clear" w:color="auto" w:fill="FFFFFF"/>
        </w:rPr>
        <w:t xml:space="preserve"> Sciences</w:t>
      </w:r>
      <w:r w:rsidRPr="00C02348">
        <w:rPr>
          <w:rFonts w:ascii="Times New Roman" w:hAnsi="Times New Roman" w:cs="Times New Roman"/>
          <w:sz w:val="20"/>
          <w:szCs w:val="20"/>
          <w:shd w:val="clear" w:color="auto" w:fill="FFFFFF"/>
        </w:rPr>
        <w:t xml:space="preserve">, </w:t>
      </w:r>
      <w:r w:rsidR="00002C8C" w:rsidRPr="00C02348">
        <w:rPr>
          <w:rFonts w:ascii="Times New Roman" w:hAnsi="Times New Roman" w:cs="Times New Roman"/>
          <w:sz w:val="20"/>
          <w:szCs w:val="20"/>
          <w:shd w:val="clear" w:color="auto" w:fill="FFFFFF"/>
        </w:rPr>
        <w:t>University of Agriculture, Faisalabad.</w:t>
      </w:r>
      <w:r w:rsidRPr="00C02348">
        <w:rPr>
          <w:rFonts w:ascii="Times New Roman" w:hAnsi="Times New Roman" w:cs="Times New Roman"/>
          <w:sz w:val="20"/>
          <w:szCs w:val="20"/>
          <w:shd w:val="clear" w:color="auto" w:fill="FFFFFF"/>
        </w:rPr>
        <w:t xml:space="preserve"> </w:t>
      </w:r>
    </w:p>
    <w:p w:rsidR="00DF4524" w:rsidRPr="00C02348" w:rsidRDefault="008413E8" w:rsidP="006644F1">
      <w:pPr>
        <w:snapToGrid w:val="0"/>
        <w:spacing w:after="0" w:line="240" w:lineRule="auto"/>
        <w:jc w:val="center"/>
        <w:rPr>
          <w:rFonts w:ascii="Times New Roman" w:hAnsi="Times New Roman" w:cs="Times New Roman"/>
          <w:sz w:val="20"/>
          <w:szCs w:val="20"/>
          <w:shd w:val="clear" w:color="auto" w:fill="FFFFFF"/>
        </w:rPr>
      </w:pPr>
      <w:r w:rsidRPr="00C02348">
        <w:rPr>
          <w:rFonts w:ascii="Times New Roman" w:hAnsi="Times New Roman" w:cs="Times New Roman"/>
          <w:sz w:val="20"/>
          <w:szCs w:val="20"/>
          <w:shd w:val="clear" w:color="auto" w:fill="FFFFFF"/>
        </w:rPr>
        <w:t>*Corresponding Authors E-mails:</w:t>
      </w:r>
      <w:r w:rsidR="006C2559" w:rsidRPr="00C02348">
        <w:rPr>
          <w:rFonts w:ascii="Times New Roman" w:hAnsi="Times New Roman" w:cs="Times New Roman"/>
          <w:sz w:val="20"/>
          <w:szCs w:val="20"/>
          <w:shd w:val="clear" w:color="auto" w:fill="FFFFFF"/>
        </w:rPr>
        <w:t xml:space="preserve"> </w:t>
      </w:r>
      <w:hyperlink r:id="rId8" w:history="1">
        <w:r w:rsidR="00E513CB" w:rsidRPr="00C02348">
          <w:rPr>
            <w:rStyle w:val="Hyperlink"/>
            <w:rFonts w:ascii="Times New Roman" w:hAnsi="Times New Roman" w:cs="Times New Roman"/>
            <w:sz w:val="20"/>
            <w:szCs w:val="20"/>
            <w:shd w:val="clear" w:color="auto" w:fill="FFFFFF"/>
          </w:rPr>
          <w:t>Kanwalrao2526@gmail.com</w:t>
        </w:r>
      </w:hyperlink>
      <w:r w:rsidR="00C02348" w:rsidRPr="00C02348">
        <w:rPr>
          <w:rFonts w:ascii="Times New Roman" w:hAnsi="Times New Roman" w:cs="Times New Roman" w:hint="eastAsia"/>
          <w:sz w:val="20"/>
          <w:szCs w:val="20"/>
          <w:shd w:val="clear" w:color="auto" w:fill="FFFFFF"/>
          <w:lang w:eastAsia="zh-CN"/>
        </w:rPr>
        <w:t>,</w:t>
      </w:r>
      <w:r w:rsidR="00E513CB" w:rsidRPr="00C02348">
        <w:rPr>
          <w:rFonts w:ascii="Times New Roman" w:hAnsi="Times New Roman" w:cs="Times New Roman"/>
          <w:sz w:val="20"/>
          <w:szCs w:val="20"/>
          <w:shd w:val="clear" w:color="auto" w:fill="FFFFFF"/>
        </w:rPr>
        <w:t xml:space="preserve"> </w:t>
      </w:r>
      <w:hyperlink r:id="rId9" w:history="1">
        <w:r w:rsidR="00E513CB" w:rsidRPr="00C02348">
          <w:rPr>
            <w:rStyle w:val="Hyperlink"/>
            <w:rFonts w:ascii="Times New Roman" w:hAnsi="Times New Roman" w:cs="Times New Roman"/>
            <w:sz w:val="20"/>
            <w:szCs w:val="20"/>
            <w:shd w:val="clear" w:color="auto" w:fill="FFFFFF"/>
          </w:rPr>
          <w:t>Farwabashir17@gmail.com</w:t>
        </w:r>
      </w:hyperlink>
      <w:r w:rsidR="00E513CB" w:rsidRPr="00C02348">
        <w:rPr>
          <w:rFonts w:ascii="Times New Roman" w:hAnsi="Times New Roman" w:cs="Times New Roman"/>
          <w:sz w:val="20"/>
          <w:szCs w:val="20"/>
          <w:shd w:val="clear" w:color="auto" w:fill="FFFFFF"/>
        </w:rPr>
        <w:t>.</w:t>
      </w:r>
    </w:p>
    <w:p w:rsidR="00DF4524" w:rsidRPr="00C02348" w:rsidRDefault="00DF4524" w:rsidP="006644F1">
      <w:pPr>
        <w:snapToGrid w:val="0"/>
        <w:spacing w:after="0" w:line="240" w:lineRule="auto"/>
        <w:jc w:val="center"/>
        <w:rPr>
          <w:rFonts w:ascii="Times New Roman" w:hAnsi="Times New Roman" w:cs="Times New Roman"/>
          <w:sz w:val="20"/>
          <w:szCs w:val="20"/>
          <w:shd w:val="clear" w:color="auto" w:fill="FFFFFF"/>
        </w:rPr>
      </w:pPr>
    </w:p>
    <w:p w:rsidR="00E513CB" w:rsidRPr="00C02348" w:rsidRDefault="00CC5852"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Abstract</w:t>
      </w:r>
      <w:r w:rsidR="00E513CB" w:rsidRPr="00C02348">
        <w:rPr>
          <w:rFonts w:ascii="Times New Roman" w:hAnsi="Times New Roman" w:cs="Times New Roman"/>
          <w:b/>
          <w:sz w:val="20"/>
          <w:szCs w:val="20"/>
        </w:rPr>
        <w:t xml:space="preserve">: </w:t>
      </w:r>
      <w:r w:rsidR="00346BAE" w:rsidRPr="00C02348">
        <w:rPr>
          <w:rFonts w:ascii="Times New Roman" w:hAnsi="Times New Roman" w:cs="Times New Roman"/>
          <w:sz w:val="20"/>
          <w:szCs w:val="20"/>
        </w:rPr>
        <w:t xml:space="preserve">Synthetic insecticides have been mainly used for the control of stored products insect pests. But have now becoming limited due to many drawbacks. Nano sciences and nanotechnology are the study of extremely small things at nm scale. The present study was carried at Chemistry Laboratory, Punjab Bioenergy Institute, University of Agriculture Faisalabad. </w:t>
      </w:r>
      <w:r w:rsidR="00346BAE" w:rsidRPr="00C02348">
        <w:rPr>
          <w:rFonts w:ascii="Times New Roman" w:hAnsi="Times New Roman" w:cs="Times New Roman"/>
          <w:i/>
          <w:sz w:val="20"/>
          <w:szCs w:val="20"/>
        </w:rPr>
        <w:t>Tribolium castaneum</w:t>
      </w:r>
      <w:r w:rsidR="00346BAE" w:rsidRPr="00C02348">
        <w:rPr>
          <w:rFonts w:ascii="Times New Roman" w:hAnsi="Times New Roman" w:cs="Times New Roman"/>
          <w:sz w:val="20"/>
          <w:szCs w:val="20"/>
        </w:rPr>
        <w:t xml:space="preserve"> were collected from grain market, located in Faisalabad and population of insect was acclimatized to the laboratory. After extraction of plant materials (oils from</w:t>
      </w:r>
      <w:r w:rsidR="00346BAE" w:rsidRPr="00C02348">
        <w:rPr>
          <w:rFonts w:ascii="Times New Roman" w:hAnsi="Times New Roman" w:cs="Times New Roman"/>
          <w:i/>
          <w:sz w:val="20"/>
          <w:szCs w:val="20"/>
        </w:rPr>
        <w:t xml:space="preserve"> Ricinus communis </w:t>
      </w:r>
      <w:r w:rsidR="00346BAE" w:rsidRPr="00C02348">
        <w:rPr>
          <w:rFonts w:ascii="Times New Roman" w:hAnsi="Times New Roman" w:cs="Times New Roman"/>
          <w:sz w:val="20"/>
          <w:szCs w:val="20"/>
        </w:rPr>
        <w:t xml:space="preserve">and </w:t>
      </w:r>
      <w:r w:rsidR="00346BAE" w:rsidRPr="00C02348">
        <w:rPr>
          <w:rFonts w:ascii="Times New Roman" w:hAnsi="Times New Roman" w:cs="Times New Roman"/>
          <w:i/>
          <w:sz w:val="20"/>
          <w:szCs w:val="20"/>
        </w:rPr>
        <w:t>Citrus paradise</w:t>
      </w:r>
      <w:r w:rsidR="00346BAE" w:rsidRPr="00C02348">
        <w:rPr>
          <w:rFonts w:ascii="Times New Roman" w:hAnsi="Times New Roman" w:cs="Times New Roman"/>
          <w:sz w:val="20"/>
          <w:szCs w:val="20"/>
        </w:rPr>
        <w:t xml:space="preserve">) </w:t>
      </w:r>
      <w:r w:rsidR="00346BAE" w:rsidRPr="00C02348">
        <w:rPr>
          <w:rFonts w:ascii="Times New Roman" w:hAnsi="Times New Roman" w:cs="Times New Roman"/>
          <w:bCs/>
          <w:sz w:val="20"/>
          <w:szCs w:val="20"/>
        </w:rPr>
        <w:t>biosynthesis of nano-particles was done accordingly to standard procedure.</w:t>
      </w:r>
      <w:r w:rsidR="00346BAE" w:rsidRPr="00C02348">
        <w:rPr>
          <w:rFonts w:ascii="Times New Roman" w:hAnsi="Times New Roman" w:cs="Times New Roman"/>
          <w:sz w:val="20"/>
          <w:szCs w:val="20"/>
        </w:rPr>
        <w:t xml:space="preserve"> </w:t>
      </w:r>
      <w:r w:rsidR="00346BAE" w:rsidRPr="00C02348">
        <w:rPr>
          <w:rFonts w:ascii="Times New Roman" w:hAnsi="Times New Roman" w:cs="Times New Roman"/>
          <w:bCs/>
          <w:sz w:val="20"/>
          <w:szCs w:val="20"/>
        </w:rPr>
        <w:t>Toxicity bioassays was done by</w:t>
      </w:r>
      <w:r w:rsidR="00346BAE" w:rsidRPr="00C02348">
        <w:rPr>
          <w:rFonts w:ascii="Times New Roman" w:hAnsi="Times New Roman" w:cs="Times New Roman"/>
          <w:sz w:val="20"/>
          <w:szCs w:val="20"/>
        </w:rPr>
        <w:t xml:space="preserve"> three concentrations (5, 10 and 15 %) of the plant oils (for each of the simple plant oil) and 100, 200 and 300 ppm (for nano-particles) were used. Data regarding mort</w:t>
      </w:r>
      <w:r w:rsidR="00112FF9" w:rsidRPr="00C02348">
        <w:rPr>
          <w:rFonts w:ascii="Times New Roman" w:hAnsi="Times New Roman" w:cs="Times New Roman"/>
          <w:sz w:val="20"/>
          <w:szCs w:val="20"/>
        </w:rPr>
        <w:t>ality was recorded after 24, 48, 72 and 96</w:t>
      </w:r>
      <w:r w:rsidR="00346BAE" w:rsidRPr="00C02348">
        <w:rPr>
          <w:rFonts w:ascii="Times New Roman" w:hAnsi="Times New Roman" w:cs="Times New Roman"/>
          <w:sz w:val="20"/>
          <w:szCs w:val="20"/>
        </w:rPr>
        <w:t xml:space="preserve"> hours of the treatment application. In case of plant oil, highest mortality (36.12%) was recorded by </w:t>
      </w:r>
      <w:r w:rsidR="00346BAE" w:rsidRPr="00C02348">
        <w:rPr>
          <w:rFonts w:ascii="Times New Roman" w:hAnsi="Times New Roman" w:cs="Times New Roman"/>
          <w:i/>
          <w:sz w:val="20"/>
          <w:szCs w:val="20"/>
        </w:rPr>
        <w:t>R. communis</w:t>
      </w:r>
      <w:r w:rsidR="00346BAE" w:rsidRPr="00C02348">
        <w:rPr>
          <w:rFonts w:ascii="Times New Roman" w:hAnsi="Times New Roman" w:cs="Times New Roman"/>
          <w:sz w:val="20"/>
          <w:szCs w:val="20"/>
        </w:rPr>
        <w:t xml:space="preserve"> at 15%</w:t>
      </w:r>
      <w:r w:rsidR="00112FF9" w:rsidRPr="00C02348">
        <w:rPr>
          <w:rFonts w:ascii="Times New Roman" w:hAnsi="Times New Roman" w:cs="Times New Roman"/>
          <w:sz w:val="20"/>
          <w:szCs w:val="20"/>
        </w:rPr>
        <w:t xml:space="preserve"> and after exposure period of 96</w:t>
      </w:r>
      <w:r w:rsidR="00346BAE" w:rsidRPr="00C02348">
        <w:rPr>
          <w:rFonts w:ascii="Times New Roman" w:hAnsi="Times New Roman" w:cs="Times New Roman"/>
          <w:sz w:val="20"/>
          <w:szCs w:val="20"/>
        </w:rPr>
        <w:t xml:space="preserve"> (hr.) while </w:t>
      </w:r>
      <w:r w:rsidR="00112FF9" w:rsidRPr="00C02348">
        <w:rPr>
          <w:rFonts w:ascii="Times New Roman" w:hAnsi="Times New Roman" w:cs="Times New Roman"/>
          <w:i/>
          <w:sz w:val="20"/>
          <w:szCs w:val="20"/>
        </w:rPr>
        <w:t>R. communis</w:t>
      </w:r>
      <w:r w:rsidR="00112FF9" w:rsidRPr="00C02348">
        <w:rPr>
          <w:rFonts w:ascii="Times New Roman" w:hAnsi="Times New Roman" w:cs="Times New Roman"/>
          <w:sz w:val="20"/>
          <w:szCs w:val="20"/>
        </w:rPr>
        <w:t xml:space="preserve"> </w:t>
      </w:r>
      <w:r w:rsidR="00346BAE" w:rsidRPr="00C02348">
        <w:rPr>
          <w:rFonts w:ascii="Times New Roman" w:hAnsi="Times New Roman" w:cs="Times New Roman"/>
          <w:sz w:val="20"/>
          <w:szCs w:val="20"/>
        </w:rPr>
        <w:t xml:space="preserve">silver nanoparticle gave 41.40% at 300 ppm. Repellency bioassay was done by area preference method. Silver nanoparticles repellency highest range was 67.89% at 15% concentration of </w:t>
      </w:r>
      <w:r w:rsidR="00346BAE" w:rsidRPr="00C02348">
        <w:rPr>
          <w:rFonts w:ascii="Times New Roman" w:hAnsi="Times New Roman" w:cs="Times New Roman"/>
          <w:i/>
          <w:sz w:val="20"/>
          <w:szCs w:val="20"/>
        </w:rPr>
        <w:t>R. communis</w:t>
      </w:r>
      <w:r w:rsidR="00346BAE" w:rsidRPr="00C02348">
        <w:rPr>
          <w:rFonts w:ascii="Times New Roman" w:hAnsi="Times New Roman" w:cs="Times New Roman"/>
          <w:sz w:val="20"/>
          <w:szCs w:val="20"/>
        </w:rPr>
        <w:t xml:space="preserve"> and lowest was 28.31% at same concentration of the </w:t>
      </w:r>
      <w:r w:rsidR="00346BAE" w:rsidRPr="00C02348">
        <w:rPr>
          <w:rFonts w:ascii="Times New Roman" w:hAnsi="Times New Roman" w:cs="Times New Roman"/>
          <w:i/>
          <w:sz w:val="20"/>
          <w:szCs w:val="20"/>
        </w:rPr>
        <w:t>C</w:t>
      </w:r>
      <w:r w:rsidR="00346BAE" w:rsidRPr="00C02348">
        <w:rPr>
          <w:rFonts w:ascii="Times New Roman" w:hAnsi="Times New Roman" w:cs="Times New Roman"/>
          <w:sz w:val="20"/>
          <w:szCs w:val="20"/>
        </w:rPr>
        <w:t>.</w:t>
      </w:r>
      <w:r w:rsidR="00346BAE" w:rsidRPr="00C02348">
        <w:rPr>
          <w:rFonts w:ascii="Times New Roman" w:hAnsi="Times New Roman" w:cs="Times New Roman"/>
          <w:i/>
          <w:sz w:val="20"/>
          <w:szCs w:val="20"/>
        </w:rPr>
        <w:t xml:space="preserve"> paradise </w:t>
      </w:r>
      <w:r w:rsidR="00346BAE" w:rsidRPr="00C02348">
        <w:rPr>
          <w:rFonts w:ascii="Times New Roman" w:hAnsi="Times New Roman" w:cs="Times New Roman"/>
          <w:sz w:val="20"/>
          <w:szCs w:val="20"/>
        </w:rPr>
        <w:t>oils, used. Hence, plant based insecticides can be helpful for the management of stored commodities insect pests.</w:t>
      </w:r>
    </w:p>
    <w:p w:rsidR="006644F1" w:rsidRPr="00C02348" w:rsidRDefault="00E513CB" w:rsidP="006644F1">
      <w:pPr>
        <w:snapToGrid w:val="0"/>
        <w:spacing w:after="0" w:line="240" w:lineRule="auto"/>
        <w:jc w:val="both"/>
        <w:rPr>
          <w:rFonts w:ascii="Times New Roman" w:hAnsi="Times New Roman" w:cs="Times New Roman"/>
          <w:b/>
          <w:sz w:val="20"/>
          <w:szCs w:val="20"/>
          <w:shd w:val="clear" w:color="auto" w:fill="FFFFFF"/>
          <w:lang w:eastAsia="zh-CN"/>
        </w:rPr>
      </w:pPr>
      <w:r w:rsidRPr="00C02348">
        <w:rPr>
          <w:rFonts w:ascii="Times New Roman" w:hAnsi="Times New Roman" w:cs="Times New Roman"/>
          <w:color w:val="000000"/>
          <w:sz w:val="20"/>
          <w:szCs w:val="20"/>
        </w:rPr>
        <w:t>[</w:t>
      </w:r>
      <w:r w:rsidRPr="00C02348">
        <w:rPr>
          <w:rFonts w:ascii="Times New Roman" w:hAnsi="Times New Roman" w:cs="Times New Roman"/>
          <w:sz w:val="20"/>
          <w:szCs w:val="20"/>
        </w:rPr>
        <w:t xml:space="preserve">Shahzadi K, Bashir F, Nazir K, seemab S, Shaker M.A.A, waheed I, Shehzaib A, Fatima K. </w:t>
      </w:r>
      <w:r w:rsidRPr="00C02348">
        <w:rPr>
          <w:rFonts w:ascii="Times New Roman" w:hAnsi="Times New Roman" w:cs="Times New Roman"/>
          <w:b/>
          <w:sz w:val="20"/>
          <w:szCs w:val="20"/>
        </w:rPr>
        <w:t xml:space="preserve">Impacts of green synthesized Silver-Nanoparticles against </w:t>
      </w:r>
      <w:r w:rsidRPr="00C02348">
        <w:rPr>
          <w:rFonts w:ascii="Times New Roman" w:hAnsi="Times New Roman" w:cs="Times New Roman"/>
          <w:b/>
          <w:i/>
          <w:sz w:val="20"/>
          <w:szCs w:val="20"/>
        </w:rPr>
        <w:t>Tribolium castaneum</w:t>
      </w:r>
      <w:r w:rsidR="00DF4524" w:rsidRPr="00C02348">
        <w:rPr>
          <w:rFonts w:ascii="Times New Roman" w:hAnsi="Times New Roman" w:cs="Times New Roman"/>
          <w:b/>
          <w:i/>
          <w:sz w:val="20"/>
          <w:szCs w:val="20"/>
        </w:rPr>
        <w:t xml:space="preserve"> </w:t>
      </w:r>
      <w:r w:rsidRPr="00C02348">
        <w:rPr>
          <w:rFonts w:ascii="Times New Roman" w:hAnsi="Times New Roman" w:cs="Times New Roman"/>
          <w:sz w:val="20"/>
          <w:szCs w:val="20"/>
          <w:shd w:val="clear" w:color="auto" w:fill="FFFFFF"/>
        </w:rPr>
        <w:t>‎(</w:t>
      </w:r>
      <w:r w:rsidRPr="00C02348">
        <w:rPr>
          <w:rFonts w:ascii="Times New Roman" w:hAnsi="Times New Roman" w:cs="Times New Roman"/>
          <w:b/>
          <w:sz w:val="20"/>
          <w:szCs w:val="20"/>
          <w:shd w:val="clear" w:color="auto" w:fill="FFFFFF"/>
        </w:rPr>
        <w:t xml:space="preserve">Coleoptera: </w:t>
      </w:r>
      <w:hyperlink r:id="rId10" w:history="1">
        <w:r w:rsidRPr="00C02348">
          <w:rPr>
            <w:rStyle w:val="Hyperlink"/>
            <w:rFonts w:ascii="Times New Roman" w:hAnsi="Times New Roman" w:cs="Times New Roman"/>
            <w:b/>
            <w:color w:val="auto"/>
            <w:sz w:val="20"/>
            <w:szCs w:val="20"/>
            <w:shd w:val="clear" w:color="auto" w:fill="FFFFFF"/>
          </w:rPr>
          <w:t>Tenebrionidae</w:t>
        </w:r>
      </w:hyperlink>
      <w:r w:rsidRPr="00C02348">
        <w:rPr>
          <w:rFonts w:ascii="Times New Roman" w:hAnsi="Times New Roman" w:cs="Times New Roman"/>
          <w:b/>
          <w:sz w:val="20"/>
          <w:szCs w:val="20"/>
          <w:shd w:val="clear" w:color="auto" w:fill="FFFFFF"/>
        </w:rPr>
        <w:t>)</w:t>
      </w:r>
      <w:r w:rsidR="006644F1" w:rsidRPr="00C02348">
        <w:rPr>
          <w:rFonts w:ascii="Times New Roman" w:eastAsia="Times New Roman" w:hAnsi="Times New Roman" w:cs="Times New Roman"/>
          <w:b/>
          <w:bCs/>
          <w:sz w:val="20"/>
          <w:szCs w:val="20"/>
          <w:lang w:bidi="fa-IR"/>
        </w:rPr>
        <w:t>.</w:t>
      </w:r>
      <w:r w:rsidR="006644F1" w:rsidRPr="00C02348">
        <w:rPr>
          <w:rFonts w:ascii="Times New Roman" w:hAnsi="Times New Roman" w:cs="Times New Roman"/>
          <w:bCs/>
          <w:i/>
          <w:sz w:val="20"/>
          <w:szCs w:val="20"/>
        </w:rPr>
        <w:t xml:space="preserve"> Researcher</w:t>
      </w:r>
      <w:r w:rsidR="006644F1" w:rsidRPr="00C02348">
        <w:rPr>
          <w:rFonts w:ascii="Times New Roman" w:hAnsi="Times New Roman" w:cs="Times New Roman"/>
          <w:bCs/>
          <w:sz w:val="20"/>
          <w:szCs w:val="20"/>
        </w:rPr>
        <w:t xml:space="preserve"> 201</w:t>
      </w:r>
      <w:r w:rsidR="006644F1" w:rsidRPr="00C02348">
        <w:rPr>
          <w:rFonts w:ascii="Times New Roman" w:hAnsi="Times New Roman" w:cs="Times New Roman" w:hint="eastAsia"/>
          <w:bCs/>
          <w:sz w:val="20"/>
          <w:szCs w:val="20"/>
        </w:rPr>
        <w:t>9</w:t>
      </w:r>
      <w:r w:rsidR="006644F1" w:rsidRPr="00C02348">
        <w:rPr>
          <w:rFonts w:ascii="Times New Roman" w:hAnsi="Times New Roman" w:cs="Times New Roman"/>
          <w:bCs/>
          <w:sz w:val="20"/>
          <w:szCs w:val="20"/>
        </w:rPr>
        <w:t>;</w:t>
      </w:r>
      <w:r w:rsidR="006644F1" w:rsidRPr="00C02348">
        <w:rPr>
          <w:rFonts w:ascii="Times New Roman" w:hAnsi="Times New Roman" w:cs="Times New Roman" w:hint="eastAsia"/>
          <w:bCs/>
          <w:sz w:val="20"/>
          <w:szCs w:val="20"/>
        </w:rPr>
        <w:t>11</w:t>
      </w:r>
      <w:r w:rsidR="006644F1" w:rsidRPr="00C02348">
        <w:rPr>
          <w:rFonts w:ascii="Times New Roman" w:hAnsi="Times New Roman" w:cs="Times New Roman"/>
          <w:bCs/>
          <w:sz w:val="20"/>
          <w:szCs w:val="20"/>
        </w:rPr>
        <w:t>(</w:t>
      </w:r>
      <w:r w:rsidR="006644F1" w:rsidRPr="00C02348">
        <w:rPr>
          <w:rFonts w:ascii="Times New Roman" w:hAnsi="Times New Roman" w:cs="Times New Roman" w:hint="eastAsia"/>
          <w:bCs/>
          <w:sz w:val="20"/>
          <w:szCs w:val="20"/>
        </w:rPr>
        <w:t>12</w:t>
      </w:r>
      <w:r w:rsidR="006644F1" w:rsidRPr="00C02348">
        <w:rPr>
          <w:rFonts w:ascii="Times New Roman" w:hAnsi="Times New Roman" w:cs="Times New Roman"/>
          <w:bCs/>
          <w:sz w:val="20"/>
          <w:szCs w:val="20"/>
        </w:rPr>
        <w:t>):</w:t>
      </w:r>
      <w:r w:rsidR="00AE7F33" w:rsidRPr="00C02348">
        <w:rPr>
          <w:rFonts w:ascii="Times New Roman" w:hAnsi="Times New Roman" w:cs="Times New Roman"/>
          <w:noProof/>
          <w:color w:val="000000"/>
          <w:sz w:val="20"/>
          <w:szCs w:val="20"/>
        </w:rPr>
        <w:t>19-23</w:t>
      </w:r>
      <w:r w:rsidR="006644F1" w:rsidRPr="00C02348">
        <w:rPr>
          <w:rFonts w:ascii="Times New Roman" w:hAnsi="Times New Roman" w:cs="Times New Roman"/>
          <w:bCs/>
          <w:sz w:val="20"/>
          <w:szCs w:val="20"/>
        </w:rPr>
        <w:t xml:space="preserve">]. </w:t>
      </w:r>
      <w:r w:rsidR="006644F1" w:rsidRPr="00C02348">
        <w:rPr>
          <w:rFonts w:ascii="Times New Roman" w:hAnsi="Times New Roman" w:cs="Times New Roman"/>
          <w:sz w:val="20"/>
          <w:szCs w:val="20"/>
        </w:rPr>
        <w:t>ISSN 1553-9865 (print); ISSN 2163-8950 (online)</w:t>
      </w:r>
      <w:r w:rsidR="006644F1" w:rsidRPr="00C02348">
        <w:rPr>
          <w:rFonts w:ascii="Times New Roman" w:hAnsi="Times New Roman" w:cs="Times New Roman"/>
          <w:bCs/>
          <w:sz w:val="20"/>
          <w:szCs w:val="20"/>
        </w:rPr>
        <w:t xml:space="preserve">. </w:t>
      </w:r>
      <w:hyperlink r:id="rId11" w:history="1">
        <w:r w:rsidR="006644F1" w:rsidRPr="00C02348">
          <w:rPr>
            <w:rStyle w:val="Hyperlink"/>
            <w:rFonts w:ascii="Times New Roman" w:hAnsi="Times New Roman" w:cs="Times New Roman"/>
            <w:sz w:val="20"/>
            <w:szCs w:val="20"/>
          </w:rPr>
          <w:t>http://www.sciencepub.net/researcher</w:t>
        </w:r>
      </w:hyperlink>
      <w:r w:rsidR="006644F1" w:rsidRPr="00C02348">
        <w:rPr>
          <w:rFonts w:ascii="Times New Roman" w:hAnsi="Times New Roman" w:cs="Times New Roman"/>
          <w:bCs/>
          <w:sz w:val="20"/>
          <w:szCs w:val="20"/>
        </w:rPr>
        <w:t>.</w:t>
      </w:r>
      <w:r w:rsidR="006644F1" w:rsidRPr="00C02348">
        <w:rPr>
          <w:rFonts w:ascii="Times New Roman" w:hAnsi="Times New Roman" w:cs="Times New Roman" w:hint="eastAsia"/>
          <w:bCs/>
          <w:sz w:val="20"/>
          <w:szCs w:val="20"/>
        </w:rPr>
        <w:t xml:space="preserve"> </w:t>
      </w:r>
      <w:r w:rsidR="006644F1" w:rsidRPr="00C02348">
        <w:rPr>
          <w:rFonts w:ascii="Times New Roman" w:hAnsi="Times New Roman" w:cs="Times New Roman" w:hint="eastAsia"/>
          <w:bCs/>
          <w:sz w:val="20"/>
          <w:szCs w:val="20"/>
          <w:lang w:eastAsia="zh-CN"/>
        </w:rPr>
        <w:t>4</w:t>
      </w:r>
      <w:r w:rsidR="006644F1" w:rsidRPr="00C02348">
        <w:rPr>
          <w:rFonts w:ascii="Times New Roman" w:hAnsi="Times New Roman" w:cs="Times New Roman" w:hint="eastAsia"/>
          <w:bCs/>
          <w:sz w:val="20"/>
          <w:szCs w:val="20"/>
        </w:rPr>
        <w:t xml:space="preserve">. </w:t>
      </w:r>
      <w:r w:rsidR="006644F1" w:rsidRPr="00C02348">
        <w:rPr>
          <w:rFonts w:ascii="Times New Roman" w:hAnsi="Times New Roman" w:cs="Times New Roman"/>
          <w:color w:val="000000"/>
          <w:sz w:val="20"/>
          <w:szCs w:val="20"/>
          <w:shd w:val="clear" w:color="auto" w:fill="FFFFFF"/>
        </w:rPr>
        <w:t>doi:</w:t>
      </w:r>
      <w:hyperlink r:id="rId12" w:history="1">
        <w:r w:rsidR="006644F1" w:rsidRPr="00C02348">
          <w:rPr>
            <w:rStyle w:val="Hyperlink"/>
            <w:rFonts w:ascii="Times New Roman" w:hAnsi="Times New Roman" w:cs="Times New Roman"/>
            <w:sz w:val="20"/>
            <w:szCs w:val="20"/>
            <w:shd w:val="clear" w:color="auto" w:fill="FFFFFF"/>
          </w:rPr>
          <w:t>10.7537/mars</w:t>
        </w:r>
        <w:r w:rsidR="006644F1" w:rsidRPr="00C02348">
          <w:rPr>
            <w:rStyle w:val="Hyperlink"/>
            <w:rFonts w:ascii="Times New Roman" w:hAnsi="Times New Roman" w:cs="Times New Roman" w:hint="eastAsia"/>
            <w:sz w:val="20"/>
            <w:szCs w:val="20"/>
            <w:shd w:val="clear" w:color="auto" w:fill="FFFFFF"/>
          </w:rPr>
          <w:t>r</w:t>
        </w:r>
        <w:r w:rsidR="006644F1" w:rsidRPr="00C02348">
          <w:rPr>
            <w:rStyle w:val="Hyperlink"/>
            <w:rFonts w:ascii="Times New Roman" w:hAnsi="Times New Roman" w:cs="Times New Roman"/>
            <w:sz w:val="20"/>
            <w:szCs w:val="20"/>
            <w:shd w:val="clear" w:color="auto" w:fill="FFFFFF"/>
          </w:rPr>
          <w:t>sj</w:t>
        </w:r>
        <w:r w:rsidR="006644F1" w:rsidRPr="00C02348">
          <w:rPr>
            <w:rStyle w:val="Hyperlink"/>
            <w:rFonts w:ascii="Times New Roman" w:hAnsi="Times New Roman" w:cs="Times New Roman" w:hint="eastAsia"/>
            <w:sz w:val="20"/>
            <w:szCs w:val="20"/>
            <w:shd w:val="clear" w:color="auto" w:fill="FFFFFF"/>
          </w:rPr>
          <w:t>111219.</w:t>
        </w:r>
        <w:r w:rsidR="006644F1" w:rsidRPr="00C02348">
          <w:rPr>
            <w:rStyle w:val="Hyperlink"/>
            <w:rFonts w:ascii="Times New Roman" w:hAnsi="Times New Roman" w:cs="Times New Roman"/>
            <w:sz w:val="20"/>
            <w:szCs w:val="20"/>
            <w:shd w:val="clear" w:color="auto" w:fill="FFFFFF"/>
          </w:rPr>
          <w:t>0</w:t>
        </w:r>
        <w:r w:rsidR="006644F1" w:rsidRPr="00C02348">
          <w:rPr>
            <w:rStyle w:val="Hyperlink"/>
            <w:rFonts w:ascii="Times New Roman" w:hAnsi="Times New Roman" w:cs="Times New Roman" w:hint="eastAsia"/>
            <w:sz w:val="20"/>
            <w:szCs w:val="20"/>
            <w:shd w:val="clear" w:color="auto" w:fill="FFFFFF"/>
            <w:lang w:eastAsia="zh-CN"/>
          </w:rPr>
          <w:t>4</w:t>
        </w:r>
      </w:hyperlink>
      <w:r w:rsidR="006644F1" w:rsidRPr="00C02348">
        <w:rPr>
          <w:rFonts w:ascii="Times New Roman" w:hAnsi="Times New Roman" w:cs="Times New Roman"/>
          <w:color w:val="000000"/>
          <w:sz w:val="20"/>
          <w:szCs w:val="20"/>
          <w:shd w:val="clear" w:color="auto" w:fill="FFFFFF"/>
        </w:rPr>
        <w:t>.</w:t>
      </w:r>
    </w:p>
    <w:p w:rsidR="00E513CB" w:rsidRPr="00C02348" w:rsidRDefault="00E513CB" w:rsidP="006644F1">
      <w:pPr>
        <w:snapToGrid w:val="0"/>
        <w:spacing w:after="0" w:line="240" w:lineRule="auto"/>
        <w:jc w:val="both"/>
        <w:rPr>
          <w:rFonts w:ascii="Times New Roman" w:hAnsi="Times New Roman" w:cs="Times New Roman"/>
          <w:b/>
          <w:sz w:val="20"/>
          <w:szCs w:val="20"/>
          <w:shd w:val="clear" w:color="auto" w:fill="FFFFFF"/>
        </w:rPr>
      </w:pPr>
    </w:p>
    <w:p w:rsidR="00346BAE" w:rsidRPr="00C02348" w:rsidRDefault="00346BAE" w:rsidP="006644F1">
      <w:pPr>
        <w:snapToGrid w:val="0"/>
        <w:spacing w:after="0" w:line="240" w:lineRule="auto"/>
        <w:jc w:val="both"/>
        <w:rPr>
          <w:rFonts w:ascii="Times New Roman" w:hAnsi="Times New Roman" w:cs="Times New Roman"/>
          <w:sz w:val="20"/>
          <w:szCs w:val="20"/>
          <w:lang w:eastAsia="zh-CN"/>
        </w:rPr>
      </w:pPr>
      <w:r w:rsidRPr="00C02348">
        <w:rPr>
          <w:rFonts w:ascii="Times New Roman" w:hAnsi="Times New Roman" w:cs="Times New Roman"/>
          <w:b/>
          <w:sz w:val="20"/>
          <w:szCs w:val="20"/>
        </w:rPr>
        <w:t>Keywords</w:t>
      </w:r>
      <w:r w:rsidRPr="00C02348">
        <w:rPr>
          <w:rFonts w:ascii="Times New Roman" w:hAnsi="Times New Roman" w:cs="Times New Roman"/>
          <w:sz w:val="20"/>
          <w:szCs w:val="20"/>
        </w:rPr>
        <w:t>: Insects, Plant oils, mortality, repellency, plant oils</w:t>
      </w:r>
    </w:p>
    <w:p w:rsidR="006644F1" w:rsidRPr="00C02348" w:rsidRDefault="006644F1" w:rsidP="006644F1">
      <w:pPr>
        <w:snapToGrid w:val="0"/>
        <w:spacing w:after="0" w:line="240" w:lineRule="auto"/>
        <w:jc w:val="both"/>
        <w:rPr>
          <w:rFonts w:ascii="Times New Roman" w:hAnsi="Times New Roman" w:cs="Times New Roman"/>
          <w:sz w:val="20"/>
          <w:szCs w:val="20"/>
          <w:lang w:eastAsia="zh-CN"/>
        </w:rPr>
      </w:pPr>
    </w:p>
    <w:p w:rsidR="006644F1" w:rsidRPr="00C02348" w:rsidRDefault="006644F1" w:rsidP="006644F1">
      <w:pPr>
        <w:snapToGrid w:val="0"/>
        <w:spacing w:after="0" w:line="240" w:lineRule="auto"/>
        <w:jc w:val="both"/>
        <w:rPr>
          <w:rFonts w:ascii="Times New Roman" w:hAnsi="Times New Roman" w:cs="Times New Roman"/>
          <w:b/>
          <w:sz w:val="20"/>
          <w:szCs w:val="20"/>
        </w:rPr>
        <w:sectPr w:rsidR="006644F1" w:rsidRPr="00C02348" w:rsidSect="00AE7F33">
          <w:headerReference w:type="default" r:id="rId13"/>
          <w:footerReference w:type="default" r:id="rId14"/>
          <w:type w:val="continuous"/>
          <w:pgSz w:w="12240" w:h="15840"/>
          <w:pgMar w:top="1440" w:right="1440" w:bottom="1440" w:left="1440" w:header="720" w:footer="720" w:gutter="0"/>
          <w:pgNumType w:start="19"/>
          <w:cols w:space="720"/>
          <w:docGrid w:linePitch="360"/>
        </w:sectPr>
      </w:pPr>
    </w:p>
    <w:p w:rsidR="00E513CB" w:rsidRPr="00C02348" w:rsidRDefault="006644F1"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lastRenderedPageBreak/>
        <w:t>Introduction</w:t>
      </w:r>
    </w:p>
    <w:p w:rsidR="003E4201" w:rsidRPr="00C02348" w:rsidRDefault="003E4201" w:rsidP="006644F1">
      <w:pPr>
        <w:snapToGrid w:val="0"/>
        <w:spacing w:after="0" w:line="240" w:lineRule="auto"/>
        <w:ind w:firstLine="425"/>
        <w:jc w:val="both"/>
        <w:rPr>
          <w:rFonts w:ascii="Times New Roman" w:hAnsi="Times New Roman" w:cs="Times New Roman"/>
          <w:sz w:val="20"/>
          <w:szCs w:val="20"/>
          <w:lang w:eastAsia="zh-CN"/>
        </w:rPr>
      </w:pPr>
      <w:r w:rsidRPr="00C02348">
        <w:rPr>
          <w:rFonts w:ascii="Times New Roman" w:hAnsi="Times New Roman" w:cs="Times New Roman"/>
          <w:sz w:val="20"/>
          <w:szCs w:val="20"/>
        </w:rPr>
        <w:t xml:space="preserve">Nano sciences or nanotechnology are the study of small things at nm scale, it is used across the all science fields, such as chemistry, Biology, physics, material sciences and </w:t>
      </w:r>
      <w:r w:rsidR="00532078" w:rsidRPr="00C02348">
        <w:rPr>
          <w:rFonts w:ascii="Times New Roman" w:hAnsi="Times New Roman" w:cs="Times New Roman"/>
          <w:sz w:val="20"/>
          <w:szCs w:val="20"/>
        </w:rPr>
        <w:t>engineering. Nano</w:t>
      </w:r>
      <w:r w:rsidRPr="00C02348">
        <w:rPr>
          <w:rFonts w:ascii="Times New Roman" w:hAnsi="Times New Roman" w:cs="Times New Roman"/>
          <w:sz w:val="20"/>
          <w:szCs w:val="20"/>
        </w:rPr>
        <w:t xml:space="preserve"> sciences is an emerging and vastly developed form that can encompasses the fundamental’s elements which can understand and advanced arising form of exploitation of materials, which have one dimension. It has an ability to control individual atoms and molecules. It is the one of the most effective technology in recent decades (Hao </w:t>
      </w:r>
      <w:r w:rsidRPr="00C02348">
        <w:rPr>
          <w:rFonts w:ascii="Times New Roman" w:hAnsi="Times New Roman" w:cs="Times New Roman"/>
          <w:i/>
          <w:sz w:val="20"/>
          <w:szCs w:val="20"/>
        </w:rPr>
        <w:t>et al</w:t>
      </w:r>
      <w:r w:rsidR="00E52905" w:rsidRPr="00C02348">
        <w:rPr>
          <w:rFonts w:ascii="Times New Roman" w:hAnsi="Times New Roman" w:cs="Times New Roman"/>
          <w:sz w:val="20"/>
          <w:szCs w:val="20"/>
        </w:rPr>
        <w:t>., 2011</w:t>
      </w:r>
      <w:r w:rsidRPr="00C02348">
        <w:rPr>
          <w:rFonts w:ascii="Times New Roman" w:hAnsi="Times New Roman" w:cs="Times New Roman"/>
          <w:sz w:val="20"/>
          <w:szCs w:val="20"/>
        </w:rPr>
        <w:t>). Nano part</w:t>
      </w:r>
      <w:r w:rsidR="00532078" w:rsidRPr="00C02348">
        <w:rPr>
          <w:rFonts w:ascii="Times New Roman" w:hAnsi="Times New Roman" w:cs="Times New Roman"/>
          <w:sz w:val="20"/>
          <w:szCs w:val="20"/>
        </w:rPr>
        <w:t xml:space="preserve">icles can be characterized into </w:t>
      </w:r>
      <w:r w:rsidRPr="00C02348">
        <w:rPr>
          <w:rFonts w:ascii="Times New Roman" w:hAnsi="Times New Roman" w:cs="Times New Roman"/>
          <w:sz w:val="20"/>
          <w:szCs w:val="20"/>
        </w:rPr>
        <w:t>following parts such as Quatum dots, organi</w:t>
      </w:r>
      <w:r w:rsidR="00532078" w:rsidRPr="00C02348">
        <w:rPr>
          <w:rFonts w:ascii="Times New Roman" w:hAnsi="Times New Roman" w:cs="Times New Roman"/>
          <w:sz w:val="20"/>
          <w:szCs w:val="20"/>
        </w:rPr>
        <w:t xml:space="preserve">c nanoparticles or metal oxides </w:t>
      </w:r>
      <w:r w:rsidRPr="00C02348">
        <w:rPr>
          <w:rFonts w:ascii="Times New Roman" w:hAnsi="Times New Roman" w:cs="Times New Roman"/>
          <w:sz w:val="20"/>
          <w:szCs w:val="20"/>
        </w:rPr>
        <w:t>(Al</w:t>
      </w:r>
      <w:r w:rsidRPr="00C02348">
        <w:rPr>
          <w:rFonts w:ascii="Times New Roman" w:hAnsi="Times New Roman" w:cs="Times New Roman"/>
          <w:sz w:val="20"/>
          <w:szCs w:val="20"/>
          <w:vertAlign w:val="subscript"/>
        </w:rPr>
        <w:t>2</w:t>
      </w:r>
      <w:r w:rsidRPr="00C02348">
        <w:rPr>
          <w:rFonts w:ascii="Times New Roman" w:hAnsi="Times New Roman" w:cs="Times New Roman"/>
          <w:sz w:val="20"/>
          <w:szCs w:val="20"/>
        </w:rPr>
        <w:t>O</w:t>
      </w:r>
      <w:r w:rsidRPr="00C02348">
        <w:rPr>
          <w:rFonts w:ascii="Times New Roman" w:hAnsi="Times New Roman" w:cs="Times New Roman"/>
          <w:sz w:val="20"/>
          <w:szCs w:val="20"/>
          <w:vertAlign w:val="subscript"/>
        </w:rPr>
        <w:t>3</w:t>
      </w:r>
      <w:r w:rsidR="00D8200D" w:rsidRPr="00C02348">
        <w:rPr>
          <w:rFonts w:ascii="Times New Roman" w:hAnsi="Times New Roman" w:cs="Times New Roman"/>
          <w:sz w:val="20"/>
          <w:szCs w:val="20"/>
        </w:rPr>
        <w:t>, I</w:t>
      </w:r>
      <w:r w:rsidRPr="00C02348">
        <w:rPr>
          <w:rFonts w:ascii="Times New Roman" w:hAnsi="Times New Roman" w:cs="Times New Roman"/>
          <w:sz w:val="20"/>
          <w:szCs w:val="20"/>
        </w:rPr>
        <w:t>n</w:t>
      </w:r>
      <w:r w:rsidRPr="00C02348">
        <w:rPr>
          <w:rFonts w:ascii="Times New Roman" w:hAnsi="Times New Roman" w:cs="Times New Roman"/>
          <w:sz w:val="20"/>
          <w:szCs w:val="20"/>
          <w:vertAlign w:val="subscript"/>
        </w:rPr>
        <w:t>2</w:t>
      </w:r>
      <w:r w:rsidRPr="00C02348">
        <w:rPr>
          <w:rFonts w:ascii="Times New Roman" w:hAnsi="Times New Roman" w:cs="Times New Roman"/>
          <w:sz w:val="20"/>
          <w:szCs w:val="20"/>
        </w:rPr>
        <w:t>O</w:t>
      </w:r>
      <w:r w:rsidRPr="00C02348">
        <w:rPr>
          <w:rFonts w:ascii="Times New Roman" w:hAnsi="Times New Roman" w:cs="Times New Roman"/>
          <w:sz w:val="20"/>
          <w:szCs w:val="20"/>
          <w:vertAlign w:val="subscript"/>
        </w:rPr>
        <w:t>3</w:t>
      </w:r>
      <w:r w:rsidR="00D8200D" w:rsidRPr="00C02348">
        <w:rPr>
          <w:rFonts w:ascii="Times New Roman" w:hAnsi="Times New Roman" w:cs="Times New Roman"/>
          <w:sz w:val="20"/>
          <w:szCs w:val="20"/>
        </w:rPr>
        <w:t>, N</w:t>
      </w:r>
      <w:r w:rsidRPr="00C02348">
        <w:rPr>
          <w:rFonts w:ascii="Times New Roman" w:hAnsi="Times New Roman" w:cs="Times New Roman"/>
          <w:sz w:val="20"/>
          <w:szCs w:val="20"/>
        </w:rPr>
        <w:t>iO</w:t>
      </w:r>
      <w:r w:rsidR="00D8200D" w:rsidRPr="00C02348">
        <w:rPr>
          <w:rFonts w:ascii="Times New Roman" w:hAnsi="Times New Roman" w:cs="Times New Roman"/>
          <w:sz w:val="20"/>
          <w:szCs w:val="20"/>
        </w:rPr>
        <w:t>, T</w:t>
      </w:r>
      <w:r w:rsidRPr="00C02348">
        <w:rPr>
          <w:rFonts w:ascii="Times New Roman" w:hAnsi="Times New Roman" w:cs="Times New Roman"/>
          <w:sz w:val="20"/>
          <w:szCs w:val="20"/>
        </w:rPr>
        <w:t>io</w:t>
      </w:r>
      <w:r w:rsidRPr="00C02348">
        <w:rPr>
          <w:rFonts w:ascii="Times New Roman" w:hAnsi="Times New Roman" w:cs="Times New Roman"/>
          <w:sz w:val="20"/>
          <w:szCs w:val="20"/>
          <w:vertAlign w:val="subscript"/>
        </w:rPr>
        <w:t>2</w:t>
      </w:r>
      <w:r w:rsidR="00D8200D" w:rsidRPr="00C02348">
        <w:rPr>
          <w:rFonts w:ascii="Times New Roman" w:hAnsi="Times New Roman" w:cs="Times New Roman"/>
          <w:sz w:val="20"/>
          <w:szCs w:val="20"/>
        </w:rPr>
        <w:t>, Z</w:t>
      </w:r>
      <w:r w:rsidRPr="00C02348">
        <w:rPr>
          <w:rFonts w:ascii="Times New Roman" w:hAnsi="Times New Roman" w:cs="Times New Roman"/>
          <w:sz w:val="20"/>
          <w:szCs w:val="20"/>
        </w:rPr>
        <w:t>nO</w:t>
      </w:r>
      <w:r w:rsidR="00D8200D" w:rsidRPr="00C02348">
        <w:rPr>
          <w:rFonts w:ascii="Times New Roman" w:hAnsi="Times New Roman" w:cs="Times New Roman"/>
          <w:sz w:val="20"/>
          <w:szCs w:val="20"/>
        </w:rPr>
        <w:t>, Z</w:t>
      </w:r>
      <w:r w:rsidRPr="00C02348">
        <w:rPr>
          <w:rFonts w:ascii="Times New Roman" w:hAnsi="Times New Roman" w:cs="Times New Roman"/>
          <w:sz w:val="20"/>
          <w:szCs w:val="20"/>
        </w:rPr>
        <w:t>rO</w:t>
      </w:r>
      <w:r w:rsidRPr="00C02348">
        <w:rPr>
          <w:rFonts w:ascii="Times New Roman" w:hAnsi="Times New Roman" w:cs="Times New Roman"/>
          <w:sz w:val="20"/>
          <w:szCs w:val="20"/>
          <w:vertAlign w:val="subscript"/>
        </w:rPr>
        <w:t>2</w:t>
      </w:r>
      <w:r w:rsidR="00D8200D" w:rsidRPr="00C02348">
        <w:rPr>
          <w:rFonts w:ascii="Times New Roman" w:hAnsi="Times New Roman" w:cs="Times New Roman"/>
          <w:sz w:val="20"/>
          <w:szCs w:val="20"/>
        </w:rPr>
        <w:t>, S</w:t>
      </w:r>
      <w:r w:rsidRPr="00C02348">
        <w:rPr>
          <w:rFonts w:ascii="Times New Roman" w:hAnsi="Times New Roman" w:cs="Times New Roman"/>
          <w:sz w:val="20"/>
          <w:szCs w:val="20"/>
        </w:rPr>
        <w:t>nO</w:t>
      </w:r>
      <w:r w:rsidRPr="00C02348">
        <w:rPr>
          <w:rFonts w:ascii="Times New Roman" w:hAnsi="Times New Roman" w:cs="Times New Roman"/>
          <w:sz w:val="20"/>
          <w:szCs w:val="20"/>
          <w:vertAlign w:val="subscript"/>
        </w:rPr>
        <w:t>2</w:t>
      </w:r>
      <w:r w:rsidR="00D8200D" w:rsidRPr="00C02348">
        <w:rPr>
          <w:rFonts w:ascii="Times New Roman" w:hAnsi="Times New Roman" w:cs="Times New Roman"/>
          <w:sz w:val="20"/>
          <w:szCs w:val="20"/>
        </w:rPr>
        <w:t>, C</w:t>
      </w:r>
      <w:r w:rsidRPr="00C02348">
        <w:rPr>
          <w:rFonts w:ascii="Times New Roman" w:hAnsi="Times New Roman" w:cs="Times New Roman"/>
          <w:sz w:val="20"/>
          <w:szCs w:val="20"/>
        </w:rPr>
        <w:t>uO</w:t>
      </w:r>
      <w:r w:rsidR="00D8200D" w:rsidRPr="00C02348">
        <w:rPr>
          <w:rFonts w:ascii="Times New Roman" w:hAnsi="Times New Roman" w:cs="Times New Roman"/>
          <w:sz w:val="20"/>
          <w:szCs w:val="20"/>
        </w:rPr>
        <w:t>, M</w:t>
      </w:r>
      <w:r w:rsidRPr="00C02348">
        <w:rPr>
          <w:rFonts w:ascii="Times New Roman" w:hAnsi="Times New Roman" w:cs="Times New Roman"/>
          <w:sz w:val="20"/>
          <w:szCs w:val="20"/>
        </w:rPr>
        <w:t>gO</w:t>
      </w:r>
      <w:r w:rsidR="00D8200D" w:rsidRPr="00C02348">
        <w:rPr>
          <w:rFonts w:ascii="Times New Roman" w:hAnsi="Times New Roman" w:cs="Times New Roman"/>
          <w:sz w:val="20"/>
          <w:szCs w:val="20"/>
        </w:rPr>
        <w:t>, C</w:t>
      </w:r>
      <w:r w:rsidRPr="00C02348">
        <w:rPr>
          <w:rFonts w:ascii="Times New Roman" w:hAnsi="Times New Roman" w:cs="Times New Roman"/>
          <w:sz w:val="20"/>
          <w:szCs w:val="20"/>
        </w:rPr>
        <w:t>u</w:t>
      </w:r>
      <w:r w:rsidRPr="00C02348">
        <w:rPr>
          <w:rFonts w:ascii="Times New Roman" w:hAnsi="Times New Roman" w:cs="Times New Roman"/>
          <w:sz w:val="20"/>
          <w:szCs w:val="20"/>
          <w:vertAlign w:val="subscript"/>
        </w:rPr>
        <w:t>2</w:t>
      </w:r>
      <w:r w:rsidRPr="00C02348">
        <w:rPr>
          <w:rFonts w:ascii="Times New Roman" w:hAnsi="Times New Roman" w:cs="Times New Roman"/>
          <w:sz w:val="20"/>
          <w:szCs w:val="20"/>
        </w:rPr>
        <w:t>O</w:t>
      </w:r>
      <w:r w:rsidR="00D8200D" w:rsidRPr="00C02348">
        <w:rPr>
          <w:rFonts w:ascii="Times New Roman" w:hAnsi="Times New Roman" w:cs="Times New Roman"/>
          <w:sz w:val="20"/>
          <w:szCs w:val="20"/>
        </w:rPr>
        <w:t>, L</w:t>
      </w:r>
      <w:r w:rsidRPr="00C02348">
        <w:rPr>
          <w:rFonts w:ascii="Times New Roman" w:hAnsi="Times New Roman" w:cs="Times New Roman"/>
          <w:sz w:val="20"/>
          <w:szCs w:val="20"/>
        </w:rPr>
        <w:t>a</w:t>
      </w:r>
      <w:r w:rsidRPr="00C02348">
        <w:rPr>
          <w:rFonts w:ascii="Times New Roman" w:hAnsi="Times New Roman" w:cs="Times New Roman"/>
          <w:sz w:val="20"/>
          <w:szCs w:val="20"/>
          <w:vertAlign w:val="subscript"/>
        </w:rPr>
        <w:t>2</w:t>
      </w:r>
      <w:r w:rsidRPr="00C02348">
        <w:rPr>
          <w:rFonts w:ascii="Times New Roman" w:hAnsi="Times New Roman" w:cs="Times New Roman"/>
          <w:sz w:val="20"/>
          <w:szCs w:val="20"/>
        </w:rPr>
        <w:t>O</w:t>
      </w:r>
      <w:r w:rsidRPr="00C02348">
        <w:rPr>
          <w:rFonts w:ascii="Times New Roman" w:hAnsi="Times New Roman" w:cs="Times New Roman"/>
          <w:sz w:val="20"/>
          <w:szCs w:val="20"/>
          <w:vertAlign w:val="subscript"/>
        </w:rPr>
        <w:t>3</w:t>
      </w:r>
      <w:r w:rsidR="00D8200D" w:rsidRPr="00C02348">
        <w:rPr>
          <w:rFonts w:ascii="Times New Roman" w:hAnsi="Times New Roman" w:cs="Times New Roman"/>
          <w:sz w:val="20"/>
          <w:szCs w:val="20"/>
        </w:rPr>
        <w:t>, C</w:t>
      </w:r>
      <w:r w:rsidRPr="00C02348">
        <w:rPr>
          <w:rFonts w:ascii="Times New Roman" w:hAnsi="Times New Roman" w:cs="Times New Roman"/>
          <w:sz w:val="20"/>
          <w:szCs w:val="20"/>
        </w:rPr>
        <w:t>eO</w:t>
      </w:r>
      <w:r w:rsidRPr="00C02348">
        <w:rPr>
          <w:rFonts w:ascii="Times New Roman" w:hAnsi="Times New Roman" w:cs="Times New Roman"/>
          <w:sz w:val="20"/>
          <w:szCs w:val="20"/>
          <w:vertAlign w:val="subscript"/>
        </w:rPr>
        <w:t>2</w:t>
      </w:r>
      <w:r w:rsidRPr="00C02348">
        <w:rPr>
          <w:rFonts w:ascii="Times New Roman" w:hAnsi="Times New Roman" w:cs="Times New Roman"/>
          <w:sz w:val="20"/>
          <w:szCs w:val="20"/>
        </w:rPr>
        <w:t>), carbon nanotubes and fullerenes are also part of this and inorganic or metals (Al</w:t>
      </w:r>
      <w:r w:rsidR="00D8200D" w:rsidRPr="00C02348">
        <w:rPr>
          <w:rFonts w:ascii="Times New Roman" w:hAnsi="Times New Roman" w:cs="Times New Roman"/>
          <w:sz w:val="20"/>
          <w:szCs w:val="20"/>
        </w:rPr>
        <w:t>, C</w:t>
      </w:r>
      <w:r w:rsidRPr="00C02348">
        <w:rPr>
          <w:rFonts w:ascii="Times New Roman" w:hAnsi="Times New Roman" w:cs="Times New Roman"/>
          <w:sz w:val="20"/>
          <w:szCs w:val="20"/>
        </w:rPr>
        <w:t>o</w:t>
      </w:r>
      <w:r w:rsidR="00D8200D" w:rsidRPr="00C02348">
        <w:rPr>
          <w:rFonts w:ascii="Times New Roman" w:hAnsi="Times New Roman" w:cs="Times New Roman"/>
          <w:sz w:val="20"/>
          <w:szCs w:val="20"/>
        </w:rPr>
        <w:t>, N</w:t>
      </w:r>
      <w:r w:rsidRPr="00C02348">
        <w:rPr>
          <w:rFonts w:ascii="Times New Roman" w:hAnsi="Times New Roman" w:cs="Times New Roman"/>
          <w:sz w:val="20"/>
          <w:szCs w:val="20"/>
        </w:rPr>
        <w:t>i</w:t>
      </w:r>
      <w:r w:rsidR="00D8200D" w:rsidRPr="00C02348">
        <w:rPr>
          <w:rFonts w:ascii="Times New Roman" w:hAnsi="Times New Roman" w:cs="Times New Roman"/>
          <w:sz w:val="20"/>
          <w:szCs w:val="20"/>
        </w:rPr>
        <w:t>, F</w:t>
      </w:r>
      <w:r w:rsidRPr="00C02348">
        <w:rPr>
          <w:rFonts w:ascii="Times New Roman" w:hAnsi="Times New Roman" w:cs="Times New Roman"/>
          <w:sz w:val="20"/>
          <w:szCs w:val="20"/>
        </w:rPr>
        <w:t>e</w:t>
      </w:r>
      <w:r w:rsidR="00D8200D" w:rsidRPr="00C02348">
        <w:rPr>
          <w:rFonts w:ascii="Times New Roman" w:hAnsi="Times New Roman" w:cs="Times New Roman"/>
          <w:sz w:val="20"/>
          <w:szCs w:val="20"/>
        </w:rPr>
        <w:t>, A</w:t>
      </w:r>
      <w:r w:rsidRPr="00C02348">
        <w:rPr>
          <w:rFonts w:ascii="Times New Roman" w:hAnsi="Times New Roman" w:cs="Times New Roman"/>
          <w:sz w:val="20"/>
          <w:szCs w:val="20"/>
        </w:rPr>
        <w:t>u</w:t>
      </w:r>
      <w:r w:rsidR="00D8200D" w:rsidRPr="00C02348">
        <w:rPr>
          <w:rFonts w:ascii="Times New Roman" w:hAnsi="Times New Roman" w:cs="Times New Roman"/>
          <w:sz w:val="20"/>
          <w:szCs w:val="20"/>
        </w:rPr>
        <w:t>, M</w:t>
      </w:r>
      <w:r w:rsidRPr="00C02348">
        <w:rPr>
          <w:rFonts w:ascii="Times New Roman" w:hAnsi="Times New Roman" w:cs="Times New Roman"/>
          <w:sz w:val="20"/>
          <w:szCs w:val="20"/>
        </w:rPr>
        <w:t>o</w:t>
      </w:r>
      <w:r w:rsidR="00D8200D" w:rsidRPr="00C02348">
        <w:rPr>
          <w:rFonts w:ascii="Times New Roman" w:hAnsi="Times New Roman" w:cs="Times New Roman"/>
          <w:sz w:val="20"/>
          <w:szCs w:val="20"/>
        </w:rPr>
        <w:t>, Z</w:t>
      </w:r>
      <w:r w:rsidRPr="00C02348">
        <w:rPr>
          <w:rFonts w:ascii="Times New Roman" w:hAnsi="Times New Roman" w:cs="Times New Roman"/>
          <w:sz w:val="20"/>
          <w:szCs w:val="20"/>
        </w:rPr>
        <w:t>n</w:t>
      </w:r>
      <w:r w:rsidR="00D8200D" w:rsidRPr="00C02348">
        <w:rPr>
          <w:rFonts w:ascii="Times New Roman" w:hAnsi="Times New Roman" w:cs="Times New Roman"/>
          <w:sz w:val="20"/>
          <w:szCs w:val="20"/>
        </w:rPr>
        <w:t>, A</w:t>
      </w:r>
      <w:r w:rsidRPr="00C02348">
        <w:rPr>
          <w:rFonts w:ascii="Times New Roman" w:hAnsi="Times New Roman" w:cs="Times New Roman"/>
          <w:sz w:val="20"/>
          <w:szCs w:val="20"/>
        </w:rPr>
        <w:t>g</w:t>
      </w:r>
      <w:r w:rsidR="00D8200D" w:rsidRPr="00C02348">
        <w:rPr>
          <w:rFonts w:ascii="Times New Roman" w:hAnsi="Times New Roman" w:cs="Times New Roman"/>
          <w:sz w:val="20"/>
          <w:szCs w:val="20"/>
        </w:rPr>
        <w:t>, T</w:t>
      </w:r>
      <w:r w:rsidRPr="00C02348">
        <w:rPr>
          <w:rFonts w:ascii="Times New Roman" w:hAnsi="Times New Roman" w:cs="Times New Roman"/>
          <w:sz w:val="20"/>
          <w:szCs w:val="20"/>
        </w:rPr>
        <w:t>i</w:t>
      </w:r>
      <w:r w:rsidR="00D8200D" w:rsidRPr="00C02348">
        <w:rPr>
          <w:rFonts w:ascii="Times New Roman" w:hAnsi="Times New Roman" w:cs="Times New Roman"/>
          <w:sz w:val="20"/>
          <w:szCs w:val="20"/>
        </w:rPr>
        <w:t>, B</w:t>
      </w:r>
      <w:r w:rsidRPr="00C02348">
        <w:rPr>
          <w:rFonts w:ascii="Times New Roman" w:hAnsi="Times New Roman" w:cs="Times New Roman"/>
          <w:sz w:val="20"/>
          <w:szCs w:val="20"/>
        </w:rPr>
        <w:t>i</w:t>
      </w:r>
      <w:r w:rsidR="00D8200D" w:rsidRPr="00C02348">
        <w:rPr>
          <w:rFonts w:ascii="Times New Roman" w:hAnsi="Times New Roman" w:cs="Times New Roman"/>
          <w:sz w:val="20"/>
          <w:szCs w:val="20"/>
        </w:rPr>
        <w:t>, W</w:t>
      </w:r>
      <w:r w:rsidRPr="00C02348">
        <w:rPr>
          <w:rFonts w:ascii="Times New Roman" w:hAnsi="Times New Roman" w:cs="Times New Roman"/>
          <w:sz w:val="20"/>
          <w:szCs w:val="20"/>
        </w:rPr>
        <w:t xml:space="preserve">) (Rajput </w:t>
      </w:r>
      <w:r w:rsidRPr="00C02348">
        <w:rPr>
          <w:rFonts w:ascii="Times New Roman" w:hAnsi="Times New Roman" w:cs="Times New Roman"/>
          <w:i/>
          <w:sz w:val="20"/>
          <w:szCs w:val="20"/>
        </w:rPr>
        <w:t>et al</w:t>
      </w:r>
      <w:r w:rsidR="00E52905" w:rsidRPr="00C02348">
        <w:rPr>
          <w:rFonts w:ascii="Times New Roman" w:hAnsi="Times New Roman" w:cs="Times New Roman"/>
          <w:sz w:val="20"/>
          <w:szCs w:val="20"/>
        </w:rPr>
        <w:t>., 2016</w:t>
      </w:r>
      <w:r w:rsidRPr="00C02348">
        <w:rPr>
          <w:rFonts w:ascii="Times New Roman" w:hAnsi="Times New Roman" w:cs="Times New Roman"/>
          <w:sz w:val="20"/>
          <w:szCs w:val="20"/>
        </w:rPr>
        <w:t>)</w:t>
      </w:r>
      <w:r w:rsidR="00D8200D" w:rsidRPr="00C02348">
        <w:rPr>
          <w:rFonts w:ascii="Times New Roman" w:hAnsi="Times New Roman" w:cs="Times New Roman"/>
          <w:sz w:val="20"/>
          <w:szCs w:val="20"/>
        </w:rPr>
        <w:t>. S</w:t>
      </w:r>
      <w:r w:rsidRPr="00C02348">
        <w:rPr>
          <w:rFonts w:ascii="Times New Roman" w:hAnsi="Times New Roman" w:cs="Times New Roman"/>
          <w:sz w:val="20"/>
          <w:szCs w:val="20"/>
        </w:rPr>
        <w:t xml:space="preserve">tore grains and their products are attacked different insects which can cause huge losses. (Ahmadani </w:t>
      </w:r>
      <w:r w:rsidRPr="00C02348">
        <w:rPr>
          <w:rFonts w:ascii="Times New Roman" w:hAnsi="Times New Roman" w:cs="Times New Roman"/>
          <w:i/>
          <w:sz w:val="20"/>
          <w:szCs w:val="20"/>
        </w:rPr>
        <w:t>et al</w:t>
      </w:r>
      <w:r w:rsidRPr="00C02348">
        <w:rPr>
          <w:rFonts w:ascii="Times New Roman" w:hAnsi="Times New Roman" w:cs="Times New Roman"/>
          <w:sz w:val="20"/>
          <w:szCs w:val="20"/>
        </w:rPr>
        <w:t>., 2007). Storage of cereals is about to</w:t>
      </w:r>
      <w:r w:rsidR="00C02348" w:rsidRPr="00C02348">
        <w:rPr>
          <w:rFonts w:ascii="Times New Roman" w:hAnsi="Times New Roman" w:cs="Times New Roman"/>
          <w:sz w:val="20"/>
          <w:szCs w:val="20"/>
        </w:rPr>
        <w:t xml:space="preserve"> 9</w:t>
      </w:r>
      <w:r w:rsidRPr="00C02348">
        <w:rPr>
          <w:rFonts w:ascii="Times New Roman" w:hAnsi="Times New Roman" w:cs="Times New Roman"/>
          <w:sz w:val="20"/>
          <w:szCs w:val="20"/>
        </w:rPr>
        <w:t>% losses occurred in developed countries and 20% in more developing countries (Phillips and Throme, 2010)</w:t>
      </w:r>
      <w:r w:rsidR="00D8200D" w:rsidRPr="00C02348">
        <w:rPr>
          <w:rFonts w:ascii="Times New Roman" w:hAnsi="Times New Roman" w:cs="Times New Roman"/>
          <w:sz w:val="20"/>
          <w:szCs w:val="20"/>
        </w:rPr>
        <w:t>, i</w:t>
      </w:r>
      <w:r w:rsidRPr="00C02348">
        <w:rPr>
          <w:rFonts w:ascii="Times New Roman" w:hAnsi="Times New Roman" w:cs="Times New Roman"/>
          <w:sz w:val="20"/>
          <w:szCs w:val="20"/>
        </w:rPr>
        <w:t>t effects on the qualitative and quantitative loses of grains (weaver and Subramanym, 2000)</w:t>
      </w:r>
      <w:r w:rsidR="00D8200D" w:rsidRPr="00C02348">
        <w:rPr>
          <w:rFonts w:ascii="Times New Roman" w:hAnsi="Times New Roman" w:cs="Times New Roman"/>
          <w:sz w:val="20"/>
          <w:szCs w:val="20"/>
        </w:rPr>
        <w:t>. P</w:t>
      </w:r>
      <w:r w:rsidRPr="00C02348">
        <w:rPr>
          <w:rFonts w:ascii="Times New Roman" w:hAnsi="Times New Roman" w:cs="Times New Roman"/>
          <w:sz w:val="20"/>
          <w:szCs w:val="20"/>
        </w:rPr>
        <w:t xml:space="preserve">ostharvest loses range from 10 to 25% throughout the </w:t>
      </w:r>
      <w:r w:rsidRPr="00C02348">
        <w:rPr>
          <w:rFonts w:ascii="Times New Roman" w:hAnsi="Times New Roman" w:cs="Times New Roman"/>
          <w:sz w:val="20"/>
          <w:szCs w:val="20"/>
        </w:rPr>
        <w:lastRenderedPageBreak/>
        <w:t xml:space="preserve">world due to infestation of insect pests and </w:t>
      </w:r>
      <w:r w:rsidR="00E52905" w:rsidRPr="00C02348">
        <w:rPr>
          <w:rFonts w:ascii="Times New Roman" w:hAnsi="Times New Roman" w:cs="Times New Roman"/>
          <w:sz w:val="20"/>
          <w:szCs w:val="20"/>
        </w:rPr>
        <w:t>microbial deterioration (Mathew</w:t>
      </w:r>
      <w:r w:rsidRPr="00C02348">
        <w:rPr>
          <w:rFonts w:ascii="Times New Roman" w:hAnsi="Times New Roman" w:cs="Times New Roman"/>
          <w:sz w:val="20"/>
          <w:szCs w:val="20"/>
        </w:rPr>
        <w:t>s, 1993)</w:t>
      </w:r>
      <w:r w:rsidR="00D8200D" w:rsidRPr="00C02348">
        <w:rPr>
          <w:rFonts w:ascii="Times New Roman" w:hAnsi="Times New Roman" w:cs="Times New Roman"/>
          <w:sz w:val="20"/>
          <w:szCs w:val="20"/>
        </w:rPr>
        <w:t>. W</w:t>
      </w:r>
      <w:r w:rsidRPr="00C02348">
        <w:rPr>
          <w:rFonts w:ascii="Times New Roman" w:hAnsi="Times New Roman" w:cs="Times New Roman"/>
          <w:sz w:val="20"/>
          <w:szCs w:val="20"/>
        </w:rPr>
        <w:t>heat is the staple food of Pakistan, also cultivated all over the world expect the Antarctica (Taylor and Koo, 2012). Globally, Pakistan is the 3</w:t>
      </w:r>
      <w:r w:rsidRPr="00C02348">
        <w:rPr>
          <w:rFonts w:ascii="Times New Roman" w:hAnsi="Times New Roman" w:cs="Times New Roman"/>
          <w:sz w:val="20"/>
          <w:szCs w:val="20"/>
          <w:vertAlign w:val="superscript"/>
        </w:rPr>
        <w:t>rd</w:t>
      </w:r>
      <w:r w:rsidRPr="00C02348">
        <w:rPr>
          <w:rFonts w:ascii="Times New Roman" w:hAnsi="Times New Roman" w:cs="Times New Roman"/>
          <w:sz w:val="20"/>
          <w:szCs w:val="20"/>
        </w:rPr>
        <w:t xml:space="preserve"> largest food crop and eight in world-wide wheat producing country (Shuaib </w:t>
      </w:r>
      <w:r w:rsidRPr="00C02348">
        <w:rPr>
          <w:rFonts w:ascii="Times New Roman" w:hAnsi="Times New Roman" w:cs="Times New Roman"/>
          <w:i/>
          <w:sz w:val="20"/>
          <w:szCs w:val="20"/>
        </w:rPr>
        <w:t>et al</w:t>
      </w:r>
      <w:r w:rsidRPr="00C02348">
        <w:rPr>
          <w:rFonts w:ascii="Times New Roman" w:hAnsi="Times New Roman" w:cs="Times New Roman"/>
          <w:sz w:val="20"/>
          <w:szCs w:val="20"/>
        </w:rPr>
        <w:t>., 2007)</w:t>
      </w:r>
      <w:r w:rsidR="00D8200D" w:rsidRPr="00C02348">
        <w:rPr>
          <w:rFonts w:ascii="Times New Roman" w:hAnsi="Times New Roman" w:cs="Times New Roman"/>
          <w:sz w:val="20"/>
          <w:szCs w:val="20"/>
        </w:rPr>
        <w:t>. D</w:t>
      </w:r>
      <w:r w:rsidRPr="00C02348">
        <w:rPr>
          <w:rFonts w:ascii="Times New Roman" w:hAnsi="Times New Roman" w:cs="Times New Roman"/>
          <w:sz w:val="20"/>
          <w:szCs w:val="20"/>
        </w:rPr>
        <w:t>ue to less efficiency of traditional method can’t control the insect pests to damage the store grained crop therefore now we can use the advance technology such as nano materials. Nanomaterials hold great promise regarding their application in plant protection and nutrition due to their size-dependent qualities, high surface-to-volume ratio and unique optical properties. A wide variety of materials are used to make NPs, such as metal oxides, ceramics, silicates, magnetic materials, semiconductor quantum dots (QDs), lipids, polymers, dendrimers and emulsions. Now we can use the advance technology such as zinc and titanium oxide nanoparticl</w:t>
      </w:r>
      <w:r w:rsidR="00DF4524" w:rsidRPr="00C02348">
        <w:rPr>
          <w:rFonts w:ascii="Times New Roman" w:hAnsi="Times New Roman" w:cs="Times New Roman"/>
          <w:sz w:val="20"/>
          <w:szCs w:val="20"/>
        </w:rPr>
        <w:t>e (</w:t>
      </w:r>
      <w:r w:rsidRPr="00C02348">
        <w:rPr>
          <w:rFonts w:ascii="Times New Roman" w:hAnsi="Times New Roman" w:cs="Times New Roman"/>
          <w:sz w:val="20"/>
          <w:szCs w:val="20"/>
        </w:rPr>
        <w:t>Niemeyer and Doz, 2001; Oskam, 2006; Puoci et al., 2008). Green synthesis of silver nanoparticles is the subdivision of nanotechnology. Recently,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 xml:space="preserve">biosynthetic strategies employing either biological microorganisms or fungus or vegetation extract have emerged as an easy and feasible opportunity to greater complex chemical synthetic techniques to attain nanomaterials </w:t>
      </w:r>
      <w:r w:rsidRPr="00C02348">
        <w:rPr>
          <w:rFonts w:ascii="Times New Roman" w:hAnsi="Times New Roman" w:cs="Times New Roman"/>
          <w:sz w:val="20"/>
          <w:szCs w:val="20"/>
        </w:rPr>
        <w:lastRenderedPageBreak/>
        <w:t>(</w:t>
      </w:r>
      <w:hyperlink w:anchor="_bookmark172" w:history="1">
        <w:r w:rsidRPr="00C02348">
          <w:rPr>
            <w:rFonts w:ascii="Times New Roman" w:hAnsi="Times New Roman" w:cs="Times New Roman"/>
            <w:sz w:val="20"/>
            <w:szCs w:val="20"/>
          </w:rPr>
          <w:t>Logeswari,</w:t>
        </w:r>
      </w:hyperlink>
      <w:r w:rsidRPr="00C02348">
        <w:rPr>
          <w:rFonts w:ascii="Times New Roman" w:hAnsi="Times New Roman" w:cs="Times New Roman"/>
          <w:sz w:val="20"/>
          <w:szCs w:val="20"/>
        </w:rPr>
        <w:t xml:space="preserve"> </w:t>
      </w:r>
      <w:hyperlink w:anchor="_bookmark172" w:history="1">
        <w:r w:rsidRPr="00C02348">
          <w:rPr>
            <w:rFonts w:ascii="Times New Roman" w:hAnsi="Times New Roman" w:cs="Times New Roman"/>
            <w:sz w:val="20"/>
            <w:szCs w:val="20"/>
          </w:rPr>
          <w:t>Silambarasan,</w:t>
        </w:r>
        <w:r w:rsidR="00DF4524" w:rsidRPr="00C02348">
          <w:rPr>
            <w:rFonts w:ascii="Times New Roman" w:hAnsi="Times New Roman" w:cs="Times New Roman"/>
            <w:sz w:val="20"/>
            <w:szCs w:val="20"/>
          </w:rPr>
          <w:t xml:space="preserve"> &amp; </w:t>
        </w:r>
        <w:r w:rsidRPr="00C02348">
          <w:rPr>
            <w:rFonts w:ascii="Times New Roman" w:hAnsi="Times New Roman" w:cs="Times New Roman"/>
            <w:sz w:val="20"/>
            <w:szCs w:val="20"/>
          </w:rPr>
          <w:t>Abraham, 2015</w:t>
        </w:r>
      </w:hyperlink>
      <w:r w:rsidRPr="00C02348">
        <w:rPr>
          <w:rFonts w:ascii="Times New Roman" w:hAnsi="Times New Roman" w:cs="Times New Roman"/>
          <w:sz w:val="20"/>
          <w:szCs w:val="20"/>
        </w:rPr>
        <w:t>). Now a day’s green synthesis of nanoparticles is one of the most interesting scientific areas of inquiry. The world health organization (WHO, 2017) has facilitated the use of biopesticides which are less expensive, effective and environmental friendly (</w:t>
      </w:r>
      <w:hyperlink w:anchor="_bookmark185" w:history="1">
        <w:r w:rsidRPr="00C02348">
          <w:rPr>
            <w:rFonts w:ascii="Times New Roman" w:hAnsi="Times New Roman" w:cs="Times New Roman"/>
            <w:sz w:val="20"/>
            <w:szCs w:val="20"/>
          </w:rPr>
          <w:t>Ullah, Ijaz, Mughal,</w:t>
        </w:r>
        <w:r w:rsidR="00DF4524" w:rsidRPr="00C02348">
          <w:rPr>
            <w:rFonts w:ascii="Times New Roman" w:hAnsi="Times New Roman" w:cs="Times New Roman"/>
            <w:sz w:val="20"/>
            <w:szCs w:val="20"/>
          </w:rPr>
          <w:t xml:space="preserve"> &amp; </w:t>
        </w:r>
        <w:r w:rsidRPr="00C02348">
          <w:rPr>
            <w:rFonts w:ascii="Times New Roman" w:hAnsi="Times New Roman" w:cs="Times New Roman"/>
            <w:sz w:val="20"/>
            <w:szCs w:val="20"/>
          </w:rPr>
          <w:t>Zia, 2018</w:t>
        </w:r>
      </w:hyperlink>
      <w:r w:rsidRPr="00C02348">
        <w:rPr>
          <w:rFonts w:ascii="Times New Roman" w:hAnsi="Times New Roman" w:cs="Times New Roman"/>
          <w:sz w:val="20"/>
          <w:szCs w:val="20"/>
        </w:rPr>
        <w:t>).</w:t>
      </w:r>
    </w:p>
    <w:p w:rsidR="006644F1" w:rsidRPr="00C02348" w:rsidRDefault="006644F1" w:rsidP="006644F1">
      <w:pPr>
        <w:snapToGrid w:val="0"/>
        <w:spacing w:after="0" w:line="240" w:lineRule="auto"/>
        <w:ind w:firstLine="425"/>
        <w:jc w:val="both"/>
        <w:rPr>
          <w:rFonts w:ascii="Times New Roman" w:hAnsi="Times New Roman" w:cs="Times New Roman"/>
          <w:b/>
          <w:sz w:val="20"/>
          <w:szCs w:val="20"/>
          <w:lang w:eastAsia="zh-CN"/>
        </w:rPr>
      </w:pPr>
    </w:p>
    <w:p w:rsidR="003E4201" w:rsidRPr="00C02348" w:rsidRDefault="006644F1"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Materials And Methods</w:t>
      </w:r>
    </w:p>
    <w:p w:rsidR="003E4201" w:rsidRPr="00C02348" w:rsidRDefault="003E4201"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Insects Rearing</w:t>
      </w:r>
    </w:p>
    <w:p w:rsidR="003E4201" w:rsidRPr="00C02348" w:rsidRDefault="003E4201" w:rsidP="006644F1">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t xml:space="preserve">Different and diverse age </w:t>
      </w:r>
      <w:r w:rsidRPr="00C02348">
        <w:rPr>
          <w:rFonts w:ascii="Times New Roman" w:hAnsi="Times New Roman" w:cs="Times New Roman"/>
          <w:i/>
          <w:sz w:val="20"/>
          <w:szCs w:val="20"/>
        </w:rPr>
        <w:t>T.castaneum</w:t>
      </w:r>
      <w:r w:rsidRPr="00C02348">
        <w:rPr>
          <w:rFonts w:ascii="Times New Roman" w:hAnsi="Times New Roman" w:cs="Times New Roman"/>
          <w:sz w:val="20"/>
          <w:szCs w:val="20"/>
        </w:rPr>
        <w:t xml:space="preserve"> collected through grain market which is situated in Faisalabad. The population for all of the tow insect assimilate to the laboratory and 1.5 kg capacity havi</w:t>
      </w:r>
      <w:r w:rsidR="00532078" w:rsidRPr="00C02348">
        <w:rPr>
          <w:rFonts w:ascii="Times New Roman" w:hAnsi="Times New Roman" w:cs="Times New Roman"/>
          <w:sz w:val="20"/>
          <w:szCs w:val="20"/>
        </w:rPr>
        <w:t>ng commodity in plastic jars (</w:t>
      </w:r>
      <w:r w:rsidR="00D94B1C" w:rsidRPr="00C02348">
        <w:rPr>
          <w:rFonts w:ascii="Times New Roman" w:hAnsi="Times New Roman" w:cs="Times New Roman"/>
          <w:sz w:val="20"/>
          <w:szCs w:val="20"/>
        </w:rPr>
        <w:t>firstly</w:t>
      </w:r>
      <w:r w:rsidRPr="00C02348">
        <w:rPr>
          <w:rFonts w:ascii="Times New Roman" w:hAnsi="Times New Roman" w:cs="Times New Roman"/>
          <w:sz w:val="20"/>
          <w:szCs w:val="20"/>
        </w:rPr>
        <w:t xml:space="preserve"> dec</w:t>
      </w:r>
      <w:r w:rsidR="00795ECA" w:rsidRPr="00C02348">
        <w:rPr>
          <w:rFonts w:ascii="Times New Roman" w:hAnsi="Times New Roman" w:cs="Times New Roman"/>
          <w:sz w:val="20"/>
          <w:szCs w:val="20"/>
        </w:rPr>
        <w:t>ontaminate the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 xml:space="preserve">store grain flour for </w:t>
      </w:r>
      <w:r w:rsidRPr="00C02348">
        <w:rPr>
          <w:rFonts w:ascii="Times New Roman" w:hAnsi="Times New Roman" w:cs="Times New Roman"/>
          <w:i/>
          <w:sz w:val="20"/>
          <w:szCs w:val="20"/>
        </w:rPr>
        <w:t>T.castaneum</w:t>
      </w:r>
      <w:r w:rsidRPr="00C02348">
        <w:rPr>
          <w:rFonts w:ascii="Times New Roman" w:hAnsi="Times New Roman" w:cs="Times New Roman"/>
          <w:sz w:val="20"/>
          <w:szCs w:val="20"/>
        </w:rPr>
        <w:t>, it can decontaminate for 30 minutes in 70</w:t>
      </w:r>
      <w:r w:rsidR="00C02348" w:rsidRPr="00C02348">
        <w:rPr>
          <w:rFonts w:ascii="Times New Roman" w:hAnsi="Times New Roman" w:cs="Times New Roman"/>
          <w:sz w:val="20"/>
          <w:szCs w:val="20"/>
        </w:rPr>
        <w:t>℃ through the oven (</w:t>
      </w:r>
      <w:r w:rsidRPr="00C02348">
        <w:rPr>
          <w:rFonts w:ascii="Times New Roman" w:hAnsi="Times New Roman" w:cs="Times New Roman"/>
          <w:sz w:val="20"/>
          <w:szCs w:val="20"/>
        </w:rPr>
        <w:t>Lab Line Instrument Inc. Model No.3512-1) and it shielded through muslin cloths. Both insects’ after three days from commodity adults will be sieved out. Target insects can have eggs which can be sieved commodities, will be placed in jars and it can place in an optimal condition (65±5</w:t>
      </w:r>
      <w:r w:rsidR="00532078" w:rsidRPr="00C02348">
        <w:rPr>
          <w:rFonts w:ascii="Times New Roman" w:hAnsi="Times New Roman" w:cs="Times New Roman"/>
          <w:sz w:val="20"/>
          <w:szCs w:val="20"/>
        </w:rPr>
        <w:t xml:space="preserve"> % </w:t>
      </w:r>
      <w:r w:rsidRPr="00C02348">
        <w:rPr>
          <w:rFonts w:ascii="Times New Roman" w:hAnsi="Times New Roman" w:cs="Times New Roman"/>
          <w:sz w:val="20"/>
          <w:szCs w:val="20"/>
        </w:rPr>
        <w:t>R.H. and 30±2 ℃) and it can be homogeneous and also getting the F</w:t>
      </w:r>
      <w:r w:rsidR="00D94B1C" w:rsidRPr="00C02348">
        <w:rPr>
          <w:rFonts w:ascii="Times New Roman" w:hAnsi="Times New Roman" w:cs="Times New Roman"/>
          <w:sz w:val="20"/>
          <w:szCs w:val="20"/>
          <w:vertAlign w:val="subscript"/>
        </w:rPr>
        <w:t>1</w:t>
      </w:r>
      <w:r w:rsidRPr="00C02348">
        <w:rPr>
          <w:rFonts w:ascii="Times New Roman" w:hAnsi="Times New Roman" w:cs="Times New Roman"/>
          <w:sz w:val="20"/>
          <w:szCs w:val="20"/>
          <w:vertAlign w:val="subscript"/>
        </w:rPr>
        <w:t xml:space="preserve"> </w:t>
      </w:r>
      <w:r w:rsidRPr="00C02348">
        <w:rPr>
          <w:rFonts w:ascii="Times New Roman" w:hAnsi="Times New Roman" w:cs="Times New Roman"/>
          <w:sz w:val="20"/>
          <w:szCs w:val="20"/>
        </w:rPr>
        <w:t>population (Hbib-ur-Rehman, 2018).</w:t>
      </w:r>
    </w:p>
    <w:p w:rsidR="003E4201" w:rsidRPr="00C02348" w:rsidRDefault="003E4201"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xml:space="preserve">Collection and preparation of plant </w:t>
      </w:r>
      <w:r w:rsidR="00AF0837" w:rsidRPr="00C02348">
        <w:rPr>
          <w:rFonts w:ascii="Times New Roman" w:hAnsi="Times New Roman" w:cs="Times New Roman"/>
          <w:b/>
          <w:sz w:val="20"/>
          <w:szCs w:val="20"/>
        </w:rPr>
        <w:t>oils</w:t>
      </w:r>
      <w:r w:rsidRPr="00C02348">
        <w:rPr>
          <w:rFonts w:ascii="Times New Roman" w:hAnsi="Times New Roman" w:cs="Times New Roman"/>
          <w:b/>
          <w:sz w:val="20"/>
          <w:szCs w:val="20"/>
        </w:rPr>
        <w:t xml:space="preserve"> </w:t>
      </w:r>
    </w:p>
    <w:p w:rsidR="00532078" w:rsidRPr="00C02348" w:rsidRDefault="00D94B1C" w:rsidP="006644F1">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t>Firstly,</w:t>
      </w:r>
      <w:r w:rsidR="003E4201" w:rsidRPr="00C02348">
        <w:rPr>
          <w:rFonts w:ascii="Times New Roman" w:hAnsi="Times New Roman" w:cs="Times New Roman"/>
          <w:sz w:val="20"/>
          <w:szCs w:val="20"/>
        </w:rPr>
        <w:t xml:space="preserve"> we can collect</w:t>
      </w:r>
      <w:r w:rsidRPr="00C02348">
        <w:rPr>
          <w:rFonts w:ascii="Times New Roman" w:hAnsi="Times New Roman" w:cs="Times New Roman"/>
          <w:sz w:val="20"/>
          <w:szCs w:val="20"/>
        </w:rPr>
        <w:t xml:space="preserve"> the leaves of</w:t>
      </w:r>
      <w:r w:rsidR="00F63506" w:rsidRPr="00C02348">
        <w:rPr>
          <w:rFonts w:ascii="Times New Roman" w:hAnsi="Times New Roman" w:cs="Times New Roman"/>
          <w:b/>
          <w:i/>
          <w:sz w:val="20"/>
          <w:szCs w:val="20"/>
        </w:rPr>
        <w:t xml:space="preserve"> </w:t>
      </w:r>
      <w:r w:rsidR="00F63506" w:rsidRPr="00C02348">
        <w:rPr>
          <w:rFonts w:ascii="Times New Roman" w:hAnsi="Times New Roman" w:cs="Times New Roman"/>
          <w:i/>
          <w:sz w:val="20"/>
          <w:szCs w:val="20"/>
        </w:rPr>
        <w:t xml:space="preserve">R. communis </w:t>
      </w:r>
      <w:r w:rsidR="00F63506" w:rsidRPr="00C02348">
        <w:rPr>
          <w:rFonts w:ascii="Times New Roman" w:hAnsi="Times New Roman" w:cs="Times New Roman"/>
          <w:sz w:val="20"/>
          <w:szCs w:val="20"/>
        </w:rPr>
        <w:t xml:space="preserve">and </w:t>
      </w:r>
      <w:r w:rsidR="00F63506" w:rsidRPr="00C02348">
        <w:rPr>
          <w:rFonts w:ascii="Times New Roman" w:hAnsi="Times New Roman" w:cs="Times New Roman"/>
          <w:i/>
          <w:sz w:val="20"/>
          <w:szCs w:val="20"/>
        </w:rPr>
        <w:t>Citrus paradise</w:t>
      </w:r>
      <w:r w:rsidR="003E4201" w:rsidRPr="00C02348">
        <w:rPr>
          <w:rFonts w:ascii="Times New Roman" w:hAnsi="Times New Roman" w:cs="Times New Roman"/>
          <w:sz w:val="20"/>
          <w:szCs w:val="20"/>
        </w:rPr>
        <w:t xml:space="preserve"> from different localities in Faisalabad, </w:t>
      </w:r>
      <w:r w:rsidRPr="00C02348">
        <w:rPr>
          <w:rFonts w:ascii="Times New Roman" w:hAnsi="Times New Roman" w:cs="Times New Roman"/>
          <w:sz w:val="20"/>
          <w:szCs w:val="20"/>
        </w:rPr>
        <w:t>the</w:t>
      </w:r>
      <w:r w:rsidR="003E4201" w:rsidRPr="00C02348">
        <w:rPr>
          <w:rFonts w:ascii="Times New Roman" w:hAnsi="Times New Roman" w:cs="Times New Roman"/>
          <w:sz w:val="20"/>
          <w:szCs w:val="20"/>
        </w:rPr>
        <w:t xml:space="preserve"> sample leaves was thoroughly washed with tap water followed by distilled water to remove the impurities. The wet plant leaves were kept on shade for 25 days and put in air dry. Dried leaves will be converted into powder form through the electrical grinder (Pascal engineering Co. ltd., Gatwick road crawley Sussex, England) and it will be sieved through a mesh (40mm) then we acquire a fine powder form. After</w:t>
      </w:r>
      <w:r w:rsidR="00532078" w:rsidRPr="00C02348">
        <w:rPr>
          <w:rFonts w:ascii="Times New Roman" w:hAnsi="Times New Roman" w:cs="Times New Roman"/>
          <w:sz w:val="20"/>
          <w:szCs w:val="20"/>
        </w:rPr>
        <w:t>, plants</w:t>
      </w:r>
      <w:r w:rsidR="003E4201" w:rsidRPr="00C02348">
        <w:rPr>
          <w:rFonts w:ascii="Times New Roman" w:hAnsi="Times New Roman" w:cs="Times New Roman"/>
          <w:b/>
          <w:sz w:val="20"/>
          <w:szCs w:val="20"/>
        </w:rPr>
        <w:t xml:space="preserve"> </w:t>
      </w:r>
      <w:r w:rsidR="003E4201" w:rsidRPr="00C02348">
        <w:rPr>
          <w:rFonts w:ascii="Times New Roman" w:hAnsi="Times New Roman" w:cs="Times New Roman"/>
          <w:sz w:val="20"/>
          <w:szCs w:val="20"/>
        </w:rPr>
        <w:t>leaves powder material extract were put in the Sox</w:t>
      </w:r>
      <w:r w:rsidR="00532078" w:rsidRPr="00C02348">
        <w:rPr>
          <w:rFonts w:ascii="Times New Roman" w:hAnsi="Times New Roman" w:cs="Times New Roman"/>
          <w:sz w:val="20"/>
          <w:szCs w:val="20"/>
        </w:rPr>
        <w:t>h</w:t>
      </w:r>
      <w:r w:rsidR="003E4201" w:rsidRPr="00C02348">
        <w:rPr>
          <w:rFonts w:ascii="Times New Roman" w:hAnsi="Times New Roman" w:cs="Times New Roman"/>
          <w:sz w:val="20"/>
          <w:szCs w:val="20"/>
        </w:rPr>
        <w:t>let apparatus by dipping or mixing 100ml of the methanol, chloroform, petroleum ether and n-hexane for 24 hours at 220 revolution per minute</w:t>
      </w:r>
      <w:r w:rsidR="00532078" w:rsidRPr="00C02348">
        <w:rPr>
          <w:rFonts w:ascii="Times New Roman" w:hAnsi="Times New Roman" w:cs="Times New Roman"/>
          <w:sz w:val="20"/>
          <w:szCs w:val="20"/>
        </w:rPr>
        <w:t xml:space="preserve"> </w:t>
      </w:r>
      <w:r w:rsidR="003E4201" w:rsidRPr="00C02348">
        <w:rPr>
          <w:rFonts w:ascii="Times New Roman" w:hAnsi="Times New Roman" w:cs="Times New Roman"/>
          <w:sz w:val="20"/>
          <w:szCs w:val="20"/>
        </w:rPr>
        <w:t xml:space="preserve">(Sagheer </w:t>
      </w:r>
      <w:r w:rsidR="003E4201" w:rsidRPr="00C02348">
        <w:rPr>
          <w:rFonts w:ascii="Times New Roman" w:hAnsi="Times New Roman" w:cs="Times New Roman"/>
          <w:i/>
          <w:sz w:val="20"/>
          <w:szCs w:val="20"/>
        </w:rPr>
        <w:t>et al</w:t>
      </w:r>
      <w:r w:rsidR="003E4201" w:rsidRPr="00C02348">
        <w:rPr>
          <w:rFonts w:ascii="Times New Roman" w:hAnsi="Times New Roman" w:cs="Times New Roman"/>
          <w:sz w:val="20"/>
          <w:szCs w:val="20"/>
        </w:rPr>
        <w:t>., 2013).</w:t>
      </w:r>
      <w:r w:rsidR="00532078" w:rsidRPr="00C02348">
        <w:rPr>
          <w:rFonts w:ascii="Times New Roman" w:hAnsi="Times New Roman" w:cs="Times New Roman"/>
          <w:sz w:val="20"/>
          <w:szCs w:val="20"/>
        </w:rPr>
        <w:t xml:space="preserve"> </w:t>
      </w:r>
    </w:p>
    <w:p w:rsidR="003E4201" w:rsidRPr="00C02348" w:rsidRDefault="003E4201"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Preparation of green synthesis Agnps</w:t>
      </w:r>
    </w:p>
    <w:p w:rsidR="00AF0837" w:rsidRPr="00C02348" w:rsidRDefault="003E4201" w:rsidP="006644F1">
      <w:pPr>
        <w:pStyle w:val="BodyText"/>
        <w:snapToGrid w:val="0"/>
        <w:ind w:firstLine="425"/>
        <w:jc w:val="both"/>
        <w:rPr>
          <w:sz w:val="20"/>
          <w:szCs w:val="20"/>
        </w:rPr>
      </w:pPr>
      <w:r w:rsidRPr="00C02348">
        <w:rPr>
          <w:sz w:val="20"/>
          <w:szCs w:val="20"/>
        </w:rPr>
        <w:t>The method of (Murugan et al., 2015) was used for the preparation of green synthesis of silver nanoparticles from the crude extract for the above mentioned four plant parts/material. Ten gram of dry crude extract powder was dissolved in 250 ml sterile distill water and the solution was boiled for 5 min. This solution/extract was filtered with Whatman filter paper No.1. The 1</w:t>
      </w:r>
      <w:r w:rsidR="00D8200D" w:rsidRPr="00C02348">
        <w:rPr>
          <w:sz w:val="20"/>
          <w:szCs w:val="20"/>
        </w:rPr>
        <w:t>m M</w:t>
      </w:r>
      <w:r w:rsidRPr="00C02348">
        <w:rPr>
          <w:sz w:val="20"/>
          <w:szCs w:val="20"/>
        </w:rPr>
        <w:t xml:space="preserve"> of silver nitrate (AgNO3) solution was prepared by adding 1mM silver nitrate salt in 100 ml double distill water and mixed well until silver nitrate (AgNO3) was dissolved. The 80 ml of silver nitrate (AgNO3) solution was placed on hot plate magnetic stirrer and 20 ml of the proper made plant extract was added drop by drop. This solution </w:t>
      </w:r>
      <w:r w:rsidRPr="00C02348">
        <w:rPr>
          <w:sz w:val="20"/>
          <w:szCs w:val="20"/>
        </w:rPr>
        <w:lastRenderedPageBreak/>
        <w:t xml:space="preserve">was boiled for 5 minutes. The color of a solution change was observed, that resulted in a brown solution, indicated the formation of silver nanoparticles. The solution was placed in falcon tubes and centrifuged at 5000 rpm for 15 minutes. The solution of green synthesized silver nanoparticles </w:t>
      </w:r>
      <w:r w:rsidR="00AF0837" w:rsidRPr="00C02348">
        <w:rPr>
          <w:sz w:val="20"/>
          <w:szCs w:val="20"/>
        </w:rPr>
        <w:t>was</w:t>
      </w:r>
      <w:r w:rsidRPr="00C02348">
        <w:rPr>
          <w:sz w:val="20"/>
          <w:szCs w:val="20"/>
        </w:rPr>
        <w:t xml:space="preserve"> converted into pallet forms, extra solution was removed from falcon tubes and the pellets were shifted into china dish (100 mm). The china dish was placed in oven at 50</w:t>
      </w:r>
      <w:r w:rsidRPr="00C02348">
        <w:rPr>
          <w:sz w:val="20"/>
          <w:szCs w:val="20"/>
          <w:vertAlign w:val="superscript"/>
        </w:rPr>
        <w:t>o</w:t>
      </w:r>
      <w:r w:rsidRPr="00C02348">
        <w:rPr>
          <w:sz w:val="20"/>
          <w:szCs w:val="20"/>
        </w:rPr>
        <w:t xml:space="preserve">C for 24 hours, drying the pellets of green synthesized silver nanoparticles. After drying, the pellets were grinded with pistol mortar. Powder was saved in </w:t>
      </w:r>
      <w:r w:rsidR="00AF0837" w:rsidRPr="00C02348">
        <w:rPr>
          <w:sz w:val="20"/>
          <w:szCs w:val="20"/>
        </w:rPr>
        <w:t>Eppendorf</w:t>
      </w:r>
      <w:r w:rsidRPr="00C02348">
        <w:rPr>
          <w:sz w:val="20"/>
          <w:szCs w:val="20"/>
        </w:rPr>
        <w:t xml:space="preserve"> tubes and tagged with proper name. The </w:t>
      </w:r>
      <w:r w:rsidR="00AF0837" w:rsidRPr="00C02348">
        <w:rPr>
          <w:sz w:val="20"/>
          <w:szCs w:val="20"/>
        </w:rPr>
        <w:t>Eppendorf</w:t>
      </w:r>
      <w:r w:rsidRPr="00C02348">
        <w:rPr>
          <w:sz w:val="20"/>
          <w:szCs w:val="20"/>
        </w:rPr>
        <w:t xml:space="preserve"> tubes were covered with aluminum foil for stability of green synthesized silver nanoparticles.</w:t>
      </w:r>
    </w:p>
    <w:p w:rsidR="00AF0837" w:rsidRPr="00C02348" w:rsidRDefault="003E4201" w:rsidP="006644F1">
      <w:pPr>
        <w:snapToGrid w:val="0"/>
        <w:spacing w:after="0" w:line="240" w:lineRule="auto"/>
        <w:jc w:val="both"/>
        <w:rPr>
          <w:rFonts w:ascii="Times New Roman" w:hAnsi="Times New Roman" w:cs="Times New Roman"/>
          <w:b/>
          <w:i/>
          <w:sz w:val="20"/>
          <w:szCs w:val="20"/>
        </w:rPr>
      </w:pPr>
      <w:r w:rsidRPr="00C02348">
        <w:rPr>
          <w:rFonts w:ascii="Times New Roman" w:hAnsi="Times New Roman" w:cs="Times New Roman"/>
          <w:b/>
          <w:sz w:val="20"/>
          <w:szCs w:val="20"/>
        </w:rPr>
        <w:t xml:space="preserve">Efficacy of green synthesized silver nanoparticles against </w:t>
      </w:r>
      <w:r w:rsidR="00AF0837" w:rsidRPr="00C02348">
        <w:rPr>
          <w:rFonts w:ascii="Times New Roman" w:hAnsi="Times New Roman" w:cs="Times New Roman"/>
          <w:b/>
          <w:i/>
          <w:sz w:val="20"/>
          <w:szCs w:val="20"/>
        </w:rPr>
        <w:t xml:space="preserve">Tribolium castanium </w:t>
      </w:r>
    </w:p>
    <w:p w:rsidR="003E4201" w:rsidRPr="00C02348" w:rsidRDefault="003E4201" w:rsidP="006644F1">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t>The</w:t>
      </w:r>
      <w:r w:rsidR="00AF0837" w:rsidRPr="00C02348">
        <w:rPr>
          <w:rFonts w:ascii="Times New Roman" w:hAnsi="Times New Roman" w:cs="Times New Roman"/>
          <w:sz w:val="20"/>
          <w:szCs w:val="20"/>
        </w:rPr>
        <w:t xml:space="preserve"> experiment was conducted with 3</w:t>
      </w:r>
      <w:r w:rsidRPr="00C02348">
        <w:rPr>
          <w:rFonts w:ascii="Times New Roman" w:hAnsi="Times New Roman" w:cs="Times New Roman"/>
          <w:sz w:val="20"/>
          <w:szCs w:val="20"/>
        </w:rPr>
        <w:t xml:space="preserve"> treatments and 5 replications for synthesized silver nanoparticles from</w:t>
      </w:r>
      <w:r w:rsidR="00AF0837" w:rsidRPr="00C02348">
        <w:rPr>
          <w:rFonts w:ascii="Times New Roman" w:hAnsi="Times New Roman" w:cs="Times New Roman"/>
          <w:i/>
          <w:sz w:val="20"/>
          <w:szCs w:val="20"/>
        </w:rPr>
        <w:t xml:space="preserve"> </w:t>
      </w:r>
      <w:r w:rsidR="00F63506" w:rsidRPr="00C02348">
        <w:rPr>
          <w:rFonts w:ascii="Times New Roman" w:hAnsi="Times New Roman" w:cs="Times New Roman"/>
          <w:i/>
          <w:sz w:val="20"/>
          <w:szCs w:val="20"/>
        </w:rPr>
        <w:t xml:space="preserve">R. communis </w:t>
      </w:r>
      <w:r w:rsidR="00F63506" w:rsidRPr="00C02348">
        <w:rPr>
          <w:rFonts w:ascii="Times New Roman" w:hAnsi="Times New Roman" w:cs="Times New Roman"/>
          <w:sz w:val="20"/>
          <w:szCs w:val="20"/>
        </w:rPr>
        <w:t xml:space="preserve">and </w:t>
      </w:r>
      <w:r w:rsidR="00F63506" w:rsidRPr="00C02348">
        <w:rPr>
          <w:rFonts w:ascii="Times New Roman" w:hAnsi="Times New Roman" w:cs="Times New Roman"/>
          <w:i/>
          <w:sz w:val="20"/>
          <w:szCs w:val="20"/>
        </w:rPr>
        <w:t>Citrus paradise</w:t>
      </w:r>
      <w:r w:rsidRPr="00C02348">
        <w:rPr>
          <w:rFonts w:ascii="Times New Roman" w:hAnsi="Times New Roman" w:cs="Times New Roman"/>
          <w:sz w:val="20"/>
          <w:szCs w:val="20"/>
        </w:rPr>
        <w:t>. To determine lethal concentration of green synthesized nanoparticles solution</w:t>
      </w:r>
      <w:r w:rsidR="00AF0837" w:rsidRPr="00C02348">
        <w:rPr>
          <w:rFonts w:ascii="Times New Roman" w:hAnsi="Times New Roman" w:cs="Times New Roman"/>
          <w:sz w:val="20"/>
          <w:szCs w:val="20"/>
        </w:rPr>
        <w:t>, serial dilution ranging from 100, 200 and 3</w:t>
      </w:r>
      <w:r w:rsidRPr="00C02348">
        <w:rPr>
          <w:rFonts w:ascii="Times New Roman" w:hAnsi="Times New Roman" w:cs="Times New Roman"/>
          <w:sz w:val="20"/>
          <w:szCs w:val="20"/>
        </w:rPr>
        <w:t xml:space="preserve">00 ppm were prepared. The required amount of </w:t>
      </w:r>
      <w:r w:rsidR="00AF0837" w:rsidRPr="00C02348">
        <w:rPr>
          <w:rFonts w:ascii="Times New Roman" w:hAnsi="Times New Roman" w:cs="Times New Roman"/>
          <w:sz w:val="20"/>
          <w:szCs w:val="20"/>
        </w:rPr>
        <w:t>adult</w:t>
      </w:r>
      <w:r w:rsidRPr="00C02348">
        <w:rPr>
          <w:rFonts w:ascii="Times New Roman" w:hAnsi="Times New Roman" w:cs="Times New Roman"/>
          <w:sz w:val="20"/>
          <w:szCs w:val="20"/>
        </w:rPr>
        <w:t xml:space="preserve"> were directly collected from field and put into the clean, air dried petri plates, Wheat grains were coated with different concentrations of silver nanoparticles solution and air dried. The control grains were treated with water alone. After every 24 hrs,48hrs, </w:t>
      </w:r>
      <w:r w:rsidR="00AF0837" w:rsidRPr="00C02348">
        <w:rPr>
          <w:rFonts w:ascii="Times New Roman" w:hAnsi="Times New Roman" w:cs="Times New Roman"/>
          <w:sz w:val="20"/>
          <w:szCs w:val="20"/>
        </w:rPr>
        <w:t>72hrs and 96</w:t>
      </w:r>
      <w:r w:rsidRPr="00C02348">
        <w:rPr>
          <w:rFonts w:ascii="Times New Roman" w:hAnsi="Times New Roman" w:cs="Times New Roman"/>
          <w:sz w:val="20"/>
          <w:szCs w:val="20"/>
        </w:rPr>
        <w:t xml:space="preserve">hrs </w:t>
      </w:r>
      <w:r w:rsidR="00AF0837" w:rsidRPr="00C02348">
        <w:rPr>
          <w:rFonts w:ascii="Times New Roman" w:hAnsi="Times New Roman" w:cs="Times New Roman"/>
          <w:sz w:val="20"/>
          <w:szCs w:val="20"/>
        </w:rPr>
        <w:t>data of mortality was recoded.</w:t>
      </w:r>
    </w:p>
    <w:p w:rsidR="007862B2" w:rsidRPr="00C02348" w:rsidRDefault="00F63506" w:rsidP="006644F1">
      <w:pPr>
        <w:autoSpaceDE w:val="0"/>
        <w:autoSpaceDN w:val="0"/>
        <w:adjustRightInd w:val="0"/>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Repellency bioassays</w:t>
      </w:r>
    </w:p>
    <w:p w:rsidR="00F63506" w:rsidRPr="00C02348" w:rsidRDefault="00F63506" w:rsidP="006644F1">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C02348">
        <w:rPr>
          <w:rFonts w:ascii="Times New Roman" w:hAnsi="Times New Roman" w:cs="Times New Roman"/>
          <w:sz w:val="20"/>
          <w:szCs w:val="20"/>
        </w:rPr>
        <w:t>Repellency bioassays of plant extracts against test insect (</w:t>
      </w:r>
      <w:r w:rsidRPr="00C02348">
        <w:rPr>
          <w:rFonts w:ascii="Times New Roman" w:hAnsi="Times New Roman" w:cs="Times New Roman"/>
          <w:i/>
          <w:sz w:val="20"/>
          <w:szCs w:val="20"/>
        </w:rPr>
        <w:t>T. castaneum</w:t>
      </w:r>
      <w:r w:rsidRPr="00C02348">
        <w:rPr>
          <w:rFonts w:ascii="Times New Roman" w:hAnsi="Times New Roman" w:cs="Times New Roman"/>
          <w:sz w:val="20"/>
          <w:szCs w:val="20"/>
        </w:rPr>
        <w:t xml:space="preserve">) was carried out by </w:t>
      </w:r>
      <w:r w:rsidRPr="00C02348">
        <w:rPr>
          <w:rFonts w:ascii="Times New Roman" w:eastAsia="SimSun" w:hAnsi="Times New Roman" w:cs="Times New Roman"/>
          <w:sz w:val="20"/>
          <w:szCs w:val="20"/>
          <w:lang w:eastAsia="zh-CN"/>
        </w:rPr>
        <w:t xml:space="preserve">area preference method. </w:t>
      </w:r>
      <w:r w:rsidRPr="00C02348">
        <w:rPr>
          <w:rFonts w:ascii="Times New Roman" w:hAnsi="Times New Roman" w:cs="Times New Roman"/>
          <w:sz w:val="20"/>
          <w:szCs w:val="20"/>
        </w:rPr>
        <w:t xml:space="preserve">Different concentrations of plant oils (ethanol acetone based) viz., 5%, 5%, 10% and 15% of were sprayed on one half of the each filter paper. </w:t>
      </w:r>
      <w:r w:rsidRPr="00C02348">
        <w:rPr>
          <w:rFonts w:ascii="Times New Roman" w:eastAsia="SimSun" w:hAnsi="Times New Roman" w:cs="Times New Roman"/>
          <w:sz w:val="20"/>
          <w:szCs w:val="20"/>
          <w:lang w:eastAsia="zh-CN"/>
        </w:rPr>
        <w:t xml:space="preserve">Whilst other half of each filter paper, were used as control unit (treated only with solvent alone (acetone)). Both the untreated and treated halves were stapled from center and were placed in Petri-dishes. 20 adult beetles were released at the joining point of both half of each filter paper. Three replica of individually treatment and control unit were used and number of bioassayed on the both areas (two half paper disks) were counted after 24 hours of the post treatment. </w:t>
      </w:r>
    </w:p>
    <w:p w:rsidR="00F63506" w:rsidRPr="00C02348" w:rsidRDefault="00F63506" w:rsidP="006644F1">
      <w:pPr>
        <w:autoSpaceDE w:val="0"/>
        <w:autoSpaceDN w:val="0"/>
        <w:adjustRightInd w:val="0"/>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Data analysis</w:t>
      </w:r>
    </w:p>
    <w:p w:rsidR="00F63506" w:rsidRPr="00C02348" w:rsidRDefault="00F63506" w:rsidP="006644F1">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C02348">
        <w:rPr>
          <w:rFonts w:ascii="Times New Roman" w:hAnsi="Times New Roman" w:cs="Times New Roman"/>
          <w:sz w:val="20"/>
          <w:szCs w:val="20"/>
        </w:rPr>
        <w:t>The collected data were analyzed by using static software 8.1. Treatments means were compared by using Tukey-HSD test at α = 5%.</w:t>
      </w:r>
    </w:p>
    <w:p w:rsidR="00532078" w:rsidRPr="00C02348" w:rsidRDefault="003E4201" w:rsidP="006644F1">
      <w:pPr>
        <w:snapToGrid w:val="0"/>
        <w:spacing w:after="0" w:line="240" w:lineRule="auto"/>
        <w:jc w:val="both"/>
        <w:rPr>
          <w:rFonts w:ascii="Times New Roman" w:hAnsi="Times New Roman" w:cs="Times New Roman"/>
          <w:b/>
          <w:i/>
          <w:sz w:val="20"/>
          <w:szCs w:val="20"/>
        </w:rPr>
      </w:pPr>
      <w:r w:rsidRPr="00C02348">
        <w:rPr>
          <w:rFonts w:ascii="Times New Roman" w:hAnsi="Times New Roman" w:cs="Times New Roman"/>
          <w:b/>
          <w:sz w:val="20"/>
          <w:szCs w:val="20"/>
        </w:rPr>
        <w:t xml:space="preserve">Efficacy of green synthesized </w:t>
      </w:r>
      <w:r w:rsidR="00FC498C" w:rsidRPr="00C02348">
        <w:rPr>
          <w:rFonts w:ascii="Times New Roman" w:hAnsi="Times New Roman" w:cs="Times New Roman"/>
          <w:b/>
          <w:sz w:val="20"/>
          <w:szCs w:val="20"/>
        </w:rPr>
        <w:t>silver</w:t>
      </w:r>
      <w:r w:rsidR="00DF4524" w:rsidRPr="00C02348">
        <w:rPr>
          <w:rFonts w:ascii="Times New Roman" w:hAnsi="Times New Roman" w:cs="Times New Roman"/>
          <w:b/>
          <w:sz w:val="20"/>
          <w:szCs w:val="20"/>
        </w:rPr>
        <w:t xml:space="preserve"> </w:t>
      </w:r>
      <w:r w:rsidRPr="00C02348">
        <w:rPr>
          <w:rFonts w:ascii="Times New Roman" w:hAnsi="Times New Roman" w:cs="Times New Roman"/>
          <w:b/>
          <w:sz w:val="20"/>
          <w:szCs w:val="20"/>
        </w:rPr>
        <w:t xml:space="preserve">nanoparticles from </w:t>
      </w:r>
      <w:r w:rsidRPr="00C02348">
        <w:rPr>
          <w:rFonts w:ascii="Times New Roman" w:hAnsi="Times New Roman" w:cs="Times New Roman"/>
          <w:b/>
          <w:i/>
          <w:sz w:val="20"/>
          <w:szCs w:val="20"/>
        </w:rPr>
        <w:t>R. communis</w:t>
      </w:r>
      <w:r w:rsidR="00F63506" w:rsidRPr="00C02348">
        <w:rPr>
          <w:rFonts w:ascii="Times New Roman" w:hAnsi="Times New Roman" w:cs="Times New Roman"/>
          <w:b/>
          <w:i/>
          <w:sz w:val="20"/>
          <w:szCs w:val="20"/>
        </w:rPr>
        <w:t xml:space="preserve"> </w:t>
      </w:r>
      <w:r w:rsidR="00F63506" w:rsidRPr="00C02348">
        <w:rPr>
          <w:rFonts w:ascii="Times New Roman" w:hAnsi="Times New Roman" w:cs="Times New Roman"/>
          <w:b/>
          <w:sz w:val="20"/>
          <w:szCs w:val="20"/>
        </w:rPr>
        <w:t xml:space="preserve">and </w:t>
      </w:r>
      <w:r w:rsidR="00F63506" w:rsidRPr="00C02348">
        <w:rPr>
          <w:rFonts w:ascii="Times New Roman" w:hAnsi="Times New Roman" w:cs="Times New Roman"/>
          <w:b/>
          <w:i/>
          <w:sz w:val="20"/>
          <w:szCs w:val="20"/>
        </w:rPr>
        <w:t>Citrus paradise</w:t>
      </w:r>
      <w:r w:rsidRPr="00C02348">
        <w:rPr>
          <w:rFonts w:ascii="Times New Roman" w:hAnsi="Times New Roman" w:cs="Times New Roman"/>
          <w:b/>
          <w:sz w:val="20"/>
          <w:szCs w:val="20"/>
        </w:rPr>
        <w:t xml:space="preserve"> against </w:t>
      </w:r>
      <w:r w:rsidRPr="00C02348">
        <w:rPr>
          <w:rFonts w:ascii="Times New Roman" w:hAnsi="Times New Roman" w:cs="Times New Roman"/>
          <w:b/>
          <w:i/>
          <w:sz w:val="20"/>
          <w:szCs w:val="20"/>
        </w:rPr>
        <w:t>Tribolium castanium</w:t>
      </w:r>
    </w:p>
    <w:p w:rsidR="003E4201" w:rsidRPr="00C02348" w:rsidRDefault="003E4201" w:rsidP="006644F1">
      <w:pPr>
        <w:snapToGrid w:val="0"/>
        <w:spacing w:after="0" w:line="240" w:lineRule="auto"/>
        <w:ind w:firstLine="425"/>
        <w:jc w:val="both"/>
        <w:rPr>
          <w:rFonts w:ascii="Times New Roman" w:hAnsi="Times New Roman" w:cs="Times New Roman"/>
          <w:b/>
          <w:i/>
          <w:sz w:val="20"/>
          <w:szCs w:val="20"/>
          <w:lang w:eastAsia="zh-CN"/>
        </w:rPr>
      </w:pPr>
      <w:r w:rsidRPr="00C02348">
        <w:rPr>
          <w:rFonts w:ascii="Times New Roman" w:eastAsia="Calibri" w:hAnsi="Times New Roman" w:cs="Times New Roman"/>
          <w:sz w:val="20"/>
          <w:szCs w:val="20"/>
        </w:rPr>
        <w:t xml:space="preserve">To evaluate the mortality of </w:t>
      </w:r>
      <w:r w:rsidRPr="00C02348">
        <w:rPr>
          <w:rFonts w:ascii="Times New Roman" w:eastAsia="Calibri" w:hAnsi="Times New Roman" w:cs="Times New Roman"/>
          <w:i/>
          <w:sz w:val="20"/>
          <w:szCs w:val="20"/>
        </w:rPr>
        <w:t>T. castaneum</w:t>
      </w:r>
      <w:r w:rsidRPr="00C02348">
        <w:rPr>
          <w:rFonts w:ascii="Times New Roman" w:eastAsia="Calibri" w:hAnsi="Times New Roman" w:cs="Times New Roman"/>
          <w:sz w:val="20"/>
          <w:szCs w:val="20"/>
        </w:rPr>
        <w:t xml:space="preserve">, homogenous adults were released on treated diet in small plastic jars. Adults were allowed to feed on treated diet and data regarding mortality was recorded. </w:t>
      </w:r>
      <w:r w:rsidRPr="00C02348">
        <w:rPr>
          <w:rFonts w:ascii="Times New Roman" w:eastAsia="Calibri" w:hAnsi="Times New Roman" w:cs="Times New Roman"/>
          <w:sz w:val="20"/>
          <w:szCs w:val="20"/>
        </w:rPr>
        <w:lastRenderedPageBreak/>
        <w:t xml:space="preserve">Wheat grains were used as diet and three concentrations of each plant extract were used viz., 5, 10 and 15%. Mortality data </w:t>
      </w:r>
      <w:r w:rsidR="00FC498C" w:rsidRPr="00C02348">
        <w:rPr>
          <w:rFonts w:ascii="Times New Roman" w:eastAsia="Calibri" w:hAnsi="Times New Roman" w:cs="Times New Roman"/>
          <w:sz w:val="20"/>
          <w:szCs w:val="20"/>
        </w:rPr>
        <w:t>was recorded for 24, 48, 72 and 96</w:t>
      </w:r>
      <w:r w:rsidRPr="00C02348">
        <w:rPr>
          <w:rFonts w:ascii="Times New Roman" w:eastAsia="Calibri" w:hAnsi="Times New Roman" w:cs="Times New Roman"/>
          <w:sz w:val="20"/>
          <w:szCs w:val="20"/>
        </w:rPr>
        <w:t xml:space="preserve"> h of exposure period. For mortality </w:t>
      </w:r>
      <w:r w:rsidRPr="00C02348">
        <w:rPr>
          <w:rFonts w:ascii="Times New Roman" w:eastAsia="Calibri" w:hAnsi="Times New Roman" w:cs="Times New Roman"/>
          <w:sz w:val="20"/>
          <w:szCs w:val="20"/>
        </w:rPr>
        <w:lastRenderedPageBreak/>
        <w:t>assessment insects were kept in incubators at 30±2 ºC and 60±5 % RH. Each treatment and control were replicated three times</w:t>
      </w:r>
      <w:r w:rsidR="00D8200D" w:rsidRPr="00C02348">
        <w:rPr>
          <w:rFonts w:ascii="Times New Roman" w:hAnsi="Times New Roman" w:cs="Times New Roman" w:hint="eastAsia"/>
          <w:sz w:val="20"/>
          <w:szCs w:val="20"/>
          <w:lang w:eastAsia="zh-CN"/>
        </w:rPr>
        <w:t>.</w:t>
      </w:r>
    </w:p>
    <w:p w:rsidR="006644F1" w:rsidRPr="00C02348" w:rsidRDefault="006644F1" w:rsidP="006644F1">
      <w:pPr>
        <w:pStyle w:val="BodyText"/>
        <w:snapToGrid w:val="0"/>
        <w:jc w:val="center"/>
        <w:rPr>
          <w:b/>
          <w:sz w:val="20"/>
          <w:szCs w:val="20"/>
        </w:rPr>
        <w:sectPr w:rsidR="006644F1" w:rsidRPr="00C02348" w:rsidSect="006644F1">
          <w:type w:val="continuous"/>
          <w:pgSz w:w="12240" w:h="15840"/>
          <w:pgMar w:top="1440" w:right="1440" w:bottom="1440" w:left="1440" w:header="720" w:footer="720" w:gutter="0"/>
          <w:cols w:num="2" w:space="550"/>
          <w:docGrid w:linePitch="360"/>
        </w:sectPr>
      </w:pPr>
    </w:p>
    <w:p w:rsidR="006644F1" w:rsidRPr="00C02348" w:rsidRDefault="006644F1" w:rsidP="006644F1">
      <w:pPr>
        <w:pStyle w:val="BodyText"/>
        <w:snapToGrid w:val="0"/>
        <w:jc w:val="center"/>
        <w:rPr>
          <w:rFonts w:eastAsiaTheme="minorEastAsia"/>
          <w:b/>
          <w:sz w:val="20"/>
          <w:szCs w:val="20"/>
          <w:lang w:eastAsia="zh-CN"/>
        </w:rPr>
      </w:pPr>
    </w:p>
    <w:p w:rsidR="00C02348" w:rsidRDefault="00C02348" w:rsidP="006644F1">
      <w:pPr>
        <w:pStyle w:val="BodyText"/>
        <w:snapToGrid w:val="0"/>
        <w:jc w:val="center"/>
        <w:rPr>
          <w:rFonts w:eastAsiaTheme="minorEastAsia" w:hint="eastAsia"/>
          <w:b/>
          <w:sz w:val="20"/>
          <w:szCs w:val="20"/>
          <w:lang w:eastAsia="zh-CN"/>
        </w:rPr>
      </w:pPr>
    </w:p>
    <w:p w:rsidR="00FC498C" w:rsidRPr="00C02348" w:rsidRDefault="00FC498C" w:rsidP="006644F1">
      <w:pPr>
        <w:pStyle w:val="BodyText"/>
        <w:snapToGrid w:val="0"/>
        <w:jc w:val="center"/>
        <w:rPr>
          <w:b/>
          <w:sz w:val="20"/>
          <w:szCs w:val="20"/>
        </w:rPr>
      </w:pPr>
      <w:r w:rsidRPr="00C02348">
        <w:rPr>
          <w:b/>
          <w:sz w:val="20"/>
          <w:szCs w:val="20"/>
        </w:rPr>
        <w:t>Table</w:t>
      </w:r>
      <w:r w:rsidR="00C02348">
        <w:rPr>
          <w:rFonts w:eastAsiaTheme="minorEastAsia" w:hint="eastAsia"/>
          <w:b/>
          <w:sz w:val="20"/>
          <w:szCs w:val="20"/>
          <w:lang w:eastAsia="zh-CN"/>
        </w:rPr>
        <w:t xml:space="preserve"> 1</w:t>
      </w:r>
      <w:r w:rsidR="00DF4524" w:rsidRPr="00C02348">
        <w:rPr>
          <w:b/>
          <w:sz w:val="20"/>
          <w:szCs w:val="20"/>
        </w:rPr>
        <w:t>:</w:t>
      </w:r>
      <w:r w:rsidR="003E4201" w:rsidRPr="00C02348">
        <w:rPr>
          <w:b/>
          <w:sz w:val="20"/>
          <w:szCs w:val="20"/>
        </w:rPr>
        <w:t xml:space="preserve"> Percent mortality (Mean) of </w:t>
      </w:r>
      <w:r w:rsidR="003E4201" w:rsidRPr="00C02348">
        <w:rPr>
          <w:b/>
          <w:i/>
          <w:sz w:val="20"/>
          <w:szCs w:val="20"/>
        </w:rPr>
        <w:t xml:space="preserve">T.castaneum </w:t>
      </w:r>
      <w:r w:rsidR="003E4201" w:rsidRPr="00C02348">
        <w:rPr>
          <w:b/>
          <w:sz w:val="20"/>
          <w:szCs w:val="20"/>
        </w:rPr>
        <w:t xml:space="preserve">adults treated with </w:t>
      </w:r>
      <w:r w:rsidR="00AF0837" w:rsidRPr="00C02348">
        <w:rPr>
          <w:b/>
          <w:sz w:val="20"/>
          <w:szCs w:val="20"/>
        </w:rPr>
        <w:t xml:space="preserve">plant oils </w:t>
      </w:r>
      <w:r w:rsidR="003E4201" w:rsidRPr="00C02348">
        <w:rPr>
          <w:b/>
          <w:sz w:val="20"/>
          <w:szCs w:val="20"/>
        </w:rPr>
        <w:t xml:space="preserve">under store </w:t>
      </w:r>
      <w:r w:rsidR="00AF0837" w:rsidRPr="00C02348">
        <w:rPr>
          <w:b/>
          <w:sz w:val="20"/>
          <w:szCs w:val="20"/>
        </w:rPr>
        <w:t>conditions.</w:t>
      </w:r>
    </w:p>
    <w:tbl>
      <w:tblPr>
        <w:tblW w:w="5000" w:type="pct"/>
        <w:jc w:val="center"/>
        <w:tblCellMar>
          <w:left w:w="57" w:type="dxa"/>
          <w:right w:w="57" w:type="dxa"/>
        </w:tblCellMar>
        <w:tblLook w:val="01E0"/>
      </w:tblPr>
      <w:tblGrid>
        <w:gridCol w:w="2387"/>
        <w:gridCol w:w="1504"/>
        <w:gridCol w:w="2084"/>
        <w:gridCol w:w="855"/>
        <w:gridCol w:w="855"/>
        <w:gridCol w:w="855"/>
        <w:gridCol w:w="934"/>
      </w:tblGrid>
      <w:tr w:rsidR="00002C8C" w:rsidRPr="00C02348" w:rsidTr="00D8200D">
        <w:trPr>
          <w:jc w:val="center"/>
        </w:trPr>
        <w:tc>
          <w:tcPr>
            <w:tcW w:w="1260" w:type="pct"/>
            <w:tcBorders>
              <w:top w:val="single" w:sz="4" w:space="0" w:color="000000"/>
            </w:tcBorders>
            <w:vAlign w:val="center"/>
          </w:tcPr>
          <w:p w:rsidR="00FC498C" w:rsidRPr="00C02348" w:rsidRDefault="00FC498C" w:rsidP="006644F1">
            <w:pPr>
              <w:pStyle w:val="TableParagraph"/>
              <w:snapToGrid w:val="0"/>
              <w:jc w:val="both"/>
              <w:rPr>
                <w:sz w:val="20"/>
                <w:szCs w:val="20"/>
              </w:rPr>
            </w:pPr>
          </w:p>
        </w:tc>
        <w:tc>
          <w:tcPr>
            <w:tcW w:w="794" w:type="pct"/>
            <w:vMerge w:val="restar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Conc.</w:t>
            </w:r>
            <w:r w:rsidR="00DF4524" w:rsidRPr="00C02348">
              <w:rPr>
                <w:b/>
                <w:sz w:val="20"/>
                <w:szCs w:val="20"/>
              </w:rPr>
              <w:t xml:space="preserve"> </w:t>
            </w:r>
            <w:r w:rsidRPr="00C02348">
              <w:rPr>
                <w:b/>
                <w:sz w:val="20"/>
                <w:szCs w:val="20"/>
              </w:rPr>
              <w:t>(%)</w:t>
            </w:r>
          </w:p>
        </w:tc>
        <w:tc>
          <w:tcPr>
            <w:tcW w:w="1100" w:type="pct"/>
            <w:vMerge w:val="restar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No. of released</w:t>
            </w:r>
          </w:p>
          <w:p w:rsidR="00FC498C" w:rsidRPr="00C02348" w:rsidRDefault="00FC498C" w:rsidP="006644F1">
            <w:pPr>
              <w:pStyle w:val="TableParagraph"/>
              <w:snapToGrid w:val="0"/>
              <w:jc w:val="both"/>
              <w:rPr>
                <w:b/>
                <w:sz w:val="20"/>
                <w:szCs w:val="20"/>
              </w:rPr>
            </w:pPr>
            <w:r w:rsidRPr="00C02348">
              <w:rPr>
                <w:b/>
                <w:sz w:val="20"/>
                <w:szCs w:val="20"/>
              </w:rPr>
              <w:t>larvae</w:t>
            </w:r>
          </w:p>
        </w:tc>
        <w:tc>
          <w:tcPr>
            <w:tcW w:w="1847" w:type="pct"/>
            <w:gridSpan w:val="4"/>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Mean % mortality</w:t>
            </w:r>
          </w:p>
        </w:tc>
      </w:tr>
      <w:tr w:rsidR="00002C8C" w:rsidRPr="00C02348" w:rsidTr="00D8200D">
        <w:trPr>
          <w:jc w:val="center"/>
        </w:trPr>
        <w:tc>
          <w:tcPr>
            <w:tcW w:w="1260" w:type="pct"/>
            <w:tcBorders>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Treatments</w:t>
            </w:r>
          </w:p>
        </w:tc>
        <w:tc>
          <w:tcPr>
            <w:tcW w:w="794" w:type="pct"/>
            <w:vMerge/>
            <w:tcBorders>
              <w:top w:val="nil"/>
              <w:bottom w:val="single" w:sz="4" w:space="0" w:color="000000"/>
            </w:tcBorders>
            <w:vAlign w:val="center"/>
          </w:tcPr>
          <w:p w:rsidR="00FC498C" w:rsidRPr="00C02348" w:rsidRDefault="00FC498C" w:rsidP="006644F1">
            <w:pPr>
              <w:snapToGrid w:val="0"/>
              <w:spacing w:after="0" w:line="240" w:lineRule="auto"/>
              <w:jc w:val="both"/>
              <w:rPr>
                <w:rFonts w:ascii="Times New Roman" w:hAnsi="Times New Roman" w:cs="Times New Roman"/>
                <w:sz w:val="20"/>
                <w:szCs w:val="20"/>
              </w:rPr>
            </w:pPr>
          </w:p>
        </w:tc>
        <w:tc>
          <w:tcPr>
            <w:tcW w:w="1100" w:type="pct"/>
            <w:vMerge/>
            <w:tcBorders>
              <w:top w:val="nil"/>
              <w:bottom w:val="single" w:sz="4" w:space="0" w:color="000000"/>
            </w:tcBorders>
            <w:vAlign w:val="center"/>
          </w:tcPr>
          <w:p w:rsidR="00FC498C" w:rsidRPr="00C02348" w:rsidRDefault="00FC498C" w:rsidP="006644F1">
            <w:pPr>
              <w:snapToGrid w:val="0"/>
              <w:spacing w:after="0" w:line="240" w:lineRule="auto"/>
              <w:jc w:val="both"/>
              <w:rPr>
                <w:rFonts w:ascii="Times New Roman" w:hAnsi="Times New Roman" w:cs="Times New Roman"/>
                <w:sz w:val="20"/>
                <w:szCs w:val="20"/>
              </w:rPr>
            </w:pPr>
          </w:p>
        </w:tc>
        <w:tc>
          <w:tcPr>
            <w:tcW w:w="451"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24h</w:t>
            </w:r>
          </w:p>
        </w:tc>
        <w:tc>
          <w:tcPr>
            <w:tcW w:w="451"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48h</w:t>
            </w:r>
          </w:p>
        </w:tc>
        <w:tc>
          <w:tcPr>
            <w:tcW w:w="451"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72h</w:t>
            </w:r>
          </w:p>
        </w:tc>
        <w:tc>
          <w:tcPr>
            <w:tcW w:w="493"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96h</w:t>
            </w:r>
          </w:p>
        </w:tc>
      </w:tr>
      <w:tr w:rsidR="00002C8C" w:rsidRPr="00C02348" w:rsidTr="00D8200D">
        <w:trPr>
          <w:jc w:val="center"/>
        </w:trPr>
        <w:tc>
          <w:tcPr>
            <w:tcW w:w="1260"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i/>
                <w:sz w:val="20"/>
                <w:szCs w:val="20"/>
              </w:rPr>
              <w:t>Ricinus communis</w:t>
            </w:r>
          </w:p>
        </w:tc>
        <w:tc>
          <w:tcPr>
            <w:tcW w:w="794"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control</w:t>
            </w:r>
          </w:p>
        </w:tc>
        <w:tc>
          <w:tcPr>
            <w:tcW w:w="1100"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20</w:t>
            </w:r>
            <w:r w:rsidR="00DF4524" w:rsidRPr="00C02348">
              <w:rPr>
                <w:sz w:val="20"/>
                <w:szCs w:val="20"/>
              </w:rPr>
              <w:t xml:space="preserve"> </w:t>
            </w:r>
          </w:p>
        </w:tc>
        <w:tc>
          <w:tcPr>
            <w:tcW w:w="451"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0</w:t>
            </w:r>
          </w:p>
        </w:tc>
        <w:tc>
          <w:tcPr>
            <w:tcW w:w="451"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w:t>
            </w:r>
          </w:p>
        </w:tc>
        <w:tc>
          <w:tcPr>
            <w:tcW w:w="451"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w:t>
            </w:r>
          </w:p>
        </w:tc>
        <w:tc>
          <w:tcPr>
            <w:tcW w:w="493"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4</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sz w:val="20"/>
                <w:szCs w:val="20"/>
              </w:rPr>
            </w:pP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5</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8.51</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8.89</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9.07</w:t>
            </w:r>
          </w:p>
        </w:tc>
        <w:tc>
          <w:tcPr>
            <w:tcW w:w="493" w:type="pct"/>
            <w:vAlign w:val="center"/>
          </w:tcPr>
          <w:p w:rsidR="00FC498C" w:rsidRPr="00C02348" w:rsidRDefault="00FC498C" w:rsidP="006644F1">
            <w:pPr>
              <w:pStyle w:val="TableParagraph"/>
              <w:snapToGrid w:val="0"/>
              <w:jc w:val="both"/>
              <w:rPr>
                <w:sz w:val="20"/>
                <w:szCs w:val="20"/>
              </w:rPr>
            </w:pPr>
            <w:r w:rsidRPr="00C02348">
              <w:rPr>
                <w:sz w:val="20"/>
                <w:szCs w:val="20"/>
              </w:rPr>
              <w:t>9.50</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sz w:val="20"/>
                <w:szCs w:val="20"/>
              </w:rPr>
            </w:pP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10</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8.72</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8.99</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9.38</w:t>
            </w:r>
          </w:p>
        </w:tc>
        <w:tc>
          <w:tcPr>
            <w:tcW w:w="493" w:type="pct"/>
            <w:vAlign w:val="center"/>
          </w:tcPr>
          <w:p w:rsidR="00FC498C" w:rsidRPr="00C02348" w:rsidRDefault="00FC498C" w:rsidP="006644F1">
            <w:pPr>
              <w:pStyle w:val="TableParagraph"/>
              <w:snapToGrid w:val="0"/>
              <w:jc w:val="both"/>
              <w:rPr>
                <w:sz w:val="20"/>
                <w:szCs w:val="20"/>
              </w:rPr>
            </w:pPr>
            <w:r w:rsidRPr="00C02348">
              <w:rPr>
                <w:sz w:val="20"/>
                <w:szCs w:val="20"/>
              </w:rPr>
              <w:t>14.54</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sz w:val="20"/>
                <w:szCs w:val="20"/>
              </w:rPr>
            </w:pP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15</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22</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25.62</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34.05</w:t>
            </w:r>
          </w:p>
        </w:tc>
        <w:tc>
          <w:tcPr>
            <w:tcW w:w="493" w:type="pct"/>
            <w:vAlign w:val="center"/>
          </w:tcPr>
          <w:p w:rsidR="00FC498C" w:rsidRPr="00C02348" w:rsidRDefault="00FC498C" w:rsidP="006644F1">
            <w:pPr>
              <w:pStyle w:val="TableParagraph"/>
              <w:snapToGrid w:val="0"/>
              <w:jc w:val="both"/>
              <w:rPr>
                <w:sz w:val="20"/>
                <w:szCs w:val="20"/>
              </w:rPr>
            </w:pPr>
            <w:r w:rsidRPr="00C02348">
              <w:rPr>
                <w:sz w:val="20"/>
                <w:szCs w:val="20"/>
              </w:rPr>
              <w:t>36.12</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sz w:val="20"/>
                <w:szCs w:val="20"/>
              </w:rPr>
            </w:pPr>
            <w:r w:rsidRPr="00C02348">
              <w:rPr>
                <w:i/>
                <w:sz w:val="20"/>
                <w:szCs w:val="20"/>
              </w:rPr>
              <w:t>Citrus paradise</w:t>
            </w: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control</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2</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4</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4</w:t>
            </w:r>
          </w:p>
        </w:tc>
        <w:tc>
          <w:tcPr>
            <w:tcW w:w="493" w:type="pct"/>
            <w:vAlign w:val="center"/>
          </w:tcPr>
          <w:p w:rsidR="00FC498C" w:rsidRPr="00C02348" w:rsidRDefault="004A67CE" w:rsidP="006644F1">
            <w:pPr>
              <w:pStyle w:val="TableParagraph"/>
              <w:snapToGrid w:val="0"/>
              <w:jc w:val="both"/>
              <w:rPr>
                <w:sz w:val="20"/>
                <w:szCs w:val="20"/>
              </w:rPr>
            </w:pPr>
            <w:r w:rsidRPr="00C02348">
              <w:rPr>
                <w:sz w:val="20"/>
                <w:szCs w:val="20"/>
              </w:rPr>
              <w:t xml:space="preserve"> </w:t>
            </w:r>
            <w:r w:rsidR="00FC498C" w:rsidRPr="00C02348">
              <w:rPr>
                <w:sz w:val="20"/>
                <w:szCs w:val="20"/>
              </w:rPr>
              <w:t>6</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sz w:val="20"/>
                <w:szCs w:val="20"/>
              </w:rPr>
            </w:pP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5</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6.59</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8.98</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11.90</w:t>
            </w:r>
          </w:p>
        </w:tc>
        <w:tc>
          <w:tcPr>
            <w:tcW w:w="493" w:type="pct"/>
            <w:vAlign w:val="center"/>
          </w:tcPr>
          <w:p w:rsidR="00FC498C" w:rsidRPr="00C02348" w:rsidRDefault="00FC498C" w:rsidP="006644F1">
            <w:pPr>
              <w:pStyle w:val="TableParagraph"/>
              <w:snapToGrid w:val="0"/>
              <w:jc w:val="both"/>
              <w:rPr>
                <w:sz w:val="20"/>
                <w:szCs w:val="20"/>
              </w:rPr>
            </w:pPr>
            <w:r w:rsidRPr="00C02348">
              <w:rPr>
                <w:sz w:val="20"/>
                <w:szCs w:val="20"/>
              </w:rPr>
              <w:t xml:space="preserve"> 18.89</w:t>
            </w:r>
          </w:p>
        </w:tc>
      </w:tr>
      <w:tr w:rsidR="00002C8C" w:rsidRPr="00C02348" w:rsidTr="00D8200D">
        <w:trPr>
          <w:jc w:val="center"/>
        </w:trPr>
        <w:tc>
          <w:tcPr>
            <w:tcW w:w="1260" w:type="pct"/>
            <w:vAlign w:val="center"/>
          </w:tcPr>
          <w:p w:rsidR="00FC498C" w:rsidRPr="00C02348" w:rsidRDefault="00FC498C" w:rsidP="006644F1">
            <w:pPr>
              <w:pStyle w:val="TableParagraph"/>
              <w:snapToGrid w:val="0"/>
              <w:jc w:val="both"/>
              <w:rPr>
                <w:i/>
                <w:sz w:val="20"/>
                <w:szCs w:val="20"/>
              </w:rPr>
            </w:pPr>
          </w:p>
        </w:tc>
        <w:tc>
          <w:tcPr>
            <w:tcW w:w="794" w:type="pct"/>
            <w:vAlign w:val="center"/>
          </w:tcPr>
          <w:p w:rsidR="00FC498C" w:rsidRPr="00C02348" w:rsidRDefault="00FC498C" w:rsidP="006644F1">
            <w:pPr>
              <w:pStyle w:val="TableParagraph"/>
              <w:snapToGrid w:val="0"/>
              <w:jc w:val="both"/>
              <w:rPr>
                <w:sz w:val="20"/>
                <w:szCs w:val="20"/>
              </w:rPr>
            </w:pPr>
            <w:r w:rsidRPr="00C02348">
              <w:rPr>
                <w:sz w:val="20"/>
                <w:szCs w:val="20"/>
              </w:rPr>
              <w:t>10</w:t>
            </w:r>
          </w:p>
        </w:tc>
        <w:tc>
          <w:tcPr>
            <w:tcW w:w="1100"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16.27</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18.99</w:t>
            </w:r>
          </w:p>
        </w:tc>
        <w:tc>
          <w:tcPr>
            <w:tcW w:w="451" w:type="pct"/>
            <w:vAlign w:val="center"/>
          </w:tcPr>
          <w:p w:rsidR="00FC498C" w:rsidRPr="00C02348" w:rsidRDefault="00FC498C" w:rsidP="006644F1">
            <w:pPr>
              <w:pStyle w:val="TableParagraph"/>
              <w:snapToGrid w:val="0"/>
              <w:jc w:val="both"/>
              <w:rPr>
                <w:sz w:val="20"/>
                <w:szCs w:val="20"/>
              </w:rPr>
            </w:pPr>
            <w:r w:rsidRPr="00C02348">
              <w:rPr>
                <w:sz w:val="20"/>
                <w:szCs w:val="20"/>
              </w:rPr>
              <w:t>21.80</w:t>
            </w:r>
            <w:r w:rsidR="00DF4524" w:rsidRPr="00C02348">
              <w:rPr>
                <w:sz w:val="20"/>
                <w:szCs w:val="20"/>
              </w:rPr>
              <w:t xml:space="preserve"> </w:t>
            </w:r>
          </w:p>
        </w:tc>
        <w:tc>
          <w:tcPr>
            <w:tcW w:w="493" w:type="pct"/>
            <w:vAlign w:val="center"/>
          </w:tcPr>
          <w:p w:rsidR="00FC498C" w:rsidRPr="00C02348" w:rsidRDefault="00FC498C" w:rsidP="006644F1">
            <w:pPr>
              <w:pStyle w:val="TableParagraph"/>
              <w:snapToGrid w:val="0"/>
              <w:jc w:val="both"/>
              <w:rPr>
                <w:sz w:val="20"/>
                <w:szCs w:val="20"/>
              </w:rPr>
            </w:pPr>
            <w:r w:rsidRPr="00C02348">
              <w:rPr>
                <w:sz w:val="20"/>
                <w:szCs w:val="20"/>
              </w:rPr>
              <w:t xml:space="preserve"> 22.20</w:t>
            </w:r>
          </w:p>
        </w:tc>
      </w:tr>
      <w:tr w:rsidR="00D8200D" w:rsidRPr="00C02348" w:rsidTr="00D8200D">
        <w:trPr>
          <w:jc w:val="center"/>
        </w:trPr>
        <w:tc>
          <w:tcPr>
            <w:tcW w:w="1260" w:type="pct"/>
            <w:tcBorders>
              <w:bottom w:val="single" w:sz="4" w:space="0" w:color="auto"/>
            </w:tcBorders>
            <w:vAlign w:val="center"/>
          </w:tcPr>
          <w:p w:rsidR="00D8200D" w:rsidRPr="00C02348" w:rsidRDefault="00D8200D" w:rsidP="006644F1">
            <w:pPr>
              <w:pStyle w:val="TableParagraph"/>
              <w:snapToGrid w:val="0"/>
              <w:jc w:val="both"/>
              <w:rPr>
                <w:sz w:val="20"/>
                <w:szCs w:val="20"/>
              </w:rPr>
            </w:pPr>
          </w:p>
        </w:tc>
        <w:tc>
          <w:tcPr>
            <w:tcW w:w="794"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15</w:t>
            </w:r>
          </w:p>
        </w:tc>
        <w:tc>
          <w:tcPr>
            <w:tcW w:w="1100"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20</w:t>
            </w:r>
          </w:p>
        </w:tc>
        <w:tc>
          <w:tcPr>
            <w:tcW w:w="451"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19.09</w:t>
            </w:r>
          </w:p>
        </w:tc>
        <w:tc>
          <w:tcPr>
            <w:tcW w:w="451"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20.56</w:t>
            </w:r>
          </w:p>
        </w:tc>
        <w:tc>
          <w:tcPr>
            <w:tcW w:w="451"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25.87</w:t>
            </w:r>
          </w:p>
        </w:tc>
        <w:tc>
          <w:tcPr>
            <w:tcW w:w="493" w:type="pct"/>
            <w:tcBorders>
              <w:bottom w:val="single" w:sz="4" w:space="0" w:color="auto"/>
            </w:tcBorders>
            <w:vAlign w:val="center"/>
          </w:tcPr>
          <w:p w:rsidR="00D8200D" w:rsidRPr="00C02348" w:rsidRDefault="00D8200D" w:rsidP="00891CE0">
            <w:pPr>
              <w:pStyle w:val="TableParagraph"/>
              <w:snapToGrid w:val="0"/>
              <w:jc w:val="both"/>
              <w:rPr>
                <w:sz w:val="20"/>
                <w:szCs w:val="20"/>
              </w:rPr>
            </w:pPr>
            <w:r w:rsidRPr="00C02348">
              <w:rPr>
                <w:sz w:val="20"/>
                <w:szCs w:val="20"/>
              </w:rPr>
              <w:t xml:space="preserve"> 29.50</w:t>
            </w:r>
          </w:p>
        </w:tc>
      </w:tr>
    </w:tbl>
    <w:p w:rsidR="00D8200D" w:rsidRPr="00C02348" w:rsidRDefault="00D8200D" w:rsidP="006644F1">
      <w:pPr>
        <w:pStyle w:val="BodyText"/>
        <w:snapToGrid w:val="0"/>
        <w:jc w:val="center"/>
        <w:rPr>
          <w:rFonts w:eastAsiaTheme="minorEastAsia"/>
          <w:sz w:val="20"/>
          <w:szCs w:val="20"/>
          <w:lang w:eastAsia="zh-CN"/>
        </w:rPr>
      </w:pPr>
    </w:p>
    <w:p w:rsidR="00532078" w:rsidRPr="00C02348" w:rsidRDefault="00D94B1C" w:rsidP="00D8200D">
      <w:pPr>
        <w:pStyle w:val="BodyText"/>
        <w:snapToGrid w:val="0"/>
        <w:ind w:firstLine="425"/>
        <w:jc w:val="both"/>
        <w:rPr>
          <w:sz w:val="20"/>
          <w:szCs w:val="20"/>
        </w:rPr>
      </w:pPr>
      <w:r w:rsidRPr="00C02348">
        <w:rPr>
          <w:sz w:val="20"/>
          <w:szCs w:val="20"/>
        </w:rPr>
        <w:t>Table 1; Both the plant oils shows great effect on mortality of red flour beetle</w:t>
      </w:r>
      <w:r w:rsidR="00DF4524" w:rsidRPr="00C02348">
        <w:rPr>
          <w:sz w:val="20"/>
          <w:szCs w:val="20"/>
        </w:rPr>
        <w:t xml:space="preserve"> </w:t>
      </w:r>
      <w:r w:rsidRPr="00C02348">
        <w:rPr>
          <w:sz w:val="20"/>
          <w:szCs w:val="20"/>
        </w:rPr>
        <w:t>(</w:t>
      </w:r>
      <w:r w:rsidRPr="00C02348">
        <w:rPr>
          <w:i/>
          <w:sz w:val="20"/>
          <w:szCs w:val="20"/>
        </w:rPr>
        <w:t xml:space="preserve">R. communis </w:t>
      </w:r>
      <w:r w:rsidRPr="00C02348">
        <w:rPr>
          <w:sz w:val="20"/>
          <w:szCs w:val="20"/>
        </w:rPr>
        <w:t xml:space="preserve">and </w:t>
      </w:r>
      <w:r w:rsidRPr="00C02348">
        <w:rPr>
          <w:i/>
          <w:sz w:val="20"/>
          <w:szCs w:val="20"/>
        </w:rPr>
        <w:t xml:space="preserve">Citrus paradise) </w:t>
      </w:r>
      <w:r w:rsidRPr="00C02348">
        <w:rPr>
          <w:sz w:val="20"/>
          <w:szCs w:val="20"/>
        </w:rPr>
        <w:t>but it is</w:t>
      </w:r>
      <w:r w:rsidR="00DF4524" w:rsidRPr="00C02348">
        <w:rPr>
          <w:sz w:val="20"/>
          <w:szCs w:val="20"/>
        </w:rPr>
        <w:t xml:space="preserve"> </w:t>
      </w:r>
      <w:r w:rsidRPr="00C02348">
        <w:rPr>
          <w:sz w:val="20"/>
          <w:szCs w:val="20"/>
        </w:rPr>
        <w:t xml:space="preserve">shown that highest mortality was recorded by </w:t>
      </w:r>
      <w:r w:rsidRPr="00C02348">
        <w:rPr>
          <w:i/>
          <w:sz w:val="20"/>
          <w:szCs w:val="20"/>
        </w:rPr>
        <w:t xml:space="preserve">R. communis </w:t>
      </w:r>
      <w:r w:rsidRPr="00C02348">
        <w:rPr>
          <w:sz w:val="20"/>
          <w:szCs w:val="20"/>
        </w:rPr>
        <w:t xml:space="preserve">plant oil after 96hrs that is 36.12%. </w:t>
      </w:r>
    </w:p>
    <w:p w:rsidR="00D8200D" w:rsidRPr="00C02348" w:rsidRDefault="00D8200D" w:rsidP="006644F1">
      <w:pPr>
        <w:pStyle w:val="BodyText"/>
        <w:snapToGrid w:val="0"/>
        <w:jc w:val="center"/>
        <w:rPr>
          <w:rFonts w:eastAsiaTheme="minorEastAsia"/>
          <w:b/>
          <w:sz w:val="20"/>
          <w:szCs w:val="20"/>
          <w:lang w:eastAsia="zh-CN"/>
        </w:rPr>
      </w:pPr>
    </w:p>
    <w:p w:rsidR="00C02348" w:rsidRDefault="00C02348" w:rsidP="00D8200D">
      <w:pPr>
        <w:pStyle w:val="BodyText"/>
        <w:snapToGrid w:val="0"/>
        <w:jc w:val="both"/>
        <w:rPr>
          <w:rFonts w:eastAsiaTheme="minorEastAsia" w:hint="eastAsia"/>
          <w:b/>
          <w:sz w:val="20"/>
          <w:szCs w:val="20"/>
          <w:lang w:eastAsia="zh-CN"/>
        </w:rPr>
      </w:pPr>
    </w:p>
    <w:p w:rsidR="00FC498C" w:rsidRPr="00C02348" w:rsidRDefault="00AF0837" w:rsidP="00D8200D">
      <w:pPr>
        <w:pStyle w:val="BodyText"/>
        <w:snapToGrid w:val="0"/>
        <w:jc w:val="both"/>
        <w:rPr>
          <w:rFonts w:eastAsiaTheme="minorEastAsia"/>
          <w:b/>
          <w:sz w:val="20"/>
          <w:szCs w:val="20"/>
          <w:lang w:eastAsia="zh-CN"/>
        </w:rPr>
      </w:pPr>
      <w:r w:rsidRPr="00C02348">
        <w:rPr>
          <w:b/>
          <w:sz w:val="20"/>
          <w:szCs w:val="20"/>
        </w:rPr>
        <w:t>Table</w:t>
      </w:r>
      <w:r w:rsidR="00D94B1C" w:rsidRPr="00C02348">
        <w:rPr>
          <w:b/>
          <w:sz w:val="20"/>
          <w:szCs w:val="20"/>
        </w:rPr>
        <w:t xml:space="preserve"> 2</w:t>
      </w:r>
      <w:r w:rsidRPr="00C02348">
        <w:rPr>
          <w:b/>
          <w:sz w:val="20"/>
          <w:szCs w:val="20"/>
        </w:rPr>
        <w:t xml:space="preserve">: Percent mortality (Mean) of </w:t>
      </w:r>
      <w:r w:rsidRPr="00C02348">
        <w:rPr>
          <w:b/>
          <w:i/>
          <w:sz w:val="20"/>
          <w:szCs w:val="20"/>
        </w:rPr>
        <w:t xml:space="preserve">T.castaneum </w:t>
      </w:r>
      <w:r w:rsidRPr="00C02348">
        <w:rPr>
          <w:b/>
          <w:sz w:val="20"/>
          <w:szCs w:val="20"/>
        </w:rPr>
        <w:t>adults treated with</w:t>
      </w:r>
      <w:r w:rsidR="00DF4524" w:rsidRPr="00C02348">
        <w:rPr>
          <w:b/>
          <w:sz w:val="20"/>
          <w:szCs w:val="20"/>
        </w:rPr>
        <w:t xml:space="preserve"> </w:t>
      </w:r>
      <w:r w:rsidRPr="00C02348">
        <w:rPr>
          <w:b/>
          <w:sz w:val="20"/>
          <w:szCs w:val="20"/>
        </w:rPr>
        <w:t>green synthesized silver nanoparticles under store conditions.</w:t>
      </w:r>
    </w:p>
    <w:tbl>
      <w:tblPr>
        <w:tblW w:w="5000" w:type="pct"/>
        <w:jc w:val="center"/>
        <w:tblCellMar>
          <w:left w:w="57" w:type="dxa"/>
          <w:right w:w="57" w:type="dxa"/>
        </w:tblCellMar>
        <w:tblLook w:val="01E0"/>
      </w:tblPr>
      <w:tblGrid>
        <w:gridCol w:w="2954"/>
        <w:gridCol w:w="1584"/>
        <w:gridCol w:w="1844"/>
        <w:gridCol w:w="756"/>
        <w:gridCol w:w="756"/>
        <w:gridCol w:w="756"/>
        <w:gridCol w:w="824"/>
      </w:tblGrid>
      <w:tr w:rsidR="00002C8C" w:rsidRPr="00C02348" w:rsidTr="00DF4524">
        <w:trPr>
          <w:jc w:val="center"/>
        </w:trPr>
        <w:tc>
          <w:tcPr>
            <w:tcW w:w="1559" w:type="pct"/>
            <w:tcBorders>
              <w:top w:val="single" w:sz="4" w:space="0" w:color="000000"/>
            </w:tcBorders>
            <w:vAlign w:val="center"/>
          </w:tcPr>
          <w:p w:rsidR="00FC498C" w:rsidRPr="00C02348" w:rsidRDefault="00FC498C" w:rsidP="006644F1">
            <w:pPr>
              <w:pStyle w:val="TableParagraph"/>
              <w:snapToGrid w:val="0"/>
              <w:jc w:val="both"/>
              <w:rPr>
                <w:sz w:val="20"/>
                <w:szCs w:val="20"/>
              </w:rPr>
            </w:pPr>
          </w:p>
        </w:tc>
        <w:tc>
          <w:tcPr>
            <w:tcW w:w="836" w:type="pct"/>
            <w:vMerge w:val="restar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Conc. (ppm)</w:t>
            </w:r>
          </w:p>
        </w:tc>
        <w:tc>
          <w:tcPr>
            <w:tcW w:w="973" w:type="pct"/>
            <w:vMerge w:val="restar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No. of released</w:t>
            </w:r>
          </w:p>
          <w:p w:rsidR="00FC498C" w:rsidRPr="00C02348" w:rsidRDefault="00E52905" w:rsidP="006644F1">
            <w:pPr>
              <w:pStyle w:val="TableParagraph"/>
              <w:snapToGrid w:val="0"/>
              <w:jc w:val="both"/>
              <w:rPr>
                <w:b/>
                <w:sz w:val="20"/>
                <w:szCs w:val="20"/>
              </w:rPr>
            </w:pPr>
            <w:r w:rsidRPr="00C02348">
              <w:rPr>
                <w:b/>
                <w:sz w:val="20"/>
                <w:szCs w:val="20"/>
              </w:rPr>
              <w:t>L</w:t>
            </w:r>
            <w:r w:rsidR="00FC498C" w:rsidRPr="00C02348">
              <w:rPr>
                <w:b/>
                <w:sz w:val="20"/>
                <w:szCs w:val="20"/>
              </w:rPr>
              <w:t>arvae</w:t>
            </w:r>
          </w:p>
        </w:tc>
        <w:tc>
          <w:tcPr>
            <w:tcW w:w="1632" w:type="pct"/>
            <w:gridSpan w:val="4"/>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Mean % mortality</w:t>
            </w:r>
          </w:p>
        </w:tc>
      </w:tr>
      <w:tr w:rsidR="00002C8C" w:rsidRPr="00C02348" w:rsidTr="00DF4524">
        <w:trPr>
          <w:jc w:val="center"/>
        </w:trPr>
        <w:tc>
          <w:tcPr>
            <w:tcW w:w="1559" w:type="pct"/>
            <w:tcBorders>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Treatments</w:t>
            </w:r>
          </w:p>
        </w:tc>
        <w:tc>
          <w:tcPr>
            <w:tcW w:w="836" w:type="pct"/>
            <w:vMerge/>
            <w:tcBorders>
              <w:top w:val="nil"/>
              <w:bottom w:val="single" w:sz="4" w:space="0" w:color="000000"/>
            </w:tcBorders>
            <w:vAlign w:val="center"/>
          </w:tcPr>
          <w:p w:rsidR="00FC498C" w:rsidRPr="00C02348" w:rsidRDefault="00FC498C" w:rsidP="006644F1">
            <w:pPr>
              <w:snapToGrid w:val="0"/>
              <w:spacing w:after="0" w:line="240" w:lineRule="auto"/>
              <w:jc w:val="both"/>
              <w:rPr>
                <w:rFonts w:ascii="Times New Roman" w:hAnsi="Times New Roman" w:cs="Times New Roman"/>
                <w:sz w:val="20"/>
                <w:szCs w:val="20"/>
              </w:rPr>
            </w:pPr>
          </w:p>
        </w:tc>
        <w:tc>
          <w:tcPr>
            <w:tcW w:w="973" w:type="pct"/>
            <w:vMerge/>
            <w:tcBorders>
              <w:top w:val="nil"/>
              <w:bottom w:val="single" w:sz="4" w:space="0" w:color="000000"/>
            </w:tcBorders>
            <w:vAlign w:val="center"/>
          </w:tcPr>
          <w:p w:rsidR="00FC498C" w:rsidRPr="00C02348" w:rsidRDefault="00FC498C" w:rsidP="006644F1">
            <w:pPr>
              <w:snapToGrid w:val="0"/>
              <w:spacing w:after="0" w:line="240" w:lineRule="auto"/>
              <w:jc w:val="both"/>
              <w:rPr>
                <w:rFonts w:ascii="Times New Roman" w:hAnsi="Times New Roman" w:cs="Times New Roman"/>
                <w:sz w:val="20"/>
                <w:szCs w:val="20"/>
              </w:rPr>
            </w:pPr>
          </w:p>
        </w:tc>
        <w:tc>
          <w:tcPr>
            <w:tcW w:w="399"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24h</w:t>
            </w:r>
          </w:p>
        </w:tc>
        <w:tc>
          <w:tcPr>
            <w:tcW w:w="399"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48h</w:t>
            </w:r>
          </w:p>
        </w:tc>
        <w:tc>
          <w:tcPr>
            <w:tcW w:w="399"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72h</w:t>
            </w:r>
          </w:p>
        </w:tc>
        <w:tc>
          <w:tcPr>
            <w:tcW w:w="435" w:type="pct"/>
            <w:tcBorders>
              <w:top w:val="single" w:sz="4" w:space="0" w:color="000000"/>
              <w:bottom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96h</w:t>
            </w:r>
          </w:p>
        </w:tc>
      </w:tr>
      <w:tr w:rsidR="00002C8C" w:rsidRPr="00C02348" w:rsidTr="00DF4524">
        <w:trPr>
          <w:jc w:val="center"/>
        </w:trPr>
        <w:tc>
          <w:tcPr>
            <w:tcW w:w="1559"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i/>
                <w:sz w:val="20"/>
                <w:szCs w:val="20"/>
              </w:rPr>
              <w:t>Ricinus communis</w:t>
            </w:r>
            <w:r w:rsidRPr="00C02348">
              <w:rPr>
                <w:sz w:val="20"/>
                <w:szCs w:val="20"/>
              </w:rPr>
              <w:t xml:space="preserve"> AgNPs</w:t>
            </w:r>
          </w:p>
        </w:tc>
        <w:tc>
          <w:tcPr>
            <w:tcW w:w="836"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Control</w:t>
            </w:r>
          </w:p>
        </w:tc>
        <w:tc>
          <w:tcPr>
            <w:tcW w:w="973"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tcBorders>
              <w:top w:val="single" w:sz="4" w:space="0" w:color="000000"/>
            </w:tcBorders>
            <w:vAlign w:val="center"/>
          </w:tcPr>
          <w:p w:rsidR="00FC498C" w:rsidRPr="00C02348" w:rsidRDefault="00FC498C" w:rsidP="006644F1">
            <w:pPr>
              <w:pStyle w:val="TableParagraph"/>
              <w:snapToGrid w:val="0"/>
              <w:jc w:val="both"/>
              <w:rPr>
                <w:b/>
                <w:sz w:val="20"/>
                <w:szCs w:val="20"/>
              </w:rPr>
            </w:pPr>
            <w:r w:rsidRPr="00C02348">
              <w:rPr>
                <w:b/>
                <w:sz w:val="20"/>
                <w:szCs w:val="20"/>
              </w:rPr>
              <w:t>0</w:t>
            </w:r>
          </w:p>
        </w:tc>
        <w:tc>
          <w:tcPr>
            <w:tcW w:w="399"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w:t>
            </w:r>
          </w:p>
        </w:tc>
        <w:tc>
          <w:tcPr>
            <w:tcW w:w="399"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0</w:t>
            </w:r>
          </w:p>
        </w:tc>
        <w:tc>
          <w:tcPr>
            <w:tcW w:w="435" w:type="pct"/>
            <w:tcBorders>
              <w:top w:val="single" w:sz="4" w:space="0" w:color="000000"/>
            </w:tcBorders>
            <w:vAlign w:val="center"/>
          </w:tcPr>
          <w:p w:rsidR="00FC498C" w:rsidRPr="00C02348" w:rsidRDefault="00FC498C" w:rsidP="006644F1">
            <w:pPr>
              <w:pStyle w:val="TableParagraph"/>
              <w:snapToGrid w:val="0"/>
              <w:jc w:val="both"/>
              <w:rPr>
                <w:sz w:val="20"/>
                <w:szCs w:val="20"/>
              </w:rPr>
            </w:pPr>
            <w:r w:rsidRPr="00C02348">
              <w:rPr>
                <w:sz w:val="20"/>
                <w:szCs w:val="20"/>
              </w:rPr>
              <w:t>2</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p>
        </w:tc>
        <w:tc>
          <w:tcPr>
            <w:tcW w:w="836" w:type="pct"/>
            <w:vAlign w:val="center"/>
          </w:tcPr>
          <w:p w:rsidR="00FC498C" w:rsidRPr="00C02348" w:rsidRDefault="00DF4524" w:rsidP="006644F1">
            <w:pPr>
              <w:pStyle w:val="TableParagraph"/>
              <w:snapToGrid w:val="0"/>
              <w:jc w:val="both"/>
              <w:rPr>
                <w:sz w:val="20"/>
                <w:szCs w:val="20"/>
              </w:rPr>
            </w:pPr>
            <w:r w:rsidRPr="00C02348">
              <w:rPr>
                <w:sz w:val="20"/>
                <w:szCs w:val="20"/>
              </w:rPr>
              <w:t xml:space="preserve"> </w:t>
            </w:r>
            <w:r w:rsidR="00FC498C" w:rsidRPr="00C02348">
              <w:rPr>
                <w:sz w:val="20"/>
                <w:szCs w:val="20"/>
              </w:rPr>
              <w:t>100</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18.87</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19.0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22.12</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25.76</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p>
        </w:tc>
        <w:tc>
          <w:tcPr>
            <w:tcW w:w="836" w:type="pct"/>
            <w:vAlign w:val="center"/>
          </w:tcPr>
          <w:p w:rsidR="00FC498C" w:rsidRPr="00C02348" w:rsidRDefault="00DF4524" w:rsidP="006644F1">
            <w:pPr>
              <w:pStyle w:val="TableParagraph"/>
              <w:snapToGrid w:val="0"/>
              <w:jc w:val="both"/>
              <w:rPr>
                <w:sz w:val="20"/>
                <w:szCs w:val="20"/>
              </w:rPr>
            </w:pPr>
            <w:r w:rsidRPr="00C02348">
              <w:rPr>
                <w:sz w:val="20"/>
                <w:szCs w:val="20"/>
              </w:rPr>
              <w:t xml:space="preserve"> </w:t>
            </w:r>
            <w:r w:rsidR="00FC498C" w:rsidRPr="00C02348">
              <w:rPr>
                <w:sz w:val="20"/>
                <w:szCs w:val="20"/>
              </w:rPr>
              <w:t>200</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27.8</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28.7</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31.77</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32.45</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p>
        </w:tc>
        <w:tc>
          <w:tcPr>
            <w:tcW w:w="836" w:type="pct"/>
            <w:vAlign w:val="center"/>
          </w:tcPr>
          <w:p w:rsidR="00FC498C" w:rsidRPr="00C02348" w:rsidRDefault="00DF4524" w:rsidP="006644F1">
            <w:pPr>
              <w:pStyle w:val="TableParagraph"/>
              <w:snapToGrid w:val="0"/>
              <w:jc w:val="both"/>
              <w:rPr>
                <w:sz w:val="20"/>
                <w:szCs w:val="20"/>
              </w:rPr>
            </w:pPr>
            <w:r w:rsidRPr="00C02348">
              <w:rPr>
                <w:sz w:val="20"/>
                <w:szCs w:val="20"/>
              </w:rPr>
              <w:t xml:space="preserve"> </w:t>
            </w:r>
            <w:r w:rsidR="00FC498C" w:rsidRPr="00C02348">
              <w:rPr>
                <w:sz w:val="20"/>
                <w:szCs w:val="20"/>
              </w:rPr>
              <w:t>300</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32.12</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33.9</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36.61</w:t>
            </w:r>
            <w:r w:rsidR="00DF4524" w:rsidRPr="00C02348">
              <w:rPr>
                <w:sz w:val="20"/>
                <w:szCs w:val="20"/>
              </w:rPr>
              <w:t xml:space="preserve"> </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 xml:space="preserve"> 41.40</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r w:rsidRPr="00C02348">
              <w:rPr>
                <w:i/>
                <w:sz w:val="20"/>
                <w:szCs w:val="20"/>
              </w:rPr>
              <w:t>Citrus paradise</w:t>
            </w:r>
            <w:r w:rsidRPr="00C02348">
              <w:rPr>
                <w:sz w:val="20"/>
                <w:szCs w:val="20"/>
              </w:rPr>
              <w:t xml:space="preserve"> AgNPs</w:t>
            </w:r>
          </w:p>
        </w:tc>
        <w:tc>
          <w:tcPr>
            <w:tcW w:w="836" w:type="pct"/>
            <w:vAlign w:val="center"/>
          </w:tcPr>
          <w:p w:rsidR="00FC498C" w:rsidRPr="00C02348" w:rsidRDefault="00FC498C" w:rsidP="006644F1">
            <w:pPr>
              <w:pStyle w:val="TableParagraph"/>
              <w:snapToGrid w:val="0"/>
              <w:jc w:val="both"/>
              <w:rPr>
                <w:sz w:val="20"/>
                <w:szCs w:val="20"/>
              </w:rPr>
            </w:pPr>
            <w:r w:rsidRPr="00C02348">
              <w:rPr>
                <w:sz w:val="20"/>
                <w:szCs w:val="20"/>
              </w:rPr>
              <w:t>Control</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2</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p>
        </w:tc>
        <w:tc>
          <w:tcPr>
            <w:tcW w:w="836" w:type="pct"/>
            <w:vAlign w:val="center"/>
          </w:tcPr>
          <w:p w:rsidR="00FC498C" w:rsidRPr="00C02348" w:rsidRDefault="00FC498C" w:rsidP="006644F1">
            <w:pPr>
              <w:pStyle w:val="TableParagraph"/>
              <w:snapToGrid w:val="0"/>
              <w:jc w:val="both"/>
              <w:rPr>
                <w:sz w:val="20"/>
                <w:szCs w:val="20"/>
              </w:rPr>
            </w:pPr>
            <w:r w:rsidRPr="00C02348">
              <w:rPr>
                <w:sz w:val="20"/>
                <w:szCs w:val="20"/>
              </w:rPr>
              <w:t>100</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18.11</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20.2</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22.43</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23.04</w:t>
            </w:r>
          </w:p>
        </w:tc>
      </w:tr>
      <w:tr w:rsidR="00002C8C" w:rsidRPr="00C02348" w:rsidTr="00DF4524">
        <w:trPr>
          <w:jc w:val="center"/>
        </w:trPr>
        <w:tc>
          <w:tcPr>
            <w:tcW w:w="1559" w:type="pct"/>
            <w:vAlign w:val="center"/>
          </w:tcPr>
          <w:p w:rsidR="00FC498C" w:rsidRPr="00C02348" w:rsidRDefault="00FC498C" w:rsidP="006644F1">
            <w:pPr>
              <w:pStyle w:val="TableParagraph"/>
              <w:snapToGrid w:val="0"/>
              <w:jc w:val="both"/>
              <w:rPr>
                <w:sz w:val="20"/>
                <w:szCs w:val="20"/>
              </w:rPr>
            </w:pPr>
          </w:p>
        </w:tc>
        <w:tc>
          <w:tcPr>
            <w:tcW w:w="836" w:type="pct"/>
            <w:vAlign w:val="center"/>
          </w:tcPr>
          <w:p w:rsidR="00FC498C" w:rsidRPr="00C02348" w:rsidRDefault="00FC498C" w:rsidP="006644F1">
            <w:pPr>
              <w:pStyle w:val="TableParagraph"/>
              <w:snapToGrid w:val="0"/>
              <w:jc w:val="both"/>
              <w:rPr>
                <w:sz w:val="20"/>
                <w:szCs w:val="20"/>
              </w:rPr>
            </w:pPr>
            <w:r w:rsidRPr="00C02348">
              <w:rPr>
                <w:sz w:val="20"/>
                <w:szCs w:val="20"/>
              </w:rPr>
              <w:t>200</w:t>
            </w:r>
          </w:p>
        </w:tc>
        <w:tc>
          <w:tcPr>
            <w:tcW w:w="973" w:type="pct"/>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29.92</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31.98</w:t>
            </w:r>
          </w:p>
        </w:tc>
        <w:tc>
          <w:tcPr>
            <w:tcW w:w="399" w:type="pct"/>
            <w:vAlign w:val="center"/>
          </w:tcPr>
          <w:p w:rsidR="00FC498C" w:rsidRPr="00C02348" w:rsidRDefault="00FC498C" w:rsidP="006644F1">
            <w:pPr>
              <w:pStyle w:val="TableParagraph"/>
              <w:snapToGrid w:val="0"/>
              <w:jc w:val="both"/>
              <w:rPr>
                <w:sz w:val="20"/>
                <w:szCs w:val="20"/>
              </w:rPr>
            </w:pPr>
            <w:r w:rsidRPr="00C02348">
              <w:rPr>
                <w:sz w:val="20"/>
                <w:szCs w:val="20"/>
              </w:rPr>
              <w:t>32.06</w:t>
            </w:r>
          </w:p>
        </w:tc>
        <w:tc>
          <w:tcPr>
            <w:tcW w:w="435" w:type="pct"/>
            <w:vAlign w:val="center"/>
          </w:tcPr>
          <w:p w:rsidR="00FC498C" w:rsidRPr="00C02348" w:rsidRDefault="00FC498C" w:rsidP="006644F1">
            <w:pPr>
              <w:pStyle w:val="TableParagraph"/>
              <w:snapToGrid w:val="0"/>
              <w:jc w:val="both"/>
              <w:rPr>
                <w:sz w:val="20"/>
                <w:szCs w:val="20"/>
              </w:rPr>
            </w:pPr>
            <w:r w:rsidRPr="00C02348">
              <w:rPr>
                <w:sz w:val="20"/>
                <w:szCs w:val="20"/>
              </w:rPr>
              <w:t>32.98</w:t>
            </w:r>
          </w:p>
        </w:tc>
      </w:tr>
      <w:tr w:rsidR="00002C8C" w:rsidRPr="00C02348" w:rsidTr="00DF4524">
        <w:trPr>
          <w:jc w:val="center"/>
        </w:trPr>
        <w:tc>
          <w:tcPr>
            <w:tcW w:w="1559" w:type="pct"/>
            <w:tcBorders>
              <w:bottom w:val="single" w:sz="4" w:space="0" w:color="auto"/>
            </w:tcBorders>
            <w:vAlign w:val="center"/>
          </w:tcPr>
          <w:p w:rsidR="00FC498C" w:rsidRPr="00C02348" w:rsidRDefault="00FC498C" w:rsidP="006644F1">
            <w:pPr>
              <w:pStyle w:val="TableParagraph"/>
              <w:snapToGrid w:val="0"/>
              <w:jc w:val="both"/>
              <w:rPr>
                <w:sz w:val="20"/>
                <w:szCs w:val="20"/>
              </w:rPr>
            </w:pPr>
          </w:p>
        </w:tc>
        <w:tc>
          <w:tcPr>
            <w:tcW w:w="836"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300</w:t>
            </w:r>
          </w:p>
        </w:tc>
        <w:tc>
          <w:tcPr>
            <w:tcW w:w="973"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20</w:t>
            </w:r>
          </w:p>
        </w:tc>
        <w:tc>
          <w:tcPr>
            <w:tcW w:w="399"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26.12</w:t>
            </w:r>
            <w:r w:rsidR="00DF4524" w:rsidRPr="00C02348">
              <w:rPr>
                <w:sz w:val="20"/>
                <w:szCs w:val="20"/>
              </w:rPr>
              <w:t xml:space="preserve"> </w:t>
            </w:r>
          </w:p>
        </w:tc>
        <w:tc>
          <w:tcPr>
            <w:tcW w:w="399"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28.3</w:t>
            </w:r>
          </w:p>
        </w:tc>
        <w:tc>
          <w:tcPr>
            <w:tcW w:w="399"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34.76</w:t>
            </w:r>
          </w:p>
        </w:tc>
        <w:tc>
          <w:tcPr>
            <w:tcW w:w="435" w:type="pct"/>
            <w:tcBorders>
              <w:bottom w:val="single" w:sz="4" w:space="0" w:color="auto"/>
            </w:tcBorders>
            <w:vAlign w:val="center"/>
          </w:tcPr>
          <w:p w:rsidR="00FC498C" w:rsidRPr="00C02348" w:rsidRDefault="00FC498C" w:rsidP="006644F1">
            <w:pPr>
              <w:pStyle w:val="TableParagraph"/>
              <w:snapToGrid w:val="0"/>
              <w:jc w:val="both"/>
              <w:rPr>
                <w:sz w:val="20"/>
                <w:szCs w:val="20"/>
              </w:rPr>
            </w:pPr>
            <w:r w:rsidRPr="00C02348">
              <w:rPr>
                <w:sz w:val="20"/>
                <w:szCs w:val="20"/>
              </w:rPr>
              <w:t>38.81</w:t>
            </w:r>
          </w:p>
        </w:tc>
      </w:tr>
    </w:tbl>
    <w:p w:rsidR="00D8200D" w:rsidRDefault="00D8200D" w:rsidP="006644F1">
      <w:pPr>
        <w:pStyle w:val="BodyText"/>
        <w:snapToGrid w:val="0"/>
        <w:ind w:firstLine="425"/>
        <w:jc w:val="both"/>
        <w:rPr>
          <w:rFonts w:eastAsiaTheme="minorEastAsia" w:hint="eastAsia"/>
          <w:b/>
          <w:i/>
          <w:sz w:val="20"/>
          <w:szCs w:val="20"/>
          <w:lang w:eastAsia="zh-CN"/>
        </w:rPr>
      </w:pPr>
    </w:p>
    <w:p w:rsidR="00C02348" w:rsidRPr="00C02348" w:rsidRDefault="00C02348" w:rsidP="006644F1">
      <w:pPr>
        <w:pStyle w:val="BodyText"/>
        <w:snapToGrid w:val="0"/>
        <w:ind w:firstLine="425"/>
        <w:jc w:val="both"/>
        <w:rPr>
          <w:rFonts w:eastAsiaTheme="minorEastAsia" w:hint="eastAsia"/>
          <w:b/>
          <w:i/>
          <w:sz w:val="20"/>
          <w:szCs w:val="20"/>
          <w:lang w:eastAsia="zh-CN"/>
        </w:rPr>
      </w:pPr>
    </w:p>
    <w:p w:rsidR="00D8200D" w:rsidRPr="00C02348" w:rsidRDefault="00D8200D" w:rsidP="006644F1">
      <w:pPr>
        <w:pStyle w:val="BodyText"/>
        <w:snapToGrid w:val="0"/>
        <w:ind w:firstLine="425"/>
        <w:jc w:val="both"/>
        <w:rPr>
          <w:b/>
          <w:i/>
          <w:sz w:val="20"/>
          <w:szCs w:val="20"/>
        </w:rPr>
        <w:sectPr w:rsidR="00D8200D" w:rsidRPr="00C02348" w:rsidSect="00DF4524">
          <w:type w:val="continuous"/>
          <w:pgSz w:w="12240" w:h="15840"/>
          <w:pgMar w:top="1440" w:right="1440" w:bottom="1440" w:left="1440" w:header="720" w:footer="720" w:gutter="0"/>
          <w:cols w:space="720"/>
          <w:docGrid w:linePitch="360"/>
        </w:sectPr>
      </w:pPr>
    </w:p>
    <w:p w:rsidR="00E52905" w:rsidRPr="00C02348" w:rsidRDefault="00D94B1C" w:rsidP="00D8200D">
      <w:pPr>
        <w:pStyle w:val="BodyText"/>
        <w:snapToGrid w:val="0"/>
        <w:ind w:firstLine="425"/>
        <w:jc w:val="both"/>
        <w:rPr>
          <w:sz w:val="20"/>
          <w:szCs w:val="20"/>
        </w:rPr>
      </w:pPr>
      <w:r w:rsidRPr="00C02348">
        <w:rPr>
          <w:sz w:val="20"/>
          <w:szCs w:val="20"/>
        </w:rPr>
        <w:lastRenderedPageBreak/>
        <w:t>Table 2; Both the green synthesized silver nanoparticles shows effect on mortality of red flour beetle</w:t>
      </w:r>
      <w:r w:rsidR="00DF4524" w:rsidRPr="00C02348">
        <w:rPr>
          <w:sz w:val="20"/>
          <w:szCs w:val="20"/>
        </w:rPr>
        <w:t xml:space="preserve"> </w:t>
      </w:r>
      <w:r w:rsidRPr="00C02348">
        <w:rPr>
          <w:sz w:val="20"/>
          <w:szCs w:val="20"/>
        </w:rPr>
        <w:t>(</w:t>
      </w:r>
      <w:r w:rsidRPr="00C02348">
        <w:rPr>
          <w:i/>
          <w:sz w:val="20"/>
          <w:szCs w:val="20"/>
        </w:rPr>
        <w:t xml:space="preserve">R. communis </w:t>
      </w:r>
      <w:r w:rsidRPr="00C02348">
        <w:rPr>
          <w:sz w:val="20"/>
          <w:szCs w:val="20"/>
        </w:rPr>
        <w:t>AgNPs</w:t>
      </w:r>
      <w:r w:rsidRPr="00C02348">
        <w:rPr>
          <w:i/>
          <w:sz w:val="20"/>
          <w:szCs w:val="20"/>
        </w:rPr>
        <w:t xml:space="preserve"> </w:t>
      </w:r>
      <w:r w:rsidRPr="00C02348">
        <w:rPr>
          <w:sz w:val="20"/>
          <w:szCs w:val="20"/>
        </w:rPr>
        <w:t xml:space="preserve">and </w:t>
      </w:r>
      <w:r w:rsidRPr="00C02348">
        <w:rPr>
          <w:i/>
          <w:sz w:val="20"/>
          <w:szCs w:val="20"/>
        </w:rPr>
        <w:t>Citrus paradise</w:t>
      </w:r>
      <w:r w:rsidRPr="00C02348">
        <w:rPr>
          <w:sz w:val="20"/>
          <w:szCs w:val="20"/>
        </w:rPr>
        <w:t xml:space="preserve"> AgNPs</w:t>
      </w:r>
      <w:r w:rsidRPr="00C02348">
        <w:rPr>
          <w:i/>
          <w:sz w:val="20"/>
          <w:szCs w:val="20"/>
        </w:rPr>
        <w:t xml:space="preserve">) </w:t>
      </w:r>
      <w:r w:rsidRPr="00C02348">
        <w:rPr>
          <w:sz w:val="20"/>
          <w:szCs w:val="20"/>
        </w:rPr>
        <w:t>but it is</w:t>
      </w:r>
      <w:r w:rsidR="00DF4524" w:rsidRPr="00C02348">
        <w:rPr>
          <w:sz w:val="20"/>
          <w:szCs w:val="20"/>
        </w:rPr>
        <w:t xml:space="preserve"> </w:t>
      </w:r>
      <w:r w:rsidRPr="00C02348">
        <w:rPr>
          <w:sz w:val="20"/>
          <w:szCs w:val="20"/>
        </w:rPr>
        <w:t xml:space="preserve">shown that highest mortality was </w:t>
      </w:r>
      <w:r w:rsidRPr="00C02348">
        <w:rPr>
          <w:sz w:val="20"/>
          <w:szCs w:val="20"/>
        </w:rPr>
        <w:lastRenderedPageBreak/>
        <w:t xml:space="preserve">recorded by </w:t>
      </w:r>
      <w:r w:rsidRPr="00C02348">
        <w:rPr>
          <w:i/>
          <w:sz w:val="20"/>
          <w:szCs w:val="20"/>
        </w:rPr>
        <w:t xml:space="preserve">R. communis </w:t>
      </w:r>
      <w:r w:rsidRPr="00C02348">
        <w:rPr>
          <w:sz w:val="20"/>
          <w:szCs w:val="20"/>
        </w:rPr>
        <w:t>AgNPs</w:t>
      </w:r>
      <w:r w:rsidRPr="00C02348">
        <w:rPr>
          <w:i/>
          <w:sz w:val="20"/>
          <w:szCs w:val="20"/>
        </w:rPr>
        <w:t xml:space="preserve"> </w:t>
      </w:r>
      <w:r w:rsidRPr="00C02348">
        <w:rPr>
          <w:sz w:val="20"/>
          <w:szCs w:val="20"/>
        </w:rPr>
        <w:t>after 96hrs that is 41.40%.</w:t>
      </w:r>
    </w:p>
    <w:p w:rsidR="00E55847" w:rsidRPr="00C02348" w:rsidRDefault="00E55847" w:rsidP="00D8200D">
      <w:pPr>
        <w:pStyle w:val="BodyText"/>
        <w:snapToGrid w:val="0"/>
        <w:jc w:val="both"/>
        <w:rPr>
          <w:b/>
          <w:sz w:val="20"/>
          <w:szCs w:val="20"/>
        </w:rPr>
      </w:pPr>
      <w:r w:rsidRPr="00C02348">
        <w:rPr>
          <w:b/>
          <w:sz w:val="20"/>
          <w:szCs w:val="20"/>
        </w:rPr>
        <w:t xml:space="preserve">Data for repellency </w:t>
      </w:r>
    </w:p>
    <w:p w:rsidR="006644F1" w:rsidRPr="00C02348" w:rsidRDefault="006644F1" w:rsidP="006644F1">
      <w:pPr>
        <w:pStyle w:val="BodyText"/>
        <w:snapToGrid w:val="0"/>
        <w:jc w:val="center"/>
        <w:rPr>
          <w:b/>
          <w:sz w:val="20"/>
          <w:szCs w:val="20"/>
        </w:rPr>
        <w:sectPr w:rsidR="006644F1" w:rsidRPr="00C02348" w:rsidSect="006644F1">
          <w:type w:val="continuous"/>
          <w:pgSz w:w="12240" w:h="15840"/>
          <w:pgMar w:top="1440" w:right="1440" w:bottom="1440" w:left="1440" w:header="720" w:footer="720" w:gutter="0"/>
          <w:cols w:num="2" w:space="550"/>
          <w:docGrid w:linePitch="360"/>
        </w:sectPr>
      </w:pPr>
    </w:p>
    <w:p w:rsidR="00D8200D" w:rsidRPr="00C02348" w:rsidRDefault="00D8200D" w:rsidP="00D8200D">
      <w:pPr>
        <w:pStyle w:val="BodyText"/>
        <w:snapToGrid w:val="0"/>
        <w:jc w:val="both"/>
        <w:rPr>
          <w:rFonts w:eastAsiaTheme="minorEastAsia"/>
          <w:b/>
          <w:sz w:val="20"/>
          <w:szCs w:val="20"/>
          <w:lang w:eastAsia="zh-CN"/>
        </w:rPr>
      </w:pPr>
    </w:p>
    <w:p w:rsidR="00C02348" w:rsidRDefault="00C02348" w:rsidP="00D8200D">
      <w:pPr>
        <w:pStyle w:val="BodyText"/>
        <w:snapToGrid w:val="0"/>
        <w:jc w:val="both"/>
        <w:rPr>
          <w:rFonts w:eastAsiaTheme="minorEastAsia" w:hint="eastAsia"/>
          <w:b/>
          <w:sz w:val="20"/>
          <w:szCs w:val="20"/>
          <w:lang w:eastAsia="zh-CN"/>
        </w:rPr>
      </w:pPr>
    </w:p>
    <w:p w:rsidR="00E52905" w:rsidRPr="00C02348" w:rsidRDefault="00E52905" w:rsidP="00D8200D">
      <w:pPr>
        <w:pStyle w:val="BodyText"/>
        <w:snapToGrid w:val="0"/>
        <w:jc w:val="both"/>
        <w:rPr>
          <w:sz w:val="20"/>
          <w:szCs w:val="20"/>
        </w:rPr>
      </w:pPr>
      <w:r w:rsidRPr="00C02348">
        <w:rPr>
          <w:b/>
          <w:sz w:val="20"/>
          <w:szCs w:val="20"/>
        </w:rPr>
        <w:t xml:space="preserve">Table 3; Comparison of the mean percentage repellency of </w:t>
      </w:r>
      <w:r w:rsidRPr="00C02348">
        <w:rPr>
          <w:b/>
          <w:i/>
          <w:sz w:val="20"/>
          <w:szCs w:val="20"/>
        </w:rPr>
        <w:t>T. castaneum</w:t>
      </w:r>
      <w:r w:rsidRPr="00C02348">
        <w:rPr>
          <w:b/>
          <w:sz w:val="20"/>
          <w:szCs w:val="20"/>
        </w:rPr>
        <w:t xml:space="preserve"> after exposure to various concentration of plant oil </w:t>
      </w:r>
      <w:r w:rsidRPr="00C02348">
        <w:rPr>
          <w:b/>
          <w:i/>
          <w:sz w:val="20"/>
          <w:szCs w:val="20"/>
        </w:rPr>
        <w:t>R. communis</w:t>
      </w:r>
      <w:r w:rsidRPr="00C02348">
        <w:rPr>
          <w:b/>
          <w:sz w:val="20"/>
          <w:szCs w:val="20"/>
        </w:rPr>
        <w:t xml:space="preserve"> after 24hrs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09"/>
        <w:gridCol w:w="4765"/>
      </w:tblGrid>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Concentration (%)</w:t>
            </w:r>
          </w:p>
        </w:tc>
        <w:tc>
          <w:tcPr>
            <w:tcW w:w="2515"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Repellency ± SE</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5%</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41</w:t>
            </w:r>
            <w:r w:rsidR="00E52905" w:rsidRPr="00C02348">
              <w:rPr>
                <w:rFonts w:ascii="Times New Roman" w:hAnsi="Times New Roman" w:cs="Times New Roman"/>
                <w:sz w:val="20"/>
                <w:szCs w:val="20"/>
              </w:rPr>
              <w:t>.60 ± 2.98 c</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10%</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51</w:t>
            </w:r>
            <w:r w:rsidR="00E52905" w:rsidRPr="00C02348">
              <w:rPr>
                <w:rFonts w:ascii="Times New Roman" w:hAnsi="Times New Roman" w:cs="Times New Roman"/>
                <w:sz w:val="20"/>
                <w:szCs w:val="20"/>
              </w:rPr>
              <w:t>.21 ± 2.49 b</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15%</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54</w:t>
            </w:r>
            <w:r w:rsidR="00E52905" w:rsidRPr="00C02348">
              <w:rPr>
                <w:rFonts w:ascii="Times New Roman" w:hAnsi="Times New Roman" w:cs="Times New Roman"/>
                <w:sz w:val="20"/>
                <w:szCs w:val="20"/>
              </w:rPr>
              <w:t>.36 ± 2.33a</w:t>
            </w:r>
          </w:p>
        </w:tc>
      </w:tr>
    </w:tbl>
    <w:p w:rsidR="00D8200D" w:rsidRPr="00C02348" w:rsidRDefault="00D8200D" w:rsidP="006644F1">
      <w:pPr>
        <w:snapToGrid w:val="0"/>
        <w:spacing w:after="0" w:line="240" w:lineRule="auto"/>
        <w:ind w:firstLine="425"/>
        <w:jc w:val="both"/>
        <w:rPr>
          <w:rFonts w:ascii="Times New Roman" w:hAnsi="Times New Roman" w:cs="Times New Roman"/>
          <w:sz w:val="20"/>
          <w:szCs w:val="20"/>
        </w:rPr>
      </w:pPr>
    </w:p>
    <w:p w:rsidR="00D8200D" w:rsidRPr="00C02348" w:rsidRDefault="00D8200D" w:rsidP="006644F1">
      <w:pPr>
        <w:snapToGrid w:val="0"/>
        <w:spacing w:after="0" w:line="240" w:lineRule="auto"/>
        <w:ind w:firstLine="425"/>
        <w:jc w:val="both"/>
        <w:rPr>
          <w:rFonts w:ascii="Times New Roman" w:hAnsi="Times New Roman" w:cs="Times New Roman"/>
          <w:sz w:val="20"/>
          <w:szCs w:val="20"/>
        </w:rPr>
        <w:sectPr w:rsidR="00D8200D" w:rsidRPr="00C02348" w:rsidSect="00DF4524">
          <w:type w:val="continuous"/>
          <w:pgSz w:w="12240" w:h="15840"/>
          <w:pgMar w:top="1440" w:right="1440" w:bottom="1440" w:left="1440" w:header="720" w:footer="720" w:gutter="0"/>
          <w:cols w:space="720"/>
          <w:docGrid w:linePitch="360"/>
        </w:sectPr>
      </w:pPr>
    </w:p>
    <w:p w:rsidR="00E52905" w:rsidRPr="00C02348" w:rsidRDefault="00E52905" w:rsidP="006644F1">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lastRenderedPageBreak/>
        <w:t>The outcome of the repellency bioassays in table 3</w:t>
      </w:r>
      <w:r w:rsidR="00E55847" w:rsidRPr="00C02348">
        <w:rPr>
          <w:rFonts w:ascii="Times New Roman" w:hAnsi="Times New Roman" w:cs="Times New Roman"/>
          <w:sz w:val="20"/>
          <w:szCs w:val="20"/>
        </w:rPr>
        <w:t xml:space="preserve"> </w:t>
      </w:r>
      <w:r w:rsidRPr="00C02348">
        <w:rPr>
          <w:rFonts w:ascii="Times New Roman" w:hAnsi="Times New Roman" w:cs="Times New Roman"/>
          <w:sz w:val="20"/>
          <w:szCs w:val="20"/>
        </w:rPr>
        <w:t xml:space="preserve">revealed that repellency was </w:t>
      </w:r>
      <w:r w:rsidR="00E55847" w:rsidRPr="00C02348">
        <w:rPr>
          <w:rFonts w:ascii="Times New Roman" w:hAnsi="Times New Roman" w:cs="Times New Roman"/>
          <w:sz w:val="20"/>
          <w:szCs w:val="20"/>
        </w:rPr>
        <w:t>found</w:t>
      </w:r>
      <w:r w:rsidRPr="00C02348">
        <w:rPr>
          <w:rFonts w:ascii="Times New Roman" w:hAnsi="Times New Roman" w:cs="Times New Roman"/>
          <w:sz w:val="20"/>
          <w:szCs w:val="20"/>
        </w:rPr>
        <w:t xml:space="preserve"> increased with increase in concentration for all extract of plants</w:t>
      </w:r>
      <w:r w:rsidR="00E55847" w:rsidRPr="00C02348">
        <w:rPr>
          <w:rFonts w:ascii="Times New Roman" w:hAnsi="Times New Roman" w:cs="Times New Roman"/>
          <w:sz w:val="20"/>
          <w:szCs w:val="20"/>
        </w:rPr>
        <w:t xml:space="preserve">. </w:t>
      </w:r>
      <w:r w:rsidR="00E55847" w:rsidRPr="00C02348">
        <w:rPr>
          <w:rFonts w:ascii="Times New Roman" w:hAnsi="Times New Roman" w:cs="Times New Roman"/>
          <w:sz w:val="20"/>
          <w:szCs w:val="20"/>
        </w:rPr>
        <w:lastRenderedPageBreak/>
        <w:t>Maximum repellency 54</w:t>
      </w:r>
      <w:r w:rsidRPr="00C02348">
        <w:rPr>
          <w:rFonts w:ascii="Times New Roman" w:hAnsi="Times New Roman" w:cs="Times New Roman"/>
          <w:sz w:val="20"/>
          <w:szCs w:val="20"/>
        </w:rPr>
        <w:t>.36% was recorded at 15</w:t>
      </w:r>
      <w:r w:rsidR="00E55847" w:rsidRPr="00C02348">
        <w:rPr>
          <w:rFonts w:ascii="Times New Roman" w:hAnsi="Times New Roman" w:cs="Times New Roman"/>
          <w:sz w:val="20"/>
          <w:szCs w:val="20"/>
        </w:rPr>
        <w:t>% concentration while minimum 41</w:t>
      </w:r>
      <w:r w:rsidRPr="00C02348">
        <w:rPr>
          <w:rFonts w:ascii="Times New Roman" w:hAnsi="Times New Roman" w:cs="Times New Roman"/>
          <w:sz w:val="20"/>
          <w:szCs w:val="20"/>
        </w:rPr>
        <w:t>.60% was recorded at 5% concentration.</w:t>
      </w:r>
    </w:p>
    <w:p w:rsidR="006644F1" w:rsidRPr="00C02348" w:rsidRDefault="006644F1" w:rsidP="006644F1">
      <w:pPr>
        <w:snapToGrid w:val="0"/>
        <w:spacing w:after="0" w:line="240" w:lineRule="auto"/>
        <w:jc w:val="both"/>
        <w:rPr>
          <w:rFonts w:ascii="Times New Roman" w:hAnsi="Times New Roman" w:cs="Times New Roman"/>
          <w:b/>
          <w:sz w:val="20"/>
          <w:szCs w:val="20"/>
        </w:rPr>
        <w:sectPr w:rsidR="006644F1" w:rsidRPr="00C02348" w:rsidSect="006644F1">
          <w:type w:val="continuous"/>
          <w:pgSz w:w="12240" w:h="15840"/>
          <w:pgMar w:top="1440" w:right="1440" w:bottom="1440" w:left="1440" w:header="720" w:footer="720" w:gutter="0"/>
          <w:cols w:num="2" w:space="550"/>
          <w:docGrid w:linePitch="360"/>
        </w:sectPr>
      </w:pPr>
    </w:p>
    <w:p w:rsidR="00D8200D" w:rsidRPr="00C02348" w:rsidRDefault="00D8200D" w:rsidP="006644F1">
      <w:pPr>
        <w:snapToGrid w:val="0"/>
        <w:spacing w:after="0" w:line="240" w:lineRule="auto"/>
        <w:jc w:val="both"/>
        <w:rPr>
          <w:rFonts w:ascii="Times New Roman" w:hAnsi="Times New Roman" w:cs="Times New Roman"/>
          <w:b/>
          <w:sz w:val="20"/>
          <w:szCs w:val="20"/>
          <w:lang w:eastAsia="zh-CN"/>
        </w:rPr>
      </w:pPr>
    </w:p>
    <w:p w:rsidR="00C02348" w:rsidRDefault="00C02348" w:rsidP="006644F1">
      <w:pPr>
        <w:snapToGrid w:val="0"/>
        <w:spacing w:after="0" w:line="240" w:lineRule="auto"/>
        <w:jc w:val="both"/>
        <w:rPr>
          <w:rFonts w:ascii="Times New Roman" w:hAnsi="Times New Roman" w:cs="Times New Roman" w:hint="eastAsia"/>
          <w:b/>
          <w:sz w:val="20"/>
          <w:szCs w:val="20"/>
          <w:lang w:eastAsia="zh-CN"/>
        </w:rPr>
      </w:pPr>
    </w:p>
    <w:p w:rsidR="00E52905" w:rsidRPr="00C02348" w:rsidRDefault="00C02348"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lastRenderedPageBreak/>
        <w:t>Table</w:t>
      </w:r>
      <w:r w:rsidR="00E55847" w:rsidRPr="00C02348">
        <w:rPr>
          <w:rFonts w:ascii="Times New Roman" w:hAnsi="Times New Roman" w:cs="Times New Roman"/>
          <w:b/>
          <w:sz w:val="20"/>
          <w:szCs w:val="20"/>
        </w:rPr>
        <w:t xml:space="preserve"> 4; </w:t>
      </w:r>
      <w:r w:rsidR="00E52905" w:rsidRPr="00C02348">
        <w:rPr>
          <w:rFonts w:ascii="Times New Roman" w:hAnsi="Times New Roman" w:cs="Times New Roman"/>
          <w:b/>
          <w:sz w:val="20"/>
          <w:szCs w:val="20"/>
        </w:rPr>
        <w:t xml:space="preserve">Comparison of the mean percentage repellency of </w:t>
      </w:r>
      <w:r w:rsidR="00E52905" w:rsidRPr="00C02348">
        <w:rPr>
          <w:rFonts w:ascii="Times New Roman" w:hAnsi="Times New Roman" w:cs="Times New Roman"/>
          <w:b/>
          <w:i/>
          <w:sz w:val="20"/>
          <w:szCs w:val="20"/>
        </w:rPr>
        <w:t>T. castaneum</w:t>
      </w:r>
      <w:r w:rsidR="00E52905" w:rsidRPr="00C02348">
        <w:rPr>
          <w:rFonts w:ascii="Times New Roman" w:hAnsi="Times New Roman" w:cs="Times New Roman"/>
          <w:b/>
          <w:sz w:val="20"/>
          <w:szCs w:val="20"/>
        </w:rPr>
        <w:t xml:space="preserve"> after exposure to various concentration of plant </w:t>
      </w:r>
      <w:r w:rsidR="00E55847" w:rsidRPr="00C02348">
        <w:rPr>
          <w:rFonts w:ascii="Times New Roman" w:hAnsi="Times New Roman" w:cs="Times New Roman"/>
          <w:b/>
          <w:sz w:val="20"/>
          <w:szCs w:val="20"/>
        </w:rPr>
        <w:t xml:space="preserve">oil </w:t>
      </w:r>
      <w:r w:rsidR="00E55847" w:rsidRPr="00C02348">
        <w:rPr>
          <w:rFonts w:ascii="Times New Roman" w:hAnsi="Times New Roman" w:cs="Times New Roman"/>
          <w:b/>
          <w:i/>
          <w:sz w:val="20"/>
          <w:szCs w:val="20"/>
        </w:rPr>
        <w:t>Citrus paradise</w:t>
      </w:r>
      <w:r w:rsidR="00E52905" w:rsidRPr="00C02348">
        <w:rPr>
          <w:rFonts w:ascii="Times New Roman" w:hAnsi="Times New Roman" w:cs="Times New Roman"/>
          <w:b/>
          <w:sz w:val="20"/>
          <w:szCs w:val="20"/>
        </w:rPr>
        <w:t xml:space="preserve"> after 24hrs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09"/>
        <w:gridCol w:w="4765"/>
      </w:tblGrid>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Concentration (%)</w:t>
            </w:r>
          </w:p>
        </w:tc>
        <w:tc>
          <w:tcPr>
            <w:tcW w:w="2515"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Repellency ± SE</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5%</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28</w:t>
            </w:r>
            <w:r w:rsidR="00E52905" w:rsidRPr="00C02348">
              <w:rPr>
                <w:rFonts w:ascii="Times New Roman" w:hAnsi="Times New Roman" w:cs="Times New Roman"/>
                <w:sz w:val="20"/>
                <w:szCs w:val="20"/>
              </w:rPr>
              <w:t>.60 ± 2.98 c</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10%</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32</w:t>
            </w:r>
            <w:r w:rsidR="00E52905" w:rsidRPr="00C02348">
              <w:rPr>
                <w:rFonts w:ascii="Times New Roman" w:hAnsi="Times New Roman" w:cs="Times New Roman"/>
                <w:sz w:val="20"/>
                <w:szCs w:val="20"/>
              </w:rPr>
              <w:t>.21 ± 2.49 b</w:t>
            </w:r>
          </w:p>
        </w:tc>
      </w:tr>
      <w:tr w:rsidR="00002C8C" w:rsidRPr="00C02348" w:rsidTr="00DF4524">
        <w:trPr>
          <w:jc w:val="center"/>
        </w:trPr>
        <w:tc>
          <w:tcPr>
            <w:tcW w:w="2485"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15%</w:t>
            </w:r>
          </w:p>
        </w:tc>
        <w:tc>
          <w:tcPr>
            <w:tcW w:w="2515"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36</w:t>
            </w:r>
            <w:r w:rsidR="00E52905" w:rsidRPr="00C02348">
              <w:rPr>
                <w:rFonts w:ascii="Times New Roman" w:hAnsi="Times New Roman" w:cs="Times New Roman"/>
                <w:sz w:val="20"/>
                <w:szCs w:val="20"/>
              </w:rPr>
              <w:t>.36 ± 2.33a</w:t>
            </w:r>
          </w:p>
        </w:tc>
      </w:tr>
    </w:tbl>
    <w:p w:rsidR="006644F1" w:rsidRDefault="006644F1" w:rsidP="006644F1">
      <w:pPr>
        <w:snapToGrid w:val="0"/>
        <w:spacing w:after="0" w:line="240" w:lineRule="auto"/>
        <w:jc w:val="center"/>
        <w:rPr>
          <w:rFonts w:ascii="Times New Roman" w:hAnsi="Times New Roman" w:cs="Times New Roman" w:hint="eastAsia"/>
          <w:sz w:val="20"/>
          <w:szCs w:val="20"/>
          <w:lang w:eastAsia="zh-CN"/>
        </w:rPr>
      </w:pPr>
    </w:p>
    <w:p w:rsidR="00C02348" w:rsidRPr="00C02348" w:rsidRDefault="00C02348" w:rsidP="006644F1">
      <w:pPr>
        <w:snapToGrid w:val="0"/>
        <w:spacing w:after="0" w:line="240" w:lineRule="auto"/>
        <w:jc w:val="center"/>
        <w:rPr>
          <w:rFonts w:ascii="Times New Roman" w:hAnsi="Times New Roman" w:cs="Times New Roman" w:hint="eastAsia"/>
          <w:sz w:val="20"/>
          <w:szCs w:val="20"/>
          <w:lang w:eastAsia="zh-CN"/>
        </w:rPr>
        <w:sectPr w:rsidR="00C02348" w:rsidRPr="00C02348" w:rsidSect="00DF4524">
          <w:type w:val="continuous"/>
          <w:pgSz w:w="12240" w:h="15840"/>
          <w:pgMar w:top="1440" w:right="1440" w:bottom="1440" w:left="1440" w:header="720" w:footer="720" w:gutter="0"/>
          <w:cols w:space="720"/>
          <w:docGrid w:linePitch="360"/>
        </w:sectPr>
      </w:pPr>
    </w:p>
    <w:p w:rsidR="00E55847" w:rsidRPr="00C02348" w:rsidRDefault="00E52905" w:rsidP="00D8200D">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lastRenderedPageBreak/>
        <w:t>The outcome of the repell</w:t>
      </w:r>
      <w:r w:rsidR="00E55847" w:rsidRPr="00C02348">
        <w:rPr>
          <w:rFonts w:ascii="Times New Roman" w:hAnsi="Times New Roman" w:cs="Times New Roman"/>
          <w:sz w:val="20"/>
          <w:szCs w:val="20"/>
        </w:rPr>
        <w:t>ency bioassays in table 4</w:t>
      </w:r>
      <w:r w:rsidRPr="00C02348">
        <w:rPr>
          <w:rFonts w:ascii="Times New Roman" w:hAnsi="Times New Roman" w:cs="Times New Roman"/>
          <w:sz w:val="20"/>
          <w:szCs w:val="20"/>
        </w:rPr>
        <w:t xml:space="preserve"> revealed that repellency was </w:t>
      </w:r>
      <w:r w:rsidR="00E55847" w:rsidRPr="00C02348">
        <w:rPr>
          <w:rFonts w:ascii="Times New Roman" w:hAnsi="Times New Roman" w:cs="Times New Roman"/>
          <w:sz w:val="20"/>
          <w:szCs w:val="20"/>
        </w:rPr>
        <w:t>found</w:t>
      </w:r>
      <w:r w:rsidRPr="00C02348">
        <w:rPr>
          <w:rFonts w:ascii="Times New Roman" w:hAnsi="Times New Roman" w:cs="Times New Roman"/>
          <w:sz w:val="20"/>
          <w:szCs w:val="20"/>
        </w:rPr>
        <w:t xml:space="preserve"> increased with increase in concentration for all extract of plants</w:t>
      </w:r>
      <w:r w:rsidR="00E55847" w:rsidRPr="00C02348">
        <w:rPr>
          <w:rFonts w:ascii="Times New Roman" w:hAnsi="Times New Roman" w:cs="Times New Roman"/>
          <w:sz w:val="20"/>
          <w:szCs w:val="20"/>
        </w:rPr>
        <w:t xml:space="preserve">. </w:t>
      </w:r>
      <w:r w:rsidR="00E55847" w:rsidRPr="00C02348">
        <w:rPr>
          <w:rFonts w:ascii="Times New Roman" w:hAnsi="Times New Roman" w:cs="Times New Roman"/>
          <w:sz w:val="20"/>
          <w:szCs w:val="20"/>
        </w:rPr>
        <w:lastRenderedPageBreak/>
        <w:t>Maximum repell</w:t>
      </w:r>
      <w:bookmarkStart w:id="0" w:name="_GoBack"/>
      <w:bookmarkEnd w:id="0"/>
      <w:r w:rsidR="00E55847" w:rsidRPr="00C02348">
        <w:rPr>
          <w:rFonts w:ascii="Times New Roman" w:hAnsi="Times New Roman" w:cs="Times New Roman"/>
          <w:sz w:val="20"/>
          <w:szCs w:val="20"/>
        </w:rPr>
        <w:t>ency 36</w:t>
      </w:r>
      <w:r w:rsidRPr="00C02348">
        <w:rPr>
          <w:rFonts w:ascii="Times New Roman" w:hAnsi="Times New Roman" w:cs="Times New Roman"/>
          <w:sz w:val="20"/>
          <w:szCs w:val="20"/>
        </w:rPr>
        <w:t>.36% was recorded at 15</w:t>
      </w:r>
      <w:r w:rsidR="00E55847" w:rsidRPr="00C02348">
        <w:rPr>
          <w:rFonts w:ascii="Times New Roman" w:hAnsi="Times New Roman" w:cs="Times New Roman"/>
          <w:sz w:val="20"/>
          <w:szCs w:val="20"/>
        </w:rPr>
        <w:t>% concentration while minimum 28</w:t>
      </w:r>
      <w:r w:rsidRPr="00C02348">
        <w:rPr>
          <w:rFonts w:ascii="Times New Roman" w:hAnsi="Times New Roman" w:cs="Times New Roman"/>
          <w:sz w:val="20"/>
          <w:szCs w:val="20"/>
        </w:rPr>
        <w:t>.60% was recorded at 5% concentration.</w:t>
      </w:r>
    </w:p>
    <w:p w:rsidR="006644F1" w:rsidRPr="00C02348" w:rsidRDefault="006644F1" w:rsidP="006644F1">
      <w:pPr>
        <w:snapToGrid w:val="0"/>
        <w:spacing w:after="0" w:line="240" w:lineRule="auto"/>
        <w:jc w:val="center"/>
        <w:rPr>
          <w:rFonts w:ascii="Times New Roman" w:hAnsi="Times New Roman" w:cs="Times New Roman"/>
          <w:b/>
          <w:sz w:val="20"/>
          <w:szCs w:val="20"/>
        </w:rPr>
        <w:sectPr w:rsidR="006644F1" w:rsidRPr="00C02348" w:rsidSect="006644F1">
          <w:type w:val="continuous"/>
          <w:pgSz w:w="12240" w:h="15840"/>
          <w:pgMar w:top="1440" w:right="1440" w:bottom="1440" w:left="1440" w:header="720" w:footer="720" w:gutter="0"/>
          <w:cols w:num="2" w:space="550"/>
          <w:docGrid w:linePitch="360"/>
        </w:sectPr>
      </w:pPr>
    </w:p>
    <w:p w:rsidR="00D8200D" w:rsidRPr="00C02348" w:rsidRDefault="00D8200D" w:rsidP="00D8200D">
      <w:pPr>
        <w:snapToGrid w:val="0"/>
        <w:spacing w:after="0" w:line="240" w:lineRule="auto"/>
        <w:jc w:val="both"/>
        <w:rPr>
          <w:rFonts w:ascii="Times New Roman" w:hAnsi="Times New Roman" w:cs="Times New Roman"/>
          <w:b/>
          <w:sz w:val="20"/>
          <w:szCs w:val="20"/>
          <w:lang w:eastAsia="zh-CN"/>
        </w:rPr>
      </w:pPr>
    </w:p>
    <w:p w:rsidR="00E52905" w:rsidRPr="00C02348" w:rsidRDefault="00E55847" w:rsidP="00D8200D">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b/>
          <w:sz w:val="20"/>
          <w:szCs w:val="20"/>
        </w:rPr>
        <w:t xml:space="preserve">Table 5; </w:t>
      </w:r>
      <w:r w:rsidR="00E52905" w:rsidRPr="00C02348">
        <w:rPr>
          <w:rFonts w:ascii="Times New Roman" w:hAnsi="Times New Roman" w:cs="Times New Roman"/>
          <w:b/>
          <w:sz w:val="20"/>
          <w:szCs w:val="20"/>
        </w:rPr>
        <w:t xml:space="preserve">Comparison of the mean percentage repellency of </w:t>
      </w:r>
      <w:r w:rsidR="00E52905" w:rsidRPr="00C02348">
        <w:rPr>
          <w:rFonts w:ascii="Times New Roman" w:hAnsi="Times New Roman" w:cs="Times New Roman"/>
          <w:b/>
          <w:i/>
          <w:sz w:val="20"/>
          <w:szCs w:val="20"/>
        </w:rPr>
        <w:t>T. castaneum</w:t>
      </w:r>
      <w:r w:rsidR="00E52905" w:rsidRPr="00C02348">
        <w:rPr>
          <w:rFonts w:ascii="Times New Roman" w:hAnsi="Times New Roman" w:cs="Times New Roman"/>
          <w:b/>
          <w:sz w:val="20"/>
          <w:szCs w:val="20"/>
        </w:rPr>
        <w:t xml:space="preserve"> after exposure to various concentration of </w:t>
      </w:r>
      <w:r w:rsidRPr="00C02348">
        <w:rPr>
          <w:rFonts w:ascii="Times New Roman" w:hAnsi="Times New Roman" w:cs="Times New Roman"/>
          <w:b/>
          <w:i/>
          <w:sz w:val="20"/>
          <w:szCs w:val="20"/>
        </w:rPr>
        <w:t xml:space="preserve">R. communis </w:t>
      </w:r>
      <w:r w:rsidRPr="00C02348">
        <w:rPr>
          <w:rFonts w:ascii="Times New Roman" w:hAnsi="Times New Roman" w:cs="Times New Roman"/>
          <w:b/>
          <w:sz w:val="20"/>
          <w:szCs w:val="20"/>
        </w:rPr>
        <w:t>AgNPs</w:t>
      </w:r>
      <w:r w:rsidRPr="00C02348">
        <w:rPr>
          <w:rFonts w:ascii="Times New Roman" w:hAnsi="Times New Roman" w:cs="Times New Roman"/>
          <w:b/>
          <w:i/>
          <w:sz w:val="20"/>
          <w:szCs w:val="20"/>
        </w:rPr>
        <w:t xml:space="preserve"> </w:t>
      </w:r>
      <w:r w:rsidR="00E52905" w:rsidRPr="00C02348">
        <w:rPr>
          <w:rFonts w:ascii="Times New Roman" w:hAnsi="Times New Roman" w:cs="Times New Roman"/>
          <w:b/>
          <w:sz w:val="20"/>
          <w:szCs w:val="20"/>
        </w:rPr>
        <w:t>after 24hrs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953"/>
        <w:gridCol w:w="4521"/>
      </w:tblGrid>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Concentration (ppm</w:t>
            </w:r>
            <w:r w:rsidR="00E52905" w:rsidRPr="00C02348">
              <w:rPr>
                <w:rFonts w:ascii="Times New Roman" w:hAnsi="Times New Roman" w:cs="Times New Roman"/>
                <w:b/>
                <w:sz w:val="20"/>
                <w:szCs w:val="20"/>
              </w:rPr>
              <w:t>)</w:t>
            </w:r>
          </w:p>
        </w:tc>
        <w:tc>
          <w:tcPr>
            <w:tcW w:w="2386"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Repellency ± SE</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100</w:t>
            </w:r>
          </w:p>
        </w:tc>
        <w:tc>
          <w:tcPr>
            <w:tcW w:w="2386"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49</w:t>
            </w:r>
            <w:r w:rsidR="00E52905" w:rsidRPr="00C02348">
              <w:rPr>
                <w:rFonts w:ascii="Times New Roman" w:hAnsi="Times New Roman" w:cs="Times New Roman"/>
                <w:sz w:val="20"/>
                <w:szCs w:val="20"/>
              </w:rPr>
              <w:t>.60 ± 2.98 c</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200</w:t>
            </w:r>
          </w:p>
        </w:tc>
        <w:tc>
          <w:tcPr>
            <w:tcW w:w="2386"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56</w:t>
            </w:r>
            <w:r w:rsidR="00E52905" w:rsidRPr="00C02348">
              <w:rPr>
                <w:rFonts w:ascii="Times New Roman" w:hAnsi="Times New Roman" w:cs="Times New Roman"/>
                <w:sz w:val="20"/>
                <w:szCs w:val="20"/>
              </w:rPr>
              <w:t>.21 ± 2.49 b</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300</w:t>
            </w:r>
          </w:p>
        </w:tc>
        <w:tc>
          <w:tcPr>
            <w:tcW w:w="2386" w:type="pct"/>
            <w:vAlign w:val="center"/>
          </w:tcPr>
          <w:p w:rsidR="00E52905" w:rsidRPr="00C02348" w:rsidRDefault="00E52905"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6</w:t>
            </w:r>
            <w:r w:rsidR="00F27991" w:rsidRPr="00C02348">
              <w:rPr>
                <w:rFonts w:ascii="Times New Roman" w:hAnsi="Times New Roman" w:cs="Times New Roman"/>
                <w:sz w:val="20"/>
                <w:szCs w:val="20"/>
              </w:rPr>
              <w:t>7.8</w:t>
            </w:r>
            <w:r w:rsidR="00E55847" w:rsidRPr="00C02348">
              <w:rPr>
                <w:rFonts w:ascii="Times New Roman" w:hAnsi="Times New Roman" w:cs="Times New Roman"/>
                <w:sz w:val="20"/>
                <w:szCs w:val="20"/>
              </w:rPr>
              <w:t>9</w:t>
            </w:r>
            <w:r w:rsidRPr="00C02348">
              <w:rPr>
                <w:rFonts w:ascii="Times New Roman" w:hAnsi="Times New Roman" w:cs="Times New Roman"/>
                <w:sz w:val="20"/>
                <w:szCs w:val="20"/>
              </w:rPr>
              <w:t xml:space="preserve"> ± 2.33a</w:t>
            </w:r>
          </w:p>
        </w:tc>
      </w:tr>
    </w:tbl>
    <w:p w:rsidR="00D8200D" w:rsidRPr="00C02348" w:rsidRDefault="00D8200D" w:rsidP="006644F1">
      <w:pPr>
        <w:snapToGrid w:val="0"/>
        <w:spacing w:after="0" w:line="240" w:lineRule="auto"/>
        <w:jc w:val="center"/>
        <w:rPr>
          <w:rFonts w:ascii="Times New Roman" w:hAnsi="Times New Roman" w:cs="Times New Roman"/>
          <w:sz w:val="20"/>
          <w:szCs w:val="20"/>
        </w:rPr>
      </w:pPr>
    </w:p>
    <w:p w:rsidR="00D8200D" w:rsidRPr="00C02348" w:rsidRDefault="00D8200D" w:rsidP="006644F1">
      <w:pPr>
        <w:snapToGrid w:val="0"/>
        <w:spacing w:after="0" w:line="240" w:lineRule="auto"/>
        <w:jc w:val="center"/>
        <w:rPr>
          <w:rFonts w:ascii="Times New Roman" w:hAnsi="Times New Roman" w:cs="Times New Roman"/>
          <w:sz w:val="20"/>
          <w:szCs w:val="20"/>
        </w:rPr>
        <w:sectPr w:rsidR="00D8200D" w:rsidRPr="00C02348" w:rsidSect="00DF4524">
          <w:type w:val="continuous"/>
          <w:pgSz w:w="12240" w:h="15840"/>
          <w:pgMar w:top="1440" w:right="1440" w:bottom="1440" w:left="1440" w:header="720" w:footer="720" w:gutter="0"/>
          <w:cols w:space="720"/>
          <w:docGrid w:linePitch="360"/>
        </w:sectPr>
      </w:pPr>
    </w:p>
    <w:p w:rsidR="00D8200D" w:rsidRPr="00C02348" w:rsidRDefault="00E52905" w:rsidP="00D8200D">
      <w:pPr>
        <w:snapToGrid w:val="0"/>
        <w:spacing w:after="0" w:line="240" w:lineRule="auto"/>
        <w:ind w:firstLine="425"/>
        <w:jc w:val="both"/>
        <w:rPr>
          <w:rFonts w:ascii="Times New Roman" w:hAnsi="Times New Roman" w:cs="Times New Roman"/>
          <w:b/>
          <w:sz w:val="20"/>
          <w:szCs w:val="20"/>
        </w:rPr>
      </w:pPr>
      <w:r w:rsidRPr="00C02348">
        <w:rPr>
          <w:rFonts w:ascii="Times New Roman" w:hAnsi="Times New Roman" w:cs="Times New Roman"/>
          <w:sz w:val="20"/>
          <w:szCs w:val="20"/>
        </w:rPr>
        <w:lastRenderedPageBreak/>
        <w:t>The outcome of the repell</w:t>
      </w:r>
      <w:r w:rsidR="00E55847" w:rsidRPr="00C02348">
        <w:rPr>
          <w:rFonts w:ascii="Times New Roman" w:hAnsi="Times New Roman" w:cs="Times New Roman"/>
          <w:sz w:val="20"/>
          <w:szCs w:val="20"/>
        </w:rPr>
        <w:t>ency bioassays in table 5</w:t>
      </w:r>
      <w:r w:rsidRPr="00C02348">
        <w:rPr>
          <w:rFonts w:ascii="Times New Roman" w:hAnsi="Times New Roman" w:cs="Times New Roman"/>
          <w:sz w:val="20"/>
          <w:szCs w:val="20"/>
        </w:rPr>
        <w:t xml:space="preserve"> revealed that repellency was </w:t>
      </w:r>
      <w:r w:rsidR="00E55847" w:rsidRPr="00C02348">
        <w:rPr>
          <w:rFonts w:ascii="Times New Roman" w:hAnsi="Times New Roman" w:cs="Times New Roman"/>
          <w:sz w:val="20"/>
          <w:szCs w:val="20"/>
        </w:rPr>
        <w:t>found</w:t>
      </w:r>
      <w:r w:rsidRPr="00C02348">
        <w:rPr>
          <w:rFonts w:ascii="Times New Roman" w:hAnsi="Times New Roman" w:cs="Times New Roman"/>
          <w:sz w:val="20"/>
          <w:szCs w:val="20"/>
        </w:rPr>
        <w:t xml:space="preserve"> increased with increase in concentration for all extract of plants</w:t>
      </w:r>
      <w:r w:rsidR="00E55847" w:rsidRPr="00C02348">
        <w:rPr>
          <w:rFonts w:ascii="Times New Roman" w:hAnsi="Times New Roman" w:cs="Times New Roman"/>
          <w:sz w:val="20"/>
          <w:szCs w:val="20"/>
        </w:rPr>
        <w:t xml:space="preserve">. </w:t>
      </w:r>
      <w:r w:rsidR="00E55847" w:rsidRPr="00C02348">
        <w:rPr>
          <w:rFonts w:ascii="Times New Roman" w:hAnsi="Times New Roman" w:cs="Times New Roman"/>
          <w:sz w:val="20"/>
          <w:szCs w:val="20"/>
        </w:rPr>
        <w:lastRenderedPageBreak/>
        <w:t>Maximum repellency 67</w:t>
      </w:r>
      <w:r w:rsidR="00572C8D" w:rsidRPr="00C02348">
        <w:rPr>
          <w:rFonts w:ascii="Times New Roman" w:hAnsi="Times New Roman" w:cs="Times New Roman"/>
          <w:sz w:val="20"/>
          <w:szCs w:val="20"/>
        </w:rPr>
        <w:t>.36ppm</w:t>
      </w:r>
      <w:r w:rsidRPr="00C02348">
        <w:rPr>
          <w:rFonts w:ascii="Times New Roman" w:hAnsi="Times New Roman" w:cs="Times New Roman"/>
          <w:sz w:val="20"/>
          <w:szCs w:val="20"/>
        </w:rPr>
        <w:t xml:space="preserve"> was recorded at 15</w:t>
      </w:r>
      <w:r w:rsidR="00E55847" w:rsidRPr="00C02348">
        <w:rPr>
          <w:rFonts w:ascii="Times New Roman" w:hAnsi="Times New Roman" w:cs="Times New Roman"/>
          <w:sz w:val="20"/>
          <w:szCs w:val="20"/>
        </w:rPr>
        <w:t>% concentration while minimum 49</w:t>
      </w:r>
      <w:r w:rsidR="00572C8D" w:rsidRPr="00C02348">
        <w:rPr>
          <w:rFonts w:ascii="Times New Roman" w:hAnsi="Times New Roman" w:cs="Times New Roman"/>
          <w:sz w:val="20"/>
          <w:szCs w:val="20"/>
        </w:rPr>
        <w:t>.60% was recorded at 5ppm</w:t>
      </w:r>
      <w:r w:rsidRPr="00C02348">
        <w:rPr>
          <w:rFonts w:ascii="Times New Roman" w:hAnsi="Times New Roman" w:cs="Times New Roman"/>
          <w:sz w:val="20"/>
          <w:szCs w:val="20"/>
        </w:rPr>
        <w:t xml:space="preserve"> concentration.</w:t>
      </w:r>
    </w:p>
    <w:p w:rsidR="00D8200D" w:rsidRPr="00C02348" w:rsidRDefault="00D8200D" w:rsidP="006644F1">
      <w:pPr>
        <w:snapToGrid w:val="0"/>
        <w:spacing w:after="0" w:line="240" w:lineRule="auto"/>
        <w:jc w:val="center"/>
        <w:rPr>
          <w:rFonts w:ascii="Times New Roman" w:hAnsi="Times New Roman" w:cs="Times New Roman"/>
          <w:b/>
          <w:sz w:val="20"/>
          <w:szCs w:val="20"/>
        </w:rPr>
        <w:sectPr w:rsidR="00D8200D" w:rsidRPr="00C02348" w:rsidSect="006644F1">
          <w:type w:val="continuous"/>
          <w:pgSz w:w="12240" w:h="15840"/>
          <w:pgMar w:top="1440" w:right="1440" w:bottom="1440" w:left="1440" w:header="720" w:footer="720" w:gutter="0"/>
          <w:cols w:num="2" w:space="550"/>
          <w:docGrid w:linePitch="360"/>
        </w:sectPr>
      </w:pPr>
    </w:p>
    <w:p w:rsidR="00D8200D" w:rsidRPr="00C02348" w:rsidRDefault="00D8200D" w:rsidP="006644F1">
      <w:pPr>
        <w:snapToGrid w:val="0"/>
        <w:spacing w:after="0" w:line="240" w:lineRule="auto"/>
        <w:jc w:val="center"/>
        <w:rPr>
          <w:rFonts w:ascii="Times New Roman" w:hAnsi="Times New Roman" w:cs="Times New Roman"/>
          <w:b/>
          <w:sz w:val="20"/>
          <w:szCs w:val="20"/>
          <w:lang w:eastAsia="zh-CN"/>
        </w:rPr>
      </w:pPr>
    </w:p>
    <w:p w:rsidR="00E52905" w:rsidRPr="00C02348" w:rsidRDefault="00E55847" w:rsidP="00D8200D">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xml:space="preserve">Table 6; </w:t>
      </w:r>
      <w:r w:rsidR="00E52905" w:rsidRPr="00C02348">
        <w:rPr>
          <w:rFonts w:ascii="Times New Roman" w:hAnsi="Times New Roman" w:cs="Times New Roman"/>
          <w:b/>
          <w:sz w:val="20"/>
          <w:szCs w:val="20"/>
        </w:rPr>
        <w:t xml:space="preserve">Comparison of the mean percentage repellency of </w:t>
      </w:r>
      <w:r w:rsidR="00E52905" w:rsidRPr="00C02348">
        <w:rPr>
          <w:rFonts w:ascii="Times New Roman" w:hAnsi="Times New Roman" w:cs="Times New Roman"/>
          <w:b/>
          <w:i/>
          <w:sz w:val="20"/>
          <w:szCs w:val="20"/>
        </w:rPr>
        <w:t>T. castaneum</w:t>
      </w:r>
      <w:r w:rsidR="00E52905" w:rsidRPr="00C02348">
        <w:rPr>
          <w:rFonts w:ascii="Times New Roman" w:hAnsi="Times New Roman" w:cs="Times New Roman"/>
          <w:b/>
          <w:sz w:val="20"/>
          <w:szCs w:val="20"/>
        </w:rPr>
        <w:t xml:space="preserve"> after exposure to various concentration of </w:t>
      </w:r>
      <w:r w:rsidRPr="00C02348">
        <w:rPr>
          <w:rFonts w:ascii="Times New Roman" w:hAnsi="Times New Roman" w:cs="Times New Roman"/>
          <w:b/>
          <w:i/>
          <w:sz w:val="20"/>
          <w:szCs w:val="20"/>
        </w:rPr>
        <w:t>Citrus paradise</w:t>
      </w:r>
      <w:r w:rsidRPr="00C02348">
        <w:rPr>
          <w:rFonts w:ascii="Times New Roman" w:hAnsi="Times New Roman" w:cs="Times New Roman"/>
          <w:b/>
          <w:sz w:val="20"/>
          <w:szCs w:val="20"/>
        </w:rPr>
        <w:t xml:space="preserve"> AgNPs </w:t>
      </w:r>
      <w:r w:rsidR="00E52905" w:rsidRPr="00C02348">
        <w:rPr>
          <w:rFonts w:ascii="Times New Roman" w:hAnsi="Times New Roman" w:cs="Times New Roman"/>
          <w:b/>
          <w:sz w:val="20"/>
          <w:szCs w:val="20"/>
        </w:rPr>
        <w:t>after 24hrs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953"/>
        <w:gridCol w:w="4521"/>
      </w:tblGrid>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Concentration (ppm</w:t>
            </w:r>
            <w:r w:rsidR="00E52905" w:rsidRPr="00C02348">
              <w:rPr>
                <w:rFonts w:ascii="Times New Roman" w:hAnsi="Times New Roman" w:cs="Times New Roman"/>
                <w:b/>
                <w:sz w:val="20"/>
                <w:szCs w:val="20"/>
              </w:rPr>
              <w:t>)</w:t>
            </w:r>
          </w:p>
        </w:tc>
        <w:tc>
          <w:tcPr>
            <w:tcW w:w="2386" w:type="pct"/>
            <w:vAlign w:val="center"/>
          </w:tcPr>
          <w:p w:rsidR="00E52905" w:rsidRPr="00C02348" w:rsidRDefault="00E52905" w:rsidP="006644F1">
            <w:pPr>
              <w:snapToGrid w:val="0"/>
              <w:spacing w:after="0" w:line="240" w:lineRule="auto"/>
              <w:jc w:val="both"/>
              <w:rPr>
                <w:rFonts w:ascii="Times New Roman" w:hAnsi="Times New Roman" w:cs="Times New Roman"/>
                <w:b/>
                <w:sz w:val="20"/>
                <w:szCs w:val="20"/>
              </w:rPr>
            </w:pPr>
            <w:r w:rsidRPr="00C02348">
              <w:rPr>
                <w:rFonts w:ascii="Times New Roman" w:hAnsi="Times New Roman" w:cs="Times New Roman"/>
                <w:b/>
                <w:sz w:val="20"/>
                <w:szCs w:val="20"/>
              </w:rPr>
              <w:t>% Repellency ± SE</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100</w:t>
            </w:r>
          </w:p>
        </w:tc>
        <w:tc>
          <w:tcPr>
            <w:tcW w:w="2386"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36</w:t>
            </w:r>
            <w:r w:rsidR="00E52905" w:rsidRPr="00C02348">
              <w:rPr>
                <w:rFonts w:ascii="Times New Roman" w:hAnsi="Times New Roman" w:cs="Times New Roman"/>
                <w:sz w:val="20"/>
                <w:szCs w:val="20"/>
              </w:rPr>
              <w:t>.60 ± 2.98 c</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200</w:t>
            </w:r>
          </w:p>
        </w:tc>
        <w:tc>
          <w:tcPr>
            <w:tcW w:w="2386"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42</w:t>
            </w:r>
            <w:r w:rsidR="00E52905" w:rsidRPr="00C02348">
              <w:rPr>
                <w:rFonts w:ascii="Times New Roman" w:hAnsi="Times New Roman" w:cs="Times New Roman"/>
                <w:sz w:val="20"/>
                <w:szCs w:val="20"/>
              </w:rPr>
              <w:t>.21 ± 2.49 b</w:t>
            </w:r>
          </w:p>
        </w:tc>
      </w:tr>
      <w:tr w:rsidR="00002C8C" w:rsidRPr="00C02348" w:rsidTr="00DF4524">
        <w:trPr>
          <w:jc w:val="center"/>
        </w:trPr>
        <w:tc>
          <w:tcPr>
            <w:tcW w:w="2614"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300</w:t>
            </w:r>
          </w:p>
        </w:tc>
        <w:tc>
          <w:tcPr>
            <w:tcW w:w="2386" w:type="pct"/>
            <w:vAlign w:val="center"/>
          </w:tcPr>
          <w:p w:rsidR="00E52905" w:rsidRPr="00C02348" w:rsidRDefault="00E55847"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48</w:t>
            </w:r>
            <w:r w:rsidR="00F27991" w:rsidRPr="00C02348">
              <w:rPr>
                <w:rFonts w:ascii="Times New Roman" w:hAnsi="Times New Roman" w:cs="Times New Roman"/>
                <w:sz w:val="20"/>
                <w:szCs w:val="20"/>
              </w:rPr>
              <w:t>.31</w:t>
            </w:r>
            <w:r w:rsidR="00E52905" w:rsidRPr="00C02348">
              <w:rPr>
                <w:rFonts w:ascii="Times New Roman" w:hAnsi="Times New Roman" w:cs="Times New Roman"/>
                <w:sz w:val="20"/>
                <w:szCs w:val="20"/>
              </w:rPr>
              <w:t xml:space="preserve"> ± 2.33a</w:t>
            </w:r>
          </w:p>
        </w:tc>
      </w:tr>
    </w:tbl>
    <w:p w:rsidR="00DF4524" w:rsidRPr="00C02348" w:rsidRDefault="00DF4524" w:rsidP="006644F1">
      <w:pPr>
        <w:snapToGrid w:val="0"/>
        <w:spacing w:after="0" w:line="240" w:lineRule="auto"/>
        <w:ind w:firstLine="425"/>
        <w:jc w:val="both"/>
        <w:rPr>
          <w:rFonts w:ascii="Times New Roman" w:hAnsi="Times New Roman" w:cs="Times New Roman"/>
          <w:sz w:val="20"/>
          <w:szCs w:val="20"/>
          <w:lang w:eastAsia="zh-CN"/>
        </w:rPr>
      </w:pPr>
    </w:p>
    <w:p w:rsidR="006644F1" w:rsidRPr="00C02348" w:rsidRDefault="006644F1" w:rsidP="006644F1">
      <w:pPr>
        <w:snapToGrid w:val="0"/>
        <w:spacing w:after="0" w:line="240" w:lineRule="auto"/>
        <w:ind w:firstLine="425"/>
        <w:jc w:val="both"/>
        <w:rPr>
          <w:rFonts w:ascii="Times New Roman" w:hAnsi="Times New Roman" w:cs="Times New Roman"/>
          <w:sz w:val="20"/>
          <w:szCs w:val="20"/>
        </w:rPr>
        <w:sectPr w:rsidR="006644F1" w:rsidRPr="00C02348" w:rsidSect="00DF4524">
          <w:type w:val="continuous"/>
          <w:pgSz w:w="12240" w:h="15840"/>
          <w:pgMar w:top="1440" w:right="1440" w:bottom="1440" w:left="1440" w:header="720" w:footer="720" w:gutter="0"/>
          <w:cols w:space="720"/>
          <w:docGrid w:linePitch="360"/>
        </w:sectPr>
      </w:pPr>
    </w:p>
    <w:p w:rsidR="00E52905" w:rsidRPr="00C02348" w:rsidRDefault="00E52905" w:rsidP="006644F1">
      <w:pPr>
        <w:snapToGrid w:val="0"/>
        <w:spacing w:after="0" w:line="240" w:lineRule="auto"/>
        <w:ind w:firstLine="425"/>
        <w:jc w:val="both"/>
        <w:rPr>
          <w:rFonts w:ascii="Times New Roman" w:hAnsi="Times New Roman" w:cs="Times New Roman"/>
          <w:sz w:val="20"/>
          <w:szCs w:val="20"/>
        </w:rPr>
      </w:pPr>
      <w:r w:rsidRPr="00C02348">
        <w:rPr>
          <w:rFonts w:ascii="Times New Roman" w:hAnsi="Times New Roman" w:cs="Times New Roman"/>
          <w:sz w:val="20"/>
          <w:szCs w:val="20"/>
        </w:rPr>
        <w:lastRenderedPageBreak/>
        <w:t>The outcome of the repell</w:t>
      </w:r>
      <w:r w:rsidR="00E55847" w:rsidRPr="00C02348">
        <w:rPr>
          <w:rFonts w:ascii="Times New Roman" w:hAnsi="Times New Roman" w:cs="Times New Roman"/>
          <w:sz w:val="20"/>
          <w:szCs w:val="20"/>
        </w:rPr>
        <w:t>ency bioassayus in table 6</w:t>
      </w:r>
      <w:r w:rsidRPr="00C02348">
        <w:rPr>
          <w:rFonts w:ascii="Times New Roman" w:hAnsi="Times New Roman" w:cs="Times New Roman"/>
          <w:sz w:val="20"/>
          <w:szCs w:val="20"/>
        </w:rPr>
        <w:t xml:space="preserve"> revealed that repellency was </w:t>
      </w:r>
      <w:r w:rsidR="00C02348" w:rsidRPr="00C02348">
        <w:rPr>
          <w:rFonts w:ascii="Times New Roman" w:hAnsi="Times New Roman" w:cs="Times New Roman"/>
          <w:sz w:val="20"/>
          <w:szCs w:val="20"/>
        </w:rPr>
        <w:t>found</w:t>
      </w:r>
      <w:r w:rsidRPr="00C02348">
        <w:rPr>
          <w:rFonts w:ascii="Times New Roman" w:hAnsi="Times New Roman" w:cs="Times New Roman"/>
          <w:sz w:val="20"/>
          <w:szCs w:val="20"/>
        </w:rPr>
        <w:t xml:space="preserve"> increased with increase in concentration for all extract of plants</w:t>
      </w:r>
      <w:r w:rsidR="00E55847" w:rsidRPr="00C02348">
        <w:rPr>
          <w:rFonts w:ascii="Times New Roman" w:hAnsi="Times New Roman" w:cs="Times New Roman"/>
          <w:sz w:val="20"/>
          <w:szCs w:val="20"/>
        </w:rPr>
        <w:t>. Maximum repellency 48</w:t>
      </w:r>
      <w:r w:rsidR="00572C8D" w:rsidRPr="00C02348">
        <w:rPr>
          <w:rFonts w:ascii="Times New Roman" w:hAnsi="Times New Roman" w:cs="Times New Roman"/>
          <w:sz w:val="20"/>
          <w:szCs w:val="20"/>
        </w:rPr>
        <w:t>.36 300ppm</w:t>
      </w:r>
      <w:r w:rsidRPr="00C02348">
        <w:rPr>
          <w:rFonts w:ascii="Times New Roman" w:hAnsi="Times New Roman" w:cs="Times New Roman"/>
          <w:sz w:val="20"/>
          <w:szCs w:val="20"/>
        </w:rPr>
        <w:t xml:space="preserve"> was recorded at 15</w:t>
      </w:r>
      <w:r w:rsidR="00E55847" w:rsidRPr="00C02348">
        <w:rPr>
          <w:rFonts w:ascii="Times New Roman" w:hAnsi="Times New Roman" w:cs="Times New Roman"/>
          <w:sz w:val="20"/>
          <w:szCs w:val="20"/>
        </w:rPr>
        <w:t>% concentration while minimum 36</w:t>
      </w:r>
      <w:r w:rsidRPr="00C02348">
        <w:rPr>
          <w:rFonts w:ascii="Times New Roman" w:hAnsi="Times New Roman" w:cs="Times New Roman"/>
          <w:sz w:val="20"/>
          <w:szCs w:val="20"/>
        </w:rPr>
        <w:t>.60% wa</w:t>
      </w:r>
      <w:r w:rsidR="00572C8D" w:rsidRPr="00C02348">
        <w:rPr>
          <w:rFonts w:ascii="Times New Roman" w:hAnsi="Times New Roman" w:cs="Times New Roman"/>
          <w:sz w:val="20"/>
          <w:szCs w:val="20"/>
        </w:rPr>
        <w:t>s recorded at 100ppm</w:t>
      </w:r>
      <w:r w:rsidR="00E55847" w:rsidRPr="00C02348">
        <w:rPr>
          <w:rFonts w:ascii="Times New Roman" w:hAnsi="Times New Roman" w:cs="Times New Roman"/>
          <w:sz w:val="20"/>
          <w:szCs w:val="20"/>
        </w:rPr>
        <w:t xml:space="preserve"> concentration.</w:t>
      </w:r>
    </w:p>
    <w:p w:rsidR="00D8200D" w:rsidRPr="00C02348" w:rsidRDefault="00D8200D" w:rsidP="006644F1">
      <w:pPr>
        <w:pStyle w:val="BodyText"/>
        <w:snapToGrid w:val="0"/>
        <w:jc w:val="both"/>
        <w:rPr>
          <w:rFonts w:eastAsiaTheme="minorEastAsia"/>
          <w:b/>
          <w:sz w:val="20"/>
          <w:szCs w:val="20"/>
          <w:lang w:eastAsia="zh-CN"/>
        </w:rPr>
      </w:pPr>
    </w:p>
    <w:p w:rsidR="002B0C07" w:rsidRPr="00C02348" w:rsidRDefault="00D94B1C" w:rsidP="006644F1">
      <w:pPr>
        <w:pStyle w:val="BodyText"/>
        <w:snapToGrid w:val="0"/>
        <w:jc w:val="both"/>
        <w:rPr>
          <w:b/>
          <w:sz w:val="20"/>
          <w:szCs w:val="20"/>
        </w:rPr>
      </w:pPr>
      <w:r w:rsidRPr="00C02348">
        <w:rPr>
          <w:b/>
          <w:sz w:val="20"/>
          <w:szCs w:val="20"/>
        </w:rPr>
        <w:t>Conclusion;</w:t>
      </w:r>
    </w:p>
    <w:p w:rsidR="00F27991" w:rsidRPr="00C02348" w:rsidRDefault="00D94B1C" w:rsidP="006644F1">
      <w:pPr>
        <w:pStyle w:val="BodyText"/>
        <w:snapToGrid w:val="0"/>
        <w:ind w:firstLine="425"/>
        <w:jc w:val="both"/>
        <w:rPr>
          <w:sz w:val="20"/>
          <w:szCs w:val="20"/>
        </w:rPr>
      </w:pPr>
      <w:r w:rsidRPr="00C02348">
        <w:rPr>
          <w:sz w:val="20"/>
          <w:szCs w:val="20"/>
        </w:rPr>
        <w:t>We used two plant oils</w:t>
      </w:r>
      <w:r w:rsidRPr="00C02348">
        <w:rPr>
          <w:i/>
          <w:sz w:val="20"/>
          <w:szCs w:val="20"/>
        </w:rPr>
        <w:t xml:space="preserve"> (R. communis </w:t>
      </w:r>
      <w:r w:rsidRPr="00C02348">
        <w:rPr>
          <w:sz w:val="20"/>
          <w:szCs w:val="20"/>
        </w:rPr>
        <w:t xml:space="preserve">and </w:t>
      </w:r>
      <w:r w:rsidRPr="00C02348">
        <w:rPr>
          <w:i/>
          <w:sz w:val="20"/>
          <w:szCs w:val="20"/>
        </w:rPr>
        <w:t>Citrus paradise</w:t>
      </w:r>
      <w:r w:rsidRPr="00C02348">
        <w:rPr>
          <w:sz w:val="20"/>
          <w:szCs w:val="20"/>
        </w:rPr>
        <w:t xml:space="preserve">) against stored grain insect pest red flour beetle </w:t>
      </w:r>
      <w:r w:rsidR="002B0C07" w:rsidRPr="00C02348">
        <w:rPr>
          <w:sz w:val="20"/>
          <w:szCs w:val="20"/>
        </w:rPr>
        <w:t xml:space="preserve">and </w:t>
      </w:r>
      <w:r w:rsidR="00C02348" w:rsidRPr="00C02348">
        <w:rPr>
          <w:sz w:val="20"/>
          <w:szCs w:val="20"/>
        </w:rPr>
        <w:t>also</w:t>
      </w:r>
      <w:r w:rsidR="002B0C07" w:rsidRPr="00C02348">
        <w:rPr>
          <w:sz w:val="20"/>
          <w:szCs w:val="20"/>
        </w:rPr>
        <w:t xml:space="preserve"> use green synthesized nanoparticles from these plants. All the treatments shows good results but the effect of </w:t>
      </w:r>
      <w:r w:rsidR="002B0C07" w:rsidRPr="00C02348">
        <w:rPr>
          <w:i/>
          <w:sz w:val="20"/>
          <w:szCs w:val="20"/>
        </w:rPr>
        <w:t xml:space="preserve">R. communis </w:t>
      </w:r>
      <w:r w:rsidR="002B0C07" w:rsidRPr="00C02348">
        <w:rPr>
          <w:sz w:val="20"/>
          <w:szCs w:val="20"/>
        </w:rPr>
        <w:t>AgNPs</w:t>
      </w:r>
      <w:r w:rsidR="002B0C07" w:rsidRPr="00C02348">
        <w:rPr>
          <w:i/>
          <w:sz w:val="20"/>
          <w:szCs w:val="20"/>
        </w:rPr>
        <w:t xml:space="preserve"> </w:t>
      </w:r>
      <w:r w:rsidR="002B0C07" w:rsidRPr="00C02348">
        <w:rPr>
          <w:sz w:val="20"/>
          <w:szCs w:val="20"/>
        </w:rPr>
        <w:t xml:space="preserve">was more then the </w:t>
      </w:r>
      <w:r w:rsidR="002B0C07" w:rsidRPr="00C02348">
        <w:rPr>
          <w:i/>
          <w:sz w:val="20"/>
          <w:szCs w:val="20"/>
        </w:rPr>
        <w:t>Citrus paradise</w:t>
      </w:r>
      <w:r w:rsidR="002B0C07" w:rsidRPr="00C02348">
        <w:rPr>
          <w:sz w:val="20"/>
          <w:szCs w:val="20"/>
        </w:rPr>
        <w:t xml:space="preserve"> AgNPs and also as compared to plant oils of these two plants</w:t>
      </w:r>
      <w:r w:rsidR="00DF4524" w:rsidRPr="00C02348">
        <w:rPr>
          <w:sz w:val="20"/>
          <w:szCs w:val="20"/>
        </w:rPr>
        <w:t>.</w:t>
      </w:r>
      <w:r w:rsidR="002B0C07" w:rsidRPr="00C02348">
        <w:rPr>
          <w:sz w:val="20"/>
          <w:szCs w:val="20"/>
        </w:rPr>
        <w:t xml:space="preserve"> Hence the green synthesized nanoparticles of </w:t>
      </w:r>
      <w:r w:rsidR="002B0C07" w:rsidRPr="00C02348">
        <w:rPr>
          <w:i/>
          <w:sz w:val="20"/>
          <w:szCs w:val="20"/>
        </w:rPr>
        <w:t xml:space="preserve">R. communis </w:t>
      </w:r>
      <w:r w:rsidR="002B0C07" w:rsidRPr="00C02348">
        <w:rPr>
          <w:sz w:val="20"/>
          <w:szCs w:val="20"/>
        </w:rPr>
        <w:t>AgNPs</w:t>
      </w:r>
      <w:r w:rsidR="002B0C07" w:rsidRPr="00C02348">
        <w:rPr>
          <w:i/>
          <w:sz w:val="20"/>
          <w:szCs w:val="20"/>
        </w:rPr>
        <w:t xml:space="preserve"> </w:t>
      </w:r>
      <w:r w:rsidR="002B0C07" w:rsidRPr="00C02348">
        <w:rPr>
          <w:sz w:val="20"/>
          <w:szCs w:val="20"/>
        </w:rPr>
        <w:t xml:space="preserve">is more reliable to control the </w:t>
      </w:r>
      <w:r w:rsidR="002B0C07" w:rsidRPr="00C02348">
        <w:rPr>
          <w:i/>
          <w:sz w:val="20"/>
          <w:szCs w:val="20"/>
        </w:rPr>
        <w:t>Tribolium</w:t>
      </w:r>
      <w:r w:rsidR="002B0C07" w:rsidRPr="00C02348">
        <w:rPr>
          <w:sz w:val="20"/>
          <w:szCs w:val="20"/>
        </w:rPr>
        <w:t xml:space="preserve"> Castaneum then the </w:t>
      </w:r>
      <w:r w:rsidR="002B0C07" w:rsidRPr="00C02348">
        <w:rPr>
          <w:i/>
          <w:sz w:val="20"/>
          <w:szCs w:val="20"/>
        </w:rPr>
        <w:t>Citrus paradise</w:t>
      </w:r>
      <w:r w:rsidR="002B0C07" w:rsidRPr="00C02348">
        <w:rPr>
          <w:sz w:val="20"/>
          <w:szCs w:val="20"/>
        </w:rPr>
        <w:t xml:space="preserve"> AgNPs</w:t>
      </w:r>
      <w:r w:rsidR="00DF4524" w:rsidRPr="00C02348">
        <w:rPr>
          <w:sz w:val="20"/>
          <w:szCs w:val="20"/>
        </w:rPr>
        <w:t>.</w:t>
      </w:r>
      <w:r w:rsidR="002B0C07" w:rsidRPr="00C02348">
        <w:rPr>
          <w:sz w:val="20"/>
          <w:szCs w:val="20"/>
        </w:rPr>
        <w:t xml:space="preserve"> </w:t>
      </w:r>
      <w:r w:rsidR="00F27991" w:rsidRPr="00C02348">
        <w:rPr>
          <w:sz w:val="20"/>
          <w:szCs w:val="20"/>
        </w:rPr>
        <w:t xml:space="preserve">Repellency bioassay was done by area preference method. Silver nanoparticles repellency highest range was 67.89% at 15% concentration of </w:t>
      </w:r>
      <w:r w:rsidR="00F27991" w:rsidRPr="00C02348">
        <w:rPr>
          <w:i/>
          <w:sz w:val="20"/>
          <w:szCs w:val="20"/>
        </w:rPr>
        <w:t>R. communis</w:t>
      </w:r>
      <w:r w:rsidR="00F27991" w:rsidRPr="00C02348">
        <w:rPr>
          <w:sz w:val="20"/>
          <w:szCs w:val="20"/>
        </w:rPr>
        <w:t xml:space="preserve"> and lowest was 48.31% at same concentration of the </w:t>
      </w:r>
      <w:r w:rsidR="00F27991" w:rsidRPr="00C02348">
        <w:rPr>
          <w:i/>
          <w:sz w:val="20"/>
          <w:szCs w:val="20"/>
        </w:rPr>
        <w:t>C</w:t>
      </w:r>
      <w:r w:rsidR="00F27991" w:rsidRPr="00C02348">
        <w:rPr>
          <w:sz w:val="20"/>
          <w:szCs w:val="20"/>
        </w:rPr>
        <w:t>.</w:t>
      </w:r>
      <w:r w:rsidR="00F27991" w:rsidRPr="00C02348">
        <w:rPr>
          <w:i/>
          <w:sz w:val="20"/>
          <w:szCs w:val="20"/>
        </w:rPr>
        <w:t xml:space="preserve"> paradise </w:t>
      </w:r>
      <w:r w:rsidR="00F27991" w:rsidRPr="00C02348">
        <w:rPr>
          <w:sz w:val="20"/>
          <w:szCs w:val="20"/>
        </w:rPr>
        <w:t>oils, used. Hence, plant based insecticides can be helpful for the management of stored commodities insect pests.</w:t>
      </w:r>
    </w:p>
    <w:p w:rsidR="00D8200D" w:rsidRDefault="00D8200D" w:rsidP="006644F1">
      <w:pPr>
        <w:snapToGrid w:val="0"/>
        <w:spacing w:after="0" w:line="240" w:lineRule="auto"/>
        <w:jc w:val="both"/>
        <w:rPr>
          <w:rFonts w:ascii="Times New Roman" w:hAnsi="Times New Roman" w:cs="Times New Roman" w:hint="eastAsia"/>
          <w:b/>
          <w:sz w:val="20"/>
          <w:szCs w:val="20"/>
          <w:lang w:eastAsia="zh-CN"/>
        </w:rPr>
      </w:pPr>
    </w:p>
    <w:p w:rsidR="00C02348" w:rsidRPr="00C02348" w:rsidRDefault="00C02348" w:rsidP="006644F1">
      <w:pPr>
        <w:snapToGrid w:val="0"/>
        <w:spacing w:after="0" w:line="240" w:lineRule="auto"/>
        <w:jc w:val="both"/>
        <w:rPr>
          <w:rFonts w:ascii="Times New Roman" w:hAnsi="Times New Roman" w:cs="Times New Roman"/>
          <w:b/>
          <w:sz w:val="20"/>
          <w:szCs w:val="20"/>
          <w:lang w:eastAsia="zh-CN"/>
        </w:rPr>
      </w:pPr>
    </w:p>
    <w:p w:rsidR="003E4201" w:rsidRPr="00C02348" w:rsidRDefault="00D8200D" w:rsidP="006644F1">
      <w:pPr>
        <w:snapToGrid w:val="0"/>
        <w:spacing w:after="0" w:line="240" w:lineRule="auto"/>
        <w:jc w:val="both"/>
        <w:rPr>
          <w:rFonts w:ascii="Times New Roman" w:hAnsi="Times New Roman" w:cs="Times New Roman"/>
          <w:sz w:val="20"/>
          <w:szCs w:val="20"/>
          <w:u w:val="single"/>
        </w:rPr>
      </w:pPr>
      <w:r w:rsidRPr="00C02348">
        <w:rPr>
          <w:rFonts w:ascii="Times New Roman" w:hAnsi="Times New Roman" w:cs="Times New Roman"/>
          <w:b/>
          <w:sz w:val="20"/>
          <w:szCs w:val="20"/>
        </w:rPr>
        <w:lastRenderedPageBreak/>
        <w:t>Reference</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Ahmedani,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Khaliq,</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Tariq,</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Anwar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Naz</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Khapra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beetle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(Trogoderma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granarium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Everts):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serious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threat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food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security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safety.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Pak.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Agric.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1-13.</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Aryal,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Bahadur,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Bhattard,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Kim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Kim,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2006.</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Study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electrolyte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induced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aggregation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gold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capped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amino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acids.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Colloid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Interface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299:</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191-7.</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Dobre,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Ș.</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Jurcoane.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2011.</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Camelina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crop-opportunities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sustainable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agriculture.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Scientific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Papers-Series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Agronomy,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54:</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420-424.</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Gigliola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Corrado,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Federica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Giulia,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Characterization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TiO2</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Reduction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Water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Pollutants</w:t>
      </w:r>
      <w:r w:rsidR="00D8200D" w:rsidRPr="00C02348">
        <w:rPr>
          <w:rFonts w:ascii="Times New Roman" w:hAnsi="Times New Roman" w:cs="Times New Roman"/>
          <w:sz w:val="20"/>
          <w:szCs w:val="20"/>
        </w:rPr>
        <w:t>. M</w:t>
      </w:r>
      <w:r w:rsidRPr="00C02348">
        <w:rPr>
          <w:rFonts w:ascii="Times New Roman" w:hAnsi="Times New Roman" w:cs="Times New Roman"/>
          <w:sz w:val="20"/>
          <w:szCs w:val="20"/>
        </w:rPr>
        <w:t>aterials,10: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1208.</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Hao</w:t>
      </w:r>
      <w:r w:rsidR="00D8200D" w:rsidRPr="00C02348">
        <w:rPr>
          <w:rFonts w:ascii="Times New Roman" w:hAnsi="Times New Roman" w:cs="Times New Roman"/>
          <w:sz w:val="20"/>
          <w:szCs w:val="20"/>
        </w:rPr>
        <w:t>, Y</w:t>
      </w:r>
      <w:r w:rsidRPr="00C02348">
        <w:rPr>
          <w:rFonts w:ascii="Times New Roman" w:hAnsi="Times New Roman" w:cs="Times New Roman"/>
          <w:sz w:val="20"/>
          <w:szCs w:val="20"/>
        </w:rPr>
        <w: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Zhenbang,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Yingying,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James,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Gina,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Jerry,2011.</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Characterization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major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QTL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adult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plant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resistance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stripe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rust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soft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winter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wheat.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Theor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Genet,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123:1401–1411.</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Habib-ur-Rehman,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Mansoor-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Hasan,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Qurban,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Yasir,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Saleem,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Saima,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Usman,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Mahmood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Ahmed,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lastRenderedPageBreak/>
        <w:t>2018.</w:t>
      </w:r>
      <w:r w:rsidR="00DF4524" w:rsidRPr="00C02348">
        <w:rPr>
          <w:rFonts w:ascii="Times New Roman" w:hAnsi="Times New Roman" w:cs="Times New Roman"/>
          <w:sz w:val="20"/>
          <w:szCs w:val="20"/>
        </w:rPr>
        <w:t xml:space="preserve"> </w:t>
      </w:r>
      <w:r w:rsidR="00C02348" w:rsidRPr="00C02348">
        <w:rPr>
          <w:rFonts w:ascii="Times New Roman" w:hAnsi="Times New Roman" w:cs="Times New Roman"/>
          <w:sz w:val="20"/>
          <w:szCs w:val="20"/>
        </w:rPr>
        <w:t xml:space="preserve">Potential Of Three Indigenous Plants Extracts For The Control Of Tribolium Castaneum </w:t>
      </w:r>
      <w:r w:rsidRPr="00C02348">
        <w:rPr>
          <w:rFonts w:ascii="Times New Roman" w:hAnsi="Times New Roman" w:cs="Times New Roman"/>
          <w:sz w:val="20"/>
          <w:szCs w:val="20"/>
        </w:rPr>
        <w:t>(HERBST)</w:t>
      </w:r>
      <w:r w:rsidR="00DF4524" w:rsidRPr="00C02348">
        <w:rPr>
          <w:rFonts w:ascii="Times New Roman" w:hAnsi="Times New Roman" w:cs="Times New Roman"/>
          <w:sz w:val="20"/>
          <w:szCs w:val="20"/>
        </w:rPr>
        <w:t xml:space="preserve"> </w:t>
      </w:r>
      <w:r w:rsidR="00C02348" w:rsidRPr="00C02348">
        <w:rPr>
          <w:rFonts w:ascii="Times New Roman" w:hAnsi="Times New Roman" w:cs="Times New Roman"/>
          <w:sz w:val="20"/>
          <w:szCs w:val="20"/>
        </w:rPr>
        <w:t>And Rhyzopertha Dominica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(FAB.),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Pakistan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Entomologist,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40:31-37.</w:t>
      </w:r>
    </w:p>
    <w:p w:rsidR="00D8200D"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Jamdagni,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Poonam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Rana,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Green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zinc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oxide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flower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Nyctanthes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arbor-tristis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their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antifungal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activity,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Journal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Saud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University-Science,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168-17</w:t>
      </w:r>
      <w:r w:rsidR="00D8200D" w:rsidRPr="00C02348">
        <w:rPr>
          <w:rFonts w:ascii="Times New Roman" w:hAnsi="Times New Roman" w:cs="Times New Roman"/>
          <w:sz w:val="20"/>
          <w:szCs w:val="20"/>
        </w:rPr>
        <w:t>5.</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shd w:val="clear" w:color="auto" w:fill="FFFFFF"/>
        </w:rPr>
      </w:pPr>
      <w:r w:rsidRPr="00C02348">
        <w:rPr>
          <w:rFonts w:ascii="Times New Roman" w:hAnsi="Times New Roman" w:cs="Times New Roman"/>
          <w:sz w:val="20"/>
          <w:szCs w:val="20"/>
        </w:rPr>
        <w:t>Kasthuri,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Veerapandian,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Rajendiran,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2009.</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Biological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silver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gold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apiin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reducing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agent.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Colloids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Surf.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Biointerf.,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68: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55-60.</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Mathews,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1993.</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Insecticides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application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stores.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Applic.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Technol.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Crop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Prot.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CAB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Wallingford,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pp.305-315.</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Niemeyer,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Doz,</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2001.</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proteins,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nucleic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acids: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biotechnology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meets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materials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science.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Angewandte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Chemie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4128-58.</w:t>
      </w:r>
      <w:r w:rsidR="00DF4524" w:rsidRPr="00C02348">
        <w:rPr>
          <w:rFonts w:ascii="Times New Roman" w:hAnsi="Times New Roman" w:cs="Times New Roman"/>
          <w:sz w:val="20"/>
          <w:szCs w:val="20"/>
        </w:rPr>
        <w:t xml:space="preserve"> </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Oskam,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2006.</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Metal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oxide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characterization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application.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SolGel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Technol;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161-4.</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Phillips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Throme,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Biorational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approaches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managing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stored-product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insects</w:t>
      </w:r>
      <w:r w:rsidR="00D8200D" w:rsidRPr="00C02348">
        <w:rPr>
          <w:rFonts w:ascii="Times New Roman" w:hAnsi="Times New Roman" w:cs="Times New Roman"/>
          <w:sz w:val="20"/>
          <w:szCs w:val="20"/>
        </w:rPr>
        <w:t>. A</w:t>
      </w:r>
      <w:r w:rsidRPr="00C02348">
        <w:rPr>
          <w:rFonts w:ascii="Times New Roman" w:hAnsi="Times New Roman" w:cs="Times New Roman"/>
          <w:sz w:val="20"/>
          <w:szCs w:val="20"/>
        </w:rPr>
        <w:t>nnual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review</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entomology,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55.</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Pragati,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Khatri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8200D" w:rsidRPr="00C02348">
        <w:rPr>
          <w:rFonts w:ascii="Times New Roman" w:hAnsi="Times New Roman" w:cs="Times New Roman"/>
          <w:sz w:val="20"/>
          <w:szCs w:val="20"/>
        </w:rPr>
        <w:t>. S</w:t>
      </w:r>
      <w:r w:rsidRPr="00C02348">
        <w:rPr>
          <w:rFonts w:ascii="Times New Roman" w:hAnsi="Times New Roman" w:cs="Times New Roman"/>
          <w:sz w:val="20"/>
          <w:szCs w:val="20"/>
        </w:rPr>
        <w: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Rana,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Green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zinc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oxide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flower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Nyctanthes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arbor-tristis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their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antifungal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activity.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Journal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Saud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University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Science.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168-175.</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Puoci,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Lemma,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Spizzirri,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Cirillo,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Curcio,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Picci,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Polymer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agriculture: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review.</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3:299-314.</w:t>
      </w:r>
    </w:p>
    <w:p w:rsidR="002B0C07"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Rajput,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Bhatt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Agrawal,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2016.</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Plant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mediated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characterization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application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silver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leaves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Cupressus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torulosa.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International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Journal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Advanced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Research,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Volume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Issue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1199-1207.</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Renata,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2015.</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Titanium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Dioxide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Echinacea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purpurea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Herba.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Iranian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Journal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Pharmaceutical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Research.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16:</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756-762.</w:t>
      </w:r>
    </w:p>
    <w:p w:rsidR="00D8200D"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lastRenderedPageBreak/>
        <w:t>Sagheer,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Khan,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Gul,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Haidri,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Bukhari,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Muhammad,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Jahanzeb,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Tauseef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Bajwa,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2013.</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Growth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regulatory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potential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five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indigenous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plant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against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Tribolium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castaneum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(Herbst</w:t>
      </w:r>
      <w:r w:rsidR="00DF4524" w:rsidRPr="00C02348">
        <w:rPr>
          <w:rFonts w:ascii="Times New Roman" w:hAnsi="Times New Roman" w:cs="Times New Roman"/>
          <w:sz w:val="20"/>
          <w:szCs w:val="20"/>
        </w:rPr>
        <w:t>) (</w:t>
      </w:r>
      <w:r w:rsidRPr="00C02348">
        <w:rPr>
          <w:rFonts w:ascii="Times New Roman" w:hAnsi="Times New Roman" w:cs="Times New Roman"/>
          <w:sz w:val="20"/>
          <w:szCs w:val="20"/>
        </w:rPr>
        <w:t>Coleoptera: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Tenebrionidae).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International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Journal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Biosciences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(IJB),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50-5</w:t>
      </w:r>
      <w:r w:rsidR="00D8200D" w:rsidRPr="00C02348">
        <w:rPr>
          <w:rFonts w:ascii="Times New Roman" w:hAnsi="Times New Roman" w:cs="Times New Roman"/>
          <w:sz w:val="20"/>
          <w:szCs w:val="20"/>
        </w:rPr>
        <w:t>4.</w:t>
      </w:r>
    </w:p>
    <w:p w:rsidR="003E4201" w:rsidRPr="00C02348" w:rsidRDefault="003E4201" w:rsidP="00D8200D">
      <w:pPr>
        <w:pStyle w:val="ListParagraph"/>
        <w:widowControl w:val="0"/>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Suresh</w:t>
      </w:r>
      <w:r w:rsidR="00D8200D" w:rsidRPr="00C02348">
        <w:rPr>
          <w:rFonts w:ascii="Times New Roman" w:hAnsi="Times New Roman" w:cs="Times New Roman"/>
          <w:sz w:val="20"/>
          <w:szCs w:val="20"/>
        </w:rPr>
        <w:t>, J</w:t>
      </w:r>
      <w:r w:rsidRPr="00C02348">
        <w:rPr>
          <w:rFonts w:ascii="Times New Roman" w:hAnsi="Times New Roman" w:cs="Times New Roman"/>
          <w:sz w:val="20"/>
          <w:szCs w:val="20"/>
        </w:rPr>
        <w: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Ganeshan,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Vincent,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Mahalingam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Hong,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Green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characterization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zinc</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oxide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nanoparticle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using</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insulin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plant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(Costus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pictus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investigation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antimicrobial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well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anticancer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activities.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Advances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Natural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Sciences: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Nanoscience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Nanotechnology,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9:</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015008.</w:t>
      </w:r>
    </w:p>
    <w:p w:rsidR="003E4201" w:rsidRPr="00C02348" w:rsidRDefault="003E4201" w:rsidP="00D8200D">
      <w:pPr>
        <w:pStyle w:val="Default"/>
        <w:numPr>
          <w:ilvl w:val="0"/>
          <w:numId w:val="2"/>
        </w:numPr>
        <w:snapToGrid w:val="0"/>
        <w:jc w:val="both"/>
        <w:rPr>
          <w:bCs/>
          <w:color w:val="auto"/>
          <w:sz w:val="20"/>
          <w:szCs w:val="20"/>
        </w:rPr>
      </w:pPr>
      <w:r w:rsidRPr="00C02348">
        <w:rPr>
          <w:bCs/>
          <w:color w:val="auto"/>
          <w:sz w:val="20"/>
          <w:szCs w:val="20"/>
        </w:rPr>
        <w:t>Shuaib,</w:t>
      </w:r>
      <w:r w:rsidR="00DF4524" w:rsidRPr="00C02348">
        <w:rPr>
          <w:bCs/>
          <w:color w:val="auto"/>
          <w:sz w:val="20"/>
          <w:szCs w:val="20"/>
        </w:rPr>
        <w:t xml:space="preserve"> </w:t>
      </w:r>
      <w:r w:rsidRPr="00C02348">
        <w:rPr>
          <w:bCs/>
          <w:color w:val="auto"/>
          <w:sz w:val="20"/>
          <w:szCs w:val="20"/>
        </w:rPr>
        <w:t>M.,</w:t>
      </w:r>
      <w:r w:rsidR="00DF4524" w:rsidRPr="00C02348">
        <w:rPr>
          <w:bCs/>
          <w:color w:val="auto"/>
          <w:sz w:val="20"/>
          <w:szCs w:val="20"/>
        </w:rPr>
        <w:t xml:space="preserve"> </w:t>
      </w:r>
      <w:r w:rsidRPr="00C02348">
        <w:rPr>
          <w:bCs/>
          <w:color w:val="auto"/>
          <w:sz w:val="20"/>
          <w:szCs w:val="20"/>
        </w:rPr>
        <w:t>A.</w:t>
      </w:r>
      <w:r w:rsidR="00DF4524" w:rsidRPr="00C02348">
        <w:rPr>
          <w:bCs/>
          <w:color w:val="auto"/>
          <w:sz w:val="20"/>
          <w:szCs w:val="20"/>
        </w:rPr>
        <w:t xml:space="preserve"> </w:t>
      </w:r>
      <w:r w:rsidRPr="00C02348">
        <w:rPr>
          <w:bCs/>
          <w:color w:val="auto"/>
          <w:sz w:val="20"/>
          <w:szCs w:val="20"/>
        </w:rPr>
        <w:t>Zeb,</w:t>
      </w:r>
      <w:r w:rsidR="00DF4524" w:rsidRPr="00C02348">
        <w:rPr>
          <w:bCs/>
          <w:color w:val="auto"/>
          <w:sz w:val="20"/>
          <w:szCs w:val="20"/>
        </w:rPr>
        <w:t xml:space="preserve"> </w:t>
      </w:r>
      <w:r w:rsidRPr="00C02348">
        <w:rPr>
          <w:bCs/>
          <w:color w:val="auto"/>
          <w:sz w:val="20"/>
          <w:szCs w:val="20"/>
        </w:rPr>
        <w:t>Z.</w:t>
      </w:r>
      <w:r w:rsidR="00DF4524" w:rsidRPr="00C02348">
        <w:rPr>
          <w:bCs/>
          <w:color w:val="auto"/>
          <w:sz w:val="20"/>
          <w:szCs w:val="20"/>
        </w:rPr>
        <w:t xml:space="preserve"> </w:t>
      </w:r>
      <w:r w:rsidRPr="00C02348">
        <w:rPr>
          <w:bCs/>
          <w:color w:val="auto"/>
          <w:sz w:val="20"/>
          <w:szCs w:val="20"/>
        </w:rPr>
        <w:t>Ali,</w:t>
      </w:r>
      <w:r w:rsidR="00DF4524" w:rsidRPr="00C02348">
        <w:rPr>
          <w:bCs/>
          <w:color w:val="auto"/>
          <w:sz w:val="20"/>
          <w:szCs w:val="20"/>
        </w:rPr>
        <w:t xml:space="preserve"> </w:t>
      </w:r>
      <w:r w:rsidRPr="00C02348">
        <w:rPr>
          <w:bCs/>
          <w:color w:val="auto"/>
          <w:sz w:val="20"/>
          <w:szCs w:val="20"/>
        </w:rPr>
        <w:t>W.</w:t>
      </w:r>
      <w:r w:rsidR="00DF4524" w:rsidRPr="00C02348">
        <w:rPr>
          <w:bCs/>
          <w:color w:val="auto"/>
          <w:sz w:val="20"/>
          <w:szCs w:val="20"/>
        </w:rPr>
        <w:t xml:space="preserve"> </w:t>
      </w:r>
      <w:r w:rsidRPr="00C02348">
        <w:rPr>
          <w:bCs/>
          <w:color w:val="auto"/>
          <w:sz w:val="20"/>
          <w:szCs w:val="20"/>
        </w:rPr>
        <w:t>Ali,</w:t>
      </w:r>
      <w:r w:rsidR="00DF4524" w:rsidRPr="00C02348">
        <w:rPr>
          <w:bCs/>
          <w:color w:val="auto"/>
          <w:sz w:val="20"/>
          <w:szCs w:val="20"/>
        </w:rPr>
        <w:t xml:space="preserve"> </w:t>
      </w:r>
      <w:r w:rsidRPr="00C02348">
        <w:rPr>
          <w:bCs/>
          <w:color w:val="auto"/>
          <w:sz w:val="20"/>
          <w:szCs w:val="20"/>
        </w:rPr>
        <w:t>T.</w:t>
      </w:r>
      <w:r w:rsidR="00DF4524" w:rsidRPr="00C02348">
        <w:rPr>
          <w:bCs/>
          <w:color w:val="auto"/>
          <w:sz w:val="20"/>
          <w:szCs w:val="20"/>
        </w:rPr>
        <w:t xml:space="preserve"> </w:t>
      </w:r>
      <w:r w:rsidRPr="00C02348">
        <w:rPr>
          <w:bCs/>
          <w:color w:val="auto"/>
          <w:sz w:val="20"/>
          <w:szCs w:val="20"/>
        </w:rPr>
        <w:t>Ahmad</w:t>
      </w:r>
      <w:r w:rsidR="00DF4524" w:rsidRPr="00C02348">
        <w:rPr>
          <w:bCs/>
          <w:color w:val="auto"/>
          <w:sz w:val="20"/>
          <w:szCs w:val="20"/>
        </w:rPr>
        <w:t xml:space="preserve"> </w:t>
      </w:r>
      <w:r w:rsidRPr="00C02348">
        <w:rPr>
          <w:bCs/>
          <w:color w:val="auto"/>
          <w:sz w:val="20"/>
          <w:szCs w:val="20"/>
        </w:rPr>
        <w:t>and</w:t>
      </w:r>
      <w:r w:rsidR="00DF4524" w:rsidRPr="00C02348">
        <w:rPr>
          <w:bCs/>
          <w:color w:val="auto"/>
          <w:sz w:val="20"/>
          <w:szCs w:val="20"/>
        </w:rPr>
        <w:t xml:space="preserve"> </w:t>
      </w:r>
      <w:r w:rsidRPr="00C02348">
        <w:rPr>
          <w:bCs/>
          <w:color w:val="auto"/>
          <w:sz w:val="20"/>
          <w:szCs w:val="20"/>
        </w:rPr>
        <w:t>I.</w:t>
      </w:r>
      <w:r w:rsidR="00DF4524" w:rsidRPr="00C02348">
        <w:rPr>
          <w:bCs/>
          <w:color w:val="auto"/>
          <w:sz w:val="20"/>
          <w:szCs w:val="20"/>
        </w:rPr>
        <w:t xml:space="preserve"> </w:t>
      </w:r>
      <w:r w:rsidRPr="00C02348">
        <w:rPr>
          <w:bCs/>
          <w:color w:val="auto"/>
          <w:sz w:val="20"/>
          <w:szCs w:val="20"/>
        </w:rPr>
        <w:t>Khan,</w:t>
      </w:r>
      <w:r w:rsidR="00DF4524" w:rsidRPr="00C02348">
        <w:rPr>
          <w:bCs/>
          <w:color w:val="auto"/>
          <w:sz w:val="20"/>
          <w:szCs w:val="20"/>
        </w:rPr>
        <w:t xml:space="preserve"> </w:t>
      </w:r>
      <w:r w:rsidRPr="00C02348">
        <w:rPr>
          <w:bCs/>
          <w:color w:val="auto"/>
          <w:sz w:val="20"/>
          <w:szCs w:val="20"/>
        </w:rPr>
        <w:t>2007.</w:t>
      </w:r>
      <w:r w:rsidR="00DF4524" w:rsidRPr="00C02348">
        <w:rPr>
          <w:bCs/>
          <w:color w:val="auto"/>
          <w:sz w:val="20"/>
          <w:szCs w:val="20"/>
        </w:rPr>
        <w:t xml:space="preserve"> </w:t>
      </w:r>
      <w:r w:rsidRPr="00C02348">
        <w:rPr>
          <w:bCs/>
          <w:color w:val="auto"/>
          <w:sz w:val="20"/>
          <w:szCs w:val="20"/>
        </w:rPr>
        <w:t>Characterization</w:t>
      </w:r>
      <w:r w:rsidR="00DF4524" w:rsidRPr="00C02348">
        <w:rPr>
          <w:bCs/>
          <w:color w:val="auto"/>
          <w:sz w:val="20"/>
          <w:szCs w:val="20"/>
        </w:rPr>
        <w:t xml:space="preserve"> </w:t>
      </w:r>
      <w:r w:rsidRPr="00C02348">
        <w:rPr>
          <w:bCs/>
          <w:color w:val="auto"/>
          <w:sz w:val="20"/>
          <w:szCs w:val="20"/>
        </w:rPr>
        <w:t>of</w:t>
      </w:r>
      <w:r w:rsidR="00DF4524" w:rsidRPr="00C02348">
        <w:rPr>
          <w:bCs/>
          <w:color w:val="auto"/>
          <w:sz w:val="20"/>
          <w:szCs w:val="20"/>
        </w:rPr>
        <w:t xml:space="preserve"> </w:t>
      </w:r>
      <w:r w:rsidRPr="00C02348">
        <w:rPr>
          <w:bCs/>
          <w:color w:val="auto"/>
          <w:sz w:val="20"/>
          <w:szCs w:val="20"/>
        </w:rPr>
        <w:t>wheat</w:t>
      </w:r>
      <w:r w:rsidR="00DF4524" w:rsidRPr="00C02348">
        <w:rPr>
          <w:bCs/>
          <w:color w:val="auto"/>
          <w:sz w:val="20"/>
          <w:szCs w:val="20"/>
        </w:rPr>
        <w:t xml:space="preserve"> </w:t>
      </w:r>
      <w:r w:rsidRPr="00C02348">
        <w:rPr>
          <w:bCs/>
          <w:color w:val="auto"/>
          <w:sz w:val="20"/>
          <w:szCs w:val="20"/>
        </w:rPr>
        <w:t>varieties</w:t>
      </w:r>
      <w:r w:rsidR="00DF4524" w:rsidRPr="00C02348">
        <w:rPr>
          <w:bCs/>
          <w:color w:val="auto"/>
          <w:sz w:val="20"/>
          <w:szCs w:val="20"/>
        </w:rPr>
        <w:t xml:space="preserve"> </w:t>
      </w:r>
      <w:r w:rsidRPr="00C02348">
        <w:rPr>
          <w:bCs/>
          <w:color w:val="auto"/>
          <w:sz w:val="20"/>
          <w:szCs w:val="20"/>
        </w:rPr>
        <w:t>by</w:t>
      </w:r>
      <w:r w:rsidR="00DF4524" w:rsidRPr="00C02348">
        <w:rPr>
          <w:bCs/>
          <w:color w:val="auto"/>
          <w:sz w:val="20"/>
          <w:szCs w:val="20"/>
        </w:rPr>
        <w:t xml:space="preserve"> </w:t>
      </w:r>
      <w:r w:rsidRPr="00C02348">
        <w:rPr>
          <w:bCs/>
          <w:color w:val="auto"/>
          <w:sz w:val="20"/>
          <w:szCs w:val="20"/>
        </w:rPr>
        <w:t>seed</w:t>
      </w:r>
      <w:r w:rsidR="00DF4524" w:rsidRPr="00C02348">
        <w:rPr>
          <w:bCs/>
          <w:color w:val="auto"/>
          <w:sz w:val="20"/>
          <w:szCs w:val="20"/>
        </w:rPr>
        <w:t xml:space="preserve"> </w:t>
      </w:r>
      <w:r w:rsidRPr="00C02348">
        <w:rPr>
          <w:bCs/>
          <w:color w:val="auto"/>
          <w:sz w:val="20"/>
          <w:szCs w:val="20"/>
        </w:rPr>
        <w:t>storageprotein</w:t>
      </w:r>
      <w:r w:rsidR="00DF4524" w:rsidRPr="00C02348">
        <w:rPr>
          <w:bCs/>
          <w:color w:val="auto"/>
          <w:sz w:val="20"/>
          <w:szCs w:val="20"/>
        </w:rPr>
        <w:t xml:space="preserve"> </w:t>
      </w:r>
      <w:r w:rsidRPr="00C02348">
        <w:rPr>
          <w:bCs/>
          <w:color w:val="auto"/>
          <w:sz w:val="20"/>
          <w:szCs w:val="20"/>
        </w:rPr>
        <w:t>electrophoresis.</w:t>
      </w:r>
      <w:r w:rsidR="00DF4524" w:rsidRPr="00C02348">
        <w:rPr>
          <w:bCs/>
          <w:color w:val="auto"/>
          <w:sz w:val="20"/>
          <w:szCs w:val="20"/>
        </w:rPr>
        <w:t xml:space="preserve"> </w:t>
      </w:r>
      <w:r w:rsidRPr="00C02348">
        <w:rPr>
          <w:bCs/>
          <w:color w:val="auto"/>
          <w:sz w:val="20"/>
          <w:szCs w:val="20"/>
        </w:rPr>
        <w:t>African</w:t>
      </w:r>
      <w:r w:rsidR="00DF4524" w:rsidRPr="00C02348">
        <w:rPr>
          <w:bCs/>
          <w:color w:val="auto"/>
          <w:sz w:val="20"/>
          <w:szCs w:val="20"/>
        </w:rPr>
        <w:t xml:space="preserve"> </w:t>
      </w:r>
      <w:r w:rsidRPr="00C02348">
        <w:rPr>
          <w:bCs/>
          <w:color w:val="auto"/>
          <w:sz w:val="20"/>
          <w:szCs w:val="20"/>
        </w:rPr>
        <w:t>Journal</w:t>
      </w:r>
      <w:r w:rsidR="00DF4524" w:rsidRPr="00C02348">
        <w:rPr>
          <w:bCs/>
          <w:color w:val="auto"/>
          <w:sz w:val="20"/>
          <w:szCs w:val="20"/>
        </w:rPr>
        <w:t xml:space="preserve"> </w:t>
      </w:r>
      <w:r w:rsidRPr="00C02348">
        <w:rPr>
          <w:bCs/>
          <w:color w:val="auto"/>
          <w:sz w:val="20"/>
          <w:szCs w:val="20"/>
        </w:rPr>
        <w:t>of</w:t>
      </w:r>
      <w:r w:rsidR="00DF4524" w:rsidRPr="00C02348">
        <w:rPr>
          <w:bCs/>
          <w:color w:val="auto"/>
          <w:sz w:val="20"/>
          <w:szCs w:val="20"/>
        </w:rPr>
        <w:t xml:space="preserve"> </w:t>
      </w:r>
      <w:r w:rsidRPr="00C02348">
        <w:rPr>
          <w:bCs/>
          <w:color w:val="auto"/>
          <w:sz w:val="20"/>
          <w:szCs w:val="20"/>
        </w:rPr>
        <w:t>Biotechnology</w:t>
      </w:r>
      <w:r w:rsidR="00DF4524" w:rsidRPr="00C02348">
        <w:rPr>
          <w:bCs/>
          <w:color w:val="auto"/>
          <w:sz w:val="20"/>
          <w:szCs w:val="20"/>
        </w:rPr>
        <w:t xml:space="preserve"> </w:t>
      </w:r>
      <w:r w:rsidRPr="00C02348">
        <w:rPr>
          <w:bCs/>
          <w:color w:val="auto"/>
          <w:sz w:val="20"/>
          <w:szCs w:val="20"/>
        </w:rPr>
        <w:t>Vol.</w:t>
      </w:r>
      <w:r w:rsidR="00DF4524" w:rsidRPr="00C02348">
        <w:rPr>
          <w:bCs/>
          <w:color w:val="auto"/>
          <w:sz w:val="20"/>
          <w:szCs w:val="20"/>
        </w:rPr>
        <w:t xml:space="preserve"> </w:t>
      </w:r>
      <w:r w:rsidRPr="00C02348">
        <w:rPr>
          <w:bCs/>
          <w:color w:val="auto"/>
          <w:sz w:val="20"/>
          <w:szCs w:val="20"/>
        </w:rPr>
        <w:t>6:</w:t>
      </w:r>
      <w:r w:rsidR="00DF4524" w:rsidRPr="00C02348">
        <w:rPr>
          <w:bCs/>
          <w:color w:val="auto"/>
          <w:sz w:val="20"/>
          <w:szCs w:val="20"/>
        </w:rPr>
        <w:t xml:space="preserve"> </w:t>
      </w:r>
      <w:r w:rsidRPr="00C02348">
        <w:rPr>
          <w:bCs/>
          <w:color w:val="auto"/>
          <w:sz w:val="20"/>
          <w:szCs w:val="20"/>
        </w:rPr>
        <w:t>497-500.</w:t>
      </w:r>
    </w:p>
    <w:p w:rsidR="003E4201" w:rsidRPr="00C02348" w:rsidRDefault="003E4201" w:rsidP="00D8200D">
      <w:pPr>
        <w:pStyle w:val="Default"/>
        <w:numPr>
          <w:ilvl w:val="0"/>
          <w:numId w:val="2"/>
        </w:numPr>
        <w:snapToGrid w:val="0"/>
        <w:jc w:val="both"/>
        <w:rPr>
          <w:bCs/>
          <w:color w:val="auto"/>
          <w:sz w:val="20"/>
          <w:szCs w:val="20"/>
        </w:rPr>
      </w:pPr>
      <w:r w:rsidRPr="00C02348">
        <w:rPr>
          <w:color w:val="auto"/>
          <w:sz w:val="20"/>
          <w:szCs w:val="20"/>
        </w:rPr>
        <w:t>Taylor,</w:t>
      </w:r>
      <w:r w:rsidR="00DF4524" w:rsidRPr="00C02348">
        <w:rPr>
          <w:color w:val="auto"/>
          <w:sz w:val="20"/>
          <w:szCs w:val="20"/>
        </w:rPr>
        <w:t xml:space="preserve"> </w:t>
      </w:r>
      <w:r w:rsidRPr="00C02348">
        <w:rPr>
          <w:color w:val="auto"/>
          <w:sz w:val="20"/>
          <w:szCs w:val="20"/>
        </w:rPr>
        <w:t>M.</w:t>
      </w:r>
      <w:r w:rsidR="00DF4524" w:rsidRPr="00C02348">
        <w:rPr>
          <w:color w:val="auto"/>
          <w:sz w:val="20"/>
          <w:szCs w:val="20"/>
        </w:rPr>
        <w:t xml:space="preserve"> </w:t>
      </w:r>
      <w:r w:rsidRPr="00C02348">
        <w:rPr>
          <w:color w:val="auto"/>
          <w:sz w:val="20"/>
          <w:szCs w:val="20"/>
        </w:rPr>
        <w:t>D.,</w:t>
      </w:r>
      <w:r w:rsidR="00DF4524" w:rsidRPr="00C02348">
        <w:rPr>
          <w:color w:val="auto"/>
          <w:sz w:val="20"/>
          <w:szCs w:val="20"/>
        </w:rPr>
        <w:t xml:space="preserve"> </w:t>
      </w:r>
      <w:r w:rsidRPr="00C02348">
        <w:rPr>
          <w:color w:val="auto"/>
          <w:sz w:val="20"/>
          <w:szCs w:val="20"/>
        </w:rPr>
        <w:t>P.</w:t>
      </w:r>
      <w:r w:rsidR="00DF4524" w:rsidRPr="00C02348">
        <w:rPr>
          <w:color w:val="auto"/>
          <w:sz w:val="20"/>
          <w:szCs w:val="20"/>
        </w:rPr>
        <w:t xml:space="preserve"> </w:t>
      </w:r>
      <w:r w:rsidRPr="00C02348">
        <w:rPr>
          <w:color w:val="auto"/>
          <w:sz w:val="20"/>
          <w:szCs w:val="20"/>
        </w:rPr>
        <w:t>A.</w:t>
      </w:r>
      <w:r w:rsidR="00DF4524" w:rsidRPr="00C02348">
        <w:rPr>
          <w:color w:val="auto"/>
          <w:sz w:val="20"/>
          <w:szCs w:val="20"/>
        </w:rPr>
        <w:t xml:space="preserve"> </w:t>
      </w:r>
      <w:r w:rsidRPr="00C02348">
        <w:rPr>
          <w:color w:val="auto"/>
          <w:sz w:val="20"/>
          <w:szCs w:val="20"/>
        </w:rPr>
        <w:t>Northcott,</w:t>
      </w:r>
      <w:r w:rsidR="00DF4524" w:rsidRPr="00C02348">
        <w:rPr>
          <w:color w:val="auto"/>
          <w:sz w:val="20"/>
          <w:szCs w:val="20"/>
        </w:rPr>
        <w:t xml:space="preserve"> </w:t>
      </w:r>
      <w:r w:rsidRPr="00C02348">
        <w:rPr>
          <w:color w:val="auto"/>
          <w:sz w:val="20"/>
          <w:szCs w:val="20"/>
        </w:rPr>
        <w:t>A.</w:t>
      </w:r>
      <w:r w:rsidR="00DF4524" w:rsidRPr="00C02348">
        <w:rPr>
          <w:color w:val="auto"/>
          <w:sz w:val="20"/>
          <w:szCs w:val="20"/>
        </w:rPr>
        <w:t xml:space="preserve"> </w:t>
      </w:r>
      <w:r w:rsidRPr="00C02348">
        <w:rPr>
          <w:color w:val="auto"/>
          <w:sz w:val="20"/>
          <w:szCs w:val="20"/>
        </w:rPr>
        <w:t>Korshunov,</w:t>
      </w:r>
      <w:r w:rsidR="00DF4524" w:rsidRPr="00C02348">
        <w:rPr>
          <w:color w:val="auto"/>
          <w:sz w:val="20"/>
          <w:szCs w:val="20"/>
        </w:rPr>
        <w:t xml:space="preserve"> </w:t>
      </w:r>
      <w:r w:rsidRPr="00C02348">
        <w:rPr>
          <w:color w:val="auto"/>
          <w:sz w:val="20"/>
          <w:szCs w:val="20"/>
        </w:rPr>
        <w:t>M.</w:t>
      </w:r>
      <w:r w:rsidR="00DF4524" w:rsidRPr="00C02348">
        <w:rPr>
          <w:color w:val="auto"/>
          <w:sz w:val="20"/>
          <w:szCs w:val="20"/>
        </w:rPr>
        <w:t xml:space="preserve"> </w:t>
      </w:r>
      <w:r w:rsidRPr="00C02348">
        <w:rPr>
          <w:color w:val="auto"/>
          <w:sz w:val="20"/>
          <w:szCs w:val="20"/>
        </w:rPr>
        <w:t>Remke,</w:t>
      </w:r>
      <w:r w:rsidR="00DF4524" w:rsidRPr="00C02348">
        <w:rPr>
          <w:color w:val="auto"/>
          <w:sz w:val="20"/>
          <w:szCs w:val="20"/>
        </w:rPr>
        <w:t xml:space="preserve"> </w:t>
      </w:r>
      <w:r w:rsidRPr="00C02348">
        <w:rPr>
          <w:color w:val="auto"/>
          <w:sz w:val="20"/>
          <w:szCs w:val="20"/>
        </w:rPr>
        <w:t>Y.</w:t>
      </w:r>
      <w:r w:rsidR="00DF4524" w:rsidRPr="00C02348">
        <w:rPr>
          <w:color w:val="auto"/>
          <w:sz w:val="20"/>
          <w:szCs w:val="20"/>
        </w:rPr>
        <w:t xml:space="preserve"> </w:t>
      </w:r>
      <w:r w:rsidRPr="00C02348">
        <w:rPr>
          <w:color w:val="auto"/>
          <w:sz w:val="20"/>
          <w:szCs w:val="20"/>
        </w:rPr>
        <w:t>J.</w:t>
      </w:r>
      <w:r w:rsidR="00DF4524" w:rsidRPr="00C02348">
        <w:rPr>
          <w:color w:val="auto"/>
          <w:sz w:val="20"/>
          <w:szCs w:val="20"/>
        </w:rPr>
        <w:t xml:space="preserve"> </w:t>
      </w:r>
      <w:r w:rsidRPr="00C02348">
        <w:rPr>
          <w:color w:val="auto"/>
          <w:sz w:val="20"/>
          <w:szCs w:val="20"/>
        </w:rPr>
        <w:t>Cho,</w:t>
      </w:r>
      <w:r w:rsidR="00DF4524" w:rsidRPr="00C02348">
        <w:rPr>
          <w:color w:val="auto"/>
          <w:sz w:val="20"/>
          <w:szCs w:val="20"/>
        </w:rPr>
        <w:t xml:space="preserve"> </w:t>
      </w:r>
      <w:r w:rsidRPr="00C02348">
        <w:rPr>
          <w:color w:val="auto"/>
          <w:sz w:val="20"/>
          <w:szCs w:val="20"/>
        </w:rPr>
        <w:t>S.</w:t>
      </w:r>
      <w:r w:rsidR="00DF4524" w:rsidRPr="00C02348">
        <w:rPr>
          <w:color w:val="auto"/>
          <w:sz w:val="20"/>
          <w:szCs w:val="20"/>
        </w:rPr>
        <w:t xml:space="preserve"> </w:t>
      </w:r>
      <w:r w:rsidRPr="00C02348">
        <w:rPr>
          <w:color w:val="auto"/>
          <w:sz w:val="20"/>
          <w:szCs w:val="20"/>
        </w:rPr>
        <w:t>C.</w:t>
      </w:r>
      <w:r w:rsidR="00DF4524" w:rsidRPr="00C02348">
        <w:rPr>
          <w:color w:val="auto"/>
          <w:sz w:val="20"/>
          <w:szCs w:val="20"/>
        </w:rPr>
        <w:t xml:space="preserve"> </w:t>
      </w:r>
      <w:r w:rsidRPr="00C02348">
        <w:rPr>
          <w:color w:val="auto"/>
          <w:sz w:val="20"/>
          <w:szCs w:val="20"/>
        </w:rPr>
        <w:t>Clifford,</w:t>
      </w:r>
      <w:r w:rsidR="00DF4524" w:rsidRPr="00C02348">
        <w:rPr>
          <w:color w:val="auto"/>
          <w:sz w:val="20"/>
          <w:szCs w:val="20"/>
        </w:rPr>
        <w:t xml:space="preserve"> </w:t>
      </w:r>
      <w:r w:rsidRPr="00C02348">
        <w:rPr>
          <w:color w:val="auto"/>
          <w:sz w:val="20"/>
          <w:szCs w:val="20"/>
        </w:rPr>
        <w:t>C.</w:t>
      </w:r>
      <w:r w:rsidR="00DF4524" w:rsidRPr="00C02348">
        <w:rPr>
          <w:color w:val="auto"/>
          <w:sz w:val="20"/>
          <w:szCs w:val="20"/>
        </w:rPr>
        <w:t xml:space="preserve"> </w:t>
      </w:r>
      <w:r w:rsidRPr="00C02348">
        <w:rPr>
          <w:color w:val="auto"/>
          <w:sz w:val="20"/>
          <w:szCs w:val="20"/>
        </w:rPr>
        <w:t>G.</w:t>
      </w:r>
      <w:r w:rsidR="00DF4524" w:rsidRPr="00C02348">
        <w:rPr>
          <w:color w:val="auto"/>
          <w:sz w:val="20"/>
          <w:szCs w:val="20"/>
        </w:rPr>
        <w:t xml:space="preserve"> </w:t>
      </w:r>
      <w:r w:rsidRPr="00C02348">
        <w:rPr>
          <w:color w:val="auto"/>
          <w:sz w:val="20"/>
          <w:szCs w:val="20"/>
        </w:rPr>
        <w:t>Eberhart,</w:t>
      </w:r>
      <w:r w:rsidR="00DF4524" w:rsidRPr="00C02348">
        <w:rPr>
          <w:color w:val="auto"/>
          <w:sz w:val="20"/>
          <w:szCs w:val="20"/>
        </w:rPr>
        <w:t xml:space="preserve"> </w:t>
      </w:r>
      <w:r w:rsidRPr="00C02348">
        <w:rPr>
          <w:color w:val="auto"/>
          <w:sz w:val="20"/>
          <w:szCs w:val="20"/>
        </w:rPr>
        <w:t>D.</w:t>
      </w:r>
      <w:r w:rsidR="00DF4524" w:rsidRPr="00C02348">
        <w:rPr>
          <w:color w:val="auto"/>
          <w:sz w:val="20"/>
          <w:szCs w:val="20"/>
        </w:rPr>
        <w:t xml:space="preserve"> </w:t>
      </w:r>
      <w:r w:rsidRPr="00C02348">
        <w:rPr>
          <w:color w:val="auto"/>
          <w:sz w:val="20"/>
          <w:szCs w:val="20"/>
        </w:rPr>
        <w:t>W.</w:t>
      </w:r>
      <w:r w:rsidR="00DF4524" w:rsidRPr="00C02348">
        <w:rPr>
          <w:color w:val="auto"/>
          <w:sz w:val="20"/>
          <w:szCs w:val="20"/>
        </w:rPr>
        <w:t xml:space="preserve"> </w:t>
      </w:r>
      <w:r w:rsidRPr="00C02348">
        <w:rPr>
          <w:color w:val="auto"/>
          <w:sz w:val="20"/>
          <w:szCs w:val="20"/>
        </w:rPr>
        <w:t>Parsons,</w:t>
      </w:r>
      <w:r w:rsidR="00DF4524" w:rsidRPr="00C02348">
        <w:rPr>
          <w:color w:val="auto"/>
          <w:sz w:val="20"/>
          <w:szCs w:val="20"/>
        </w:rPr>
        <w:t xml:space="preserve"> </w:t>
      </w:r>
      <w:r w:rsidRPr="00C02348">
        <w:rPr>
          <w:color w:val="auto"/>
          <w:sz w:val="20"/>
          <w:szCs w:val="20"/>
        </w:rPr>
        <w:t>S.</w:t>
      </w:r>
      <w:r w:rsidR="00DF4524" w:rsidRPr="00C02348">
        <w:rPr>
          <w:color w:val="auto"/>
          <w:sz w:val="20"/>
          <w:szCs w:val="20"/>
        </w:rPr>
        <w:t xml:space="preserve"> </w:t>
      </w:r>
      <w:r w:rsidRPr="00C02348">
        <w:rPr>
          <w:color w:val="auto"/>
          <w:sz w:val="20"/>
          <w:szCs w:val="20"/>
        </w:rPr>
        <w:t>Rutkowski,</w:t>
      </w:r>
      <w:r w:rsidR="00DF4524" w:rsidRPr="00C02348">
        <w:rPr>
          <w:color w:val="auto"/>
          <w:sz w:val="20"/>
          <w:szCs w:val="20"/>
        </w:rPr>
        <w:t xml:space="preserve"> </w:t>
      </w:r>
      <w:r w:rsidRPr="00C02348">
        <w:rPr>
          <w:color w:val="auto"/>
          <w:sz w:val="20"/>
          <w:szCs w:val="20"/>
        </w:rPr>
        <w:t>A.</w:t>
      </w:r>
      <w:r w:rsidR="00DF4524" w:rsidRPr="00C02348">
        <w:rPr>
          <w:color w:val="auto"/>
          <w:sz w:val="20"/>
          <w:szCs w:val="20"/>
        </w:rPr>
        <w:t xml:space="preserve"> </w:t>
      </w:r>
      <w:r w:rsidRPr="00C02348">
        <w:rPr>
          <w:color w:val="auto"/>
          <w:sz w:val="20"/>
          <w:szCs w:val="20"/>
        </w:rPr>
        <w:t>Gajjar,</w:t>
      </w:r>
      <w:r w:rsidR="00DF4524" w:rsidRPr="00C02348">
        <w:rPr>
          <w:color w:val="auto"/>
          <w:sz w:val="20"/>
          <w:szCs w:val="20"/>
        </w:rPr>
        <w:t xml:space="preserve"> </w:t>
      </w:r>
      <w:r w:rsidRPr="00C02348">
        <w:rPr>
          <w:color w:val="auto"/>
          <w:sz w:val="20"/>
          <w:szCs w:val="20"/>
        </w:rPr>
        <w:t>D.</w:t>
      </w:r>
      <w:r w:rsidR="00DF4524" w:rsidRPr="00C02348">
        <w:rPr>
          <w:color w:val="auto"/>
          <w:sz w:val="20"/>
          <w:szCs w:val="20"/>
        </w:rPr>
        <w:t xml:space="preserve"> </w:t>
      </w:r>
      <w:r w:rsidRPr="00C02348">
        <w:rPr>
          <w:color w:val="auto"/>
          <w:sz w:val="20"/>
          <w:szCs w:val="20"/>
        </w:rPr>
        <w:t>W.</w:t>
      </w:r>
      <w:r w:rsidR="00DF4524" w:rsidRPr="00C02348">
        <w:rPr>
          <w:color w:val="auto"/>
          <w:sz w:val="20"/>
          <w:szCs w:val="20"/>
        </w:rPr>
        <w:t xml:space="preserve"> </w:t>
      </w:r>
      <w:r w:rsidRPr="00C02348">
        <w:rPr>
          <w:color w:val="auto"/>
          <w:sz w:val="20"/>
          <w:szCs w:val="20"/>
        </w:rPr>
        <w:t>Ellison,</w:t>
      </w:r>
      <w:r w:rsidR="00DF4524" w:rsidRPr="00C02348">
        <w:rPr>
          <w:color w:val="auto"/>
          <w:sz w:val="20"/>
          <w:szCs w:val="20"/>
        </w:rPr>
        <w:t xml:space="preserve"> </w:t>
      </w:r>
      <w:r w:rsidRPr="00C02348">
        <w:rPr>
          <w:color w:val="auto"/>
          <w:sz w:val="20"/>
          <w:szCs w:val="20"/>
        </w:rPr>
        <w:t>P.</w:t>
      </w:r>
      <w:r w:rsidR="00DF4524" w:rsidRPr="00C02348">
        <w:rPr>
          <w:color w:val="auto"/>
          <w:sz w:val="20"/>
          <w:szCs w:val="20"/>
        </w:rPr>
        <w:t xml:space="preserve"> </w:t>
      </w:r>
      <w:r w:rsidRPr="00C02348">
        <w:rPr>
          <w:color w:val="auto"/>
          <w:sz w:val="20"/>
          <w:szCs w:val="20"/>
        </w:rPr>
        <w:t>Lichter,</w:t>
      </w:r>
      <w:r w:rsidR="00DF4524" w:rsidRPr="00C02348">
        <w:rPr>
          <w:color w:val="auto"/>
          <w:sz w:val="20"/>
          <w:szCs w:val="20"/>
        </w:rPr>
        <w:t xml:space="preserve"> </w:t>
      </w:r>
      <w:r w:rsidRPr="00C02348">
        <w:rPr>
          <w:color w:val="auto"/>
          <w:sz w:val="20"/>
          <w:szCs w:val="20"/>
        </w:rPr>
        <w:t>R.</w:t>
      </w:r>
      <w:r w:rsidR="00DF4524" w:rsidRPr="00C02348">
        <w:rPr>
          <w:color w:val="auto"/>
          <w:sz w:val="20"/>
          <w:szCs w:val="20"/>
        </w:rPr>
        <w:t xml:space="preserve"> </w:t>
      </w:r>
      <w:r w:rsidRPr="00C02348">
        <w:rPr>
          <w:color w:val="auto"/>
          <w:sz w:val="20"/>
          <w:szCs w:val="20"/>
        </w:rPr>
        <w:t>J.</w:t>
      </w:r>
      <w:r w:rsidR="00DF4524" w:rsidRPr="00C02348">
        <w:rPr>
          <w:color w:val="auto"/>
          <w:sz w:val="20"/>
          <w:szCs w:val="20"/>
        </w:rPr>
        <w:t xml:space="preserve"> </w:t>
      </w:r>
      <w:r w:rsidRPr="00C02348">
        <w:rPr>
          <w:color w:val="auto"/>
          <w:sz w:val="20"/>
          <w:szCs w:val="20"/>
        </w:rPr>
        <w:t>Gilbertson,</w:t>
      </w:r>
      <w:r w:rsidR="00DF4524" w:rsidRPr="00C02348">
        <w:rPr>
          <w:color w:val="auto"/>
          <w:sz w:val="20"/>
          <w:szCs w:val="20"/>
        </w:rPr>
        <w:t xml:space="preserve"> </w:t>
      </w:r>
      <w:r w:rsidRPr="00C02348">
        <w:rPr>
          <w:color w:val="auto"/>
          <w:sz w:val="20"/>
          <w:szCs w:val="20"/>
        </w:rPr>
        <w:t>S.</w:t>
      </w:r>
      <w:r w:rsidR="00DF4524" w:rsidRPr="00C02348">
        <w:rPr>
          <w:color w:val="auto"/>
          <w:sz w:val="20"/>
          <w:szCs w:val="20"/>
        </w:rPr>
        <w:t xml:space="preserve"> </w:t>
      </w:r>
      <w:r w:rsidRPr="00C02348">
        <w:rPr>
          <w:color w:val="auto"/>
          <w:sz w:val="20"/>
          <w:szCs w:val="20"/>
        </w:rPr>
        <w:t>L.</w:t>
      </w:r>
      <w:r w:rsidR="00DF4524" w:rsidRPr="00C02348">
        <w:rPr>
          <w:color w:val="auto"/>
          <w:sz w:val="20"/>
          <w:szCs w:val="20"/>
        </w:rPr>
        <w:t xml:space="preserve"> </w:t>
      </w:r>
      <w:r w:rsidRPr="00C02348">
        <w:rPr>
          <w:color w:val="auto"/>
          <w:sz w:val="20"/>
          <w:szCs w:val="20"/>
        </w:rPr>
        <w:t>Pomeroy,</w:t>
      </w:r>
      <w:r w:rsidR="00DF4524" w:rsidRPr="00C02348">
        <w:rPr>
          <w:color w:val="auto"/>
          <w:sz w:val="20"/>
          <w:szCs w:val="20"/>
        </w:rPr>
        <w:t xml:space="preserve"> </w:t>
      </w:r>
      <w:r w:rsidRPr="00C02348">
        <w:rPr>
          <w:color w:val="auto"/>
          <w:sz w:val="20"/>
          <w:szCs w:val="20"/>
        </w:rPr>
        <w:t>M.</w:t>
      </w:r>
      <w:r w:rsidR="00DF4524" w:rsidRPr="00C02348">
        <w:rPr>
          <w:color w:val="auto"/>
          <w:sz w:val="20"/>
          <w:szCs w:val="20"/>
        </w:rPr>
        <w:t xml:space="preserve"> </w:t>
      </w:r>
      <w:r w:rsidRPr="00C02348">
        <w:rPr>
          <w:color w:val="auto"/>
          <w:sz w:val="20"/>
          <w:szCs w:val="20"/>
        </w:rPr>
        <w:t>Kool,</w:t>
      </w:r>
      <w:r w:rsidR="00DF4524" w:rsidRPr="00C02348">
        <w:rPr>
          <w:color w:val="auto"/>
          <w:sz w:val="20"/>
          <w:szCs w:val="20"/>
        </w:rPr>
        <w:t xml:space="preserve"> </w:t>
      </w:r>
      <w:r w:rsidRPr="00C02348">
        <w:rPr>
          <w:color w:val="auto"/>
          <w:sz w:val="20"/>
          <w:szCs w:val="20"/>
        </w:rPr>
        <w:t>S.</w:t>
      </w:r>
      <w:r w:rsidR="00DF4524" w:rsidRPr="00C02348">
        <w:rPr>
          <w:color w:val="auto"/>
          <w:sz w:val="20"/>
          <w:szCs w:val="20"/>
        </w:rPr>
        <w:t xml:space="preserve"> </w:t>
      </w:r>
      <w:r w:rsidRPr="00C02348">
        <w:rPr>
          <w:color w:val="auto"/>
          <w:sz w:val="20"/>
          <w:szCs w:val="20"/>
        </w:rPr>
        <w:t>M.</w:t>
      </w:r>
      <w:r w:rsidR="00DF4524" w:rsidRPr="00C02348">
        <w:rPr>
          <w:color w:val="auto"/>
          <w:sz w:val="20"/>
          <w:szCs w:val="20"/>
        </w:rPr>
        <w:t xml:space="preserve"> </w:t>
      </w:r>
      <w:r w:rsidRPr="00C02348">
        <w:rPr>
          <w:color w:val="auto"/>
          <w:sz w:val="20"/>
          <w:szCs w:val="20"/>
        </w:rPr>
        <w:t>Pfister,</w:t>
      </w:r>
      <w:r w:rsidR="00DF4524" w:rsidRPr="00C02348">
        <w:rPr>
          <w:color w:val="auto"/>
          <w:sz w:val="20"/>
          <w:szCs w:val="20"/>
        </w:rPr>
        <w:t xml:space="preserve"> </w:t>
      </w:r>
      <w:r w:rsidRPr="00C02348">
        <w:rPr>
          <w:color w:val="auto"/>
          <w:sz w:val="20"/>
          <w:szCs w:val="20"/>
        </w:rPr>
        <w:t>2012.</w:t>
      </w:r>
      <w:r w:rsidR="00DF4524" w:rsidRPr="00C02348">
        <w:rPr>
          <w:color w:val="auto"/>
          <w:sz w:val="20"/>
          <w:szCs w:val="20"/>
        </w:rPr>
        <w:t xml:space="preserve"> </w:t>
      </w:r>
      <w:r w:rsidRPr="00C02348">
        <w:rPr>
          <w:color w:val="auto"/>
          <w:sz w:val="20"/>
          <w:szCs w:val="20"/>
        </w:rPr>
        <w:t>Molecular</w:t>
      </w:r>
      <w:r w:rsidR="00DF4524" w:rsidRPr="00C02348">
        <w:rPr>
          <w:color w:val="auto"/>
          <w:sz w:val="20"/>
          <w:szCs w:val="20"/>
        </w:rPr>
        <w:t xml:space="preserve"> </w:t>
      </w:r>
      <w:r w:rsidRPr="00C02348">
        <w:rPr>
          <w:color w:val="auto"/>
          <w:sz w:val="20"/>
          <w:szCs w:val="20"/>
        </w:rPr>
        <w:t>subgroups</w:t>
      </w:r>
      <w:r w:rsidR="00DF4524" w:rsidRPr="00C02348">
        <w:rPr>
          <w:color w:val="auto"/>
          <w:sz w:val="20"/>
          <w:szCs w:val="20"/>
        </w:rPr>
        <w:t xml:space="preserve"> </w:t>
      </w:r>
      <w:r w:rsidRPr="00C02348">
        <w:rPr>
          <w:color w:val="auto"/>
          <w:sz w:val="20"/>
          <w:szCs w:val="20"/>
        </w:rPr>
        <w:t>of</w:t>
      </w:r>
      <w:r w:rsidR="00DF4524" w:rsidRPr="00C02348">
        <w:rPr>
          <w:color w:val="auto"/>
          <w:sz w:val="20"/>
          <w:szCs w:val="20"/>
        </w:rPr>
        <w:t xml:space="preserve"> </w:t>
      </w:r>
      <w:r w:rsidRPr="00C02348">
        <w:rPr>
          <w:color w:val="auto"/>
          <w:sz w:val="20"/>
          <w:szCs w:val="20"/>
        </w:rPr>
        <w:t>medulloblastoma:</w:t>
      </w:r>
      <w:r w:rsidR="00DF4524" w:rsidRPr="00C02348">
        <w:rPr>
          <w:color w:val="auto"/>
          <w:sz w:val="20"/>
          <w:szCs w:val="20"/>
        </w:rPr>
        <w:t xml:space="preserve"> </w:t>
      </w:r>
      <w:r w:rsidRPr="00C02348">
        <w:rPr>
          <w:color w:val="auto"/>
          <w:sz w:val="20"/>
          <w:szCs w:val="20"/>
        </w:rPr>
        <w:t>the</w:t>
      </w:r>
      <w:r w:rsidR="00DF4524" w:rsidRPr="00C02348">
        <w:rPr>
          <w:color w:val="auto"/>
          <w:sz w:val="20"/>
          <w:szCs w:val="20"/>
        </w:rPr>
        <w:t xml:space="preserve"> </w:t>
      </w:r>
      <w:r w:rsidRPr="00C02348">
        <w:rPr>
          <w:color w:val="auto"/>
          <w:sz w:val="20"/>
          <w:szCs w:val="20"/>
        </w:rPr>
        <w:t>current</w:t>
      </w:r>
      <w:r w:rsidR="00DF4524" w:rsidRPr="00C02348">
        <w:rPr>
          <w:color w:val="auto"/>
          <w:sz w:val="20"/>
          <w:szCs w:val="20"/>
        </w:rPr>
        <w:t xml:space="preserve"> </w:t>
      </w:r>
      <w:r w:rsidRPr="00C02348">
        <w:rPr>
          <w:color w:val="auto"/>
          <w:sz w:val="20"/>
          <w:szCs w:val="20"/>
        </w:rPr>
        <w:t>consensus.123:</w:t>
      </w:r>
      <w:r w:rsidR="00DF4524" w:rsidRPr="00C02348">
        <w:rPr>
          <w:color w:val="auto"/>
          <w:sz w:val="20"/>
          <w:szCs w:val="20"/>
        </w:rPr>
        <w:t xml:space="preserve"> </w:t>
      </w:r>
      <w:r w:rsidRPr="00C02348">
        <w:rPr>
          <w:color w:val="auto"/>
          <w:sz w:val="20"/>
          <w:szCs w:val="20"/>
        </w:rPr>
        <w:t>465-72.</w:t>
      </w:r>
    </w:p>
    <w:p w:rsidR="002B0C07"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Weaver,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Subramanym,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2000.</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Botnicals</w:t>
      </w:r>
      <w:r w:rsidR="00D8200D" w:rsidRPr="00C02348">
        <w:rPr>
          <w:rFonts w:ascii="Times New Roman" w:hAnsi="Times New Roman" w:cs="Times New Roman"/>
          <w:sz w:val="20"/>
          <w:szCs w:val="20"/>
        </w:rPr>
        <w:t>. I</w:t>
      </w:r>
      <w:r w:rsidRPr="00C02348">
        <w:rPr>
          <w:rFonts w:ascii="Times New Roman" w:hAnsi="Times New Roman" w:cs="Times New Roman"/>
          <w:sz w:val="20"/>
          <w:szCs w:val="20"/>
        </w:rPr>
        <w:t>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Alternatives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pesticides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stored-products.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springer,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Boston,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303-320.</w:t>
      </w:r>
    </w:p>
    <w:p w:rsidR="002B0C07"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Logeswari,</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Silambarasan,</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&amp; </w:t>
      </w:r>
      <w:r w:rsidRPr="00C02348">
        <w:rPr>
          <w:rFonts w:ascii="Times New Roman" w:hAnsi="Times New Roman" w:cs="Times New Roman"/>
          <w:sz w:val="20"/>
          <w:szCs w:val="20"/>
        </w:rPr>
        <w:t>Abraham,</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(2015).</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Synthesi</w:t>
      </w:r>
      <w:r w:rsidR="002B0C07" w:rsidRPr="00C02348">
        <w:rPr>
          <w:rFonts w:ascii="Times New Roman" w:hAnsi="Times New Roman" w:cs="Times New Roman"/>
          <w:sz w:val="20"/>
          <w:szCs w:val="20"/>
        </w:rPr>
        <w:t>s</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silver</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nanoparticles</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using</w:t>
      </w:r>
      <w:r w:rsidR="00C02348" w:rsidRPr="00C02348">
        <w:rPr>
          <w:rFonts w:ascii="Times New Roman" w:hAnsi="Times New Roman" w:cs="Times New Roman" w:hint="eastAsia"/>
          <w:sz w:val="20"/>
          <w:szCs w:val="20"/>
          <w:lang w:eastAsia="zh-CN"/>
        </w:rPr>
        <w:t xml:space="preserve"> </w:t>
      </w:r>
      <w:r w:rsidRPr="00C02348">
        <w:rPr>
          <w:rFonts w:ascii="Times New Roman" w:hAnsi="Times New Roman" w:cs="Times New Roman"/>
          <w:sz w:val="20"/>
          <w:szCs w:val="20"/>
        </w:rPr>
        <w:t>plants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analysis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their</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antimicrobial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property.</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i/>
          <w:sz w:val="20"/>
          <w:szCs w:val="20"/>
        </w:rPr>
        <w:t>Journal</w:t>
      </w:r>
      <w:r w:rsidR="00DF4524" w:rsidRPr="00C02348">
        <w:rPr>
          <w:rFonts w:ascii="Times New Roman" w:hAnsi="Times New Roman" w:cs="Times New Roman"/>
          <w:i/>
          <w:sz w:val="20"/>
          <w:szCs w:val="20"/>
        </w:rPr>
        <w:t xml:space="preserve"> </w:t>
      </w:r>
      <w:r w:rsidR="002B0C07" w:rsidRPr="00C02348">
        <w:rPr>
          <w:rFonts w:ascii="Times New Roman" w:hAnsi="Times New Roman" w:cs="Times New Roman"/>
          <w:i/>
          <w:sz w:val="20"/>
          <w:szCs w:val="20"/>
        </w:rPr>
        <w:t>of</w:t>
      </w:r>
      <w:r w:rsidR="00DF4524" w:rsidRPr="00C02348">
        <w:rPr>
          <w:rFonts w:ascii="Times New Roman" w:hAnsi="Times New Roman" w:cs="Times New Roman"/>
          <w:i/>
          <w:sz w:val="20"/>
          <w:szCs w:val="20"/>
        </w:rPr>
        <w:t xml:space="preserve"> </w:t>
      </w:r>
      <w:r w:rsidR="002B0C07" w:rsidRPr="00C02348">
        <w:rPr>
          <w:rFonts w:ascii="Times New Roman" w:hAnsi="Times New Roman" w:cs="Times New Roman"/>
          <w:i/>
          <w:sz w:val="20"/>
          <w:szCs w:val="20"/>
        </w:rPr>
        <w:t>Saudi</w:t>
      </w:r>
      <w:r w:rsidR="00DF4524" w:rsidRPr="00C02348">
        <w:rPr>
          <w:rFonts w:ascii="Times New Roman" w:hAnsi="Times New Roman" w:cs="Times New Roman"/>
          <w:i/>
          <w:sz w:val="20"/>
          <w:szCs w:val="20"/>
        </w:rPr>
        <w:t xml:space="preserve"> </w:t>
      </w:r>
      <w:r w:rsidR="002B0C07" w:rsidRPr="00C02348">
        <w:rPr>
          <w:rFonts w:ascii="Times New Roman" w:hAnsi="Times New Roman" w:cs="Times New Roman"/>
          <w:i/>
          <w:sz w:val="20"/>
          <w:szCs w:val="20"/>
        </w:rPr>
        <w:t>Chemical</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Society,</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19</w:t>
      </w:r>
      <w:r w:rsidRPr="00C02348">
        <w:rPr>
          <w:rFonts w:ascii="Times New Roman" w:hAnsi="Times New Roman" w:cs="Times New Roman"/>
          <w:sz w:val="20"/>
          <w:szCs w:val="20"/>
        </w:rPr>
        <w:t>(3),</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311-317.</w:t>
      </w:r>
    </w:p>
    <w:p w:rsidR="00D8200D"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WHO,</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Vector-borne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diseases.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Available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[https://www.who.int/news-</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room/fact-</w:t>
      </w:r>
      <w:r w:rsidRPr="00C02348">
        <w:rPr>
          <w:rFonts w:ascii="Times New Roman" w:hAnsi="Times New Roman" w:cs="Times New Roman"/>
          <w:sz w:val="20"/>
          <w:szCs w:val="20"/>
        </w:rPr>
        <w:t>sheets/detail/vector-borne-diseases].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Accessed</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date: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July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7,</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w:t>
      </w:r>
      <w:r w:rsidR="00D8200D" w:rsidRPr="00C02348">
        <w:rPr>
          <w:rFonts w:ascii="Times New Roman" w:hAnsi="Times New Roman" w:cs="Times New Roman"/>
          <w:sz w:val="20"/>
          <w:szCs w:val="20"/>
        </w:rPr>
        <w:t>9.</w:t>
      </w:r>
    </w:p>
    <w:p w:rsidR="003E4201" w:rsidRPr="00C02348" w:rsidRDefault="003E4201" w:rsidP="00D8200D">
      <w:pPr>
        <w:pStyle w:val="ListParagraph"/>
        <w:numPr>
          <w:ilvl w:val="0"/>
          <w:numId w:val="2"/>
        </w:num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Ullah,</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Z.,</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Ijaz,</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Mughal,</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&amp; </w:t>
      </w:r>
      <w:r w:rsidRPr="00C02348">
        <w:rPr>
          <w:rFonts w:ascii="Times New Roman" w:hAnsi="Times New Roman" w:cs="Times New Roman"/>
          <w:sz w:val="20"/>
          <w:szCs w:val="20"/>
        </w:rPr>
        <w:t>Zia,</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K.</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(2018).</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Larvicidal</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activity</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of</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medicinal</w:t>
      </w:r>
      <w:r w:rsidR="00DF4524" w:rsidRPr="00C02348">
        <w:rPr>
          <w:rFonts w:ascii="Times New Roman" w:hAnsi="Times New Roman" w:cs="Times New Roman"/>
          <w:sz w:val="20"/>
          <w:szCs w:val="20"/>
        </w:rPr>
        <w:t xml:space="preserve"> </w:t>
      </w:r>
      <w:r w:rsidR="002B0C07" w:rsidRPr="00C02348">
        <w:rPr>
          <w:rFonts w:ascii="Times New Roman" w:hAnsi="Times New Roman" w:cs="Times New Roman"/>
          <w:sz w:val="20"/>
          <w:szCs w:val="20"/>
        </w:rPr>
        <w:t>plant</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extracts</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against</w:t>
      </w:r>
      <w:r w:rsidR="00DF4524" w:rsidRPr="00C02348">
        <w:rPr>
          <w:rFonts w:ascii="Times New Roman" w:hAnsi="Times New Roman" w:cs="Times New Roman"/>
          <w:sz w:val="20"/>
          <w:szCs w:val="20"/>
        </w:rPr>
        <w:t xml:space="preserve"> </w:t>
      </w:r>
      <w:r w:rsidRPr="00C02348">
        <w:rPr>
          <w:rFonts w:ascii="Times New Roman" w:hAnsi="Times New Roman" w:cs="Times New Roman"/>
          <w:i/>
          <w:sz w:val="20"/>
          <w:szCs w:val="20"/>
        </w:rPr>
        <w:t>Culex</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quinquefasciatus</w:t>
      </w:r>
      <w:r w:rsidR="00DF4524" w:rsidRPr="00C02348">
        <w:rPr>
          <w:rFonts w:ascii="Times New Roman" w:hAnsi="Times New Roman" w:cs="Times New Roman"/>
          <w:i/>
          <w:sz w:val="20"/>
          <w:szCs w:val="20"/>
        </w:rPr>
        <w:t xml:space="preserve"> </w:t>
      </w:r>
      <w:r w:rsidRPr="00C02348">
        <w:rPr>
          <w:rFonts w:ascii="Times New Roman" w:hAnsi="Times New Roman" w:cs="Times New Roman"/>
          <w:sz w:val="20"/>
          <w:szCs w:val="20"/>
        </w:rPr>
        <w:t>Say</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(Culicidae,</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Diptera).</w:t>
      </w:r>
      <w:r w:rsidR="00DF4524" w:rsidRPr="00C02348">
        <w:rPr>
          <w:rFonts w:ascii="Times New Roman" w:hAnsi="Times New Roman" w:cs="Times New Roman"/>
          <w:sz w:val="20"/>
          <w:szCs w:val="20"/>
        </w:rPr>
        <w:t xml:space="preserve"> </w:t>
      </w:r>
      <w:r w:rsidRPr="00C02348">
        <w:rPr>
          <w:rFonts w:ascii="Times New Roman" w:hAnsi="Times New Roman" w:cs="Times New Roman"/>
          <w:i/>
          <w:sz w:val="20"/>
          <w:szCs w:val="20"/>
        </w:rPr>
        <w:t>International</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Journal</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of</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Mosquito</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Research,</w:t>
      </w:r>
      <w:r w:rsidR="00DF4524" w:rsidRPr="00C02348">
        <w:rPr>
          <w:rFonts w:ascii="Times New Roman" w:hAnsi="Times New Roman" w:cs="Times New Roman"/>
          <w:i/>
          <w:sz w:val="20"/>
          <w:szCs w:val="20"/>
        </w:rPr>
        <w:t xml:space="preserve"> </w:t>
      </w:r>
      <w:r w:rsidRPr="00C02348">
        <w:rPr>
          <w:rFonts w:ascii="Times New Roman" w:hAnsi="Times New Roman" w:cs="Times New Roman"/>
          <w:i/>
          <w:sz w:val="20"/>
          <w:szCs w:val="20"/>
        </w:rPr>
        <w:t>5</w:t>
      </w:r>
      <w:r w:rsidRPr="00C02348">
        <w:rPr>
          <w:rFonts w:ascii="Times New Roman" w:hAnsi="Times New Roman" w:cs="Times New Roman"/>
          <w:sz w:val="20"/>
          <w:szCs w:val="20"/>
        </w:rPr>
        <w:t>(2),</w:t>
      </w:r>
      <w:r w:rsidR="00DF4524" w:rsidRPr="00C02348">
        <w:rPr>
          <w:rFonts w:ascii="Times New Roman" w:hAnsi="Times New Roman" w:cs="Times New Roman"/>
          <w:sz w:val="20"/>
          <w:szCs w:val="20"/>
        </w:rPr>
        <w:t xml:space="preserve"> </w:t>
      </w:r>
      <w:r w:rsidRPr="00C02348">
        <w:rPr>
          <w:rFonts w:ascii="Times New Roman" w:hAnsi="Times New Roman" w:cs="Times New Roman"/>
          <w:sz w:val="20"/>
          <w:szCs w:val="20"/>
        </w:rPr>
        <w:t>47-51.</w:t>
      </w:r>
    </w:p>
    <w:p w:rsidR="006644F1" w:rsidRPr="00C02348" w:rsidRDefault="006644F1" w:rsidP="006644F1">
      <w:pPr>
        <w:snapToGrid w:val="0"/>
        <w:spacing w:after="0" w:line="240" w:lineRule="auto"/>
        <w:ind w:firstLine="425"/>
        <w:jc w:val="both"/>
        <w:rPr>
          <w:rFonts w:ascii="Times New Roman" w:hAnsi="Times New Roman" w:cs="Times New Roman"/>
          <w:sz w:val="20"/>
          <w:szCs w:val="20"/>
        </w:rPr>
        <w:sectPr w:rsidR="006644F1" w:rsidRPr="00C02348" w:rsidSect="006644F1">
          <w:type w:val="continuous"/>
          <w:pgSz w:w="12240" w:h="15840"/>
          <w:pgMar w:top="1440" w:right="1440" w:bottom="1440" w:left="1440" w:header="720" w:footer="720" w:gutter="0"/>
          <w:cols w:num="2" w:space="550"/>
          <w:docGrid w:linePitch="360"/>
        </w:sectPr>
      </w:pPr>
    </w:p>
    <w:p w:rsidR="00DF4524" w:rsidRPr="00C02348" w:rsidRDefault="00DF4524" w:rsidP="006644F1">
      <w:pPr>
        <w:snapToGrid w:val="0"/>
        <w:spacing w:after="0" w:line="240" w:lineRule="auto"/>
        <w:ind w:firstLine="425"/>
        <w:jc w:val="both"/>
        <w:rPr>
          <w:rFonts w:ascii="Times New Roman" w:hAnsi="Times New Roman" w:cs="Times New Roman"/>
          <w:sz w:val="20"/>
          <w:szCs w:val="20"/>
          <w:lang w:eastAsia="zh-CN"/>
        </w:rPr>
      </w:pPr>
    </w:p>
    <w:p w:rsidR="00C02348" w:rsidRDefault="00C02348" w:rsidP="006644F1">
      <w:pPr>
        <w:snapToGrid w:val="0"/>
        <w:spacing w:after="0" w:line="240" w:lineRule="auto"/>
        <w:jc w:val="both"/>
        <w:rPr>
          <w:rFonts w:ascii="Times New Roman" w:hAnsi="Times New Roman" w:cs="Times New Roman" w:hint="eastAsia"/>
          <w:sz w:val="20"/>
          <w:szCs w:val="20"/>
          <w:lang w:eastAsia="zh-CN"/>
        </w:rPr>
      </w:pPr>
    </w:p>
    <w:p w:rsidR="003E5FD5" w:rsidRPr="00C02348" w:rsidRDefault="00DF4524" w:rsidP="006644F1">
      <w:pPr>
        <w:snapToGrid w:val="0"/>
        <w:spacing w:after="0" w:line="240" w:lineRule="auto"/>
        <w:jc w:val="both"/>
        <w:rPr>
          <w:rFonts w:ascii="Times New Roman" w:hAnsi="Times New Roman" w:cs="Times New Roman"/>
          <w:sz w:val="20"/>
          <w:szCs w:val="20"/>
        </w:rPr>
      </w:pPr>
      <w:r w:rsidRPr="00C02348">
        <w:rPr>
          <w:rFonts w:ascii="Times New Roman" w:hAnsi="Times New Roman" w:cs="Times New Roman"/>
          <w:sz w:val="20"/>
          <w:szCs w:val="20"/>
        </w:rPr>
        <w:t>12/9/2019</w:t>
      </w:r>
    </w:p>
    <w:sectPr w:rsidR="003E5FD5" w:rsidRPr="00C02348" w:rsidSect="00DF452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85" w:rsidRDefault="00941885" w:rsidP="00DF4524">
      <w:pPr>
        <w:spacing w:after="0" w:line="240" w:lineRule="auto"/>
      </w:pPr>
      <w:r>
        <w:separator/>
      </w:r>
    </w:p>
  </w:endnote>
  <w:endnote w:type="continuationSeparator" w:id="0">
    <w:p w:rsidR="00941885" w:rsidRDefault="00941885" w:rsidP="00DF4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F1" w:rsidRPr="00CC447B" w:rsidRDefault="004F0112" w:rsidP="00CC447B">
    <w:pPr>
      <w:spacing w:after="0" w:line="240" w:lineRule="auto"/>
      <w:jc w:val="center"/>
      <w:rPr>
        <w:rFonts w:ascii="Times New Roman" w:hAnsi="Times New Roman" w:cs="Times New Roman"/>
        <w:sz w:val="20"/>
      </w:rPr>
    </w:pPr>
    <w:r w:rsidRPr="00CC447B">
      <w:rPr>
        <w:rFonts w:ascii="Times New Roman" w:hAnsi="Times New Roman" w:cs="Times New Roman"/>
        <w:sz w:val="20"/>
      </w:rPr>
      <w:fldChar w:fldCharType="begin"/>
    </w:r>
    <w:r w:rsidR="00CC447B" w:rsidRPr="00CC447B">
      <w:rPr>
        <w:rFonts w:ascii="Times New Roman" w:hAnsi="Times New Roman" w:cs="Times New Roman"/>
        <w:sz w:val="20"/>
      </w:rPr>
      <w:instrText xml:space="preserve"> page </w:instrText>
    </w:r>
    <w:r w:rsidRPr="00CC447B">
      <w:rPr>
        <w:rFonts w:ascii="Times New Roman" w:hAnsi="Times New Roman" w:cs="Times New Roman"/>
        <w:sz w:val="20"/>
      </w:rPr>
      <w:fldChar w:fldCharType="separate"/>
    </w:r>
    <w:r w:rsidR="00C02348">
      <w:rPr>
        <w:rFonts w:ascii="Times New Roman" w:hAnsi="Times New Roman" w:cs="Times New Roman"/>
        <w:noProof/>
        <w:sz w:val="20"/>
      </w:rPr>
      <w:t>23</w:t>
    </w:r>
    <w:r w:rsidRPr="00CC447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85" w:rsidRDefault="00941885" w:rsidP="00DF4524">
      <w:pPr>
        <w:spacing w:after="0" w:line="240" w:lineRule="auto"/>
      </w:pPr>
      <w:r>
        <w:separator/>
      </w:r>
    </w:p>
  </w:footnote>
  <w:footnote w:type="continuationSeparator" w:id="0">
    <w:p w:rsidR="00941885" w:rsidRDefault="00941885" w:rsidP="00DF4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7B" w:rsidRPr="00CC447B" w:rsidRDefault="00CC447B" w:rsidP="00CC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447B">
      <w:rPr>
        <w:rFonts w:ascii="Times New Roman" w:hAnsi="Times New Roman" w:cs="Times New Roman" w:hint="eastAsia"/>
        <w:iCs/>
        <w:color w:val="000000"/>
        <w:sz w:val="20"/>
        <w:szCs w:val="20"/>
      </w:rPr>
      <w:tab/>
    </w:r>
    <w:r w:rsidRPr="00CC447B">
      <w:rPr>
        <w:rFonts w:ascii="Times New Roman" w:hAnsi="Times New Roman" w:cs="Times New Roman"/>
        <w:iCs/>
        <w:color w:val="000000"/>
        <w:sz w:val="20"/>
        <w:szCs w:val="20"/>
      </w:rPr>
      <w:t xml:space="preserve">Researcher </w:t>
    </w:r>
    <w:r w:rsidRPr="00CC447B">
      <w:rPr>
        <w:rFonts w:ascii="Times New Roman" w:hAnsi="Times New Roman" w:cs="Times New Roman"/>
        <w:iCs/>
        <w:sz w:val="20"/>
        <w:szCs w:val="20"/>
      </w:rPr>
      <w:t>201</w:t>
    </w:r>
    <w:r w:rsidRPr="00CC447B">
      <w:rPr>
        <w:rFonts w:ascii="Times New Roman" w:hAnsi="Times New Roman" w:cs="Times New Roman" w:hint="eastAsia"/>
        <w:iCs/>
        <w:sz w:val="20"/>
        <w:szCs w:val="20"/>
      </w:rPr>
      <w:t>9</w:t>
    </w:r>
    <w:r w:rsidRPr="00CC447B">
      <w:rPr>
        <w:rFonts w:ascii="Times New Roman" w:hAnsi="Times New Roman" w:cs="Times New Roman"/>
        <w:iCs/>
        <w:sz w:val="20"/>
        <w:szCs w:val="20"/>
      </w:rPr>
      <w:t>;</w:t>
    </w:r>
    <w:r w:rsidRPr="00CC447B">
      <w:rPr>
        <w:rFonts w:ascii="Times New Roman" w:hAnsi="Times New Roman" w:cs="Times New Roman" w:hint="eastAsia"/>
        <w:iCs/>
        <w:sz w:val="20"/>
        <w:szCs w:val="20"/>
      </w:rPr>
      <w:t>11</w:t>
    </w:r>
    <w:r w:rsidRPr="00CC447B">
      <w:rPr>
        <w:rFonts w:ascii="Times New Roman" w:hAnsi="Times New Roman" w:cs="Times New Roman"/>
        <w:iCs/>
        <w:sz w:val="20"/>
        <w:szCs w:val="20"/>
      </w:rPr>
      <w:t>(</w:t>
    </w:r>
    <w:r w:rsidRPr="00CC447B">
      <w:rPr>
        <w:rFonts w:ascii="Times New Roman" w:hAnsi="Times New Roman" w:cs="Times New Roman" w:hint="eastAsia"/>
        <w:iCs/>
        <w:sz w:val="20"/>
        <w:szCs w:val="20"/>
      </w:rPr>
      <w:t>12</w:t>
    </w:r>
    <w:r w:rsidRPr="00CC447B">
      <w:rPr>
        <w:rFonts w:ascii="Times New Roman" w:hAnsi="Times New Roman" w:cs="Times New Roman"/>
        <w:iCs/>
        <w:sz w:val="20"/>
        <w:szCs w:val="20"/>
      </w:rPr>
      <w:t xml:space="preserve">)  </w:t>
    </w:r>
    <w:r w:rsidRPr="00CC447B">
      <w:rPr>
        <w:rFonts w:ascii="Times New Roman" w:hAnsi="Times New Roman" w:cs="Times New Roman" w:hint="eastAsia"/>
        <w:iCs/>
        <w:sz w:val="20"/>
        <w:szCs w:val="20"/>
      </w:rPr>
      <w:t xml:space="preserve"> </w:t>
    </w:r>
    <w:r w:rsidRPr="00CC447B">
      <w:rPr>
        <w:rFonts w:ascii="Times New Roman" w:hAnsi="Times New Roman" w:cs="Times New Roman"/>
        <w:iCs/>
        <w:sz w:val="20"/>
        <w:szCs w:val="20"/>
      </w:rPr>
      <w:t xml:space="preserve"> </w:t>
    </w:r>
    <w:r w:rsidRPr="00CC447B">
      <w:rPr>
        <w:rFonts w:ascii="Times New Roman" w:hAnsi="Times New Roman" w:cs="Times New Roman" w:hint="eastAsia"/>
        <w:iCs/>
        <w:sz w:val="20"/>
        <w:szCs w:val="20"/>
      </w:rPr>
      <w:tab/>
    </w:r>
    <w:r w:rsidRPr="00CC447B">
      <w:rPr>
        <w:rFonts w:ascii="Times New Roman" w:hAnsi="Times New Roman" w:cs="Times New Roman"/>
        <w:iCs/>
        <w:sz w:val="20"/>
        <w:szCs w:val="20"/>
      </w:rPr>
      <w:t xml:space="preserve">    </w:t>
    </w:r>
    <w:r w:rsidRPr="00CC447B">
      <w:rPr>
        <w:rFonts w:ascii="Times New Roman" w:hAnsi="Times New Roman" w:cs="Times New Roman"/>
        <w:sz w:val="20"/>
        <w:szCs w:val="20"/>
      </w:rPr>
      <w:t xml:space="preserve"> </w:t>
    </w:r>
    <w:hyperlink r:id="rId1" w:history="1">
      <w:r w:rsidRPr="00CC447B">
        <w:rPr>
          <w:rStyle w:val="Hyperlink"/>
          <w:rFonts w:ascii="Times New Roman" w:hAnsi="Times New Roman" w:cs="Times New Roman"/>
          <w:sz w:val="20"/>
          <w:szCs w:val="20"/>
        </w:rPr>
        <w:t>http://www.sciencepub.net/researcher</w:t>
      </w:r>
    </w:hyperlink>
    <w:r w:rsidRPr="00CC447B">
      <w:rPr>
        <w:rFonts w:ascii="Times New Roman" w:hAnsi="Times New Roman" w:cs="Times New Roman" w:hint="eastAsia"/>
        <w:sz w:val="20"/>
      </w:rPr>
      <w:t xml:space="preserve">   </w:t>
    </w:r>
    <w:r w:rsidRPr="00CC447B">
      <w:rPr>
        <w:rFonts w:ascii="Times New Roman" w:hAnsi="Times New Roman" w:cs="Times New Roman" w:hint="eastAsia"/>
        <w:b/>
        <w:i/>
        <w:color w:val="FF0000"/>
        <w:sz w:val="20"/>
        <w:szCs w:val="20"/>
        <w:bdr w:val="single" w:sz="4" w:space="0" w:color="FF0000"/>
      </w:rPr>
      <w:t>RSJ</w:t>
    </w:r>
  </w:p>
  <w:p w:rsidR="00CC447B" w:rsidRPr="00CC447B" w:rsidRDefault="00CC447B" w:rsidP="00CC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D4C1C"/>
    <w:multiLevelType w:val="hybridMultilevel"/>
    <w:tmpl w:val="352C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672EA"/>
    <w:multiLevelType w:val="hybridMultilevel"/>
    <w:tmpl w:val="904888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E4201"/>
    <w:rsid w:val="00002C8C"/>
    <w:rsid w:val="00054599"/>
    <w:rsid w:val="00112FF9"/>
    <w:rsid w:val="002B0C07"/>
    <w:rsid w:val="00325F66"/>
    <w:rsid w:val="00346BAE"/>
    <w:rsid w:val="003E4201"/>
    <w:rsid w:val="003E5FD5"/>
    <w:rsid w:val="004A67CE"/>
    <w:rsid w:val="004F0112"/>
    <w:rsid w:val="005273CD"/>
    <w:rsid w:val="00532078"/>
    <w:rsid w:val="00572C8D"/>
    <w:rsid w:val="005C3225"/>
    <w:rsid w:val="006644F1"/>
    <w:rsid w:val="006B666E"/>
    <w:rsid w:val="006C2559"/>
    <w:rsid w:val="006E1107"/>
    <w:rsid w:val="00704E3A"/>
    <w:rsid w:val="007862B2"/>
    <w:rsid w:val="00795ECA"/>
    <w:rsid w:val="00822E88"/>
    <w:rsid w:val="008413E8"/>
    <w:rsid w:val="008B0CC7"/>
    <w:rsid w:val="008B1E37"/>
    <w:rsid w:val="008E14DD"/>
    <w:rsid w:val="00941885"/>
    <w:rsid w:val="009C7347"/>
    <w:rsid w:val="00AE7F33"/>
    <w:rsid w:val="00AF0837"/>
    <w:rsid w:val="00C02348"/>
    <w:rsid w:val="00C076EE"/>
    <w:rsid w:val="00C87DC5"/>
    <w:rsid w:val="00CC447B"/>
    <w:rsid w:val="00CC5852"/>
    <w:rsid w:val="00D16900"/>
    <w:rsid w:val="00D66682"/>
    <w:rsid w:val="00D8200D"/>
    <w:rsid w:val="00D94B1C"/>
    <w:rsid w:val="00DF4524"/>
    <w:rsid w:val="00E513CB"/>
    <w:rsid w:val="00E52905"/>
    <w:rsid w:val="00E55847"/>
    <w:rsid w:val="00E56D63"/>
    <w:rsid w:val="00F27991"/>
    <w:rsid w:val="00F31009"/>
    <w:rsid w:val="00F37DBB"/>
    <w:rsid w:val="00F50163"/>
    <w:rsid w:val="00F63506"/>
    <w:rsid w:val="00FC4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0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4201"/>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3E4201"/>
    <w:pPr>
      <w:ind w:left="720"/>
      <w:contextualSpacing/>
    </w:pPr>
  </w:style>
  <w:style w:type="paragraph" w:styleId="BodyText">
    <w:name w:val="Body Text"/>
    <w:basedOn w:val="Normal"/>
    <w:link w:val="BodyTextChar"/>
    <w:uiPriority w:val="1"/>
    <w:qFormat/>
    <w:rsid w:val="003E420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E4201"/>
    <w:rPr>
      <w:rFonts w:ascii="Times New Roman" w:eastAsia="Times New Roman" w:hAnsi="Times New Roman" w:cs="Times New Roman"/>
      <w:sz w:val="24"/>
      <w:szCs w:val="24"/>
      <w:lang w:bidi="en-US"/>
    </w:rPr>
  </w:style>
  <w:style w:type="table" w:styleId="TableGrid">
    <w:name w:val="Table Grid"/>
    <w:basedOn w:val="TableNormal"/>
    <w:uiPriority w:val="59"/>
    <w:rsid w:val="003E4201"/>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46BAE"/>
    <w:rPr>
      <w:color w:val="0000FF"/>
      <w:u w:val="single"/>
    </w:rPr>
  </w:style>
  <w:style w:type="paragraph" w:customStyle="1" w:styleId="TableParagraph">
    <w:name w:val="Table Paragraph"/>
    <w:basedOn w:val="Normal"/>
    <w:uiPriority w:val="1"/>
    <w:qFormat/>
    <w:rsid w:val="00FC498C"/>
    <w:pPr>
      <w:widowControl w:val="0"/>
      <w:autoSpaceDE w:val="0"/>
      <w:autoSpaceDN w:val="0"/>
      <w:spacing w:after="0" w:line="240" w:lineRule="auto"/>
      <w:jc w:val="center"/>
    </w:pPr>
    <w:rPr>
      <w:rFonts w:ascii="Times New Roman" w:eastAsia="Times New Roman" w:hAnsi="Times New Roman" w:cs="Times New Roman"/>
      <w:lang w:bidi="en-US"/>
    </w:rPr>
  </w:style>
  <w:style w:type="paragraph" w:styleId="Header">
    <w:name w:val="header"/>
    <w:basedOn w:val="Normal"/>
    <w:link w:val="HeaderChar"/>
    <w:uiPriority w:val="99"/>
    <w:semiHidden/>
    <w:unhideWhenUsed/>
    <w:rsid w:val="00DF452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F4524"/>
    <w:rPr>
      <w:sz w:val="18"/>
      <w:szCs w:val="18"/>
    </w:rPr>
  </w:style>
  <w:style w:type="paragraph" w:styleId="Footer">
    <w:name w:val="footer"/>
    <w:basedOn w:val="Normal"/>
    <w:link w:val="FooterChar"/>
    <w:uiPriority w:val="99"/>
    <w:semiHidden/>
    <w:unhideWhenUsed/>
    <w:rsid w:val="00DF452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F4524"/>
    <w:rPr>
      <w:sz w:val="18"/>
      <w:szCs w:val="18"/>
    </w:rPr>
  </w:style>
</w:styles>
</file>

<file path=word/webSettings.xml><?xml version="1.0" encoding="utf-8"?>
<w:webSettings xmlns:r="http://schemas.openxmlformats.org/officeDocument/2006/relationships" xmlns:w="http://schemas.openxmlformats.org/wordprocessingml/2006/main">
  <w:divs>
    <w:div w:id="1097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walrao2526@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Tenebrionidae" TargetMode="External"/><Relationship Id="rId12" Type="http://schemas.openxmlformats.org/officeDocument/2006/relationships/hyperlink" Target="http://www.dx.doi.org/10.7537/marsrsj111219.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research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Tenebrionidae" TargetMode="External"/><Relationship Id="rId4" Type="http://schemas.openxmlformats.org/officeDocument/2006/relationships/webSettings" Target="webSettings.xml"/><Relationship Id="rId9" Type="http://schemas.openxmlformats.org/officeDocument/2006/relationships/hyperlink" Target="mailto:Farwabashir17@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umair choudhry</dc:creator>
  <cp:lastModifiedBy>Administrator</cp:lastModifiedBy>
  <cp:revision>3</cp:revision>
  <dcterms:created xsi:type="dcterms:W3CDTF">2019-12-11T14:19:00Z</dcterms:created>
  <dcterms:modified xsi:type="dcterms:W3CDTF">2019-12-12T01:34:00Z</dcterms:modified>
</cp:coreProperties>
</file>