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CD" w:rsidRDefault="00A660CD" w:rsidP="00A660C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32"/>
          <w:lang w:val="en-GB" w:eastAsia="zh-CN"/>
        </w:rPr>
      </w:pPr>
    </w:p>
    <w:p w:rsidR="00226F31" w:rsidRPr="00A660CD" w:rsidRDefault="003D1102" w:rsidP="00A660C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32"/>
          <w:lang w:val="en-GB"/>
        </w:rPr>
      </w:pP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t>How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t>often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t>is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t>the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t>finding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t>of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t>Hiatal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t>Hernias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t>in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t>patients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t>with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t>established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t>dia</w:t>
      </w:r>
      <w:r w:rsidR="00983C93" w:rsidRPr="00A660CD">
        <w:rPr>
          <w:rFonts w:ascii="Times New Roman" w:hAnsi="Times New Roman" w:cs="Times New Roman"/>
          <w:b/>
          <w:sz w:val="20"/>
          <w:szCs w:val="32"/>
          <w:lang w:val="en-GB"/>
        </w:rPr>
        <w:t>gnosis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983C93" w:rsidRPr="00A660CD">
        <w:rPr>
          <w:rFonts w:ascii="Times New Roman" w:hAnsi="Times New Roman" w:cs="Times New Roman"/>
          <w:b/>
          <w:sz w:val="20"/>
          <w:szCs w:val="32"/>
          <w:lang w:val="en-GB"/>
        </w:rPr>
        <w:t>of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983C93" w:rsidRPr="00A660CD">
        <w:rPr>
          <w:rFonts w:ascii="Times New Roman" w:hAnsi="Times New Roman" w:cs="Times New Roman"/>
          <w:b/>
          <w:sz w:val="20"/>
          <w:szCs w:val="32"/>
          <w:lang w:val="en-GB"/>
        </w:rPr>
        <w:t>panic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983C93" w:rsidRPr="00A660CD">
        <w:rPr>
          <w:rFonts w:ascii="Times New Roman" w:hAnsi="Times New Roman" w:cs="Times New Roman"/>
          <w:b/>
          <w:sz w:val="20"/>
          <w:szCs w:val="32"/>
          <w:lang w:val="en-GB"/>
        </w:rPr>
        <w:t>disorder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983C93" w:rsidRPr="00A660CD">
        <w:rPr>
          <w:rFonts w:ascii="Times New Roman" w:hAnsi="Times New Roman" w:cs="Times New Roman"/>
          <w:b/>
          <w:sz w:val="20"/>
          <w:szCs w:val="32"/>
          <w:lang w:val="en-GB"/>
        </w:rPr>
        <w:t>and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983C93" w:rsidRPr="00A660CD">
        <w:rPr>
          <w:rFonts w:ascii="Times New Roman" w:hAnsi="Times New Roman" w:cs="Times New Roman"/>
          <w:b/>
          <w:sz w:val="20"/>
          <w:szCs w:val="32"/>
          <w:lang w:val="en-GB"/>
        </w:rPr>
        <w:t>it</w:t>
      </w: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t>s</w:t>
      </w:r>
      <w:r w:rsidR="00226F31" w:rsidRPr="00A660CD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t>interpretation</w:t>
      </w:r>
      <w:r w:rsidR="00D2003A" w:rsidRPr="00A660CD">
        <w:rPr>
          <w:rFonts w:ascii="Times New Roman" w:hAnsi="Times New Roman" w:cs="Times New Roman"/>
          <w:b/>
          <w:sz w:val="20"/>
          <w:szCs w:val="32"/>
          <w:lang w:val="en-GB"/>
        </w:rPr>
        <w:t>?</w:t>
      </w:r>
    </w:p>
    <w:p w:rsidR="00226F31" w:rsidRPr="00A660CD" w:rsidRDefault="00226F31" w:rsidP="00A660C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32"/>
          <w:lang w:val="en-GB"/>
        </w:rPr>
      </w:pPr>
    </w:p>
    <w:p w:rsidR="00226F31" w:rsidRPr="00A660CD" w:rsidRDefault="00DA227A" w:rsidP="00A660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lang w:eastAsia="zh-CN"/>
        </w:rPr>
      </w:pPr>
      <w:r w:rsidRPr="00A660CD">
        <w:rPr>
          <w:rFonts w:ascii="Times New Roman" w:hAnsi="Times New Roman" w:cs="Times New Roman"/>
          <w:sz w:val="20"/>
        </w:rPr>
        <w:t>Dr.</w:t>
      </w:r>
      <w:r w:rsidR="00226F31" w:rsidRPr="00A660CD">
        <w:rPr>
          <w:rFonts w:ascii="Times New Roman" w:hAnsi="Times New Roman" w:cs="Times New Roman"/>
          <w:sz w:val="20"/>
        </w:rPr>
        <w:t xml:space="preserve"> </w:t>
      </w:r>
      <w:r w:rsidRPr="00A660CD">
        <w:rPr>
          <w:rFonts w:ascii="Times New Roman" w:hAnsi="Times New Roman" w:cs="Times New Roman"/>
          <w:sz w:val="20"/>
        </w:rPr>
        <w:t>Adnan</w:t>
      </w:r>
      <w:r w:rsidR="00226F31" w:rsidRPr="00A660CD">
        <w:rPr>
          <w:rFonts w:ascii="Times New Roman" w:hAnsi="Times New Roman" w:cs="Times New Roman"/>
          <w:sz w:val="20"/>
        </w:rPr>
        <w:t xml:space="preserve"> </w:t>
      </w:r>
      <w:r w:rsidRPr="00A660CD">
        <w:rPr>
          <w:rFonts w:ascii="Times New Roman" w:hAnsi="Times New Roman" w:cs="Times New Roman"/>
          <w:sz w:val="20"/>
        </w:rPr>
        <w:t>Chakira</w:t>
      </w:r>
    </w:p>
    <w:p w:rsidR="00226F31" w:rsidRPr="00A660CD" w:rsidRDefault="00226F31" w:rsidP="00A660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lang w:eastAsia="zh-CN"/>
        </w:rPr>
      </w:pPr>
    </w:p>
    <w:p w:rsidR="00226F31" w:rsidRPr="00A660CD" w:rsidRDefault="00DA227A" w:rsidP="00A660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32"/>
          <w:lang w:val="en-GB"/>
        </w:rPr>
      </w:pPr>
      <w:r w:rsidRPr="00A660CD">
        <w:rPr>
          <w:rFonts w:ascii="Times New Roman" w:hAnsi="Times New Roman" w:cs="Times New Roman"/>
          <w:sz w:val="20"/>
        </w:rPr>
        <w:t>Doctor</w:t>
      </w:r>
      <w:r w:rsidR="00226F31" w:rsidRPr="00A660CD">
        <w:rPr>
          <w:rFonts w:ascii="Times New Roman" w:hAnsi="Times New Roman" w:cs="Times New Roman"/>
          <w:sz w:val="20"/>
        </w:rPr>
        <w:t xml:space="preserve"> </w:t>
      </w:r>
      <w:r w:rsidRPr="00A660CD">
        <w:rPr>
          <w:rFonts w:ascii="Times New Roman" w:hAnsi="Times New Roman" w:cs="Times New Roman"/>
          <w:sz w:val="20"/>
        </w:rPr>
        <w:t>in</w:t>
      </w:r>
      <w:r w:rsidR="00226F31" w:rsidRPr="00A660CD">
        <w:rPr>
          <w:rFonts w:ascii="Times New Roman" w:hAnsi="Times New Roman" w:cs="Times New Roman"/>
          <w:sz w:val="20"/>
        </w:rPr>
        <w:t xml:space="preserve"> </w:t>
      </w:r>
      <w:r w:rsidRPr="00A660CD">
        <w:rPr>
          <w:rFonts w:ascii="Times New Roman" w:hAnsi="Times New Roman" w:cs="Times New Roman"/>
          <w:sz w:val="20"/>
        </w:rPr>
        <w:t>Psychiatry</w:t>
      </w:r>
    </w:p>
    <w:p w:rsidR="00226F31" w:rsidRPr="00A660CD" w:rsidRDefault="00226F31" w:rsidP="00A660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32"/>
          <w:lang w:val="en-GB"/>
        </w:rPr>
      </w:pPr>
    </w:p>
    <w:p w:rsidR="00201BF2" w:rsidRPr="00A660CD" w:rsidRDefault="00DA227A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32"/>
          <w:lang w:val="en-GB" w:eastAsia="zh-CN"/>
        </w:rPr>
      </w:pPr>
      <w:r w:rsidRPr="00A660CD">
        <w:rPr>
          <w:rFonts w:ascii="Times New Roman" w:hAnsi="Times New Roman" w:cs="Times New Roman" w:hint="eastAsia"/>
          <w:b/>
          <w:sz w:val="20"/>
          <w:szCs w:val="32"/>
          <w:lang w:val="en-GB" w:eastAsia="zh-CN"/>
        </w:rPr>
        <w:t>Abstract:</w:t>
      </w:r>
      <w:r w:rsidR="00226F31" w:rsidRPr="00A660CD">
        <w:rPr>
          <w:rFonts w:ascii="Times New Roman" w:hAnsi="Times New Roman" w:cs="Times New Roman" w:hint="eastAsia"/>
          <w:b/>
          <w:sz w:val="20"/>
          <w:szCs w:val="32"/>
          <w:lang w:val="en-GB" w:eastAsia="zh-CN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disorders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most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common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all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psychiatric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illnesses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result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considerable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functional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impairment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distress.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Working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who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have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an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can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highly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gratifying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for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informed</w:t>
      </w:r>
      <w:r w:rsidR="00226F31" w:rsidRPr="00A660CD">
        <w:rPr>
          <w:rFonts w:ascii="Times New Roman" w:hAnsi="Times New Roman" w:cs="Times New Roman" w:hint="eastAsia"/>
          <w:sz w:val="20"/>
          <w:szCs w:val="32"/>
          <w:lang w:val="en-GB" w:eastAsia="zh-CN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psychiatrist,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because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these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patients,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who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considerable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distress,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often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respond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proper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treatment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return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high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level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A660CD">
        <w:rPr>
          <w:rFonts w:ascii="Times New Roman" w:hAnsi="Times New Roman" w:cs="Times New Roman"/>
          <w:sz w:val="20"/>
          <w:szCs w:val="32"/>
          <w:lang w:val="en-GB"/>
        </w:rPr>
        <w:t>functioning.</w:t>
      </w:r>
      <w:r w:rsidR="00226F31" w:rsidRPr="00A660CD">
        <w:rPr>
          <w:rFonts w:ascii="Times New Roman" w:hAnsi="Times New Roman" w:cs="Times New Roman" w:hint="eastAsia"/>
          <w:sz w:val="20"/>
          <w:szCs w:val="32"/>
          <w:lang w:val="en-GB" w:eastAsia="zh-CN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A)</w:t>
      </w:r>
      <w:r w:rsidR="00226F31" w:rsidRPr="00A660CD">
        <w:rPr>
          <w:rFonts w:ascii="Times New Roman" w:hAnsi="Times New Roman" w:cs="Times New Roman" w:hint="eastAsia"/>
          <w:sz w:val="20"/>
          <w:szCs w:val="32"/>
          <w:lang w:val="en-GB" w:eastAsia="zh-CN"/>
        </w:rPr>
        <w:t xml:space="preserve"> </w:t>
      </w:r>
      <w:r w:rsidR="00B63CFB" w:rsidRPr="00A660CD">
        <w:rPr>
          <w:rFonts w:ascii="Times New Roman" w:hAnsi="Times New Roman" w:cs="Times New Roman"/>
          <w:sz w:val="20"/>
          <w:szCs w:val="32"/>
          <w:lang w:val="en-GB"/>
        </w:rPr>
        <w:t>What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63CFB" w:rsidRPr="00A660CD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63CFB" w:rsidRPr="00A660CD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63CFB" w:rsidRPr="00A660CD">
        <w:rPr>
          <w:rFonts w:ascii="Times New Roman" w:hAnsi="Times New Roman" w:cs="Times New Roman"/>
          <w:sz w:val="20"/>
          <w:szCs w:val="32"/>
          <w:lang w:val="en-GB"/>
        </w:rPr>
        <w:t>disorder?</w:t>
      </w:r>
      <w:r w:rsidR="00226F31" w:rsidRPr="00A660CD">
        <w:rPr>
          <w:rFonts w:ascii="Times New Roman" w:hAnsi="Times New Roman" w:cs="Times New Roman" w:hint="eastAsia"/>
          <w:sz w:val="20"/>
          <w:szCs w:val="32"/>
          <w:lang w:val="en-GB" w:eastAsia="zh-CN"/>
        </w:rPr>
        <w:t xml:space="preserve"> </w:t>
      </w:r>
      <w:r w:rsidR="00201BF2" w:rsidRPr="00A660CD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>B)</w:t>
      </w:r>
      <w:r w:rsidR="00226F31" w:rsidRPr="00A660CD">
        <w:rPr>
          <w:rFonts w:ascii="Times New Roman" w:hAnsi="Times New Roman" w:cs="Times New Roman" w:hint="eastAsia"/>
          <w:color w:val="000000" w:themeColor="text1"/>
          <w:sz w:val="20"/>
          <w:szCs w:val="32"/>
          <w:lang w:val="en-GB" w:eastAsia="zh-CN"/>
        </w:rPr>
        <w:t xml:space="preserve"> </w:t>
      </w:r>
      <w:r w:rsidR="00B63CFB" w:rsidRPr="00A660CD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>What</w:t>
      </w:r>
      <w:r w:rsidR="00226F31" w:rsidRPr="00A660CD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 xml:space="preserve"> </w:t>
      </w:r>
      <w:r w:rsidR="00B63CFB" w:rsidRPr="00A660CD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>is</w:t>
      </w:r>
      <w:r w:rsidR="00226F31" w:rsidRPr="00A660CD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 xml:space="preserve"> </w:t>
      </w:r>
      <w:r w:rsidR="00B63CFB" w:rsidRPr="00A660CD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>Hiatal</w:t>
      </w:r>
      <w:r w:rsidR="00226F31" w:rsidRPr="00A660CD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 xml:space="preserve"> </w:t>
      </w:r>
      <w:r w:rsidR="00B63CFB" w:rsidRPr="00A660CD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>Hernia?</w:t>
      </w:r>
      <w:r w:rsidR="00226F31" w:rsidRPr="00A660CD">
        <w:rPr>
          <w:rFonts w:ascii="Times New Roman" w:hAnsi="Times New Roman" w:cs="Times New Roman" w:hint="eastAsia"/>
          <w:color w:val="000000" w:themeColor="text1"/>
          <w:sz w:val="20"/>
          <w:szCs w:val="32"/>
          <w:lang w:val="en-GB" w:eastAsia="zh-CN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C)</w:t>
      </w:r>
      <w:r w:rsidR="00226F31" w:rsidRPr="00A660CD">
        <w:rPr>
          <w:rFonts w:ascii="Times New Roman" w:hAnsi="Times New Roman" w:cs="Times New Roman" w:hint="eastAsia"/>
          <w:sz w:val="20"/>
          <w:szCs w:val="32"/>
          <w:lang w:val="en-GB" w:eastAsia="zh-CN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Biological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theories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prominent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psychiatric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literature.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>D)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Neurocircuity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fear.</w:t>
      </w:r>
      <w:r w:rsidR="00226F31" w:rsidRPr="00A660CD">
        <w:rPr>
          <w:rFonts w:ascii="Times New Roman" w:hAnsi="Times New Roman" w:cs="Times New Roman" w:hint="eastAsia"/>
          <w:sz w:val="20"/>
          <w:szCs w:val="32"/>
          <w:lang w:val="en-GB" w:eastAsia="zh-CN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E)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Symptoms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Due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Another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Condition.</w:t>
      </w:r>
      <w:r w:rsidR="00226F31" w:rsidRPr="00A660CD">
        <w:rPr>
          <w:rFonts w:ascii="Times New Roman" w:hAnsi="Times New Roman" w:cs="Times New Roman" w:hint="eastAsia"/>
          <w:sz w:val="20"/>
          <w:szCs w:val="32"/>
          <w:lang w:val="en-GB" w:eastAsia="zh-CN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F)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1BF2" w:rsidRPr="00A660CD">
        <w:rPr>
          <w:rFonts w:ascii="Times New Roman" w:hAnsi="Times New Roman" w:cs="Times New Roman"/>
          <w:sz w:val="20"/>
          <w:szCs w:val="32"/>
          <w:lang w:val="en-GB"/>
        </w:rPr>
        <w:t>Methodology</w:t>
      </w:r>
      <w:r w:rsidRPr="00A660CD">
        <w:rPr>
          <w:rFonts w:ascii="Times New Roman" w:hAnsi="Times New Roman" w:cs="Times New Roman" w:hint="eastAsia"/>
          <w:sz w:val="20"/>
          <w:szCs w:val="32"/>
          <w:lang w:val="en-GB" w:eastAsia="zh-CN"/>
        </w:rPr>
        <w:t>.</w:t>
      </w:r>
      <w:r w:rsidR="00226F31" w:rsidRPr="00A660CD">
        <w:rPr>
          <w:rFonts w:ascii="Times New Roman" w:hAnsi="Times New Roman" w:cs="Times New Roman" w:hint="eastAsia"/>
          <w:sz w:val="20"/>
          <w:szCs w:val="32"/>
          <w:lang w:val="en-GB" w:eastAsia="zh-CN"/>
        </w:rPr>
        <w:t xml:space="preserve"> </w:t>
      </w:r>
      <w:r w:rsidR="00D966F7" w:rsidRPr="00A660CD">
        <w:rPr>
          <w:rFonts w:ascii="Times New Roman" w:hAnsi="Times New Roman" w:cs="Times New Roman"/>
          <w:sz w:val="20"/>
          <w:szCs w:val="32"/>
          <w:lang w:val="en-GB"/>
        </w:rPr>
        <w:t>G)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D966F7" w:rsidRPr="00A660CD">
        <w:rPr>
          <w:rFonts w:ascii="Times New Roman" w:hAnsi="Times New Roman" w:cs="Times New Roman"/>
          <w:sz w:val="20"/>
          <w:szCs w:val="32"/>
          <w:lang w:val="en-GB"/>
        </w:rPr>
        <w:t>Results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D966F7" w:rsidRPr="00A660CD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D966F7" w:rsidRPr="00A660CD">
        <w:rPr>
          <w:rFonts w:ascii="Times New Roman" w:hAnsi="Times New Roman" w:cs="Times New Roman"/>
          <w:sz w:val="20"/>
          <w:szCs w:val="32"/>
          <w:lang w:val="en-GB"/>
        </w:rPr>
        <w:t>Conclusion</w:t>
      </w:r>
      <w:r w:rsidRPr="00A660CD">
        <w:rPr>
          <w:rFonts w:ascii="Times New Roman" w:hAnsi="Times New Roman" w:cs="Times New Roman" w:hint="eastAsia"/>
          <w:sz w:val="20"/>
          <w:szCs w:val="32"/>
          <w:lang w:val="en-GB" w:eastAsia="zh-CN"/>
        </w:rPr>
        <w:t>.</w:t>
      </w:r>
    </w:p>
    <w:p w:rsidR="00A660CD" w:rsidRPr="00A660CD" w:rsidRDefault="00A660CD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32"/>
          <w:lang w:val="en-GB"/>
        </w:rPr>
      </w:pPr>
      <w:r w:rsidRPr="00A660CD">
        <w:rPr>
          <w:rFonts w:ascii="Times New Roman" w:hAnsi="Times New Roman" w:cs="Times New Roman" w:hint="eastAsia"/>
          <w:sz w:val="20"/>
          <w:szCs w:val="20"/>
        </w:rPr>
        <w:t>[</w:t>
      </w:r>
      <w:r w:rsidRPr="00A660CD">
        <w:rPr>
          <w:rFonts w:ascii="Times New Roman" w:hAnsi="Times New Roman" w:cs="Times New Roman"/>
          <w:sz w:val="20"/>
        </w:rPr>
        <w:t>Adnan Chakira</w:t>
      </w:r>
      <w:r w:rsidRPr="00A660CD">
        <w:rPr>
          <w:rFonts w:ascii="Times New Roman" w:hAnsi="Times New Roman" w:cs="Times New Roman"/>
          <w:sz w:val="20"/>
          <w:szCs w:val="20"/>
        </w:rPr>
        <w:t>.</w:t>
      </w:r>
      <w:r w:rsidRPr="00A660CD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t>How often is the finding of Hiatal Hernias in patients with established diagnosis of panic disorder and its interpretation?</w:t>
      </w:r>
      <w:r w:rsidRPr="00A660CD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A660CD">
        <w:rPr>
          <w:rFonts w:ascii="Times New Roman" w:hAnsi="Times New Roman" w:cs="Times New Roman"/>
          <w:bCs/>
          <w:sz w:val="20"/>
          <w:szCs w:val="20"/>
        </w:rPr>
        <w:t xml:space="preserve"> 20</w:t>
      </w:r>
      <w:r w:rsidRPr="00A660CD">
        <w:rPr>
          <w:rFonts w:ascii="Times New Roman" w:hAnsi="Times New Roman" w:cs="Times New Roman" w:hint="eastAsia"/>
          <w:bCs/>
          <w:sz w:val="20"/>
          <w:szCs w:val="20"/>
        </w:rPr>
        <w:t>20</w:t>
      </w:r>
      <w:r w:rsidRPr="00A660CD">
        <w:rPr>
          <w:rFonts w:ascii="Times New Roman" w:hAnsi="Times New Roman" w:cs="Times New Roman"/>
          <w:bCs/>
          <w:sz w:val="20"/>
          <w:szCs w:val="20"/>
        </w:rPr>
        <w:t>;</w:t>
      </w:r>
      <w:r w:rsidRPr="00A660CD">
        <w:rPr>
          <w:rFonts w:ascii="Times New Roman" w:hAnsi="Times New Roman" w:cs="Times New Roman" w:hint="eastAsia"/>
          <w:bCs/>
          <w:sz w:val="20"/>
          <w:szCs w:val="20"/>
        </w:rPr>
        <w:t>12</w:t>
      </w:r>
      <w:r w:rsidRPr="00A660CD">
        <w:rPr>
          <w:rFonts w:ascii="Times New Roman" w:hAnsi="Times New Roman" w:cs="Times New Roman"/>
          <w:bCs/>
          <w:sz w:val="20"/>
          <w:szCs w:val="20"/>
        </w:rPr>
        <w:t>(</w:t>
      </w:r>
      <w:r w:rsidRPr="00A660CD">
        <w:rPr>
          <w:rFonts w:ascii="Times New Roman" w:hAnsi="Times New Roman" w:cs="Times New Roman" w:hint="eastAsia"/>
          <w:bCs/>
          <w:sz w:val="20"/>
          <w:szCs w:val="20"/>
        </w:rPr>
        <w:t>4</w:t>
      </w:r>
      <w:r w:rsidRPr="00A660CD">
        <w:rPr>
          <w:rFonts w:ascii="Times New Roman" w:hAnsi="Times New Roman" w:cs="Times New Roman"/>
          <w:bCs/>
          <w:sz w:val="20"/>
          <w:szCs w:val="20"/>
        </w:rPr>
        <w:t>):</w:t>
      </w:r>
      <w:r w:rsidR="00114716">
        <w:rPr>
          <w:rFonts w:ascii="Times New Roman" w:hAnsi="Times New Roman" w:cs="Times New Roman"/>
          <w:noProof/>
          <w:color w:val="000000"/>
          <w:sz w:val="20"/>
          <w:szCs w:val="20"/>
        </w:rPr>
        <w:t>63-68</w:t>
      </w:r>
      <w:r w:rsidRPr="00A660CD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Pr="00A660CD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A660CD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7" w:history="1">
        <w:r w:rsidRPr="00A660CD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http://www.sciencepub.net/researcher</w:t>
        </w:r>
      </w:hyperlink>
      <w:r w:rsidRPr="00A660CD">
        <w:rPr>
          <w:rFonts w:ascii="Times New Roman" w:hAnsi="Times New Roman" w:cs="Times New Roman"/>
          <w:bCs/>
          <w:sz w:val="20"/>
          <w:szCs w:val="20"/>
        </w:rPr>
        <w:t>.</w:t>
      </w:r>
      <w:r w:rsidRPr="00A660CD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6</w:t>
      </w:r>
      <w:r w:rsidRPr="00A660CD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Pr="00A660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8" w:history="1">
        <w:r w:rsidRPr="00A660CD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A660CD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Pr="00A660CD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sj</w:t>
        </w:r>
        <w:r w:rsidRPr="00A660CD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120420.</w:t>
        </w:r>
        <w:r w:rsidRPr="00A660CD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6</w:t>
        </w:r>
      </w:hyperlink>
      <w:r w:rsidRPr="00A660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201BF2" w:rsidRPr="00226F31" w:rsidRDefault="00201BF2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32"/>
          <w:lang w:val="en-GB" w:eastAsia="zh-CN"/>
        </w:rPr>
      </w:pPr>
    </w:p>
    <w:p w:rsidR="00DA227A" w:rsidRPr="00226F31" w:rsidRDefault="00DA227A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32"/>
          <w:lang w:val="en-GB" w:eastAsia="zh-CN"/>
        </w:rPr>
      </w:pPr>
      <w:r w:rsidRPr="00226F31">
        <w:rPr>
          <w:rFonts w:ascii="Times New Roman" w:hAnsi="Times New Roman" w:cs="Times New Roman" w:hint="eastAsia"/>
          <w:b/>
          <w:sz w:val="20"/>
          <w:szCs w:val="32"/>
          <w:lang w:val="en-GB" w:eastAsia="zh-CN"/>
        </w:rPr>
        <w:t>Keywords:</w:t>
      </w:r>
      <w:r w:rsidR="00226F31" w:rsidRPr="00226F31">
        <w:rPr>
          <w:rFonts w:ascii="Times New Roman" w:hAnsi="Times New Roman" w:cs="Times New Roman" w:hint="eastAsia"/>
          <w:b/>
          <w:sz w:val="20"/>
          <w:szCs w:val="32"/>
          <w:lang w:val="en-GB" w:eastAsia="zh-CN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Pr="00226F31">
        <w:rPr>
          <w:rFonts w:ascii="Times New Roman" w:hAnsi="Times New Roman" w:cs="Times New Roman" w:hint="eastAsia"/>
          <w:sz w:val="20"/>
          <w:szCs w:val="32"/>
          <w:lang w:val="en-GB" w:eastAsia="zh-CN"/>
        </w:rPr>
        <w:t>;</w:t>
      </w:r>
      <w:r w:rsidR="00226F31" w:rsidRPr="00226F31">
        <w:rPr>
          <w:rFonts w:ascii="Times New Roman" w:hAnsi="Times New Roman" w:cs="Times New Roman" w:hint="eastAsia"/>
          <w:sz w:val="20"/>
          <w:szCs w:val="32"/>
          <w:lang w:val="en-GB" w:eastAsia="zh-CN"/>
        </w:rPr>
        <w:t xml:space="preserve"> </w:t>
      </w:r>
      <w:r w:rsidRPr="00226F31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>Hiatal</w:t>
      </w:r>
      <w:r w:rsidR="00226F31" w:rsidRPr="00226F31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>Hernia</w:t>
      </w:r>
      <w:r w:rsidRPr="00226F31">
        <w:rPr>
          <w:rFonts w:ascii="Times New Roman" w:hAnsi="Times New Roman" w:cs="Times New Roman" w:hint="eastAsia"/>
          <w:color w:val="000000" w:themeColor="text1"/>
          <w:sz w:val="20"/>
          <w:szCs w:val="32"/>
          <w:lang w:val="en-GB" w:eastAsia="zh-CN"/>
        </w:rPr>
        <w:t>;</w:t>
      </w:r>
      <w:r w:rsidR="00226F31" w:rsidRPr="00226F31">
        <w:rPr>
          <w:rFonts w:ascii="Times New Roman" w:hAnsi="Times New Roman" w:cs="Times New Roman" w:hint="eastAsia"/>
          <w:color w:val="000000" w:themeColor="text1"/>
          <w:sz w:val="20"/>
          <w:szCs w:val="32"/>
          <w:lang w:val="en-GB" w:eastAsia="zh-CN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Biological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theories</w:t>
      </w:r>
      <w:r w:rsidRPr="00226F31">
        <w:rPr>
          <w:rFonts w:ascii="Times New Roman" w:hAnsi="Times New Roman" w:cs="Times New Roman" w:hint="eastAsia"/>
          <w:sz w:val="20"/>
          <w:szCs w:val="32"/>
          <w:lang w:val="en-GB" w:eastAsia="zh-CN"/>
        </w:rPr>
        <w:t>;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psychiatric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Neurocircuity</w:t>
      </w:r>
      <w:r w:rsidR="00226F31" w:rsidRPr="00226F31">
        <w:rPr>
          <w:rFonts w:ascii="Times New Roman" w:hAnsi="Times New Roman" w:cs="Times New Roman" w:hint="eastAsia"/>
          <w:sz w:val="20"/>
          <w:szCs w:val="32"/>
          <w:lang w:val="en-GB" w:eastAsia="zh-CN"/>
        </w:rPr>
        <w:t xml:space="preserve"> </w:t>
      </w:r>
    </w:p>
    <w:p w:rsidR="00226F31" w:rsidRPr="00114716" w:rsidRDefault="00226F31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  <w:u w:val="single"/>
          <w:lang w:val="en-GB" w:eastAsia="zh-CN"/>
        </w:rPr>
      </w:pPr>
    </w:p>
    <w:p w:rsidR="00A660CD" w:rsidRDefault="00A660CD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32"/>
          <w:u w:val="single"/>
          <w:lang w:val="en-GB"/>
        </w:rPr>
        <w:sectPr w:rsidR="00A660CD" w:rsidSect="00114716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pgNumType w:start="63"/>
          <w:cols w:space="720"/>
          <w:docGrid w:linePitch="299"/>
        </w:sectPr>
      </w:pPr>
    </w:p>
    <w:p w:rsidR="00291C70" w:rsidRPr="00A660CD" w:rsidRDefault="00291C70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32"/>
          <w:lang w:val="en-GB"/>
        </w:rPr>
      </w:pPr>
      <w:r w:rsidRPr="00A660CD">
        <w:rPr>
          <w:rFonts w:ascii="Times New Roman" w:hAnsi="Times New Roman" w:cs="Times New Roman"/>
          <w:b/>
          <w:sz w:val="20"/>
          <w:szCs w:val="32"/>
          <w:lang w:val="en-GB"/>
        </w:rPr>
        <w:lastRenderedPageBreak/>
        <w:t>Index:</w:t>
      </w:r>
    </w:p>
    <w:p w:rsidR="00291C70" w:rsidRPr="00226F31" w:rsidRDefault="00291C70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)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W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disorder?</w:t>
      </w:r>
    </w:p>
    <w:p w:rsidR="00291C70" w:rsidRPr="00226F31" w:rsidRDefault="00291C70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>B</w:t>
      </w:r>
      <w:r w:rsidR="00A660CD" w:rsidRPr="00226F31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>)</w:t>
      </w:r>
      <w:r w:rsidR="00A660CD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>W</w:t>
      </w:r>
      <w:r w:rsidRPr="00226F31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>hat</w:t>
      </w:r>
      <w:r w:rsidR="00226F31" w:rsidRPr="00226F31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>Hiatal</w:t>
      </w:r>
      <w:r w:rsidR="00226F31" w:rsidRPr="00226F31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>Hernia?</w:t>
      </w:r>
    </w:p>
    <w:p w:rsidR="00A660CD" w:rsidRDefault="00291C70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 w:eastAsia="zh-CN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C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)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B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iological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theories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prominent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psychiatric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literature</w:t>
      </w:r>
      <w:r w:rsidR="00A660CD">
        <w:rPr>
          <w:rFonts w:ascii="Times New Roman" w:hAnsi="Times New Roman" w:cs="Times New Roman" w:hint="eastAsia"/>
          <w:sz w:val="20"/>
          <w:szCs w:val="32"/>
          <w:lang w:val="en-GB" w:eastAsia="zh-CN"/>
        </w:rPr>
        <w:t>.</w:t>
      </w:r>
    </w:p>
    <w:p w:rsidR="00291C70" w:rsidRPr="00226F31" w:rsidRDefault="00291C70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color w:val="000000" w:themeColor="text1"/>
          <w:sz w:val="20"/>
          <w:szCs w:val="32"/>
          <w:lang w:val="en-GB"/>
        </w:rPr>
        <w:t>D)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Neurocircuity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fear.</w:t>
      </w:r>
    </w:p>
    <w:p w:rsidR="00291C70" w:rsidRPr="00226F31" w:rsidRDefault="00291C70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E)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Due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Condition.</w:t>
      </w:r>
    </w:p>
    <w:p w:rsidR="00291C70" w:rsidRPr="00226F31" w:rsidRDefault="00291C70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F)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Methodology</w:t>
      </w:r>
    </w:p>
    <w:p w:rsidR="00291C70" w:rsidRPr="00226F31" w:rsidRDefault="00291C70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G)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Results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Conclusion</w:t>
      </w:r>
    </w:p>
    <w:p w:rsidR="00983C93" w:rsidRPr="00226F31" w:rsidRDefault="00983C93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>Introduction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common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psychiatric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illnesses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result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considerable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functional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impairment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distress.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Working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who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high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gratifying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for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informed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psychiatrist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because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who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considerable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distress,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often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respond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proper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treatment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return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high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level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functioning.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One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major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DSM-4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clarified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several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issues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regarding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diagnosis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differential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diagnosis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remained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obscure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earlier.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well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known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occur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only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but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also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(e.g.,</w:t>
      </w:r>
      <w:r w:rsidR="00BE42A2">
        <w:rPr>
          <w:rFonts w:ascii="Times New Roman" w:hAnsi="Times New Roman" w:cs="Times New Roman" w:hint="eastAsia"/>
          <w:sz w:val="20"/>
          <w:szCs w:val="32"/>
          <w:lang w:val="en-GB" w:eastAsia="zh-CN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specific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phobia,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social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phobia,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PTSD)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.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I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disorders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p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situationally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bound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cued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-that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occur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exclusively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context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situation.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DSM-4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clarified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confusion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explicitly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presenting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definition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independently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lastRenderedPageBreak/>
        <w:t>While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psychiatric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involve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pathological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make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differential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diagnosis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difficult,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mimic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usually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easily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ruled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out;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if,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importantly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kept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mind.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considered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are: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Hyper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hypothyroidism,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itral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valve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prolapse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hyperparathyrodism,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cardiac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arrhythmia,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coronary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heart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disease,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pheochromocytoma,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hypoglycemia,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true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vertigo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study,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accent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made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establishing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relationship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between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existence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hernias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occurrence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and/or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096C27" w:rsidRPr="00226F31">
        <w:rPr>
          <w:rFonts w:ascii="Times New Roman" w:hAnsi="Times New Roman" w:cs="Times New Roman"/>
          <w:sz w:val="20"/>
          <w:szCs w:val="32"/>
          <w:lang w:val="en-GB"/>
        </w:rPr>
        <w:t>disorder,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096C27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sample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22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premises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24DD" w:rsidRPr="00226F31">
        <w:rPr>
          <w:rFonts w:ascii="Times New Roman" w:hAnsi="Times New Roman" w:cs="Times New Roman"/>
          <w:sz w:val="20"/>
          <w:szCs w:val="32"/>
          <w:lang w:val="en-GB"/>
        </w:rPr>
        <w:t>t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condition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occurs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frequently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disorder.</w:t>
      </w:r>
    </w:p>
    <w:p w:rsidR="002B0451" w:rsidRPr="00226F31" w:rsidRDefault="003D1102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>Key</w:t>
      </w:r>
      <w:r w:rsidR="00226F31"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>words</w:t>
      </w:r>
      <w:r w:rsidR="00226F31"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>during</w:t>
      </w:r>
      <w:r w:rsidR="00226F31"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>research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>:</w:t>
      </w:r>
    </w:p>
    <w:p w:rsidR="00226F31" w:rsidRPr="00226F31" w:rsidRDefault="00A660CD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>
        <w:rPr>
          <w:rFonts w:ascii="Times New Roman" w:hAnsi="Times New Roman" w:cs="Times New Roman" w:hint="eastAsia"/>
          <w:sz w:val="20"/>
          <w:szCs w:val="32"/>
          <w:lang w:val="en-GB" w:eastAsia="zh-CN"/>
        </w:rPr>
        <w:t>P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disorder,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attacks,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B0451" w:rsidRPr="00226F31">
        <w:rPr>
          <w:rFonts w:ascii="Times New Roman" w:hAnsi="Times New Roman" w:cs="Times New Roman"/>
          <w:sz w:val="20"/>
          <w:szCs w:val="32"/>
          <w:lang w:val="en-GB"/>
        </w:rPr>
        <w:t>disorders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hernias.</w:t>
      </w:r>
    </w:p>
    <w:p w:rsidR="00983C93" w:rsidRPr="00226F31" w:rsidRDefault="00201BF2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>A)</w:t>
      </w:r>
      <w:r w:rsidR="00226F31"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>What</w:t>
      </w:r>
      <w:r w:rsidR="00226F31"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>disorder?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frequently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present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emergency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department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(ED)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chest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dyspn</w:t>
      </w:r>
      <w:r w:rsidR="00371CD5" w:rsidRPr="00226F31">
        <w:rPr>
          <w:rFonts w:ascii="Times New Roman" w:hAnsi="Times New Roman" w:cs="Times New Roman"/>
          <w:sz w:val="20"/>
          <w:szCs w:val="32"/>
          <w:lang w:val="en-GB"/>
        </w:rPr>
        <w:t>o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dying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myocardial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infarction.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commonly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report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sudden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unexpected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spontaneous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onset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discomfort,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typically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reaching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peak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10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minutes.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DSM-5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criteria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include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experiencing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recurrent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1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followed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least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1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month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significant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maladaptive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behavio</w:t>
      </w:r>
      <w:r w:rsidR="005B77E6" w:rsidRPr="00226F31">
        <w:rPr>
          <w:rFonts w:ascii="Times New Roman" w:hAnsi="Times New Roman" w:cs="Times New Roman"/>
          <w:sz w:val="20"/>
          <w:szCs w:val="32"/>
          <w:lang w:val="en-GB"/>
        </w:rPr>
        <w:t>u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related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abrupt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period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intense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discomfort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accompanied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4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following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13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systemic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symptoms:</w:t>
      </w:r>
    </w:p>
    <w:p w:rsidR="00114716" w:rsidRDefault="00114716" w:rsidP="00A660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  <w:sectPr w:rsidR="00114716" w:rsidSect="00A660CD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299"/>
        </w:sectPr>
      </w:pPr>
    </w:p>
    <w:p w:rsidR="00A660CD" w:rsidRDefault="003D1102" w:rsidP="00114716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lastRenderedPageBreak/>
        <w:t>Palpitations,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pounding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heart,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accelerated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heart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rat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e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E837B3" w:rsidRPr="00226F31" w:rsidRDefault="003D1102" w:rsidP="00A660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Sweating</w:t>
      </w:r>
    </w:p>
    <w:p w:rsidR="00E837B3" w:rsidRPr="00226F31" w:rsidRDefault="003D1102" w:rsidP="00A660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Trembling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shaking</w:t>
      </w:r>
    </w:p>
    <w:p w:rsidR="00E837B3" w:rsidRPr="00226F31" w:rsidRDefault="003D1102" w:rsidP="00A660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Shortness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breath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feeling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smothering</w:t>
      </w:r>
    </w:p>
    <w:p w:rsidR="00E837B3" w:rsidRPr="00226F31" w:rsidRDefault="003D1102" w:rsidP="00A660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Feelings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choking</w:t>
      </w:r>
    </w:p>
    <w:p w:rsidR="00E837B3" w:rsidRPr="00226F31" w:rsidRDefault="003D1102" w:rsidP="00A660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Chest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discomfort</w:t>
      </w:r>
    </w:p>
    <w:p w:rsidR="00E837B3" w:rsidRPr="00226F31" w:rsidRDefault="003D1102" w:rsidP="00A660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Nausea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abdominal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distress</w:t>
      </w:r>
    </w:p>
    <w:p w:rsidR="00E837B3" w:rsidRPr="00226F31" w:rsidRDefault="003D1102" w:rsidP="00A660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Feeling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dizzy,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unsteady,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lightheaded,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faint</w:t>
      </w:r>
    </w:p>
    <w:p w:rsidR="00E837B3" w:rsidRPr="00226F31" w:rsidRDefault="003D1102" w:rsidP="00A660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Chills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sensations</w:t>
      </w:r>
    </w:p>
    <w:p w:rsidR="00E837B3" w:rsidRPr="00226F31" w:rsidRDefault="005B77E6" w:rsidP="00A660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paraesthesia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i.e.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numbness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tingling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sensations)</w:t>
      </w:r>
    </w:p>
    <w:p w:rsidR="00E837B3" w:rsidRPr="00226F31" w:rsidRDefault="005B77E6" w:rsidP="00A660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Derealisation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i.e.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feeling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unreality)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depersonalization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</w:t>
      </w:r>
      <w:r w:rsidR="00992E92" w:rsidRPr="00226F31">
        <w:rPr>
          <w:rFonts w:ascii="Times New Roman" w:hAnsi="Times New Roman" w:cs="Times New Roman"/>
          <w:sz w:val="20"/>
          <w:szCs w:val="32"/>
          <w:lang w:val="en-GB"/>
        </w:rPr>
        <w:t>i.e.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being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detached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from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oneself)</w:t>
      </w:r>
    </w:p>
    <w:p w:rsidR="00E837B3" w:rsidRPr="00226F31" w:rsidRDefault="003D1102" w:rsidP="00A660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losing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control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going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crazy</w:t>
      </w:r>
    </w:p>
    <w:p w:rsidR="00E837B3" w:rsidRPr="00226F31" w:rsidRDefault="003D1102" w:rsidP="00A660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dying</w:t>
      </w:r>
    </w:p>
    <w:p w:rsidR="00E837B3" w:rsidRPr="00226F31" w:rsidRDefault="003D1102" w:rsidP="00A660C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During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episode,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urge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flee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escape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sense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impending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doom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though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dying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from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heart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suffocation).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inc</w:t>
      </w:r>
      <w:r w:rsidR="005B77E6" w:rsidRPr="00226F31">
        <w:rPr>
          <w:rFonts w:ascii="Times New Roman" w:hAnsi="Times New Roman" w:cs="Times New Roman"/>
          <w:sz w:val="20"/>
          <w:szCs w:val="32"/>
          <w:lang w:val="en-GB"/>
        </w:rPr>
        <w:t>lude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5B77E6" w:rsidRPr="00226F31">
        <w:rPr>
          <w:rFonts w:ascii="Times New Roman" w:hAnsi="Times New Roman" w:cs="Times New Roman"/>
          <w:sz w:val="20"/>
          <w:szCs w:val="32"/>
          <w:lang w:val="en-GB"/>
        </w:rPr>
        <w:t>headache,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5B77E6" w:rsidRPr="00226F31">
        <w:rPr>
          <w:rFonts w:ascii="Times New Roman" w:hAnsi="Times New Roman" w:cs="Times New Roman"/>
          <w:sz w:val="20"/>
          <w:szCs w:val="32"/>
          <w:lang w:val="en-GB"/>
        </w:rPr>
        <w:t>cold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5B77E6" w:rsidRPr="00226F31">
        <w:rPr>
          <w:rFonts w:ascii="Times New Roman" w:hAnsi="Times New Roman" w:cs="Times New Roman"/>
          <w:sz w:val="20"/>
          <w:szCs w:val="32"/>
          <w:lang w:val="en-GB"/>
        </w:rPr>
        <w:t>hands,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5B77E6" w:rsidRPr="00226F31">
        <w:rPr>
          <w:rFonts w:ascii="Times New Roman" w:hAnsi="Times New Roman" w:cs="Times New Roman"/>
          <w:sz w:val="20"/>
          <w:szCs w:val="32"/>
          <w:lang w:val="en-GB"/>
        </w:rPr>
        <w:t>diarrhoea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insomnia,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fatigue,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intrusive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thoughts,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ruminations.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recurring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episodes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recurrent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resulting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significant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behavio</w:t>
      </w:r>
      <w:r w:rsidR="005B77E6" w:rsidRPr="00226F31">
        <w:rPr>
          <w:rFonts w:ascii="Times New Roman" w:hAnsi="Times New Roman" w:cs="Times New Roman"/>
          <w:sz w:val="20"/>
          <w:szCs w:val="32"/>
          <w:lang w:val="en-GB"/>
        </w:rPr>
        <w:t>u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changes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</w:t>
      </w:r>
      <w:r w:rsidR="005B77E6" w:rsidRPr="00226F31">
        <w:rPr>
          <w:rFonts w:ascii="Times New Roman" w:hAnsi="Times New Roman" w:cs="Times New Roman"/>
          <w:sz w:val="20"/>
          <w:szCs w:val="32"/>
          <w:lang w:val="en-GB"/>
        </w:rPr>
        <w:t>e.g.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avoiding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situations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locations)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worry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about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implications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consequences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</w:t>
      </w:r>
      <w:r w:rsidR="005B77E6" w:rsidRPr="00226F31">
        <w:rPr>
          <w:rFonts w:ascii="Times New Roman" w:hAnsi="Times New Roman" w:cs="Times New Roman"/>
          <w:sz w:val="20"/>
          <w:szCs w:val="32"/>
          <w:lang w:val="en-GB"/>
        </w:rPr>
        <w:t>e.g.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losing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control,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going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crazy,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dying).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result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changes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personality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traits,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characterized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becoming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passive,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dependent,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withdrawn.</w:t>
      </w:r>
    </w:p>
    <w:p w:rsidR="00E837B3" w:rsidRPr="00226F31" w:rsidRDefault="00983C93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It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important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ssess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precipitating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events,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suicidal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ideation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plan,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phobias,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agoraphobia,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obsessive-compulsive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behavio</w:t>
      </w:r>
      <w:r w:rsidR="00992E92" w:rsidRPr="00226F31">
        <w:rPr>
          <w:rFonts w:ascii="Times New Roman" w:hAnsi="Times New Roman" w:cs="Times New Roman"/>
          <w:sz w:val="20"/>
          <w:szCs w:val="32"/>
          <w:lang w:val="en-GB"/>
        </w:rPr>
        <w:t>u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r.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Exclude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involvement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alcohol,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illicit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drugs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</w:t>
      </w:r>
      <w:r w:rsidR="00992E92" w:rsidRPr="00226F31">
        <w:rPr>
          <w:rFonts w:ascii="Times New Roman" w:hAnsi="Times New Roman" w:cs="Times New Roman"/>
          <w:sz w:val="20"/>
          <w:szCs w:val="32"/>
          <w:lang w:val="en-GB"/>
        </w:rPr>
        <w:t>e.g.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cocaine,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amphetamine,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phencyclidine,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amyl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nitrate,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lys</w:t>
      </w:r>
      <w:r w:rsidR="00992E92" w:rsidRPr="00226F31">
        <w:rPr>
          <w:rFonts w:ascii="Times New Roman" w:hAnsi="Times New Roman" w:cs="Times New Roman"/>
          <w:sz w:val="20"/>
          <w:szCs w:val="32"/>
          <w:lang w:val="en-GB"/>
        </w:rPr>
        <w:t>ergic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92E92" w:rsidRPr="00226F31">
        <w:rPr>
          <w:rFonts w:ascii="Times New Roman" w:hAnsi="Times New Roman" w:cs="Times New Roman"/>
          <w:sz w:val="20"/>
          <w:szCs w:val="32"/>
          <w:lang w:val="en-GB"/>
        </w:rPr>
        <w:t>acid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92E92" w:rsidRPr="00226F31">
        <w:rPr>
          <w:rFonts w:ascii="Times New Roman" w:hAnsi="Times New Roman" w:cs="Times New Roman"/>
          <w:sz w:val="20"/>
          <w:szCs w:val="32"/>
          <w:lang w:val="en-GB"/>
        </w:rPr>
        <w:t>diethylamide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92E92" w:rsidRPr="00226F31">
        <w:rPr>
          <w:rFonts w:ascii="Times New Roman" w:hAnsi="Times New Roman" w:cs="Times New Roman"/>
          <w:sz w:val="20"/>
          <w:szCs w:val="32"/>
          <w:lang w:val="en-GB"/>
        </w:rPr>
        <w:t>[LSD],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92E92" w:rsidRPr="00226F31">
        <w:rPr>
          <w:rFonts w:ascii="Times New Roman" w:hAnsi="Times New Roman" w:cs="Times New Roman"/>
          <w:sz w:val="20"/>
          <w:szCs w:val="32"/>
          <w:lang w:val="en-GB"/>
        </w:rPr>
        <w:t>Y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ohimbine,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3,4-methylenedioxymethamphetamine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[MDMA,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ecstasy]),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cannabis,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medications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</w:t>
      </w:r>
      <w:r w:rsidR="00992E92" w:rsidRPr="00226F31">
        <w:rPr>
          <w:rFonts w:ascii="Times New Roman" w:hAnsi="Times New Roman" w:cs="Times New Roman"/>
          <w:sz w:val="20"/>
          <w:szCs w:val="32"/>
          <w:lang w:val="en-GB"/>
        </w:rPr>
        <w:t>e.g.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caffeine,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theophylline,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sympathomimetics,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anticholinergics).</w:t>
      </w:r>
    </w:p>
    <w:p w:rsidR="00983C93" w:rsidRPr="00226F31" w:rsidRDefault="00983C93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Differential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diagnosis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disorder: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3D1102" w:rsidP="00A660CD">
      <w:pPr>
        <w:pStyle w:val="ListParagraph"/>
        <w:numPr>
          <w:ilvl w:val="0"/>
          <w:numId w:val="7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Consider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symptomatology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which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manifest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primary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symptom.</w:t>
      </w:r>
    </w:p>
    <w:p w:rsidR="00E837B3" w:rsidRPr="00226F31" w:rsidRDefault="003D1102" w:rsidP="00A660CD">
      <w:pPr>
        <w:pStyle w:val="ListParagraph"/>
        <w:numPr>
          <w:ilvl w:val="0"/>
          <w:numId w:val="7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Angina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myocardial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infarction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</w:t>
      </w:r>
      <w:r w:rsidR="00992E92" w:rsidRPr="00226F31">
        <w:rPr>
          <w:rFonts w:ascii="Times New Roman" w:hAnsi="Times New Roman" w:cs="Times New Roman"/>
          <w:sz w:val="20"/>
          <w:szCs w:val="32"/>
          <w:lang w:val="en-GB"/>
        </w:rPr>
        <w:t>e.g.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92E92" w:rsidRPr="00226F31">
        <w:rPr>
          <w:rFonts w:ascii="Times New Roman" w:hAnsi="Times New Roman" w:cs="Times New Roman"/>
          <w:sz w:val="20"/>
          <w:szCs w:val="32"/>
          <w:lang w:val="en-GB"/>
        </w:rPr>
        <w:t>dyspnoea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chest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pain,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palpitations,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diaphoresis)</w:t>
      </w:r>
    </w:p>
    <w:p w:rsidR="00E837B3" w:rsidRPr="00226F31" w:rsidRDefault="003D1102" w:rsidP="00A660CD">
      <w:pPr>
        <w:pStyle w:val="ListParagraph"/>
        <w:numPr>
          <w:ilvl w:val="0"/>
          <w:numId w:val="7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Cardiac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dysrhythmias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</w:t>
      </w:r>
      <w:r w:rsidR="0014598B" w:rsidRPr="00226F31">
        <w:rPr>
          <w:rFonts w:ascii="Times New Roman" w:hAnsi="Times New Roman" w:cs="Times New Roman"/>
          <w:sz w:val="20"/>
          <w:szCs w:val="32"/>
          <w:lang w:val="en-GB"/>
        </w:rPr>
        <w:t>e.g.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palpitations,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14598B" w:rsidRPr="00226F31">
        <w:rPr>
          <w:rFonts w:ascii="Times New Roman" w:hAnsi="Times New Roman" w:cs="Times New Roman"/>
          <w:sz w:val="20"/>
          <w:szCs w:val="32"/>
          <w:lang w:val="en-GB"/>
        </w:rPr>
        <w:t>dyspnoea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syncope)</w:t>
      </w:r>
    </w:p>
    <w:p w:rsidR="00E837B3" w:rsidRPr="00226F31" w:rsidRDefault="003D1102" w:rsidP="00A660CD">
      <w:pPr>
        <w:pStyle w:val="ListParagraph"/>
        <w:numPr>
          <w:ilvl w:val="0"/>
          <w:numId w:val="7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Mitral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valve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prolapse</w:t>
      </w:r>
    </w:p>
    <w:p w:rsidR="00E837B3" w:rsidRPr="00226F31" w:rsidRDefault="003D1102" w:rsidP="00A660CD">
      <w:pPr>
        <w:pStyle w:val="ListParagraph"/>
        <w:numPr>
          <w:ilvl w:val="0"/>
          <w:numId w:val="7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Pulmonary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embolus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</w:t>
      </w:r>
      <w:r w:rsidR="0014598B" w:rsidRPr="00226F31">
        <w:rPr>
          <w:rFonts w:ascii="Times New Roman" w:hAnsi="Times New Roman" w:cs="Times New Roman"/>
          <w:sz w:val="20"/>
          <w:szCs w:val="32"/>
          <w:lang w:val="en-GB"/>
        </w:rPr>
        <w:t>e.g.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14598B" w:rsidRPr="00226F31">
        <w:rPr>
          <w:rFonts w:ascii="Times New Roman" w:hAnsi="Times New Roman" w:cs="Times New Roman"/>
          <w:sz w:val="20"/>
          <w:szCs w:val="32"/>
          <w:lang w:val="en-GB"/>
        </w:rPr>
        <w:t>dyspnoea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14598B" w:rsidRPr="00226F31">
        <w:rPr>
          <w:rFonts w:ascii="Times New Roman" w:hAnsi="Times New Roman" w:cs="Times New Roman"/>
          <w:sz w:val="20"/>
          <w:szCs w:val="32"/>
          <w:lang w:val="en-GB"/>
        </w:rPr>
        <w:t>hyperpnoea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chest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pain)</w:t>
      </w:r>
    </w:p>
    <w:p w:rsidR="00E837B3" w:rsidRPr="00226F31" w:rsidRDefault="003D1102" w:rsidP="00A660CD">
      <w:pPr>
        <w:pStyle w:val="ListParagraph"/>
        <w:numPr>
          <w:ilvl w:val="0"/>
          <w:numId w:val="7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Asthma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</w:t>
      </w:r>
      <w:r w:rsidR="0014598B" w:rsidRPr="00226F31">
        <w:rPr>
          <w:rFonts w:ascii="Times New Roman" w:hAnsi="Times New Roman" w:cs="Times New Roman"/>
          <w:sz w:val="20"/>
          <w:szCs w:val="32"/>
          <w:lang w:val="en-GB"/>
        </w:rPr>
        <w:t>e.g.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14598B" w:rsidRPr="00226F31">
        <w:rPr>
          <w:rFonts w:ascii="Times New Roman" w:hAnsi="Times New Roman" w:cs="Times New Roman"/>
          <w:sz w:val="20"/>
          <w:szCs w:val="32"/>
          <w:lang w:val="en-GB"/>
        </w:rPr>
        <w:t>dyspnoea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wheezing)</w:t>
      </w:r>
    </w:p>
    <w:p w:rsidR="00E837B3" w:rsidRPr="00226F31" w:rsidRDefault="003D1102" w:rsidP="00A660CD">
      <w:pPr>
        <w:pStyle w:val="ListParagraph"/>
        <w:numPr>
          <w:ilvl w:val="0"/>
          <w:numId w:val="7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Hyperthyroidism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</w:t>
      </w:r>
      <w:r w:rsidR="0014598B" w:rsidRPr="00226F31">
        <w:rPr>
          <w:rFonts w:ascii="Times New Roman" w:hAnsi="Times New Roman" w:cs="Times New Roman"/>
          <w:sz w:val="20"/>
          <w:szCs w:val="32"/>
          <w:lang w:val="en-GB"/>
        </w:rPr>
        <w:t>e.g.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palpitations,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diaphoresis,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tachycardia,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intolerance)</w:t>
      </w:r>
    </w:p>
    <w:p w:rsidR="00E837B3" w:rsidRPr="00226F31" w:rsidRDefault="0014598B" w:rsidP="00A660CD">
      <w:pPr>
        <w:pStyle w:val="ListParagraph"/>
        <w:numPr>
          <w:ilvl w:val="0"/>
          <w:numId w:val="7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lastRenderedPageBreak/>
        <w:t>Hypoglycaemia</w:t>
      </w:r>
    </w:p>
    <w:p w:rsidR="00E837B3" w:rsidRPr="00226F31" w:rsidRDefault="003D1102" w:rsidP="00A660CD">
      <w:pPr>
        <w:pStyle w:val="ListParagraph"/>
        <w:numPr>
          <w:ilvl w:val="0"/>
          <w:numId w:val="7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Pheochromocytoma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</w:t>
      </w:r>
      <w:r w:rsidR="0014598B" w:rsidRPr="00226F31">
        <w:rPr>
          <w:rFonts w:ascii="Times New Roman" w:hAnsi="Times New Roman" w:cs="Times New Roman"/>
          <w:sz w:val="20"/>
          <w:szCs w:val="32"/>
          <w:lang w:val="en-GB"/>
        </w:rPr>
        <w:t>e.g.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headache,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diaphoresis,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hypertension)</w:t>
      </w:r>
    </w:p>
    <w:p w:rsidR="00E837B3" w:rsidRPr="00226F31" w:rsidRDefault="0014598B" w:rsidP="00A660CD">
      <w:pPr>
        <w:pStyle w:val="ListParagraph"/>
        <w:numPr>
          <w:ilvl w:val="0"/>
          <w:numId w:val="7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Hyperparathyroidism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e.g.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muscle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cramps,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paraesthesias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)</w:t>
      </w:r>
    </w:p>
    <w:p w:rsidR="00E837B3" w:rsidRPr="00226F31" w:rsidRDefault="003D1102" w:rsidP="00A660CD">
      <w:pPr>
        <w:pStyle w:val="ListParagraph"/>
        <w:numPr>
          <w:ilvl w:val="0"/>
          <w:numId w:val="7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Transient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ischemic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(TIAs)</w:t>
      </w:r>
    </w:p>
    <w:p w:rsidR="00E837B3" w:rsidRPr="00226F31" w:rsidRDefault="003D1102" w:rsidP="00A660CD">
      <w:pPr>
        <w:pStyle w:val="ListParagraph"/>
        <w:numPr>
          <w:ilvl w:val="0"/>
          <w:numId w:val="7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Seizure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disorders</w:t>
      </w:r>
    </w:p>
    <w:p w:rsidR="00983C93" w:rsidRPr="00226F31" w:rsidRDefault="00201BF2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B)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b/>
          <w:sz w:val="20"/>
          <w:szCs w:val="32"/>
          <w:lang w:val="en-GB"/>
        </w:rPr>
        <w:t>What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b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b/>
          <w:sz w:val="20"/>
          <w:szCs w:val="32"/>
          <w:lang w:val="en-GB"/>
        </w:rPr>
        <w:t>Hiatal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b/>
          <w:sz w:val="20"/>
          <w:szCs w:val="32"/>
          <w:lang w:val="en-GB"/>
        </w:rPr>
        <w:t>Hernia</w:t>
      </w: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?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>:</w:t>
      </w:r>
    </w:p>
    <w:p w:rsidR="00473CB1" w:rsidRPr="00226F31" w:rsidRDefault="00983C93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characterised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protrusion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stomach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thoracic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cavity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through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widening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right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crus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diaphgram.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hernias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(H.H.)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have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been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reported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affect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anywhere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from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10%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50%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population.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There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4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types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4629" w:rsidRPr="00226F31">
        <w:rPr>
          <w:rFonts w:ascii="Times New Roman" w:hAnsi="Times New Roman" w:cs="Times New Roman"/>
          <w:sz w:val="20"/>
          <w:szCs w:val="32"/>
          <w:lang w:val="en-GB"/>
        </w:rPr>
        <w:t>oesophageal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H.H.</w:t>
      </w:r>
      <w:r w:rsidR="006A5E3B" w:rsidRPr="00226F31">
        <w:rPr>
          <w:rFonts w:ascii="Times New Roman" w:hAnsi="Times New Roman" w:cs="Times New Roman"/>
          <w:sz w:val="20"/>
          <w:szCs w:val="32"/>
          <w:lang w:val="en-GB"/>
        </w:rPr>
        <w:t>:</w:t>
      </w:r>
    </w:p>
    <w:p w:rsidR="00983C93" w:rsidRPr="00226F31" w:rsidRDefault="003D1102" w:rsidP="00A660CD">
      <w:pPr>
        <w:pStyle w:val="ListParagraph"/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Sliding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(type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4629" w:rsidRPr="00226F31">
        <w:rPr>
          <w:rFonts w:ascii="Times New Roman" w:hAnsi="Times New Roman" w:cs="Times New Roman"/>
          <w:sz w:val="20"/>
          <w:szCs w:val="32"/>
          <w:lang w:val="en-GB"/>
        </w:rPr>
        <w:t>I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Hernia)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accounts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85%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diaphragmatic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common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co-existence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gastro-</w:t>
      </w:r>
      <w:r w:rsidR="00204629" w:rsidRPr="00226F31">
        <w:rPr>
          <w:rFonts w:ascii="Times New Roman" w:hAnsi="Times New Roman" w:cs="Times New Roman"/>
          <w:sz w:val="20"/>
          <w:szCs w:val="32"/>
          <w:lang w:val="en-GB"/>
        </w:rPr>
        <w:t>oesophageal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reflux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,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lead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eventually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ulceration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resulting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haemorrhage.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However,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still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remains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uncertain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whether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HHs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cause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reflux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result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it.</w:t>
      </w:r>
    </w:p>
    <w:p w:rsidR="00E837B3" w:rsidRPr="00226F31" w:rsidRDefault="003D1102" w:rsidP="00A660CD">
      <w:pPr>
        <w:pStyle w:val="ListParagraph"/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Paraesophageal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(type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04629" w:rsidRPr="00226F31">
        <w:rPr>
          <w:rFonts w:ascii="Times New Roman" w:hAnsi="Times New Roman" w:cs="Times New Roman"/>
          <w:sz w:val="20"/>
          <w:szCs w:val="32"/>
          <w:lang w:val="en-GB"/>
        </w:rPr>
        <w:t>II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Hernias)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incidence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varies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between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3.5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%and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5%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operated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rarely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experience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reflux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However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complain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fullness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after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meals,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palpitations,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pain,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shortness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breath,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dysphagia,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regurgitation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experience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peptic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ulcers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stomach.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Ingestion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food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provides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bolus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entered</w:t>
      </w:r>
      <w:r w:rsidR="00842EC5" w:rsidRPr="00226F31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E837B3" w:rsidRPr="00226F31" w:rsidRDefault="003D1102" w:rsidP="00A660CD">
      <w:pPr>
        <w:pStyle w:val="ListParagraph"/>
        <w:numPr>
          <w:ilvl w:val="0"/>
          <w:numId w:val="4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Mixed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s (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type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42EC5" w:rsidRPr="00226F31">
        <w:rPr>
          <w:rFonts w:ascii="Times New Roman" w:hAnsi="Times New Roman" w:cs="Times New Roman"/>
          <w:sz w:val="20"/>
          <w:szCs w:val="32"/>
          <w:lang w:val="en-GB"/>
        </w:rPr>
        <w:t>III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)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combination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sliding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paraesophageal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therefore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include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both.</w:t>
      </w:r>
    </w:p>
    <w:p w:rsidR="00E837B3" w:rsidRPr="00226F31" w:rsidRDefault="003D1102" w:rsidP="00A660CD">
      <w:pPr>
        <w:pStyle w:val="ListParagraph"/>
        <w:numPr>
          <w:ilvl w:val="0"/>
          <w:numId w:val="4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(type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42EC5" w:rsidRPr="00226F31">
        <w:rPr>
          <w:rFonts w:ascii="Times New Roman" w:hAnsi="Times New Roman" w:cs="Times New Roman"/>
          <w:sz w:val="20"/>
          <w:szCs w:val="32"/>
          <w:lang w:val="en-GB"/>
        </w:rPr>
        <w:t>IV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).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Giant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paraesophageal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include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half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stomach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through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hiatus.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diagnosis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made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ba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rium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swallow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contrast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83C93" w:rsidRPr="00226F31">
        <w:rPr>
          <w:rFonts w:ascii="Times New Roman" w:hAnsi="Times New Roman" w:cs="Times New Roman"/>
          <w:sz w:val="20"/>
          <w:szCs w:val="32"/>
          <w:lang w:val="en-GB"/>
        </w:rPr>
        <w:t>radiography</w:t>
      </w:r>
      <w:r w:rsidR="00824231" w:rsidRPr="00226F31">
        <w:rPr>
          <w:rFonts w:ascii="Times New Roman" w:hAnsi="Times New Roman" w:cs="Times New Roman"/>
          <w:sz w:val="20"/>
          <w:szCs w:val="32"/>
          <w:lang w:val="en-GB"/>
        </w:rPr>
        <w:t>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appear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shadow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posterior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42EC5" w:rsidRPr="00226F31">
        <w:rPr>
          <w:rFonts w:ascii="Times New Roman" w:hAnsi="Times New Roman" w:cs="Times New Roman"/>
          <w:sz w:val="20"/>
          <w:szCs w:val="32"/>
          <w:lang w:val="en-GB"/>
        </w:rPr>
        <w:t>mediastinum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983C93" w:rsidRPr="00226F31" w:rsidRDefault="00983C93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stomach,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causing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distension.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distension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results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which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described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"crushing"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nature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confused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Angina.</w:t>
      </w:r>
    </w:p>
    <w:p w:rsidR="00E837B3" w:rsidRPr="00226F31" w:rsidRDefault="00201BF2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C)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B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iological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theories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prominent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psychiatric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literature.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</w:p>
    <w:p w:rsidR="00226F31" w:rsidRPr="00226F31" w:rsidRDefault="003D1102" w:rsidP="00A660CD">
      <w:pPr>
        <w:pStyle w:val="ListParagraph"/>
        <w:numPr>
          <w:ilvl w:val="0"/>
          <w:numId w:val="8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u w:val="single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sympathetic</w:t>
      </w:r>
      <w:r w:rsidR="00226F31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system</w:t>
      </w:r>
      <w:r w:rsidR="00DB58F8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:</w:t>
      </w:r>
    </w:p>
    <w:p w:rsidR="00E837B3" w:rsidRPr="00226F31" w:rsidRDefault="00226F31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</w:rPr>
        <w:t>F</w:t>
      </w:r>
      <w:r w:rsidR="00150FBB" w:rsidRPr="00226F31">
        <w:rPr>
          <w:rFonts w:ascii="Times New Roman" w:hAnsi="Times New Roman" w:cs="Times New Roman"/>
          <w:sz w:val="20"/>
          <w:szCs w:val="32"/>
        </w:rPr>
        <w:t>or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150FBB" w:rsidRPr="00226F31">
        <w:rPr>
          <w:rFonts w:ascii="Times New Roman" w:hAnsi="Times New Roman" w:cs="Times New Roman"/>
          <w:sz w:val="20"/>
          <w:szCs w:val="32"/>
        </w:rPr>
        <w:t>many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150FBB" w:rsidRPr="00226F31">
        <w:rPr>
          <w:rFonts w:ascii="Times New Roman" w:hAnsi="Times New Roman" w:cs="Times New Roman"/>
          <w:sz w:val="20"/>
          <w:szCs w:val="32"/>
        </w:rPr>
        <w:t>years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the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possibility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that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panic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attacks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are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manifestations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of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massive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discharge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from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the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beta-adrenergic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nervous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system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has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been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</w:rPr>
        <w:t>considered.</w:t>
      </w:r>
      <w:r w:rsidRPr="00226F31">
        <w:rPr>
          <w:rFonts w:ascii="Times New Roman" w:hAnsi="Times New Roman" w:cs="Times New Roman"/>
          <w:sz w:val="20"/>
          <w:szCs w:val="32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beta-adrenergic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hypothesis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received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further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support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from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studies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claiming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beta-adrenergic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blocking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drugs,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150FBB" w:rsidRPr="00226F31">
        <w:rPr>
          <w:rFonts w:ascii="Times New Roman" w:hAnsi="Times New Roman" w:cs="Times New Roman"/>
          <w:sz w:val="20"/>
          <w:szCs w:val="32"/>
          <w:lang w:val="en-GB"/>
        </w:rPr>
        <w:t>Propronolol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ameliorative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effect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However,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only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modest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antianxiety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effects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actually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demonstrated.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150FBB" w:rsidRPr="00226F31">
        <w:rPr>
          <w:rFonts w:ascii="Times New Roman" w:hAnsi="Times New Roman" w:cs="Times New Roman"/>
          <w:sz w:val="20"/>
          <w:szCs w:val="32"/>
          <w:lang w:val="en-GB"/>
        </w:rPr>
        <w:t>L</w:t>
      </w:r>
      <w:r w:rsidR="00A654AA" w:rsidRPr="00226F31">
        <w:rPr>
          <w:rFonts w:ascii="Times New Roman" w:hAnsi="Times New Roman" w:cs="Times New Roman"/>
          <w:sz w:val="20"/>
          <w:szCs w:val="32"/>
          <w:lang w:val="en-GB"/>
        </w:rPr>
        <w:t>o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150FBB" w:rsidRPr="00226F31">
        <w:rPr>
          <w:rFonts w:ascii="Times New Roman" w:hAnsi="Times New Roman" w:cs="Times New Roman"/>
          <w:sz w:val="20"/>
          <w:szCs w:val="32"/>
          <w:lang w:val="en-GB"/>
        </w:rPr>
        <w:t>C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oerul</w:t>
      </w:r>
      <w:r w:rsidR="00150FBB" w:rsidRPr="00226F31">
        <w:rPr>
          <w:rFonts w:ascii="Times New Roman" w:hAnsi="Times New Roman" w:cs="Times New Roman"/>
          <w:sz w:val="20"/>
          <w:szCs w:val="32"/>
          <w:lang w:val="en-GB"/>
        </w:rPr>
        <w:t>e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also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implicated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pathogenesis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nucleus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lastRenderedPageBreak/>
        <w:t>located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contains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50%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noradren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ergic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neurons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entire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CNS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Drugs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known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capable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increasing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150FBB" w:rsidRPr="00226F31">
        <w:rPr>
          <w:rFonts w:ascii="Times New Roman" w:hAnsi="Times New Roman" w:cs="Times New Roman"/>
          <w:sz w:val="20"/>
          <w:szCs w:val="32"/>
          <w:lang w:val="en-GB"/>
        </w:rPr>
        <w:t>L</w:t>
      </w:r>
      <w:r w:rsidR="00A654AA" w:rsidRPr="00226F31">
        <w:rPr>
          <w:rFonts w:ascii="Times New Roman" w:hAnsi="Times New Roman" w:cs="Times New Roman"/>
          <w:sz w:val="20"/>
          <w:szCs w:val="32"/>
          <w:lang w:val="en-GB"/>
        </w:rPr>
        <w:t>o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150FBB" w:rsidRPr="00226F31">
        <w:rPr>
          <w:rFonts w:ascii="Times New Roman" w:hAnsi="Times New Roman" w:cs="Times New Roman"/>
          <w:sz w:val="20"/>
          <w:szCs w:val="32"/>
          <w:lang w:val="en-GB"/>
        </w:rPr>
        <w:t>C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oerul</w:t>
      </w:r>
      <w:r w:rsidR="00150FBB" w:rsidRPr="00226F31">
        <w:rPr>
          <w:rFonts w:ascii="Times New Roman" w:hAnsi="Times New Roman" w:cs="Times New Roman"/>
          <w:sz w:val="20"/>
          <w:szCs w:val="32"/>
          <w:lang w:val="en-GB"/>
        </w:rPr>
        <w:t>e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discharge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animals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anxiogenic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w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hereas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many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drugs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curtail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150FBB" w:rsidRPr="00226F31">
        <w:rPr>
          <w:rFonts w:ascii="Times New Roman" w:hAnsi="Times New Roman" w:cs="Times New Roman"/>
          <w:sz w:val="20"/>
          <w:szCs w:val="32"/>
          <w:lang w:val="en-GB"/>
        </w:rPr>
        <w:t>L</w:t>
      </w:r>
      <w:r w:rsidR="00A654AA" w:rsidRPr="00226F31">
        <w:rPr>
          <w:rFonts w:ascii="Times New Roman" w:hAnsi="Times New Roman" w:cs="Times New Roman"/>
          <w:sz w:val="20"/>
          <w:szCs w:val="32"/>
          <w:lang w:val="en-GB"/>
        </w:rPr>
        <w:t>o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150FBB" w:rsidRPr="00226F31">
        <w:rPr>
          <w:rFonts w:ascii="Times New Roman" w:hAnsi="Times New Roman" w:cs="Times New Roman"/>
          <w:sz w:val="20"/>
          <w:szCs w:val="32"/>
          <w:lang w:val="en-GB"/>
        </w:rPr>
        <w:t>C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oerul</w:t>
      </w:r>
      <w:r w:rsidR="00150FBB" w:rsidRPr="00226F31">
        <w:rPr>
          <w:rFonts w:ascii="Times New Roman" w:hAnsi="Times New Roman" w:cs="Times New Roman"/>
          <w:sz w:val="20"/>
          <w:szCs w:val="32"/>
          <w:lang w:val="en-GB"/>
        </w:rPr>
        <w:t>e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firing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decrease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central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noradrenergic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turnover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antianxiety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agents.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However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multiple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experiments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using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diversity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pharmaceutical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agents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suggested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C03F82" w:rsidRPr="00226F31">
        <w:rPr>
          <w:rFonts w:ascii="Times New Roman" w:hAnsi="Times New Roman" w:cs="Times New Roman"/>
          <w:sz w:val="20"/>
          <w:szCs w:val="32"/>
          <w:lang w:val="en-GB"/>
        </w:rPr>
        <w:t>Lo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C03F82" w:rsidRPr="00226F31">
        <w:rPr>
          <w:rFonts w:ascii="Times New Roman" w:hAnsi="Times New Roman" w:cs="Times New Roman"/>
          <w:sz w:val="20"/>
          <w:szCs w:val="32"/>
          <w:lang w:val="en-GB"/>
        </w:rPr>
        <w:t>C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oerul</w:t>
      </w:r>
      <w:r w:rsidR="00C03F82" w:rsidRPr="00226F31">
        <w:rPr>
          <w:rFonts w:ascii="Times New Roman" w:hAnsi="Times New Roman" w:cs="Times New Roman"/>
          <w:sz w:val="20"/>
          <w:szCs w:val="32"/>
          <w:lang w:val="en-GB"/>
        </w:rPr>
        <w:t>e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involved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arousal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response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novel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stimuli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rather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>y (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Aston-John's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al1984).</w:t>
      </w:r>
    </w:p>
    <w:p w:rsidR="00E837B3" w:rsidRPr="00226F31" w:rsidRDefault="003D1102" w:rsidP="00A660CD">
      <w:pPr>
        <w:pStyle w:val="ListParagraph"/>
        <w:numPr>
          <w:ilvl w:val="0"/>
          <w:numId w:val="8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u w:val="single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panicogen</w:t>
      </w:r>
      <w:r w:rsidR="00226F31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sodium</w:t>
      </w:r>
      <w:r w:rsidR="00226F31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lactate</w:t>
      </w:r>
      <w:r w:rsidR="00226F31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carbon</w:t>
      </w:r>
      <w:r w:rsidR="00226F31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dioxide</w:t>
      </w:r>
      <w:r w:rsidR="00226F31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hypersensitivity</w:t>
      </w:r>
      <w:r w:rsidR="00226F31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theory</w:t>
      </w:r>
      <w:r w:rsidR="00E6638D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: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It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</w:t>
      </w:r>
      <w:r w:rsidR="00C03F82" w:rsidRPr="00226F31">
        <w:rPr>
          <w:rFonts w:ascii="Times New Roman" w:hAnsi="Times New Roman" w:cs="Times New Roman"/>
          <w:sz w:val="20"/>
          <w:szCs w:val="32"/>
          <w:lang w:val="en-GB"/>
        </w:rPr>
        <w:t>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replicated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infusion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sodium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lactate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rovokes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attack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most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but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healthy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controls.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Also,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comparable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rate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sodium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lactate,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CO2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inhalation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provokes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(Gorman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1989).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CO2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constitutes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common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metabolic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product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both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lactate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bicarbonate.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CO2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selectively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crosses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blood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-brain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barrier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produces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transient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cerebral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hypercapnia</w:t>
      </w:r>
      <w:r w:rsidR="00A660CD">
        <w:rPr>
          <w:rFonts w:ascii="Times New Roman" w:hAnsi="Times New Roman" w:cs="Times New Roman" w:hint="eastAsia"/>
          <w:sz w:val="20"/>
          <w:szCs w:val="32"/>
          <w:lang w:val="en-GB" w:eastAsia="zh-CN"/>
        </w:rPr>
        <w:t>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hypercapnia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brain-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stem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C03F82" w:rsidRPr="00226F31">
        <w:rPr>
          <w:rFonts w:ascii="Times New Roman" w:hAnsi="Times New Roman" w:cs="Times New Roman"/>
          <w:sz w:val="20"/>
          <w:szCs w:val="32"/>
          <w:lang w:val="en-GB"/>
        </w:rPr>
        <w:t>chemoreceptors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leading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hyperventilation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Thus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"false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suffocation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alarm"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theory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formulated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(D.F.Klein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1993).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suggests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brain-stem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dysregulation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(Abelson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2001)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hypersensitivity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medulla</w:t>
      </w:r>
      <w:r w:rsidR="00F0023E" w:rsidRPr="00226F31">
        <w:rPr>
          <w:rFonts w:ascii="Times New Roman" w:hAnsi="Times New Roman" w:cs="Times New Roman"/>
          <w:sz w:val="20"/>
          <w:szCs w:val="32"/>
          <w:lang w:val="en-GB"/>
        </w:rPr>
        <w:t>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hand,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Gorman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>. (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2000),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F0023E" w:rsidRPr="00226F31">
        <w:rPr>
          <w:rFonts w:ascii="Times New Roman" w:hAnsi="Times New Roman" w:cs="Times New Roman"/>
          <w:sz w:val="20"/>
          <w:szCs w:val="32"/>
          <w:lang w:val="en-GB"/>
        </w:rPr>
        <w:t>ar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gued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based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several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lines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evidence,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brain-stem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respiratory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centres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constitute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secondary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mechanism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which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relating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respiration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manifest,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one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several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pathways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activated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central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excitation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amygdala.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1F514F" w:rsidRPr="00226F31" w:rsidRDefault="003D1102" w:rsidP="00A660CD">
      <w:pPr>
        <w:pStyle w:val="ListParagraph"/>
        <w:numPr>
          <w:ilvl w:val="0"/>
          <w:numId w:val="8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u w:val="single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GABA</w:t>
      </w:r>
      <w:r w:rsidR="00226F31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-benzodiazepine</w:t>
      </w:r>
      <w:r w:rsidR="00226F31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system</w:t>
      </w:r>
      <w:r w:rsidR="001F514F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:</w:t>
      </w:r>
    </w:p>
    <w:p w:rsidR="00E837B3" w:rsidRPr="00226F31" w:rsidRDefault="008803F8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It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observed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decrease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benz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odiazepine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receptor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binding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single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photon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emission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computer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tomography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(SPECT)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prefrontal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cortex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hippocampus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disorder.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anicogenic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effect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Flumazenil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benzodiazepine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antagonist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found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but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normal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subjects,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suggesting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deficiency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endogenous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anxiolytic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ligand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altered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benzodiazepine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receptor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sensitivity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(Roy-byrne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1990).</w:t>
      </w:r>
    </w:p>
    <w:p w:rsidR="008803F8" w:rsidRPr="00226F31" w:rsidRDefault="003D1102" w:rsidP="00A660CD">
      <w:pPr>
        <w:pStyle w:val="ListParagraph"/>
        <w:numPr>
          <w:ilvl w:val="0"/>
          <w:numId w:val="8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serotonergic</w:t>
      </w:r>
      <w:r w:rsidR="00226F31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system.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It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thought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system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least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indirectly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modulates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deregulated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response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Indirect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evidence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provided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high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efficacy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SSRIs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treating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thought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acts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via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desensitization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brain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network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through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inhibiting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projections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from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raphe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nuclei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various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cortical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subcortical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formations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responsible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panic.</w:t>
      </w:r>
    </w:p>
    <w:p w:rsidR="00E837B3" w:rsidRPr="00226F31" w:rsidRDefault="003D1102" w:rsidP="00A660CD">
      <w:pPr>
        <w:pStyle w:val="ListParagraph"/>
        <w:numPr>
          <w:ilvl w:val="0"/>
          <w:numId w:val="8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32"/>
          <w:u w:val="single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Hypo</w:t>
      </w:r>
      <w:r w:rsidR="008803F8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thalamic-pituitary-adrenal</w:t>
      </w:r>
      <w:r w:rsidR="00226F31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>axis:</w:t>
      </w:r>
      <w:r w:rsidR="00226F31" w:rsidRPr="00226F31">
        <w:rPr>
          <w:rFonts w:ascii="Times New Roman" w:hAnsi="Times New Roman" w:cs="Times New Roman"/>
          <w:sz w:val="20"/>
          <w:szCs w:val="32"/>
          <w:u w:val="single"/>
          <w:lang w:val="en-GB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lastRenderedPageBreak/>
        <w:t>There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some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evidence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uncoupling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noradrenergic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HPA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axis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activity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(Caplan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1995)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.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H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owever,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cortisol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responses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lactate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induced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suggested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HPA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axis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involvement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anticipatory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known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occur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stress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states,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but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(Hollander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1989).</w:t>
      </w:r>
    </w:p>
    <w:p w:rsidR="00E837B3" w:rsidRPr="00226F31" w:rsidRDefault="00201BF2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D)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Neurocircuity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fear</w:t>
      </w:r>
      <w:r w:rsidR="008803F8" w:rsidRPr="00226F31">
        <w:rPr>
          <w:rFonts w:ascii="Times New Roman" w:hAnsi="Times New Roman" w:cs="Times New Roman"/>
          <w:b/>
          <w:sz w:val="20"/>
          <w:szCs w:val="32"/>
          <w:lang w:val="en-GB"/>
        </w:rPr>
        <w:t>: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recently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proposed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model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attempts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integrate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neurochemical,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imaging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treatment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findings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coupled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mostly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clinical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work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neurobiology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responses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(Coplan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Lydiard1998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;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G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orman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2000).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model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postulates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degree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analogous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animal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avoidance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responses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manifestations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dysregulations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brain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circuits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underlying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responses.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736A36" w:rsidRPr="00226F31" w:rsidRDefault="008803F8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speculated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E636B7" w:rsidRPr="00226F31">
        <w:rPr>
          <w:rFonts w:ascii="Times New Roman" w:hAnsi="Times New Roman" w:cs="Times New Roman"/>
          <w:sz w:val="20"/>
          <w:szCs w:val="32"/>
          <w:lang w:val="en-GB"/>
        </w:rPr>
        <w:t>o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riginate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abnormally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sensitive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network,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E636B7" w:rsidRPr="00226F31">
        <w:rPr>
          <w:rFonts w:ascii="Times New Roman" w:hAnsi="Times New Roman" w:cs="Times New Roman"/>
          <w:sz w:val="20"/>
          <w:szCs w:val="32"/>
          <w:lang w:val="en-GB"/>
        </w:rPr>
        <w:t>cantered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amygdala.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Input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amygdala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modulated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by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both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thalamic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input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prefrontal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cortical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projections,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amygdalar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projections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extend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several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areas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involved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various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aspects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response,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such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l</w:t>
      </w:r>
      <w:r w:rsidR="00E636B7" w:rsidRPr="00226F31">
        <w:rPr>
          <w:rFonts w:ascii="Times New Roman" w:hAnsi="Times New Roman" w:cs="Times New Roman"/>
          <w:sz w:val="20"/>
          <w:szCs w:val="32"/>
          <w:lang w:val="en-GB"/>
        </w:rPr>
        <w:t>o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coerul</w:t>
      </w:r>
      <w:r w:rsidR="00E636B7" w:rsidRPr="00226F31">
        <w:rPr>
          <w:rFonts w:ascii="Times New Roman" w:hAnsi="Times New Roman" w:cs="Times New Roman"/>
          <w:sz w:val="20"/>
          <w:szCs w:val="32"/>
          <w:lang w:val="en-GB"/>
        </w:rPr>
        <w:t>e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(involved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arousal),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brain-stem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(respiratory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activation)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t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hypothalamus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(activation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HPA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stress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axis)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vortex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(cognitive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interpretations)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.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T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model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thought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explain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why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variety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biologically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diverse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agents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have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panicogenic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properties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(by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acting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different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pathways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neurochemical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systems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network);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proposed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respiratory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brain-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stem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nucleus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could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not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directly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triggered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by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such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variety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agents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(Gorman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et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al.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2000)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.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T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hus,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dysregulated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"cross-talk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"between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various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neurotransmitter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systems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previously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described,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such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serotonergic,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noradrenergic,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GABA-ergic,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CRF,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others,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underlie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pathogenesis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(coplan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Lydiard1998).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very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comprehensive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theoretically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excit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biological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model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panic,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which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still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great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need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empirical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validation.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When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person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suffers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from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due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presence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leads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directly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experienced.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predominant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feature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take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form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obsessive-compulsive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behavio</w:t>
      </w:r>
      <w:r w:rsidR="00736A36" w:rsidRPr="00226F31">
        <w:rPr>
          <w:rFonts w:ascii="Times New Roman" w:hAnsi="Times New Roman" w:cs="Times New Roman"/>
          <w:sz w:val="20"/>
          <w:szCs w:val="32"/>
          <w:lang w:val="en-GB"/>
        </w:rPr>
        <w:t>u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generalized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anxiety.</w:t>
      </w:r>
    </w:p>
    <w:p w:rsidR="00E837B3" w:rsidRPr="00226F31" w:rsidRDefault="00201BF2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E)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Symptoms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Due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Another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b/>
          <w:sz w:val="20"/>
          <w:szCs w:val="32"/>
          <w:lang w:val="en-GB"/>
        </w:rPr>
        <w:t>Condition</w:t>
      </w:r>
      <w:r w:rsidR="008803F8" w:rsidRPr="00226F31">
        <w:rPr>
          <w:rFonts w:ascii="Times New Roman" w:hAnsi="Times New Roman" w:cs="Times New Roman"/>
          <w:b/>
          <w:sz w:val="20"/>
          <w:szCs w:val="32"/>
          <w:lang w:val="en-GB"/>
        </w:rPr>
        <w:t>: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due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frequently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displayed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some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form,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even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though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present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underlies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leads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General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characteristics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include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muscle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tension,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heart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lastRenderedPageBreak/>
        <w:t>palpitations,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sweating,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dizziness,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difficulty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catching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breath.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addition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physical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general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also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leads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restlessness,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possibly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something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impending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catastrophic,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embarrassed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humiliated.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due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exhibit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several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pictures.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example,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shows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itself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include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sudden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onset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terror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specific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precipitating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event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(NIMH,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n.d.).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Along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terror,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pounding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heart,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sweating,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feeling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faint,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dizziness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experienced.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physical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suggest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heart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also.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include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feeling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chilled,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numbness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hands,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nausea,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chest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pain,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feelings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smothering.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sense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loss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touch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reality,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some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impending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doom,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losing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control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add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impact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Many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people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who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experience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convinced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having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heart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seek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attention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emergency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rooms.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If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experienced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generalized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feeling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increased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worry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tension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little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precipitating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factor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prevails.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people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expect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disaster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occur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increasing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concern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about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health,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money,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family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problems,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work.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can’t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relax,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exaggerated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startle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response,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can’t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concentrate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well.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Physical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accompany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generalized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include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feeling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tired,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headaches,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muscle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aches,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irritability,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sweating,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nausea,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feeling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lightheaded,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difficulty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breathing.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If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felt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obsessive-compulsive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intrusive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thoughts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person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doesn’t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want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bring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leads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person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perform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certain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behavio</w:t>
      </w:r>
      <w:r w:rsidR="00736A36" w:rsidRPr="00226F31">
        <w:rPr>
          <w:rFonts w:ascii="Times New Roman" w:hAnsi="Times New Roman" w:cs="Times New Roman"/>
          <w:sz w:val="20"/>
          <w:szCs w:val="32"/>
          <w:lang w:val="en-GB"/>
        </w:rPr>
        <w:t>u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rituals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decrease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temporarily.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rituals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reach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point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controlling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person’s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behavio</w:t>
      </w:r>
      <w:r w:rsidR="00736A36" w:rsidRPr="00226F31">
        <w:rPr>
          <w:rFonts w:ascii="Times New Roman" w:hAnsi="Times New Roman" w:cs="Times New Roman"/>
          <w:sz w:val="20"/>
          <w:szCs w:val="32"/>
          <w:lang w:val="en-GB"/>
        </w:rPr>
        <w:t>u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Checking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things,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touching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things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certain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order,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counting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among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common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rituals.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thoughts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trigger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many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times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harming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loved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ones,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performing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sexual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acts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unacceptable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person,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thinking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about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things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against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person’s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religious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beliefs.</w:t>
      </w:r>
    </w:p>
    <w:p w:rsidR="00234CFD" w:rsidRPr="00226F31" w:rsidRDefault="00234CFD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give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diagnosis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must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evidence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shows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regardless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exhibited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,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due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direct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physiologic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effects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(American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Psychiatric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Association,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2013).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History,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physical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examination,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laboratory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findings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used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establish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direct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effect.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due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better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explained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mental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does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occur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only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during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course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delirium.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Clinically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significant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distress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must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present,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functioning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person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social,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occupational,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life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must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impaired.</w:t>
      </w:r>
    </w:p>
    <w:p w:rsidR="00234CFD" w:rsidRPr="00226F31" w:rsidRDefault="00234CFD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lastRenderedPageBreak/>
        <w:t>Careful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thorough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evaluation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must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conducted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determine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presence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leads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(Gagarina,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2011).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Some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involved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hyperthyroidism,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hypothyroidism,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hypoglycaemia,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hyperadrenocorticism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.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Heart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related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problems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also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underlie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Some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congestive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heart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failure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arrhythmia.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Breathing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problems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COPD,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pneumonia,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hyperventilation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also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initiate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Neurological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like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encephalitis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neoplasms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lead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(Bourne,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2014).</w:t>
      </w:r>
    </w:p>
    <w:p w:rsidR="00234CFD" w:rsidRPr="00226F31" w:rsidRDefault="00234CFD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There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must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close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association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between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diagnosis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appropriate.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must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occur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close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time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onset,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worsening,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lessening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features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typical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primary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present,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indication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due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appropriate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diagnosis.</w:t>
      </w:r>
    </w:p>
    <w:p w:rsidR="00234CFD" w:rsidRPr="00226F31" w:rsidRDefault="00234CFD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>Differential</w:t>
      </w:r>
      <w:r w:rsidR="00226F31"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>Diagnosis</w:t>
      </w:r>
      <w:r w:rsidR="00201BF2" w:rsidRPr="00226F31">
        <w:rPr>
          <w:rFonts w:ascii="Times New Roman" w:hAnsi="Times New Roman" w:cs="Times New Roman"/>
          <w:b/>
          <w:bCs/>
          <w:sz w:val="20"/>
          <w:szCs w:val="32"/>
          <w:lang w:val="en-GB"/>
        </w:rPr>
        <w:t>:</w:t>
      </w:r>
    </w:p>
    <w:p w:rsidR="00234CFD" w:rsidRPr="00226F31" w:rsidRDefault="00234CFD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One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major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considerations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diagnosing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due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certain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doesn’t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occur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just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during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course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delirium.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appropriate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make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diagnosis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occurs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directly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due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dementia,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however.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Differentiation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due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effects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continuing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substance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abuse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must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considered,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also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(Gagarina,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2011).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Withdrawal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from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substance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exposure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toxic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substance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would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lead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diagnosis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Substance-Induced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examination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including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drug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screens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would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useful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situation.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possible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dual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diagnosis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Due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Substance-Induced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criteria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both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diagnoses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met.</w:t>
      </w:r>
    </w:p>
    <w:p w:rsidR="00E837B3" w:rsidRPr="00226F31" w:rsidRDefault="00234CFD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primary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adjustment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two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must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differentiated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from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due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first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these,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direct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link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causes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other,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onset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later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age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family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personal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history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should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suggest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adjustment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disorder.</w:t>
      </w:r>
    </w:p>
    <w:p w:rsidR="00B63CFB" w:rsidRPr="00226F31" w:rsidRDefault="00201BF2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F)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B63CFB" w:rsidRPr="00226F31">
        <w:rPr>
          <w:rFonts w:ascii="Times New Roman" w:hAnsi="Times New Roman" w:cs="Times New Roman"/>
          <w:b/>
          <w:sz w:val="20"/>
          <w:szCs w:val="32"/>
          <w:lang w:val="en-GB"/>
        </w:rPr>
        <w:t>Methodology: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number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22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established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diagnosis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according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criteria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DSM4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were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randomly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selected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63CFB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63CFB"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63CFB" w:rsidRPr="00226F31">
        <w:rPr>
          <w:rFonts w:ascii="Times New Roman" w:hAnsi="Times New Roman" w:cs="Times New Roman"/>
          <w:sz w:val="20"/>
          <w:szCs w:val="32"/>
          <w:lang w:val="en-GB"/>
        </w:rPr>
        <w:t>clinic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63CFB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63CFB" w:rsidRPr="00226F31">
        <w:rPr>
          <w:rFonts w:ascii="Times New Roman" w:hAnsi="Times New Roman" w:cs="Times New Roman"/>
          <w:sz w:val="20"/>
          <w:szCs w:val="32"/>
          <w:lang w:val="en-GB"/>
        </w:rPr>
        <w:t>Homs,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63CFB" w:rsidRPr="00226F31">
        <w:rPr>
          <w:rFonts w:ascii="Times New Roman" w:hAnsi="Times New Roman" w:cs="Times New Roman"/>
          <w:sz w:val="20"/>
          <w:szCs w:val="32"/>
          <w:lang w:val="en-GB"/>
        </w:rPr>
        <w:t>Syria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63CFB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63CFB" w:rsidRPr="00226F31">
        <w:rPr>
          <w:rFonts w:ascii="Times New Roman" w:hAnsi="Times New Roman" w:cs="Times New Roman"/>
          <w:sz w:val="20"/>
          <w:szCs w:val="32"/>
          <w:lang w:val="en-GB"/>
        </w:rPr>
        <w:t>2007-2008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barium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swallow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contrast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radiographic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investigation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performed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them,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also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E63CE1" w:rsidRPr="00226F31">
        <w:rPr>
          <w:rFonts w:ascii="Times New Roman" w:hAnsi="Times New Roman" w:cs="Times New Roman"/>
          <w:sz w:val="20"/>
          <w:szCs w:val="32"/>
          <w:lang w:val="en-GB"/>
        </w:rPr>
        <w:t>Trendelenburg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tilt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position.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B63CFB" w:rsidRPr="00226F31" w:rsidRDefault="00201BF2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G)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B63CFB" w:rsidRPr="00226F31">
        <w:rPr>
          <w:rFonts w:ascii="Times New Roman" w:hAnsi="Times New Roman" w:cs="Times New Roman"/>
          <w:b/>
          <w:sz w:val="20"/>
          <w:szCs w:val="32"/>
          <w:lang w:val="en-GB"/>
        </w:rPr>
        <w:t>Results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D966F7" w:rsidRPr="00226F31">
        <w:rPr>
          <w:rFonts w:ascii="Times New Roman" w:hAnsi="Times New Roman" w:cs="Times New Roman"/>
          <w:b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="00D966F7" w:rsidRPr="00226F31">
        <w:rPr>
          <w:rFonts w:ascii="Times New Roman" w:hAnsi="Times New Roman" w:cs="Times New Roman"/>
          <w:b/>
          <w:sz w:val="20"/>
          <w:szCs w:val="32"/>
          <w:lang w:val="en-GB"/>
        </w:rPr>
        <w:t>conclusion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b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b/>
          <w:sz w:val="20"/>
          <w:szCs w:val="32"/>
          <w:lang w:val="en-GB"/>
        </w:rPr>
        <w:t>Study</w:t>
      </w:r>
      <w:r w:rsidR="00B63CFB" w:rsidRPr="00226F31">
        <w:rPr>
          <w:rFonts w:ascii="Times New Roman" w:hAnsi="Times New Roman" w:cs="Times New Roman"/>
          <w:b/>
          <w:sz w:val="20"/>
          <w:szCs w:val="32"/>
          <w:lang w:val="en-GB"/>
        </w:rPr>
        <w:t>:</w:t>
      </w:r>
    </w:p>
    <w:p w:rsidR="00B63CFB" w:rsidRPr="00226F31" w:rsidRDefault="00B63CFB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20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out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22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hernias!</w:t>
      </w:r>
    </w:p>
    <w:p w:rsidR="00A660CD" w:rsidRDefault="00A660CD" w:rsidP="00A660CD">
      <w:pPr>
        <w:snapToGrid w:val="0"/>
        <w:jc w:val="both"/>
        <w:rPr>
          <w:rFonts w:ascii="Times New Roman" w:hAnsi="Times New Roman" w:cs="Times New Roman"/>
          <w:b/>
          <w:bCs/>
          <w:i/>
          <w:iCs/>
          <w:sz w:val="20"/>
          <w:szCs w:val="28"/>
          <w:lang w:val="en-GB" w:eastAsia="zh-CN"/>
        </w:rPr>
      </w:pPr>
    </w:p>
    <w:p w:rsidR="00A660CD" w:rsidRDefault="00A660CD" w:rsidP="00A660CD">
      <w:pPr>
        <w:snapToGrid w:val="0"/>
        <w:jc w:val="both"/>
        <w:rPr>
          <w:rFonts w:ascii="Times New Roman" w:hAnsi="Times New Roman" w:cs="Times New Roman"/>
          <w:b/>
          <w:bCs/>
          <w:i/>
          <w:iCs/>
          <w:sz w:val="20"/>
          <w:szCs w:val="28"/>
          <w:lang w:val="en-GB" w:eastAsia="zh-CN"/>
        </w:rPr>
        <w:sectPr w:rsidR="00A660CD" w:rsidSect="00114716">
          <w:headerReference w:type="default" r:id="rId11"/>
          <w:pgSz w:w="12240" w:h="15840"/>
          <w:pgMar w:top="1440" w:right="1440" w:bottom="1440" w:left="1440" w:header="720" w:footer="720" w:gutter="0"/>
          <w:cols w:num="2" w:space="550"/>
          <w:docGrid w:linePitch="299"/>
        </w:sectPr>
      </w:pPr>
    </w:p>
    <w:tbl>
      <w:tblPr>
        <w:tblStyle w:val="GridTable7Colorful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5099"/>
        <w:gridCol w:w="4375"/>
      </w:tblGrid>
      <w:tr w:rsidR="00B63CFB" w:rsidRPr="00226F31" w:rsidTr="00226F31">
        <w:trPr>
          <w:cnfStyle w:val="100000000000"/>
          <w:jc w:val="center"/>
        </w:trPr>
        <w:tc>
          <w:tcPr>
            <w:cnfStyle w:val="001000000100"/>
            <w:tcW w:w="2691" w:type="pct"/>
            <w:vAlign w:val="center"/>
          </w:tcPr>
          <w:p w:rsidR="00BE42A2" w:rsidRDefault="00BE42A2" w:rsidP="00A660CD">
            <w:pPr>
              <w:snapToGrid w:val="0"/>
              <w:jc w:val="both"/>
              <w:rPr>
                <w:rFonts w:ascii="Times New Roman" w:hAnsi="Times New Roman" w:cs="Times New Roman" w:hint="eastAsia"/>
                <w:sz w:val="20"/>
                <w:szCs w:val="28"/>
                <w:lang w:val="en-GB" w:eastAsia="zh-CN"/>
              </w:rPr>
            </w:pPr>
          </w:p>
          <w:p w:rsidR="00B63CFB" w:rsidRPr="00226F31" w:rsidRDefault="00B63CFB" w:rsidP="00A660C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>Small</w:t>
            </w:r>
            <w:r w:rsidR="00226F31"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>HH.</w:t>
            </w:r>
          </w:p>
        </w:tc>
        <w:tc>
          <w:tcPr>
            <w:tcW w:w="2309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sz w:val="20"/>
                <w:szCs w:val="28"/>
                <w:lang w:val="en-GB"/>
              </w:rPr>
            </w:pPr>
            <w:r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>12</w:t>
            </w:r>
            <w:r w:rsidR="00226F31"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>(</w:t>
            </w:r>
            <w:r w:rsidR="00226F31"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>4</w:t>
            </w:r>
            <w:r w:rsidR="00226F31"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>GERD</w:t>
            </w:r>
            <w:r w:rsidR="00A660CD">
              <w:rPr>
                <w:rFonts w:ascii="Times New Roman" w:hAnsi="Times New Roman" w:cs="Times New Roman" w:hint="eastAsia"/>
                <w:sz w:val="20"/>
                <w:szCs w:val="28"/>
                <w:lang w:val="en-GB" w:eastAsia="zh-CN"/>
              </w:rPr>
              <w:t>*</w:t>
            </w:r>
            <w:r w:rsidR="00226F31"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>+,</w:t>
            </w:r>
            <w:r w:rsidR="00226F31"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>1</w:t>
            </w:r>
            <w:r w:rsidR="00226F31"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>GERD</w:t>
            </w:r>
            <w:r w:rsidR="00226F31"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sz w:val="20"/>
                <w:szCs w:val="28"/>
                <w:lang w:val="en-GB"/>
              </w:rPr>
              <w:t>++)</w:t>
            </w:r>
          </w:p>
        </w:tc>
      </w:tr>
      <w:tr w:rsidR="00B63CFB" w:rsidRPr="00226F31" w:rsidTr="00226F31">
        <w:trPr>
          <w:cnfStyle w:val="000000100000"/>
          <w:jc w:val="center"/>
        </w:trPr>
        <w:tc>
          <w:tcPr>
            <w:cnfStyle w:val="001000000000"/>
            <w:tcW w:w="2691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Medium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sized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HH</w:t>
            </w:r>
          </w:p>
        </w:tc>
        <w:tc>
          <w:tcPr>
            <w:tcW w:w="2309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4(GERD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+++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severe)</w:t>
            </w:r>
          </w:p>
        </w:tc>
      </w:tr>
      <w:tr w:rsidR="00B63CFB" w:rsidRPr="00226F31" w:rsidTr="00226F31">
        <w:trPr>
          <w:jc w:val="center"/>
        </w:trPr>
        <w:tc>
          <w:tcPr>
            <w:cnfStyle w:val="001000000000"/>
            <w:tcW w:w="2691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Big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sliding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HH</w:t>
            </w:r>
          </w:p>
        </w:tc>
        <w:tc>
          <w:tcPr>
            <w:tcW w:w="2309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4(GERD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+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moderate)</w:t>
            </w:r>
          </w:p>
        </w:tc>
      </w:tr>
      <w:tr w:rsidR="00B63CFB" w:rsidRPr="00226F31" w:rsidTr="00226F31">
        <w:trPr>
          <w:cnfStyle w:val="000000100000"/>
          <w:jc w:val="center"/>
        </w:trPr>
        <w:tc>
          <w:tcPr>
            <w:cnfStyle w:val="001000000000"/>
            <w:tcW w:w="2691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Comorbid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depression</w:t>
            </w:r>
          </w:p>
        </w:tc>
        <w:tc>
          <w:tcPr>
            <w:tcW w:w="2309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15</w:t>
            </w:r>
          </w:p>
        </w:tc>
      </w:tr>
      <w:tr w:rsidR="00B63CFB" w:rsidRPr="00226F31" w:rsidTr="00226F31">
        <w:trPr>
          <w:jc w:val="center"/>
        </w:trPr>
        <w:tc>
          <w:tcPr>
            <w:cnfStyle w:val="001000000000"/>
            <w:tcW w:w="2691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Comorbid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agoraphobia</w:t>
            </w:r>
          </w:p>
        </w:tc>
        <w:tc>
          <w:tcPr>
            <w:tcW w:w="2309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9</w:t>
            </w:r>
          </w:p>
        </w:tc>
      </w:tr>
      <w:tr w:rsidR="00B63CFB" w:rsidRPr="00226F31" w:rsidTr="00226F31">
        <w:trPr>
          <w:cnfStyle w:val="000000100000"/>
          <w:jc w:val="center"/>
        </w:trPr>
        <w:tc>
          <w:tcPr>
            <w:cnfStyle w:val="001000000000"/>
            <w:tcW w:w="2691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Maintenance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therapy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6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months</w:t>
            </w:r>
          </w:p>
        </w:tc>
        <w:tc>
          <w:tcPr>
            <w:tcW w:w="2309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14</w:t>
            </w:r>
          </w:p>
        </w:tc>
      </w:tr>
      <w:tr w:rsidR="00B63CFB" w:rsidRPr="00226F31" w:rsidTr="00226F31">
        <w:trPr>
          <w:jc w:val="center"/>
        </w:trPr>
        <w:tc>
          <w:tcPr>
            <w:cnfStyle w:val="001000000000"/>
            <w:tcW w:w="2691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Maintenance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therapy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1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year</w:t>
            </w:r>
          </w:p>
        </w:tc>
        <w:tc>
          <w:tcPr>
            <w:tcW w:w="2309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4</w:t>
            </w:r>
          </w:p>
        </w:tc>
      </w:tr>
      <w:tr w:rsidR="00B63CFB" w:rsidRPr="00226F31" w:rsidTr="00226F31">
        <w:trPr>
          <w:cnfStyle w:val="000000100000"/>
          <w:jc w:val="center"/>
        </w:trPr>
        <w:tc>
          <w:tcPr>
            <w:cnfStyle w:val="001000000000"/>
            <w:tcW w:w="2691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</w:pP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Total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remission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after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one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year</w:t>
            </w:r>
          </w:p>
        </w:tc>
        <w:tc>
          <w:tcPr>
            <w:tcW w:w="2309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18</w:t>
            </w:r>
          </w:p>
        </w:tc>
      </w:tr>
      <w:tr w:rsidR="00B63CFB" w:rsidRPr="00226F31" w:rsidTr="00226F31">
        <w:trPr>
          <w:jc w:val="center"/>
        </w:trPr>
        <w:tc>
          <w:tcPr>
            <w:cnfStyle w:val="001000000000"/>
            <w:tcW w:w="2691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</w:pP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No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remission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after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1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year</w:t>
            </w:r>
            <w:r w:rsidR="00226F31"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 xml:space="preserve"> </w:t>
            </w: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GB"/>
              </w:rPr>
              <w:t>treatment</w:t>
            </w:r>
          </w:p>
        </w:tc>
        <w:tc>
          <w:tcPr>
            <w:tcW w:w="2309" w:type="pct"/>
            <w:vAlign w:val="center"/>
          </w:tcPr>
          <w:p w:rsidR="00B63CFB" w:rsidRPr="00226F31" w:rsidRDefault="00B63CFB" w:rsidP="00A660CD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226F31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</w:t>
            </w:r>
          </w:p>
        </w:tc>
      </w:tr>
    </w:tbl>
    <w:p w:rsidR="00A660CD" w:rsidRPr="00A660CD" w:rsidRDefault="00A660CD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32"/>
          <w:lang w:val="en-GB" w:eastAsia="zh-CN"/>
        </w:rPr>
      </w:pPr>
      <w:r w:rsidRPr="00A660CD">
        <w:rPr>
          <w:rFonts w:ascii="Times New Roman" w:hAnsi="Times New Roman" w:cs="Times New Roman" w:hint="eastAsia"/>
          <w:sz w:val="20"/>
          <w:szCs w:val="32"/>
          <w:lang w:val="en-GB" w:eastAsia="zh-CN"/>
        </w:rPr>
        <w:t>*</w:t>
      </w:r>
      <w:r w:rsidRPr="00A660CD">
        <w:rPr>
          <w:rFonts w:ascii="Times New Roman" w:hAnsi="Times New Roman" w:cs="Times New Roman"/>
          <w:sz w:val="20"/>
        </w:rPr>
        <w:t xml:space="preserve">GERD gastro esophageal reflux disorder  </w:t>
      </w:r>
    </w:p>
    <w:p w:rsidR="00A660CD" w:rsidRDefault="00A660CD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32"/>
          <w:lang w:val="en-GB" w:eastAsia="zh-CN"/>
        </w:rPr>
      </w:pPr>
    </w:p>
    <w:p w:rsidR="00BE42A2" w:rsidRDefault="00BE42A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 w:eastAsia="zh-CN"/>
        </w:rPr>
      </w:pPr>
    </w:p>
    <w:p w:rsidR="00A660CD" w:rsidRDefault="00A660CD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  <w:sectPr w:rsidR="00A660CD" w:rsidSect="00226F31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lastRenderedPageBreak/>
        <w:t>All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psychiatric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were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ruled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out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24530"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also</w:t>
      </w:r>
      <w:r w:rsidR="00E63CE1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might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mimic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cause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were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aware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having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However,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different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degrees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abdominal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discomfort,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flatulence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some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gastroesophageal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reflux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different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degrees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mentioned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above.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very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interesting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majority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studied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cases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were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people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who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had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habit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taking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8803F8"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nap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after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day,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which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1826DA" w:rsidRPr="00226F31">
        <w:rPr>
          <w:rFonts w:ascii="Times New Roman" w:hAnsi="Times New Roman" w:cs="Times New Roman"/>
          <w:sz w:val="20"/>
          <w:szCs w:val="32"/>
          <w:lang w:val="en-GB"/>
        </w:rPr>
        <w:t>common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1826DA" w:rsidRPr="00226F31">
        <w:rPr>
          <w:rFonts w:ascii="Times New Roman" w:hAnsi="Times New Roman" w:cs="Times New Roman"/>
          <w:sz w:val="20"/>
          <w:szCs w:val="32"/>
          <w:lang w:val="en-GB"/>
        </w:rPr>
        <w:t>practice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1826DA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1826DA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1826DA" w:rsidRPr="00226F31">
        <w:rPr>
          <w:rFonts w:ascii="Times New Roman" w:hAnsi="Times New Roman" w:cs="Times New Roman"/>
          <w:sz w:val="20"/>
          <w:szCs w:val="32"/>
          <w:lang w:val="en-GB"/>
        </w:rPr>
        <w:t>country.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first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recurrent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happened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upon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awakening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even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made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person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wake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up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8803F8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demonstrates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temporal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organic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relationsh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ip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between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HH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symptoms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which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mostly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play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lying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patient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full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stomach.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What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more,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major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complain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debilitating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multiple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visits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emergency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units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hospitals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crippl</w:t>
      </w:r>
      <w:r w:rsidR="00E63CE1" w:rsidRPr="00226F31">
        <w:rPr>
          <w:rFonts w:ascii="Times New Roman" w:hAnsi="Times New Roman" w:cs="Times New Roman"/>
          <w:sz w:val="20"/>
          <w:szCs w:val="32"/>
          <w:lang w:val="en-GB"/>
        </w:rPr>
        <w:t>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E63CE1" w:rsidRPr="00226F31">
        <w:rPr>
          <w:rFonts w:ascii="Times New Roman" w:hAnsi="Times New Roman" w:cs="Times New Roman"/>
          <w:sz w:val="20"/>
          <w:szCs w:val="32"/>
          <w:lang w:val="en-GB"/>
        </w:rPr>
        <w:t>anticipatory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E63CE1"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E63CE1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9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developed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agoraphobia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727B49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415814" w:rsidRPr="00226F31">
        <w:rPr>
          <w:rFonts w:ascii="Times New Roman" w:hAnsi="Times New Roman" w:cs="Times New Roman"/>
          <w:sz w:val="20"/>
          <w:szCs w:val="32"/>
          <w:lang w:val="en-GB"/>
        </w:rPr>
        <w:t>15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727B49" w:rsidRPr="00226F31">
        <w:rPr>
          <w:rFonts w:ascii="Times New Roman" w:hAnsi="Times New Roman" w:cs="Times New Roman"/>
          <w:sz w:val="20"/>
          <w:szCs w:val="32"/>
          <w:lang w:val="en-GB"/>
        </w:rPr>
        <w:t>secondary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727B49" w:rsidRPr="00226F31">
        <w:rPr>
          <w:rFonts w:ascii="Times New Roman" w:hAnsi="Times New Roman" w:cs="Times New Roman"/>
          <w:sz w:val="20"/>
          <w:szCs w:val="32"/>
          <w:lang w:val="en-GB"/>
        </w:rPr>
        <w:t>depression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eventually.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discussed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above,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neurocircuity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63CFB" w:rsidRPr="00226F31">
        <w:rPr>
          <w:rFonts w:ascii="Times New Roman" w:hAnsi="Times New Roman" w:cs="Times New Roman"/>
          <w:sz w:val="20"/>
          <w:szCs w:val="32"/>
          <w:lang w:val="en-GB"/>
        </w:rPr>
        <w:t>theory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postulates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summing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up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different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manifestations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dysregulation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brain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circuits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underlie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conditioned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responses.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So,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while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type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26C81" w:rsidRPr="00226F31">
        <w:rPr>
          <w:rFonts w:ascii="Times New Roman" w:hAnsi="Times New Roman" w:cs="Times New Roman"/>
          <w:sz w:val="20"/>
          <w:szCs w:val="32"/>
          <w:lang w:val="en-GB"/>
        </w:rPr>
        <w:t>II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26C81" w:rsidRPr="00226F31">
        <w:rPr>
          <w:rFonts w:ascii="Times New Roman" w:hAnsi="Times New Roman" w:cs="Times New Roman"/>
          <w:sz w:val="20"/>
          <w:szCs w:val="32"/>
          <w:lang w:val="en-GB"/>
        </w:rPr>
        <w:t>III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26C81" w:rsidRPr="00226F31">
        <w:rPr>
          <w:rFonts w:ascii="Times New Roman" w:hAnsi="Times New Roman" w:cs="Times New Roman"/>
          <w:sz w:val="20"/>
          <w:szCs w:val="32"/>
          <w:lang w:val="en-GB"/>
        </w:rPr>
        <w:t>IV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supposedly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manifest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obvious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physical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</w:t>
      </w:r>
      <w:r w:rsidR="006B73A6" w:rsidRPr="00226F31">
        <w:rPr>
          <w:rFonts w:ascii="Times New Roman" w:hAnsi="Times New Roman" w:cs="Times New Roman"/>
          <w:sz w:val="20"/>
          <w:szCs w:val="32"/>
          <w:lang w:val="en-GB"/>
        </w:rPr>
        <w:t>ptoms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B73A6"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B73A6"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B73A6" w:rsidRPr="00226F31">
        <w:rPr>
          <w:rFonts w:ascii="Times New Roman" w:hAnsi="Times New Roman" w:cs="Times New Roman"/>
          <w:sz w:val="20"/>
          <w:szCs w:val="32"/>
          <w:lang w:val="en-GB"/>
        </w:rPr>
        <w:t>related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B73A6" w:rsidRPr="00226F31">
        <w:rPr>
          <w:rFonts w:ascii="Times New Roman" w:hAnsi="Times New Roman" w:cs="Times New Roman"/>
          <w:sz w:val="20"/>
          <w:szCs w:val="32"/>
          <w:lang w:val="en-GB"/>
        </w:rPr>
        <w:t>directly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contribute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hyperventilation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pattern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breathing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cascade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reactions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</w:t>
      </w:r>
      <w:r w:rsidR="006B73A6" w:rsidRPr="00226F31">
        <w:rPr>
          <w:rFonts w:ascii="Times New Roman" w:hAnsi="Times New Roman" w:cs="Times New Roman"/>
          <w:sz w:val="20"/>
          <w:szCs w:val="32"/>
          <w:lang w:val="en-GB"/>
        </w:rPr>
        <w:t>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B73A6" w:rsidRPr="00226F31">
        <w:rPr>
          <w:rFonts w:ascii="Times New Roman" w:hAnsi="Times New Roman" w:cs="Times New Roman"/>
          <w:sz w:val="20"/>
          <w:szCs w:val="32"/>
          <w:lang w:val="en-GB"/>
        </w:rPr>
        <w:t>might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B73A6" w:rsidRPr="00226F31">
        <w:rPr>
          <w:rFonts w:ascii="Times New Roman" w:hAnsi="Times New Roman" w:cs="Times New Roman"/>
          <w:sz w:val="20"/>
          <w:szCs w:val="32"/>
          <w:lang w:val="en-GB"/>
        </w:rPr>
        <w:t>lead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B73A6"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B73A6"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B73A6"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;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still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small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sliding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exert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different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type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action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through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other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presumed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pathways,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feeding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thalamic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input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noxious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(bloating,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distention,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heartburn)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t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interacted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modulated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amygdalar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prefrontal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cortical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projections.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Thu</w:t>
      </w:r>
      <w:r w:rsidR="00B63CFB" w:rsidRPr="00226F31">
        <w:rPr>
          <w:rFonts w:ascii="Times New Roman" w:hAnsi="Times New Roman" w:cs="Times New Roman"/>
          <w:sz w:val="20"/>
          <w:szCs w:val="32"/>
          <w:lang w:val="en-GB"/>
        </w:rPr>
        <w:t>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63CFB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63CFB" w:rsidRPr="00226F31">
        <w:rPr>
          <w:rFonts w:ascii="Times New Roman" w:hAnsi="Times New Roman" w:cs="Times New Roman"/>
          <w:sz w:val="20"/>
          <w:szCs w:val="32"/>
          <w:lang w:val="en-GB"/>
        </w:rPr>
        <w:t>interpretation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63CFB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63CFB" w:rsidRPr="00226F31">
        <w:rPr>
          <w:rFonts w:ascii="Times New Roman" w:hAnsi="Times New Roman" w:cs="Times New Roman"/>
          <w:sz w:val="20"/>
          <w:szCs w:val="32"/>
          <w:lang w:val="en-GB"/>
        </w:rPr>
        <w:t>these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significant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symptoms,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exaggerated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triggering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B73A6" w:rsidRPr="00226F31">
        <w:rPr>
          <w:rFonts w:ascii="Times New Roman" w:hAnsi="Times New Roman" w:cs="Times New Roman"/>
          <w:sz w:val="20"/>
          <w:szCs w:val="32"/>
          <w:lang w:val="en-GB"/>
        </w:rPr>
        <w:t>Lo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B73A6" w:rsidRPr="00226F31">
        <w:rPr>
          <w:rFonts w:ascii="Times New Roman" w:hAnsi="Times New Roman" w:cs="Times New Roman"/>
          <w:sz w:val="20"/>
          <w:szCs w:val="32"/>
          <w:lang w:val="en-GB"/>
        </w:rPr>
        <w:t>C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oerul</w:t>
      </w:r>
      <w:r w:rsidR="006B73A6" w:rsidRPr="00226F31">
        <w:rPr>
          <w:rFonts w:ascii="Times New Roman" w:hAnsi="Times New Roman" w:cs="Times New Roman"/>
          <w:sz w:val="20"/>
          <w:szCs w:val="32"/>
          <w:lang w:val="en-GB"/>
        </w:rPr>
        <w:t>e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brain-stem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respiratory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activation.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E837B3" w:rsidRPr="00226F31" w:rsidRDefault="00B63CFB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Therefore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this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circle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fear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activated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starting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point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circuit,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already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sensitive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nervous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system.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A660CD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lastRenderedPageBreak/>
        <w:t>Besides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usual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medications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psychotherapeutic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treatment,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received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education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about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HH.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were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advised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agains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t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E837B3" w:rsidRPr="00226F31" w:rsidRDefault="00B63CFB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Overeating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eating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food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known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contribute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bloating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gas,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such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cabbage,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beans,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lentils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cause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bloating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Avoiding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limiting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caffeine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intake.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Avoiding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alcohol,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especially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hard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liquor.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Wearing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loose,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comfortable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clothing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around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torso.</w:t>
      </w:r>
    </w:p>
    <w:p w:rsidR="00A660CD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Applying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physiotherapy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like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massage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different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types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exercises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also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relaxation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sessions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pivotal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importanc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e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E837B3" w:rsidRPr="00226F31" w:rsidRDefault="003D1102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conclusion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might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represented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thought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before,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paying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attention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possibility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it's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presence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help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clinicians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alleviate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important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triggering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cu</w:t>
      </w:r>
      <w:r w:rsidR="00667969" w:rsidRPr="00226F31">
        <w:rPr>
          <w:rFonts w:ascii="Times New Roman" w:hAnsi="Times New Roman" w:cs="Times New Roman"/>
          <w:sz w:val="20"/>
          <w:szCs w:val="32"/>
          <w:lang w:val="en-GB"/>
        </w:rPr>
        <w:t>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67969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67969" w:rsidRPr="00226F31">
        <w:rPr>
          <w:rFonts w:ascii="Times New Roman" w:hAnsi="Times New Roman" w:cs="Times New Roman"/>
          <w:sz w:val="20"/>
          <w:szCs w:val="32"/>
          <w:lang w:val="en-GB"/>
        </w:rPr>
        <w:t>panic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67969" w:rsidRPr="00226F31">
        <w:rPr>
          <w:rFonts w:ascii="Times New Roman" w:hAnsi="Times New Roman" w:cs="Times New Roman"/>
          <w:sz w:val="20"/>
          <w:szCs w:val="32"/>
          <w:lang w:val="en-GB"/>
        </w:rPr>
        <w:t>attacks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67969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67969" w:rsidRPr="00226F31">
        <w:rPr>
          <w:rFonts w:ascii="Times New Roman" w:hAnsi="Times New Roman" w:cs="Times New Roman"/>
          <w:sz w:val="20"/>
          <w:szCs w:val="32"/>
          <w:lang w:val="en-GB"/>
        </w:rPr>
        <w:t>disorder;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67969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67969" w:rsidRPr="00226F31">
        <w:rPr>
          <w:rFonts w:ascii="Times New Roman" w:hAnsi="Times New Roman" w:cs="Times New Roman"/>
          <w:sz w:val="20"/>
          <w:szCs w:val="32"/>
          <w:lang w:val="en-GB"/>
        </w:rPr>
        <w:t>thing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67969" w:rsidRPr="00226F31">
        <w:rPr>
          <w:rFonts w:ascii="Times New Roman" w:hAnsi="Times New Roman" w:cs="Times New Roman"/>
          <w:sz w:val="20"/>
          <w:szCs w:val="32"/>
          <w:lang w:val="en-GB"/>
        </w:rPr>
        <w:t>that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67969" w:rsidRPr="00226F31">
        <w:rPr>
          <w:rFonts w:ascii="Times New Roman" w:hAnsi="Times New Roman" w:cs="Times New Roman"/>
          <w:sz w:val="20"/>
          <w:szCs w:val="32"/>
          <w:lang w:val="en-GB"/>
        </w:rPr>
        <w:t>would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67969" w:rsidRPr="00226F31">
        <w:rPr>
          <w:rFonts w:ascii="Times New Roman" w:hAnsi="Times New Roman" w:cs="Times New Roman"/>
          <w:sz w:val="20"/>
          <w:szCs w:val="32"/>
          <w:lang w:val="en-GB"/>
        </w:rPr>
        <w:t>eventually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67969" w:rsidRPr="00226F31">
        <w:rPr>
          <w:rFonts w:ascii="Times New Roman" w:hAnsi="Times New Roman" w:cs="Times New Roman"/>
          <w:sz w:val="20"/>
          <w:szCs w:val="32"/>
          <w:lang w:val="en-GB"/>
        </w:rPr>
        <w:t>result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67969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667969" w:rsidRPr="00226F31">
        <w:rPr>
          <w:rFonts w:ascii="Times New Roman" w:hAnsi="Times New Roman" w:cs="Times New Roman"/>
          <w:sz w:val="20"/>
          <w:szCs w:val="32"/>
          <w:lang w:val="en-GB"/>
        </w:rPr>
        <w:t>shorter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B7AA7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B7AA7" w:rsidRPr="00226F31">
        <w:rPr>
          <w:rFonts w:ascii="Times New Roman" w:hAnsi="Times New Roman" w:cs="Times New Roman"/>
          <w:sz w:val="20"/>
          <w:szCs w:val="32"/>
          <w:lang w:val="en-GB"/>
        </w:rPr>
        <w:t>more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B7AA7" w:rsidRPr="00226F31">
        <w:rPr>
          <w:rFonts w:ascii="Times New Roman" w:hAnsi="Times New Roman" w:cs="Times New Roman"/>
          <w:sz w:val="20"/>
          <w:szCs w:val="32"/>
          <w:lang w:val="en-GB"/>
        </w:rPr>
        <w:t>effective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B7AA7" w:rsidRPr="00226F31">
        <w:rPr>
          <w:rFonts w:ascii="Times New Roman" w:hAnsi="Times New Roman" w:cs="Times New Roman"/>
          <w:sz w:val="20"/>
          <w:szCs w:val="32"/>
          <w:lang w:val="en-GB"/>
        </w:rPr>
        <w:t>treatment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E66532" w:rsidRPr="00226F31">
        <w:rPr>
          <w:rFonts w:ascii="Times New Roman" w:hAnsi="Times New Roman" w:cs="Times New Roman"/>
          <w:sz w:val="20"/>
          <w:szCs w:val="32"/>
          <w:lang w:val="en-GB"/>
        </w:rPr>
        <w:t>and,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E66532" w:rsidRPr="00226F31">
        <w:rPr>
          <w:rFonts w:ascii="Times New Roman" w:hAnsi="Times New Roman" w:cs="Times New Roman"/>
          <w:sz w:val="20"/>
          <w:szCs w:val="32"/>
          <w:lang w:val="en-GB"/>
        </w:rPr>
        <w:t>off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E66532" w:rsidRPr="00226F31">
        <w:rPr>
          <w:rFonts w:ascii="Times New Roman" w:hAnsi="Times New Roman" w:cs="Times New Roman"/>
          <w:sz w:val="20"/>
          <w:szCs w:val="32"/>
          <w:lang w:val="en-GB"/>
        </w:rPr>
        <w:t>course</w:t>
      </w:r>
      <w:r w:rsidR="00303BE0" w:rsidRPr="00226F31">
        <w:rPr>
          <w:rFonts w:ascii="Times New Roman" w:hAnsi="Times New Roman" w:cs="Times New Roman"/>
          <w:sz w:val="20"/>
          <w:szCs w:val="32"/>
          <w:lang w:val="en-GB"/>
        </w:rPr>
        <w:t>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03BE0" w:rsidRPr="00226F31">
        <w:rPr>
          <w:rFonts w:ascii="Times New Roman" w:hAnsi="Times New Roman" w:cs="Times New Roman"/>
          <w:sz w:val="20"/>
          <w:szCs w:val="32"/>
          <w:lang w:val="en-GB"/>
        </w:rPr>
        <w:t>shorten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03BE0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03BE0" w:rsidRPr="00226F31">
        <w:rPr>
          <w:rFonts w:ascii="Times New Roman" w:hAnsi="Times New Roman" w:cs="Times New Roman"/>
          <w:sz w:val="20"/>
          <w:szCs w:val="32"/>
          <w:lang w:val="en-GB"/>
        </w:rPr>
        <w:t>period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03BE0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03BE0" w:rsidRPr="00226F31">
        <w:rPr>
          <w:rFonts w:ascii="Times New Roman" w:hAnsi="Times New Roman" w:cs="Times New Roman"/>
          <w:sz w:val="20"/>
          <w:szCs w:val="32"/>
          <w:lang w:val="en-GB"/>
        </w:rPr>
        <w:t>maintena</w:t>
      </w:r>
      <w:r w:rsidR="00BA79BB" w:rsidRPr="00226F31">
        <w:rPr>
          <w:rFonts w:ascii="Times New Roman" w:hAnsi="Times New Roman" w:cs="Times New Roman"/>
          <w:sz w:val="20"/>
          <w:szCs w:val="32"/>
          <w:lang w:val="en-GB"/>
        </w:rPr>
        <w:t>nce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BA79BB" w:rsidRPr="00226F31">
        <w:rPr>
          <w:rFonts w:ascii="Times New Roman" w:hAnsi="Times New Roman" w:cs="Times New Roman"/>
          <w:sz w:val="20"/>
          <w:szCs w:val="32"/>
          <w:lang w:val="en-GB"/>
        </w:rPr>
        <w:t>therapy</w:t>
      </w:r>
      <w:r w:rsidR="002E36C3" w:rsidRPr="00226F31">
        <w:rPr>
          <w:rFonts w:ascii="Times New Roman" w:hAnsi="Times New Roman" w:cs="Times New Roman"/>
          <w:sz w:val="20"/>
          <w:szCs w:val="32"/>
          <w:lang w:val="en-GB"/>
        </w:rPr>
        <w:t>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However,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these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findings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need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replicated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greater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number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have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more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validity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consideration.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</w:p>
    <w:p w:rsidR="009767DD" w:rsidRPr="00226F31" w:rsidRDefault="009767DD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  <w:lang w:val="en-GB" w:eastAsia="zh-CN"/>
        </w:rPr>
      </w:pPr>
    </w:p>
    <w:p w:rsidR="00DA227A" w:rsidRPr="00226F31" w:rsidRDefault="00DA227A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  <w:lang w:val="en-GB" w:eastAsia="zh-CN"/>
        </w:rPr>
      </w:pPr>
      <w:r w:rsidRPr="00226F31">
        <w:rPr>
          <w:rFonts w:ascii="Times New Roman" w:hAnsi="Times New Roman" w:cs="Times New Roman" w:hint="eastAsia"/>
          <w:b/>
          <w:bCs/>
          <w:sz w:val="20"/>
          <w:szCs w:val="32"/>
          <w:lang w:val="en-GB" w:eastAsia="zh-CN"/>
        </w:rPr>
        <w:t>References</w:t>
      </w:r>
    </w:p>
    <w:p w:rsidR="00E837B3" w:rsidRPr="00226F31" w:rsidRDefault="003D1102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American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Psychiatric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Association.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(2013).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diagnostic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statistical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manual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mental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(5th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ed.).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Arlington,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VA: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American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Psychiatric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Publishing.</w:t>
      </w:r>
    </w:p>
    <w:p w:rsidR="00E837B3" w:rsidRPr="00226F31" w:rsidRDefault="003D1102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Bourne,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(2014).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Help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for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Retrieved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from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http://www.helpforanxiety.com/dsm-iv-tr.html</w:t>
      </w:r>
    </w:p>
    <w:p w:rsidR="009767DD" w:rsidRPr="00226F31" w:rsidRDefault="003D1102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Gagarina,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A.K.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(2011).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due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general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</w:t>
      </w:r>
      <w:r w:rsidR="009767DD" w:rsidRPr="00226F31">
        <w:rPr>
          <w:rFonts w:ascii="Times New Roman" w:hAnsi="Times New Roman" w:cs="Times New Roman"/>
          <w:sz w:val="20"/>
          <w:szCs w:val="32"/>
          <w:lang w:val="en-GB"/>
        </w:rPr>
        <w:t>dical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767DD" w:rsidRPr="00226F31">
        <w:rPr>
          <w:rFonts w:ascii="Times New Roman" w:hAnsi="Times New Roman" w:cs="Times New Roman"/>
          <w:sz w:val="20"/>
          <w:szCs w:val="32"/>
          <w:lang w:val="en-GB"/>
        </w:rPr>
        <w:t>condition.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767DD" w:rsidRPr="00226F31">
        <w:rPr>
          <w:rFonts w:ascii="Times New Roman" w:hAnsi="Times New Roman" w:cs="Times New Roman"/>
          <w:sz w:val="20"/>
          <w:szCs w:val="32"/>
          <w:lang w:val="en-GB"/>
        </w:rPr>
        <w:t>Retrieved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767DD" w:rsidRPr="00226F31">
        <w:rPr>
          <w:rFonts w:ascii="Times New Roman" w:hAnsi="Times New Roman" w:cs="Times New Roman"/>
          <w:sz w:val="20"/>
          <w:szCs w:val="32"/>
          <w:lang w:val="en-GB"/>
        </w:rPr>
        <w:t>from</w:t>
      </w:r>
    </w:p>
    <w:p w:rsidR="009767DD" w:rsidRPr="00226F31" w:rsidRDefault="009767DD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http://www.health.am/psy/more/anxiety_disorder_due_to_a_general_medical_condition/</w:t>
      </w:r>
    </w:p>
    <w:p w:rsidR="009767DD" w:rsidRPr="00226F31" w:rsidRDefault="003D1102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Karl,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(2013).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DSM-5.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[Power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Point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slides].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Retrieved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from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767DD" w:rsidRPr="00226F31">
        <w:rPr>
          <w:rFonts w:ascii="Times New Roman" w:hAnsi="Times New Roman" w:cs="Times New Roman"/>
          <w:sz w:val="20"/>
          <w:szCs w:val="32"/>
          <w:lang w:val="en-GB"/>
        </w:rPr>
        <w:t>http://www.eo2.commpartners.com/users/counseling/downloads/130717_Slides.pdf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9767DD" w:rsidRPr="00226F31" w:rsidRDefault="003D1102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lastRenderedPageBreak/>
        <w:t>National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Institute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Mental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Health.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(n.d.).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disorders.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Retrieved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from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9767DD" w:rsidRPr="00226F31">
        <w:rPr>
          <w:rFonts w:ascii="Times New Roman" w:hAnsi="Times New Roman" w:cs="Times New Roman"/>
          <w:sz w:val="20"/>
          <w:szCs w:val="32"/>
          <w:lang w:val="en-GB"/>
        </w:rPr>
        <w:t>http://www.nimh.hih.gov/health/publications/anxiety-disorders/index.shtml?wvsessionid=wv650bd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A660CD" w:rsidRDefault="003D1102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Sood,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E.D.,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Mendez,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J.L.,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226F31" w:rsidRPr="00226F31">
        <w:rPr>
          <w:rFonts w:ascii="Times New Roman" w:hAnsi="Times New Roman" w:cs="Times New Roman"/>
          <w:sz w:val="20"/>
          <w:szCs w:val="32"/>
          <w:lang w:val="en-GB"/>
        </w:rPr>
        <w:t>&amp;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Kendall,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P.C.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(2012).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Accurlturation,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religiosity,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ethnicity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predict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mother’s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causal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beliefs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about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separation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anxiety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disorder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preferences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for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help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seeking.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Journal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Cross-Cultural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Psychology,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43(3)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393-409.</w:t>
      </w:r>
    </w:p>
    <w:p w:rsidR="00A660CD" w:rsidRDefault="003D1102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Al-Assiri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Wiseman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Bunge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(2005)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Prenatal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diagnosis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intrathoracic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stomach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gastric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herniation.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J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Pediatr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Surg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40: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E15–E1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7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A660CD" w:rsidRDefault="005F64D1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Allison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(1951)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ReXux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esophagitis,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sliding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hernia,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anatomy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repair.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Surg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Gynecol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Obstet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92:419–43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1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A660CD" w:rsidRDefault="003D1102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Alrabeeah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Giacomantonio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Gillis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DA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(1988)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Paraesophageal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after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Nissen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fundoplication: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complication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pediatric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patients.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J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Pediatr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Surg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23:766–76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8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A660CD" w:rsidRDefault="005F64D1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Al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Salem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AH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(2000)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Intrathoracic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gastric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volvulus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infancy.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Pediatr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Radiol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12:842–845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.</w:t>
      </w:r>
    </w:p>
    <w:p w:rsidR="00A660CD" w:rsidRDefault="00F92F66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Altorki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NK,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Yankelevitz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D,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Skinner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DB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(1998)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Massive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hernias: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anatomic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basis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repair.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J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Thorac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Cardiovasc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Surg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115:828–835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.</w:t>
      </w:r>
    </w:p>
    <w:p w:rsidR="00A660CD" w:rsidRDefault="003D1102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Apaydin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Uz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Elhan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Loukas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Tubbs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(2008)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Does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anatomical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sphincter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exist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distal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esophagus?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Surg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Radiol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Anat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30:11–1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6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A660CD" w:rsidRDefault="003D1102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lastRenderedPageBreak/>
        <w:t>Apaydin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Uz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Evirgen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Loukas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Tubbs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RS,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Elhan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(2008)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phrenico-esophageal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ligament: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anatomical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study.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Surg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Radiol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Anat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30:29–3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6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A660CD" w:rsidRDefault="003D1102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Awais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Luketich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JD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(2009)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Management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giant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paraesophageal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Minerva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Chir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64:159–16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8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A660CD" w:rsidRDefault="00F92F66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Botha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(1958)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gastro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oesophageal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region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infants;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observations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on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anatomy,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with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special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reference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to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the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closing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mechanism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partial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thoracic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stomach.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Arch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Dis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Child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3D1102" w:rsidRPr="00226F31">
        <w:rPr>
          <w:rFonts w:ascii="Times New Roman" w:hAnsi="Times New Roman" w:cs="Times New Roman"/>
          <w:sz w:val="20"/>
          <w:szCs w:val="32"/>
          <w:lang w:val="en-GB"/>
        </w:rPr>
        <w:t>33:78–9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4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A660CD" w:rsidRDefault="003D1102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Brunicardi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(2004)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Schwartz’s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principles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surgery,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8th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edn.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McGraw-Hill,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New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York,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pp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859–86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2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A660CD" w:rsidRDefault="003D1102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Carlson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MA,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Richards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CG,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Frantzides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CT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(1999)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Laparoscopic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prosthetic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reinforcement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herniorrhaphy.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Dig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Surg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16:407–41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0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A660CD" w:rsidRDefault="003D1102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Catarci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Gentileschi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Papi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et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(2004)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Evidence-based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appraisal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antir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e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X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ux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fundoplication.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Surg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239:325–33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7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A660CD" w:rsidRDefault="003D1102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Chandrasekar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Welch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RJ,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Watson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(2006)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Congenital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mixed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hiatus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in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neonate.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Arch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Dis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Child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Fetal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Neonatal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91:F317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 xml:space="preserve"> .</w:t>
      </w:r>
    </w:p>
    <w:p w:rsidR="00A660CD" w:rsidRDefault="003D1102" w:rsidP="00A660CD">
      <w:pPr>
        <w:pStyle w:val="ListParagraph"/>
        <w:numPr>
          <w:ilvl w:val="0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val="en-GB"/>
        </w:rPr>
      </w:pPr>
      <w:r w:rsidRPr="00226F31">
        <w:rPr>
          <w:rFonts w:ascii="Times New Roman" w:hAnsi="Times New Roman" w:cs="Times New Roman"/>
          <w:sz w:val="20"/>
          <w:szCs w:val="32"/>
          <w:lang w:val="en-GB"/>
        </w:rPr>
        <w:t>Cuschieri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Shimi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Nathanson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LK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(1992)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Laparoscopic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reduction,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crural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repair,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and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fundoplication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of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large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hiatal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hernia.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Am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J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Surg</w:t>
      </w:r>
      <w:r w:rsidR="00226F31">
        <w:rPr>
          <w:rFonts w:ascii="Times New Roman" w:hAnsi="Times New Roman" w:cs="Times New Roman"/>
          <w:sz w:val="20"/>
          <w:szCs w:val="32"/>
          <w:lang w:val="en-GB"/>
        </w:rPr>
        <w:t xml:space="preserve"> </w:t>
      </w:r>
      <w:r w:rsidRPr="00226F31">
        <w:rPr>
          <w:rFonts w:ascii="Times New Roman" w:hAnsi="Times New Roman" w:cs="Times New Roman"/>
          <w:sz w:val="20"/>
          <w:szCs w:val="32"/>
          <w:lang w:val="en-GB"/>
        </w:rPr>
        <w:t>163:425–43</w:t>
      </w:r>
      <w:r w:rsidR="00A660CD" w:rsidRPr="00226F31">
        <w:rPr>
          <w:rFonts w:ascii="Times New Roman" w:hAnsi="Times New Roman" w:cs="Times New Roman"/>
          <w:sz w:val="20"/>
          <w:szCs w:val="32"/>
          <w:lang w:val="en-GB"/>
        </w:rPr>
        <w:t>0</w:t>
      </w:r>
      <w:r w:rsidR="00A660CD">
        <w:rPr>
          <w:rFonts w:ascii="Times New Roman" w:hAnsi="Times New Roman" w:cs="Times New Roman"/>
          <w:sz w:val="20"/>
          <w:szCs w:val="32"/>
          <w:lang w:val="en-GB"/>
        </w:rPr>
        <w:t>.</w:t>
      </w:r>
    </w:p>
    <w:p w:rsidR="00A660CD" w:rsidRDefault="00A660CD" w:rsidP="00A660CD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</w:rPr>
        <w:sectPr w:rsidR="00A660CD" w:rsidSect="00A660CD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299"/>
        </w:sectPr>
      </w:pPr>
    </w:p>
    <w:p w:rsidR="00226F31" w:rsidRDefault="00226F31" w:rsidP="00A660CD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eastAsia="zh-CN"/>
        </w:rPr>
      </w:pPr>
    </w:p>
    <w:p w:rsidR="00A660CD" w:rsidRDefault="00A660CD" w:rsidP="00A660CD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32"/>
          <w:lang w:eastAsia="zh-CN"/>
        </w:rPr>
      </w:pPr>
    </w:p>
    <w:p w:rsidR="00A660CD" w:rsidRPr="00226F31" w:rsidRDefault="00A660CD" w:rsidP="00A660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32"/>
          <w:lang w:eastAsia="zh-CN"/>
        </w:rPr>
      </w:pPr>
    </w:p>
    <w:p w:rsidR="00E837B3" w:rsidRPr="00226F31" w:rsidRDefault="00226F31" w:rsidP="00A660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32"/>
        </w:rPr>
      </w:pPr>
      <w:r w:rsidRPr="00226F31">
        <w:rPr>
          <w:rFonts w:ascii="Times New Roman" w:hAnsi="Times New Roman" w:cs="Times New Roman"/>
          <w:sz w:val="20"/>
          <w:szCs w:val="32"/>
        </w:rPr>
        <w:t>4/24/2020</w:t>
      </w:r>
    </w:p>
    <w:sectPr w:rsidR="00E837B3" w:rsidRPr="00226F31" w:rsidSect="00226F31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FB" w:rsidRDefault="005C06FB" w:rsidP="00A24530">
      <w:pPr>
        <w:spacing w:after="0" w:line="240" w:lineRule="auto"/>
      </w:pPr>
      <w:r>
        <w:separator/>
      </w:r>
    </w:p>
  </w:endnote>
  <w:endnote w:type="continuationSeparator" w:id="0">
    <w:p w:rsidR="005C06FB" w:rsidRDefault="005C06FB" w:rsidP="00A2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CD" w:rsidRPr="0000647D" w:rsidRDefault="00974692" w:rsidP="0000647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0647D">
      <w:rPr>
        <w:rFonts w:ascii="Times New Roman" w:hAnsi="Times New Roman" w:cs="Times New Roman"/>
        <w:sz w:val="20"/>
      </w:rPr>
      <w:fldChar w:fldCharType="begin"/>
    </w:r>
    <w:r w:rsidR="0000647D" w:rsidRPr="0000647D">
      <w:rPr>
        <w:rFonts w:ascii="Times New Roman" w:hAnsi="Times New Roman" w:cs="Times New Roman"/>
        <w:sz w:val="20"/>
      </w:rPr>
      <w:instrText xml:space="preserve"> page </w:instrText>
    </w:r>
    <w:r w:rsidRPr="0000647D">
      <w:rPr>
        <w:rFonts w:ascii="Times New Roman" w:hAnsi="Times New Roman" w:cs="Times New Roman"/>
        <w:sz w:val="20"/>
      </w:rPr>
      <w:fldChar w:fldCharType="separate"/>
    </w:r>
    <w:r w:rsidR="00BE42A2">
      <w:rPr>
        <w:rFonts w:ascii="Times New Roman" w:hAnsi="Times New Roman" w:cs="Times New Roman"/>
        <w:noProof/>
        <w:sz w:val="20"/>
      </w:rPr>
      <w:t>68</w:t>
    </w:r>
    <w:r w:rsidRPr="0000647D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FB" w:rsidRDefault="005C06FB" w:rsidP="00A24530">
      <w:pPr>
        <w:spacing w:after="0" w:line="240" w:lineRule="auto"/>
      </w:pPr>
      <w:r>
        <w:separator/>
      </w:r>
    </w:p>
  </w:footnote>
  <w:footnote w:type="continuationSeparator" w:id="0">
    <w:p w:rsidR="005C06FB" w:rsidRDefault="005C06FB" w:rsidP="00A2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7D" w:rsidRPr="00114716" w:rsidRDefault="00114716" w:rsidP="00114716">
    <w:pPr>
      <w:pStyle w:val="Header"/>
      <w:rPr>
        <w:szCs w:val="20"/>
      </w:rPr>
    </w:pPr>
    <w:r>
      <w:rPr>
        <w:noProof/>
        <w:szCs w:val="20"/>
        <w:lang w:eastAsia="zh-CN"/>
      </w:rPr>
      <w:drawing>
        <wp:inline distT="0" distB="0" distL="0" distR="0">
          <wp:extent cx="5943600" cy="78232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16" w:rsidRPr="0000647D" w:rsidRDefault="00114716" w:rsidP="0000647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0647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00647D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00647D">
      <w:rPr>
        <w:rFonts w:ascii="Times New Roman" w:hAnsi="Times New Roman" w:cs="Times New Roman"/>
        <w:iCs/>
        <w:sz w:val="20"/>
        <w:szCs w:val="20"/>
      </w:rPr>
      <w:t>20</w:t>
    </w:r>
    <w:r w:rsidRPr="0000647D">
      <w:rPr>
        <w:rFonts w:ascii="Times New Roman" w:hAnsi="Times New Roman" w:cs="Times New Roman" w:hint="eastAsia"/>
        <w:iCs/>
        <w:sz w:val="20"/>
        <w:szCs w:val="20"/>
      </w:rPr>
      <w:t>20</w:t>
    </w:r>
    <w:r w:rsidRPr="0000647D">
      <w:rPr>
        <w:rFonts w:ascii="Times New Roman" w:hAnsi="Times New Roman" w:cs="Times New Roman"/>
        <w:iCs/>
        <w:sz w:val="20"/>
        <w:szCs w:val="20"/>
      </w:rPr>
      <w:t>;</w:t>
    </w:r>
    <w:r w:rsidRPr="0000647D">
      <w:rPr>
        <w:rFonts w:ascii="Times New Roman" w:hAnsi="Times New Roman" w:cs="Times New Roman" w:hint="eastAsia"/>
        <w:iCs/>
        <w:sz w:val="20"/>
        <w:szCs w:val="20"/>
      </w:rPr>
      <w:t>12</w:t>
    </w:r>
    <w:r w:rsidRPr="0000647D">
      <w:rPr>
        <w:rFonts w:ascii="Times New Roman" w:hAnsi="Times New Roman" w:cs="Times New Roman"/>
        <w:iCs/>
        <w:sz w:val="20"/>
        <w:szCs w:val="20"/>
      </w:rPr>
      <w:t>(</w:t>
    </w:r>
    <w:r w:rsidRPr="0000647D">
      <w:rPr>
        <w:rFonts w:ascii="Times New Roman" w:hAnsi="Times New Roman" w:cs="Times New Roman" w:hint="eastAsia"/>
        <w:iCs/>
        <w:sz w:val="20"/>
        <w:szCs w:val="20"/>
      </w:rPr>
      <w:t>4</w:t>
    </w:r>
    <w:r w:rsidRPr="0000647D">
      <w:rPr>
        <w:rFonts w:ascii="Times New Roman" w:hAnsi="Times New Roman" w:cs="Times New Roman"/>
        <w:iCs/>
        <w:sz w:val="20"/>
        <w:szCs w:val="20"/>
      </w:rPr>
      <w:t xml:space="preserve">)  </w:t>
    </w:r>
    <w:r w:rsidRPr="0000647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0647D">
      <w:rPr>
        <w:rFonts w:ascii="Times New Roman" w:hAnsi="Times New Roman" w:cs="Times New Roman"/>
        <w:iCs/>
        <w:sz w:val="20"/>
        <w:szCs w:val="20"/>
      </w:rPr>
      <w:t xml:space="preserve"> </w:t>
    </w:r>
    <w:r w:rsidRPr="0000647D">
      <w:rPr>
        <w:rFonts w:ascii="Times New Roman" w:hAnsi="Times New Roman" w:cs="Times New Roman" w:hint="eastAsia"/>
        <w:iCs/>
        <w:sz w:val="20"/>
        <w:szCs w:val="20"/>
      </w:rPr>
      <w:tab/>
    </w:r>
    <w:r w:rsidRPr="0000647D">
      <w:rPr>
        <w:rFonts w:ascii="Times New Roman" w:hAnsi="Times New Roman" w:cs="Times New Roman"/>
        <w:iCs/>
        <w:sz w:val="20"/>
        <w:szCs w:val="20"/>
      </w:rPr>
      <w:t xml:space="preserve">    </w:t>
    </w:r>
    <w:r w:rsidRPr="0000647D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00647D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  <w:r w:rsidRPr="0000647D">
      <w:rPr>
        <w:rFonts w:ascii="Times New Roman" w:hAnsi="Times New Roman" w:cs="Times New Roman" w:hint="eastAsia"/>
        <w:sz w:val="20"/>
      </w:rPr>
      <w:t xml:space="preserve">   </w:t>
    </w:r>
    <w:r w:rsidRPr="0000647D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RSJ</w:t>
    </w:r>
  </w:p>
  <w:p w:rsidR="00114716" w:rsidRPr="0000647D" w:rsidRDefault="00114716" w:rsidP="0000647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A0D"/>
    <w:multiLevelType w:val="hybridMultilevel"/>
    <w:tmpl w:val="B6627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31A4"/>
    <w:multiLevelType w:val="hybridMultilevel"/>
    <w:tmpl w:val="4E0A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B22F9"/>
    <w:multiLevelType w:val="hybridMultilevel"/>
    <w:tmpl w:val="53FA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02063"/>
    <w:multiLevelType w:val="hybridMultilevel"/>
    <w:tmpl w:val="6E16C13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C7BBE"/>
    <w:multiLevelType w:val="hybridMultilevel"/>
    <w:tmpl w:val="EDF4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30A6D"/>
    <w:multiLevelType w:val="hybridMultilevel"/>
    <w:tmpl w:val="4AFC2372"/>
    <w:lvl w:ilvl="0" w:tplc="3ABA76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E7087"/>
    <w:multiLevelType w:val="hybridMultilevel"/>
    <w:tmpl w:val="7680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40952"/>
    <w:multiLevelType w:val="hybridMultilevel"/>
    <w:tmpl w:val="74160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C11D2"/>
    <w:multiLevelType w:val="hybridMultilevel"/>
    <w:tmpl w:val="A3DA83D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5795B"/>
    <w:multiLevelType w:val="hybridMultilevel"/>
    <w:tmpl w:val="B574A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F18DD"/>
    <w:multiLevelType w:val="hybridMultilevel"/>
    <w:tmpl w:val="D45EAE0E"/>
    <w:lvl w:ilvl="0" w:tplc="A0044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37B3"/>
    <w:rsid w:val="000042D2"/>
    <w:rsid w:val="0000647D"/>
    <w:rsid w:val="00096C27"/>
    <w:rsid w:val="00110AC4"/>
    <w:rsid w:val="0011166D"/>
    <w:rsid w:val="00114716"/>
    <w:rsid w:val="0014598B"/>
    <w:rsid w:val="00150FBB"/>
    <w:rsid w:val="001826DA"/>
    <w:rsid w:val="001A2F70"/>
    <w:rsid w:val="001D43CF"/>
    <w:rsid w:val="001F514F"/>
    <w:rsid w:val="00201BF2"/>
    <w:rsid w:val="00204629"/>
    <w:rsid w:val="0021720B"/>
    <w:rsid w:val="00226F31"/>
    <w:rsid w:val="00234CFD"/>
    <w:rsid w:val="00283DDF"/>
    <w:rsid w:val="00291C70"/>
    <w:rsid w:val="002B0451"/>
    <w:rsid w:val="002E36C3"/>
    <w:rsid w:val="00303BE0"/>
    <w:rsid w:val="00371CD5"/>
    <w:rsid w:val="003D1102"/>
    <w:rsid w:val="00415814"/>
    <w:rsid w:val="004461CD"/>
    <w:rsid w:val="00457012"/>
    <w:rsid w:val="00473CB1"/>
    <w:rsid w:val="005A3A4E"/>
    <w:rsid w:val="005B77E6"/>
    <w:rsid w:val="005B78E3"/>
    <w:rsid w:val="005C06FB"/>
    <w:rsid w:val="005F64D1"/>
    <w:rsid w:val="00631CE0"/>
    <w:rsid w:val="00667969"/>
    <w:rsid w:val="00673651"/>
    <w:rsid w:val="006A5E3B"/>
    <w:rsid w:val="006B73A6"/>
    <w:rsid w:val="00727B49"/>
    <w:rsid w:val="00736A36"/>
    <w:rsid w:val="00797DF8"/>
    <w:rsid w:val="007B6C81"/>
    <w:rsid w:val="00824231"/>
    <w:rsid w:val="0083185A"/>
    <w:rsid w:val="00840171"/>
    <w:rsid w:val="00842EC5"/>
    <w:rsid w:val="00871CA7"/>
    <w:rsid w:val="008803F8"/>
    <w:rsid w:val="00883F65"/>
    <w:rsid w:val="008A5611"/>
    <w:rsid w:val="008C090E"/>
    <w:rsid w:val="00957EEB"/>
    <w:rsid w:val="00974692"/>
    <w:rsid w:val="009767DD"/>
    <w:rsid w:val="009824DD"/>
    <w:rsid w:val="00983C93"/>
    <w:rsid w:val="00992E92"/>
    <w:rsid w:val="009F6324"/>
    <w:rsid w:val="00A16041"/>
    <w:rsid w:val="00A24530"/>
    <w:rsid w:val="00A654AA"/>
    <w:rsid w:val="00A660CD"/>
    <w:rsid w:val="00AB7AA7"/>
    <w:rsid w:val="00AD22ED"/>
    <w:rsid w:val="00B26C81"/>
    <w:rsid w:val="00B32E25"/>
    <w:rsid w:val="00B63CFB"/>
    <w:rsid w:val="00BA79BB"/>
    <w:rsid w:val="00BD78EB"/>
    <w:rsid w:val="00BE42A2"/>
    <w:rsid w:val="00C03F82"/>
    <w:rsid w:val="00C1579F"/>
    <w:rsid w:val="00C806A8"/>
    <w:rsid w:val="00CF64F0"/>
    <w:rsid w:val="00D2003A"/>
    <w:rsid w:val="00D966F7"/>
    <w:rsid w:val="00DA227A"/>
    <w:rsid w:val="00DB58F8"/>
    <w:rsid w:val="00DD698D"/>
    <w:rsid w:val="00DE75FE"/>
    <w:rsid w:val="00DF1C27"/>
    <w:rsid w:val="00DF4CA9"/>
    <w:rsid w:val="00E22D02"/>
    <w:rsid w:val="00E4520A"/>
    <w:rsid w:val="00E636B7"/>
    <w:rsid w:val="00E63CE1"/>
    <w:rsid w:val="00E6638D"/>
    <w:rsid w:val="00E66532"/>
    <w:rsid w:val="00E837B3"/>
    <w:rsid w:val="00F0023E"/>
    <w:rsid w:val="00F77B04"/>
    <w:rsid w:val="00F9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Bid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11"/>
  </w:style>
  <w:style w:type="paragraph" w:styleId="Heading1">
    <w:name w:val="heading 1"/>
    <w:basedOn w:val="Normal"/>
    <w:next w:val="Normal"/>
    <w:link w:val="Heading1Char"/>
    <w:uiPriority w:val="9"/>
    <w:qFormat/>
    <w:rsid w:val="008A5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6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6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6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6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6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6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6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61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56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56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561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A561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A56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A56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56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A56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A56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A561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56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6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56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A561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A561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A5611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8A561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A56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A561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61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611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A5611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A5611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561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A561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A56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56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56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56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56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561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561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561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5611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A561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611"/>
  </w:style>
  <w:style w:type="paragraph" w:styleId="Footer">
    <w:name w:val="footer"/>
    <w:basedOn w:val="Normal"/>
    <w:link w:val="FooterChar"/>
    <w:uiPriority w:val="99"/>
    <w:unhideWhenUsed/>
    <w:rsid w:val="008A561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611"/>
  </w:style>
  <w:style w:type="table" w:customStyle="1" w:styleId="GridTable7Colorful">
    <w:name w:val="Grid Table 7 Colorful"/>
    <w:basedOn w:val="TableNormal"/>
    <w:uiPriority w:val="52"/>
    <w:rsid w:val="00110A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1471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Bid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GridTable7Colorful">
    <w:name w:val="Grid Table 7 Colorful"/>
    <w:basedOn w:val="TableNormal"/>
    <w:uiPriority w:val="52"/>
    <w:rsid w:val="00110A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7537/marsrsj120420.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researcher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3</cp:revision>
  <dcterms:created xsi:type="dcterms:W3CDTF">2020-04-26T14:38:00Z</dcterms:created>
  <dcterms:modified xsi:type="dcterms:W3CDTF">2020-04-26T19:45:00Z</dcterms:modified>
</cp:coreProperties>
</file>