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6E" w:rsidRPr="000A7305" w:rsidRDefault="00E5246E" w:rsidP="00666DFC">
      <w:pPr>
        <w:pStyle w:val="Heading1"/>
        <w:rPr>
          <w:szCs w:val="20"/>
          <w:lang w:eastAsia="zh-CN"/>
        </w:rPr>
      </w:pPr>
      <w:bookmarkStart w:id="0" w:name="_Toc476621930"/>
    </w:p>
    <w:p w:rsidR="002547BB" w:rsidRPr="000A7305" w:rsidRDefault="00DF430D" w:rsidP="00666DFC">
      <w:pPr>
        <w:pStyle w:val="Heading1"/>
        <w:jc w:val="center"/>
        <w:rPr>
          <w:szCs w:val="20"/>
        </w:rPr>
      </w:pPr>
      <w:r w:rsidRPr="000A7305">
        <w:rPr>
          <w:szCs w:val="20"/>
        </w:rPr>
        <w:t>Hyaluronic</w:t>
      </w:r>
      <w:r w:rsidR="00EB7D6B" w:rsidRPr="000A7305">
        <w:rPr>
          <w:szCs w:val="20"/>
        </w:rPr>
        <w:t xml:space="preserve"> Acid Level for assessment of Liver Fibrosis in β-Thalassemia Children Treated for Hepatitis C Virus by Direct </w:t>
      </w:r>
      <w:r w:rsidR="00F362FD" w:rsidRPr="000A7305">
        <w:rPr>
          <w:szCs w:val="20"/>
        </w:rPr>
        <w:t xml:space="preserve">Acting Antiviral Drugs </w:t>
      </w:r>
    </w:p>
    <w:p w:rsidR="002547BB" w:rsidRPr="000A7305" w:rsidRDefault="002547BB" w:rsidP="00666DFC">
      <w:pPr>
        <w:pStyle w:val="Heading1"/>
        <w:rPr>
          <w:szCs w:val="20"/>
          <w:lang w:eastAsia="zh-CN"/>
        </w:rPr>
      </w:pPr>
    </w:p>
    <w:p w:rsidR="00E5246E" w:rsidRPr="000A7305" w:rsidRDefault="00E5246E" w:rsidP="00666DFC">
      <w:pPr>
        <w:snapToGrid w:val="0"/>
        <w:spacing w:after="0" w:line="240" w:lineRule="auto"/>
        <w:ind w:firstLine="0"/>
        <w:jc w:val="center"/>
        <w:rPr>
          <w:rFonts w:cs="Times New Roman"/>
          <w:sz w:val="20"/>
          <w:szCs w:val="20"/>
          <w:lang w:eastAsia="zh-CN"/>
        </w:rPr>
      </w:pPr>
      <w:r w:rsidRPr="000A7305">
        <w:rPr>
          <w:rFonts w:cs="Times New Roman"/>
          <w:sz w:val="20"/>
          <w:szCs w:val="20"/>
        </w:rPr>
        <w:t>Mohamed Mahmoud Yousif Abu-Elazm</w:t>
      </w:r>
      <w:r w:rsidRPr="000A7305">
        <w:rPr>
          <w:rFonts w:cs="Times New Roman" w:hint="eastAsia"/>
          <w:sz w:val="20"/>
          <w:szCs w:val="20"/>
          <w:vertAlign w:val="superscript"/>
          <w:lang w:eastAsia="zh-CN"/>
        </w:rPr>
        <w:t>1</w:t>
      </w:r>
      <w:r w:rsidRPr="000A7305">
        <w:rPr>
          <w:rFonts w:cs="Times New Roman" w:hint="eastAsia"/>
          <w:sz w:val="20"/>
          <w:szCs w:val="20"/>
          <w:lang w:eastAsia="zh-CN"/>
        </w:rPr>
        <w:t>,</w:t>
      </w:r>
      <w:r w:rsidRPr="000A7305">
        <w:rPr>
          <w:rFonts w:cs="Times New Roman"/>
          <w:sz w:val="20"/>
          <w:szCs w:val="20"/>
        </w:rPr>
        <w:t xml:space="preserve"> Eslam El-Sayed El-Hawary</w:t>
      </w:r>
      <w:r w:rsidRPr="000A7305">
        <w:rPr>
          <w:rFonts w:cs="Times New Roman" w:hint="eastAsia"/>
          <w:sz w:val="20"/>
          <w:szCs w:val="20"/>
          <w:vertAlign w:val="superscript"/>
          <w:lang w:eastAsia="zh-CN"/>
        </w:rPr>
        <w:t>2</w:t>
      </w:r>
      <w:r w:rsidRPr="000A7305">
        <w:rPr>
          <w:rFonts w:cs="Times New Roman" w:hint="eastAsia"/>
          <w:sz w:val="20"/>
          <w:szCs w:val="20"/>
          <w:lang w:eastAsia="zh-CN"/>
        </w:rPr>
        <w:t>,</w:t>
      </w:r>
      <w:r w:rsidRPr="000A7305">
        <w:rPr>
          <w:rFonts w:cs="Times New Roman"/>
          <w:sz w:val="20"/>
          <w:szCs w:val="20"/>
        </w:rPr>
        <w:t xml:space="preserve"> Aml Saaid El-Bendary</w:t>
      </w:r>
      <w:r w:rsidRPr="000A7305">
        <w:rPr>
          <w:rFonts w:cs="Times New Roman" w:hint="eastAsia"/>
          <w:sz w:val="20"/>
          <w:szCs w:val="20"/>
          <w:vertAlign w:val="superscript"/>
          <w:lang w:eastAsia="zh-CN"/>
        </w:rPr>
        <w:t>3</w:t>
      </w:r>
      <w:r w:rsidRPr="000A7305">
        <w:rPr>
          <w:rFonts w:cs="Times New Roman" w:hint="eastAsia"/>
          <w:sz w:val="20"/>
          <w:szCs w:val="20"/>
          <w:lang w:eastAsia="zh-CN"/>
        </w:rPr>
        <w:t>,</w:t>
      </w:r>
      <w:r w:rsidRPr="000A7305">
        <w:rPr>
          <w:rFonts w:cs="Times New Roman"/>
          <w:sz w:val="20"/>
          <w:szCs w:val="20"/>
        </w:rPr>
        <w:t xml:space="preserve"> Mohiee El-Deen AbdEl-Aziz Awad</w:t>
      </w:r>
      <w:r w:rsidRPr="000A7305">
        <w:rPr>
          <w:rFonts w:cs="Times New Roman" w:hint="eastAsia"/>
          <w:sz w:val="20"/>
          <w:szCs w:val="20"/>
          <w:vertAlign w:val="superscript"/>
          <w:lang w:eastAsia="zh-CN"/>
        </w:rPr>
        <w:t>4</w:t>
      </w:r>
      <w:r w:rsidRPr="000A7305">
        <w:rPr>
          <w:rFonts w:cs="Times New Roman" w:hint="eastAsia"/>
          <w:sz w:val="20"/>
          <w:szCs w:val="20"/>
          <w:lang w:eastAsia="zh-CN"/>
        </w:rPr>
        <w:t>,</w:t>
      </w:r>
      <w:r w:rsidRPr="000A7305">
        <w:rPr>
          <w:rFonts w:cs="Times New Roman"/>
          <w:sz w:val="20"/>
          <w:szCs w:val="20"/>
        </w:rPr>
        <w:t xml:space="preserve"> Mohamed Ramadan El-Shanshory</w:t>
      </w:r>
      <w:r w:rsidRPr="000A7305">
        <w:rPr>
          <w:rFonts w:cs="Times New Roman" w:hint="eastAsia"/>
          <w:sz w:val="20"/>
          <w:szCs w:val="20"/>
          <w:vertAlign w:val="superscript"/>
          <w:lang w:eastAsia="zh-CN"/>
        </w:rPr>
        <w:t>5</w:t>
      </w:r>
    </w:p>
    <w:p w:rsidR="00E5246E" w:rsidRPr="000A7305" w:rsidRDefault="00E5246E" w:rsidP="00666DFC">
      <w:pPr>
        <w:snapToGrid w:val="0"/>
        <w:spacing w:after="0" w:line="240" w:lineRule="auto"/>
        <w:rPr>
          <w:rFonts w:cs="Times New Roman"/>
          <w:sz w:val="20"/>
          <w:szCs w:val="20"/>
          <w:lang w:eastAsia="zh-CN"/>
        </w:rPr>
      </w:pPr>
    </w:p>
    <w:p w:rsidR="006D66E1" w:rsidRPr="000A7305" w:rsidRDefault="00E5246E" w:rsidP="00666DFC">
      <w:pPr>
        <w:pStyle w:val="Heading1"/>
        <w:jc w:val="center"/>
        <w:rPr>
          <w:b w:val="0"/>
          <w:szCs w:val="20"/>
        </w:rPr>
      </w:pPr>
      <w:r w:rsidRPr="000A7305">
        <w:rPr>
          <w:rFonts w:eastAsia="宋体" w:hint="eastAsia"/>
          <w:b w:val="0"/>
          <w:szCs w:val="20"/>
          <w:vertAlign w:val="superscript"/>
          <w:lang w:eastAsia="zh-CN"/>
        </w:rPr>
        <w:t>1</w:t>
      </w:r>
      <w:r w:rsidR="006D66E1" w:rsidRPr="000A7305">
        <w:rPr>
          <w:b w:val="0"/>
          <w:szCs w:val="20"/>
        </w:rPr>
        <w:t>Demonstrator of Pediatrics, Faculty of Medicine, Tanta University.</w:t>
      </w:r>
    </w:p>
    <w:p w:rsidR="006D66E1" w:rsidRPr="000A7305" w:rsidRDefault="00E5246E" w:rsidP="00666DFC">
      <w:pPr>
        <w:pStyle w:val="Heading1"/>
        <w:jc w:val="center"/>
        <w:rPr>
          <w:b w:val="0"/>
          <w:szCs w:val="20"/>
        </w:rPr>
      </w:pPr>
      <w:r w:rsidRPr="000A7305">
        <w:rPr>
          <w:rFonts w:eastAsia="宋体" w:hint="eastAsia"/>
          <w:b w:val="0"/>
          <w:szCs w:val="20"/>
          <w:vertAlign w:val="superscript"/>
          <w:lang w:eastAsia="zh-CN"/>
        </w:rPr>
        <w:t>2</w:t>
      </w:r>
      <w:r w:rsidR="006D66E1" w:rsidRPr="000A7305">
        <w:rPr>
          <w:b w:val="0"/>
          <w:szCs w:val="20"/>
        </w:rPr>
        <w:t>Lecturer of Pediatric</w:t>
      </w:r>
      <w:r w:rsidR="00C266E4" w:rsidRPr="000A7305">
        <w:rPr>
          <w:b w:val="0"/>
          <w:szCs w:val="20"/>
        </w:rPr>
        <w:t xml:space="preserve"> Hematology</w:t>
      </w:r>
      <w:r w:rsidR="006D66E1" w:rsidRPr="000A7305">
        <w:rPr>
          <w:b w:val="0"/>
          <w:szCs w:val="20"/>
        </w:rPr>
        <w:t>, Faculty of Medicine, Tanta University.</w:t>
      </w:r>
    </w:p>
    <w:p w:rsidR="00C266E4" w:rsidRPr="000A7305" w:rsidRDefault="00E5246E" w:rsidP="00666DFC">
      <w:pPr>
        <w:pStyle w:val="Heading1"/>
        <w:jc w:val="center"/>
        <w:rPr>
          <w:b w:val="0"/>
          <w:szCs w:val="20"/>
        </w:rPr>
      </w:pPr>
      <w:r w:rsidRPr="000A7305">
        <w:rPr>
          <w:rFonts w:eastAsia="宋体" w:hint="eastAsia"/>
          <w:b w:val="0"/>
          <w:szCs w:val="20"/>
          <w:vertAlign w:val="superscript"/>
          <w:lang w:eastAsia="zh-CN"/>
        </w:rPr>
        <w:t>3</w:t>
      </w:r>
      <w:r w:rsidR="006D66E1" w:rsidRPr="000A7305">
        <w:rPr>
          <w:b w:val="0"/>
          <w:szCs w:val="20"/>
        </w:rPr>
        <w:t>Professor of Clinical Pathology, Faculty of Medicine, Tanta University.</w:t>
      </w:r>
    </w:p>
    <w:p w:rsidR="00C266E4" w:rsidRPr="000A7305" w:rsidRDefault="00E5246E" w:rsidP="00666DFC">
      <w:pPr>
        <w:pStyle w:val="Heading1"/>
        <w:jc w:val="center"/>
        <w:rPr>
          <w:b w:val="0"/>
          <w:szCs w:val="20"/>
        </w:rPr>
      </w:pPr>
      <w:r w:rsidRPr="000A7305">
        <w:rPr>
          <w:rFonts w:eastAsia="宋体" w:hint="eastAsia"/>
          <w:b w:val="0"/>
          <w:szCs w:val="20"/>
          <w:vertAlign w:val="superscript"/>
          <w:lang w:eastAsia="zh-CN"/>
        </w:rPr>
        <w:t>4</w:t>
      </w:r>
      <w:r w:rsidR="00C266E4" w:rsidRPr="000A7305">
        <w:rPr>
          <w:b w:val="0"/>
          <w:szCs w:val="20"/>
        </w:rPr>
        <w:t>Professor of Pediatric Hepatology, Faculty of Medicine, Tanta University.</w:t>
      </w:r>
    </w:p>
    <w:p w:rsidR="002547BB" w:rsidRPr="000A7305" w:rsidRDefault="00E5246E" w:rsidP="00666DFC">
      <w:pPr>
        <w:pStyle w:val="Heading1"/>
        <w:jc w:val="center"/>
        <w:rPr>
          <w:b w:val="0"/>
          <w:szCs w:val="20"/>
        </w:rPr>
      </w:pPr>
      <w:r w:rsidRPr="000A7305">
        <w:rPr>
          <w:rFonts w:eastAsia="宋体" w:hint="eastAsia"/>
          <w:b w:val="0"/>
          <w:szCs w:val="20"/>
          <w:vertAlign w:val="superscript"/>
          <w:lang w:eastAsia="zh-CN"/>
        </w:rPr>
        <w:t>5</w:t>
      </w:r>
      <w:r w:rsidR="006D66E1" w:rsidRPr="000A7305">
        <w:rPr>
          <w:b w:val="0"/>
          <w:szCs w:val="20"/>
        </w:rPr>
        <w:t>Professor of Pediatric</w:t>
      </w:r>
      <w:r w:rsidR="00C266E4" w:rsidRPr="000A7305">
        <w:rPr>
          <w:b w:val="0"/>
          <w:szCs w:val="20"/>
        </w:rPr>
        <w:t xml:space="preserve"> Hematology</w:t>
      </w:r>
      <w:r w:rsidR="006D66E1" w:rsidRPr="000A7305">
        <w:rPr>
          <w:b w:val="0"/>
          <w:szCs w:val="20"/>
        </w:rPr>
        <w:t>, Faculty of Medicine, Tanta University.</w:t>
      </w:r>
    </w:p>
    <w:p w:rsidR="000A7305" w:rsidRPr="000A7305" w:rsidRDefault="000A7305" w:rsidP="000A7305">
      <w:pPr>
        <w:snapToGrid w:val="0"/>
        <w:spacing w:after="0" w:line="240" w:lineRule="auto"/>
        <w:ind w:firstLine="0"/>
        <w:jc w:val="center"/>
        <w:rPr>
          <w:rFonts w:cs="Times New Roman"/>
          <w:sz w:val="20"/>
          <w:szCs w:val="20"/>
        </w:rPr>
      </w:pPr>
      <w:r w:rsidRPr="000A7305">
        <w:rPr>
          <w:rFonts w:cs="Times New Roman"/>
          <w:sz w:val="20"/>
          <w:szCs w:val="20"/>
        </w:rPr>
        <w:t xml:space="preserve">Email: </w:t>
      </w:r>
      <w:hyperlink r:id="rId8" w:history="1">
        <w:r w:rsidRPr="000A7305">
          <w:rPr>
            <w:rStyle w:val="Hyperlink"/>
            <w:rFonts w:cs="Times New Roman"/>
            <w:sz w:val="20"/>
            <w:szCs w:val="20"/>
          </w:rPr>
          <w:t>eslam.elhawary@med.tanta.edu.eg</w:t>
        </w:r>
      </w:hyperlink>
      <w:r>
        <w:rPr>
          <w:rFonts w:hint="eastAsia"/>
          <w:sz w:val="20"/>
          <w:szCs w:val="20"/>
          <w:lang w:eastAsia="zh-CN"/>
        </w:rPr>
        <w:t xml:space="preserve">; </w:t>
      </w:r>
      <w:r w:rsidR="001C016A">
        <w:rPr>
          <w:rFonts w:hint="eastAsia"/>
          <w:sz w:val="20"/>
          <w:szCs w:val="20"/>
          <w:lang w:eastAsia="zh-CN"/>
        </w:rPr>
        <w:t xml:space="preserve"> </w:t>
      </w:r>
      <w:r w:rsidRPr="000A7305">
        <w:rPr>
          <w:rFonts w:cs="Times New Roman"/>
          <w:sz w:val="20"/>
          <w:szCs w:val="20"/>
        </w:rPr>
        <w:t>Mobile: 02 01090044779</w:t>
      </w:r>
    </w:p>
    <w:p w:rsidR="002547BB" w:rsidRPr="000A7305" w:rsidRDefault="002547BB" w:rsidP="00666DFC">
      <w:pPr>
        <w:snapToGrid w:val="0"/>
        <w:spacing w:after="0" w:line="240" w:lineRule="auto"/>
        <w:ind w:firstLine="0"/>
        <w:jc w:val="center"/>
        <w:rPr>
          <w:rFonts w:cs="Times New Roman"/>
          <w:sz w:val="20"/>
          <w:szCs w:val="20"/>
        </w:rPr>
      </w:pPr>
    </w:p>
    <w:p w:rsidR="00DA1433" w:rsidRPr="000A7305" w:rsidRDefault="00A91246" w:rsidP="00666DFC">
      <w:pPr>
        <w:pStyle w:val="Heading1"/>
        <w:rPr>
          <w:rFonts w:eastAsia="宋体"/>
          <w:b w:val="0"/>
          <w:szCs w:val="20"/>
          <w:lang w:eastAsia="zh-CN"/>
        </w:rPr>
      </w:pPr>
      <w:bookmarkStart w:id="1" w:name="_Hlk478130634"/>
      <w:r w:rsidRPr="000A7305">
        <w:rPr>
          <w:szCs w:val="20"/>
        </w:rPr>
        <w:t>Abstract</w:t>
      </w:r>
      <w:bookmarkEnd w:id="0"/>
      <w:r w:rsidRPr="000A7305">
        <w:rPr>
          <w:rFonts w:eastAsia="宋体" w:hint="eastAsia"/>
          <w:szCs w:val="20"/>
          <w:lang w:eastAsia="zh-CN"/>
        </w:rPr>
        <w:t xml:space="preserve">: </w:t>
      </w:r>
      <w:bookmarkEnd w:id="1"/>
      <w:r w:rsidR="006D66E1" w:rsidRPr="000A7305">
        <w:rPr>
          <w:rFonts w:eastAsia="Calibri"/>
          <w:b w:val="0"/>
          <w:bCs/>
          <w:i/>
          <w:iCs/>
          <w:szCs w:val="20"/>
          <w:u w:val="single"/>
        </w:rPr>
        <w:t>Background:</w:t>
      </w:r>
      <w:r w:rsidR="006D66E1" w:rsidRPr="000A7305">
        <w:rPr>
          <w:rFonts w:eastAsia="Calibri"/>
          <w:b w:val="0"/>
          <w:szCs w:val="20"/>
        </w:rPr>
        <w:t xml:space="preserve"> Direct acting antiviral drugs (DAA</w:t>
      </w:r>
      <w:r w:rsidR="00C266E4" w:rsidRPr="000A7305">
        <w:rPr>
          <w:rFonts w:eastAsia="Calibri"/>
          <w:b w:val="0"/>
          <w:szCs w:val="20"/>
        </w:rPr>
        <w:t>s</w:t>
      </w:r>
      <w:r w:rsidR="006D66E1" w:rsidRPr="000A7305">
        <w:rPr>
          <w:rFonts w:eastAsia="Calibri"/>
          <w:b w:val="0"/>
          <w:szCs w:val="20"/>
        </w:rPr>
        <w:t xml:space="preserve">) (Ledipasvir/Sofosbuvir) can contribute to improvement and prevent progression of liver fibrosis in children with β- thalassemia infected with hepatitis C virus (HCV). </w:t>
      </w:r>
      <w:r w:rsidR="006D66E1" w:rsidRPr="000A7305">
        <w:rPr>
          <w:rFonts w:eastAsia="Calibri"/>
          <w:b w:val="0"/>
          <w:bCs/>
          <w:i/>
          <w:iCs/>
          <w:szCs w:val="20"/>
          <w:u w:val="single"/>
        </w:rPr>
        <w:t>Objective:</w:t>
      </w:r>
      <w:r w:rsidR="006D66E1" w:rsidRPr="000A7305">
        <w:rPr>
          <w:rFonts w:eastAsia="Calibri"/>
          <w:b w:val="0"/>
          <w:szCs w:val="20"/>
        </w:rPr>
        <w:t xml:space="preserve"> The aim of this study was to assess liver fibrosis by measuring serum hyaluronic acid</w:t>
      </w:r>
      <w:r w:rsidR="00C266E4" w:rsidRPr="000A7305">
        <w:rPr>
          <w:rFonts w:eastAsia="Calibri"/>
          <w:b w:val="0"/>
          <w:szCs w:val="20"/>
        </w:rPr>
        <w:t xml:space="preserve"> (HA) in β-Thalassemia</w:t>
      </w:r>
      <w:r w:rsidR="006D66E1" w:rsidRPr="000A7305">
        <w:rPr>
          <w:rFonts w:eastAsia="Calibri"/>
          <w:b w:val="0"/>
          <w:szCs w:val="20"/>
        </w:rPr>
        <w:t xml:space="preserve"> children infected with HCV before and after DAA</w:t>
      </w:r>
      <w:r w:rsidR="00C266E4" w:rsidRPr="000A7305">
        <w:rPr>
          <w:rFonts w:eastAsia="Calibri"/>
          <w:b w:val="0"/>
          <w:szCs w:val="20"/>
        </w:rPr>
        <w:t>s</w:t>
      </w:r>
      <w:r w:rsidR="006D66E1" w:rsidRPr="000A7305">
        <w:rPr>
          <w:rFonts w:eastAsia="Calibri"/>
          <w:b w:val="0"/>
          <w:szCs w:val="20"/>
        </w:rPr>
        <w:t xml:space="preserve"> (Ledipasvir/Sofosbuvir) </w:t>
      </w:r>
      <w:r w:rsidR="00C266E4" w:rsidRPr="000A7305">
        <w:rPr>
          <w:rFonts w:eastAsia="Calibri"/>
          <w:b w:val="0"/>
          <w:szCs w:val="20"/>
        </w:rPr>
        <w:t>therapy</w:t>
      </w:r>
      <w:r w:rsidR="006D66E1" w:rsidRPr="000A7305">
        <w:rPr>
          <w:rFonts w:eastAsia="Calibri"/>
          <w:b w:val="0"/>
          <w:szCs w:val="20"/>
        </w:rPr>
        <w:t>.</w:t>
      </w:r>
      <w:r w:rsidRPr="000A7305">
        <w:rPr>
          <w:rFonts w:eastAsia="宋体" w:hint="eastAsia"/>
          <w:b w:val="0"/>
          <w:szCs w:val="20"/>
          <w:lang w:eastAsia="zh-CN"/>
        </w:rPr>
        <w:t xml:space="preserve"> </w:t>
      </w:r>
      <w:r w:rsidR="006D66E1" w:rsidRPr="000A7305">
        <w:rPr>
          <w:rFonts w:eastAsia="Calibri"/>
          <w:b w:val="0"/>
          <w:bCs/>
          <w:i/>
          <w:iCs/>
          <w:szCs w:val="20"/>
          <w:u w:val="single"/>
        </w:rPr>
        <w:t>Patients and Methods:</w:t>
      </w:r>
      <w:r w:rsidR="006D66E1" w:rsidRPr="000A7305">
        <w:rPr>
          <w:rFonts w:eastAsia="Calibri"/>
          <w:b w:val="0"/>
          <w:szCs w:val="20"/>
        </w:rPr>
        <w:t xml:space="preserve"> 50 children with </w:t>
      </w:r>
      <w:r w:rsidR="00EB7D6B" w:rsidRPr="000A7305">
        <w:rPr>
          <w:rFonts w:eastAsia="Calibri"/>
          <w:b w:val="0"/>
          <w:szCs w:val="20"/>
        </w:rPr>
        <w:t>β- thalassemia</w:t>
      </w:r>
      <w:r w:rsidR="006D66E1" w:rsidRPr="000A7305">
        <w:rPr>
          <w:rFonts w:eastAsia="Calibri"/>
          <w:b w:val="0"/>
          <w:szCs w:val="20"/>
        </w:rPr>
        <w:t>,</w:t>
      </w:r>
      <w:r w:rsidR="00EB7D6B" w:rsidRPr="000A7305">
        <w:rPr>
          <w:rFonts w:eastAsia="Calibri"/>
          <w:b w:val="0"/>
          <w:szCs w:val="20"/>
        </w:rPr>
        <w:t xml:space="preserve"> who had </w:t>
      </w:r>
      <w:r w:rsidR="00C266E4" w:rsidRPr="000A7305">
        <w:rPr>
          <w:rFonts w:eastAsia="Calibri"/>
          <w:b w:val="0"/>
          <w:szCs w:val="20"/>
        </w:rPr>
        <w:t xml:space="preserve">chronic HCV infection, </w:t>
      </w:r>
      <w:r w:rsidR="006D66E1" w:rsidRPr="000A7305">
        <w:rPr>
          <w:rFonts w:eastAsia="Calibri"/>
          <w:b w:val="0"/>
          <w:szCs w:val="20"/>
        </w:rPr>
        <w:t>aged 12 -18 years, w</w:t>
      </w:r>
      <w:r w:rsidR="00C266E4" w:rsidRPr="000A7305">
        <w:rPr>
          <w:rFonts w:eastAsia="Calibri"/>
          <w:b w:val="0"/>
          <w:szCs w:val="20"/>
        </w:rPr>
        <w:t>ere</w:t>
      </w:r>
      <w:r w:rsidR="006D66E1" w:rsidRPr="000A7305">
        <w:rPr>
          <w:rFonts w:eastAsia="Calibri"/>
          <w:b w:val="0"/>
          <w:szCs w:val="20"/>
        </w:rPr>
        <w:t xml:space="preserve"> treated by DAAs for 12 weeks. They were evaluated before and 12 weeks after </w:t>
      </w:r>
      <w:r w:rsidR="00C266E4" w:rsidRPr="000A7305">
        <w:rPr>
          <w:rFonts w:eastAsia="Calibri"/>
          <w:b w:val="0"/>
          <w:szCs w:val="20"/>
        </w:rPr>
        <w:t xml:space="preserve">the </w:t>
      </w:r>
      <w:r w:rsidR="006D66E1" w:rsidRPr="000A7305">
        <w:rPr>
          <w:rFonts w:eastAsia="Calibri"/>
          <w:b w:val="0"/>
          <w:szCs w:val="20"/>
        </w:rPr>
        <w:t xml:space="preserve">end of treatment by PCR for HCV. Liver fibrosis was evaluated before and after treatment by serum </w:t>
      </w:r>
      <w:r w:rsidR="00C266E4" w:rsidRPr="000A7305">
        <w:rPr>
          <w:rFonts w:eastAsia="Calibri"/>
          <w:b w:val="0"/>
          <w:szCs w:val="20"/>
        </w:rPr>
        <w:t>HA</w:t>
      </w:r>
      <w:r w:rsidR="006D66E1" w:rsidRPr="000A7305">
        <w:rPr>
          <w:rFonts w:eastAsia="Calibri"/>
          <w:b w:val="0"/>
          <w:szCs w:val="20"/>
        </w:rPr>
        <w:t xml:space="preserve"> and Aspartate aminotransferase to platelet ratio index (APRI).</w:t>
      </w:r>
      <w:r w:rsidRPr="000A7305">
        <w:rPr>
          <w:rFonts w:eastAsia="宋体" w:hint="eastAsia"/>
          <w:b w:val="0"/>
          <w:szCs w:val="20"/>
          <w:lang w:eastAsia="zh-CN"/>
        </w:rPr>
        <w:t xml:space="preserve"> </w:t>
      </w:r>
      <w:r w:rsidR="006D66E1" w:rsidRPr="000A7305">
        <w:rPr>
          <w:rFonts w:eastAsia="Calibri"/>
          <w:b w:val="0"/>
          <w:bCs/>
          <w:i/>
          <w:iCs/>
          <w:szCs w:val="20"/>
          <w:u w:val="single"/>
        </w:rPr>
        <w:t>Results:</w:t>
      </w:r>
      <w:r w:rsidR="006D66E1" w:rsidRPr="000A7305">
        <w:rPr>
          <w:rFonts w:eastAsia="Calibri"/>
          <w:b w:val="0"/>
          <w:szCs w:val="20"/>
        </w:rPr>
        <w:t xml:space="preserve"> </w:t>
      </w:r>
      <w:r w:rsidR="002941DA" w:rsidRPr="000A7305">
        <w:rPr>
          <w:rFonts w:eastAsia="Calibri"/>
          <w:b w:val="0"/>
          <w:szCs w:val="20"/>
        </w:rPr>
        <w:t>Assessment of liver fibrosis with APRI before and after treatment with DAAs demonstrated</w:t>
      </w:r>
      <w:r w:rsidR="00031627" w:rsidRPr="000A7305">
        <w:rPr>
          <w:rFonts w:eastAsia="Calibri"/>
          <w:b w:val="0"/>
          <w:szCs w:val="20"/>
        </w:rPr>
        <w:t xml:space="preserve"> a statistically significant reduction in the number of patients with severe fibrosis, and redistribution of cases into the less severe classes (P.</w:t>
      </w:r>
      <w:r w:rsidR="00031627" w:rsidRPr="000A7305">
        <w:rPr>
          <w:rFonts w:eastAsia="Calibri"/>
          <w:b w:val="0"/>
          <w:i/>
          <w:iCs/>
          <w:szCs w:val="20"/>
        </w:rPr>
        <w:t>Value</w:t>
      </w:r>
      <w:r w:rsidR="00031627" w:rsidRPr="000A7305">
        <w:rPr>
          <w:rFonts w:eastAsia="Calibri"/>
          <w:b w:val="0"/>
          <w:szCs w:val="20"/>
        </w:rPr>
        <w:t xml:space="preserve"> </w:t>
      </w:r>
      <w:r w:rsidR="002941DA" w:rsidRPr="000A7305">
        <w:rPr>
          <w:rFonts w:eastAsia="Calibri"/>
          <w:b w:val="0"/>
          <w:szCs w:val="20"/>
        </w:rPr>
        <w:t xml:space="preserve">0.039). </w:t>
      </w:r>
      <w:r w:rsidR="00031627" w:rsidRPr="000A7305">
        <w:rPr>
          <w:rFonts w:eastAsia="Calibri"/>
          <w:b w:val="0"/>
          <w:szCs w:val="20"/>
        </w:rPr>
        <w:t xml:space="preserve">There was significant reduction in fibrosis-4 index </w:t>
      </w:r>
      <w:r w:rsidR="002941DA" w:rsidRPr="000A7305">
        <w:rPr>
          <w:rFonts w:eastAsia="Calibri"/>
          <w:b w:val="0"/>
          <w:szCs w:val="20"/>
        </w:rPr>
        <w:t xml:space="preserve">and serum HA </w:t>
      </w:r>
      <w:r w:rsidR="00031627" w:rsidRPr="000A7305">
        <w:rPr>
          <w:rFonts w:eastAsia="Calibri"/>
          <w:b w:val="0"/>
          <w:szCs w:val="20"/>
        </w:rPr>
        <w:t>after treatment in comparison to their pretreatment</w:t>
      </w:r>
      <w:r w:rsidR="002941DA" w:rsidRPr="000A7305">
        <w:rPr>
          <w:rFonts w:eastAsia="Calibri"/>
          <w:b w:val="0"/>
          <w:szCs w:val="20"/>
        </w:rPr>
        <w:t xml:space="preserve"> values (P.</w:t>
      </w:r>
      <w:r w:rsidR="002941DA" w:rsidRPr="000A7305">
        <w:rPr>
          <w:rFonts w:eastAsia="Calibri"/>
          <w:b w:val="0"/>
          <w:i/>
          <w:iCs/>
          <w:szCs w:val="20"/>
        </w:rPr>
        <w:t>Value</w:t>
      </w:r>
      <w:r w:rsidR="002941DA" w:rsidRPr="000A7305">
        <w:rPr>
          <w:rFonts w:eastAsia="Calibri"/>
          <w:b w:val="0"/>
          <w:szCs w:val="20"/>
        </w:rPr>
        <w:t xml:space="preserve"> &lt;0.001). </w:t>
      </w:r>
      <w:r w:rsidR="006D66E1" w:rsidRPr="000A7305">
        <w:rPr>
          <w:rFonts w:eastAsia="Calibri"/>
          <w:b w:val="0"/>
          <w:bCs/>
          <w:i/>
          <w:iCs/>
          <w:szCs w:val="20"/>
          <w:u w:val="single"/>
        </w:rPr>
        <w:t>Conclusion:</w:t>
      </w:r>
      <w:r w:rsidR="006D66E1" w:rsidRPr="000A7305">
        <w:rPr>
          <w:rFonts w:eastAsia="Calibri"/>
          <w:b w:val="0"/>
          <w:szCs w:val="20"/>
        </w:rPr>
        <w:t xml:space="preserve"> </w:t>
      </w:r>
      <w:r w:rsidR="002941DA" w:rsidRPr="000A7305">
        <w:rPr>
          <w:rFonts w:eastAsia="Calibri"/>
          <w:b w:val="0"/>
          <w:szCs w:val="20"/>
        </w:rPr>
        <w:t>HA was reduced together with improved APRI after treatment of HCV infection in children with thalassemia using DAAs, which indicates improvement of liver fibrosis.</w:t>
      </w:r>
    </w:p>
    <w:p w:rsidR="00E5246E" w:rsidRPr="000A7305" w:rsidRDefault="00E5246E" w:rsidP="00666DFC">
      <w:pPr>
        <w:snapToGrid w:val="0"/>
        <w:spacing w:after="0" w:line="240" w:lineRule="auto"/>
        <w:ind w:firstLine="0"/>
        <w:rPr>
          <w:rFonts w:cs="Times New Roman"/>
          <w:sz w:val="20"/>
          <w:szCs w:val="20"/>
        </w:rPr>
      </w:pPr>
      <w:r w:rsidRPr="000A7305">
        <w:rPr>
          <w:rFonts w:cs="Times New Roman" w:hint="eastAsia"/>
          <w:sz w:val="20"/>
          <w:szCs w:val="20"/>
        </w:rPr>
        <w:t>[</w:t>
      </w:r>
      <w:r w:rsidRPr="000A7305">
        <w:rPr>
          <w:rFonts w:cs="Times New Roman"/>
          <w:sz w:val="20"/>
          <w:szCs w:val="20"/>
        </w:rPr>
        <w:t>Mohamed Mahmoud Yousif Abu-Elazm</w:t>
      </w:r>
      <w:r w:rsidRPr="000A7305">
        <w:rPr>
          <w:rFonts w:cs="Times New Roman" w:hint="eastAsia"/>
          <w:sz w:val="20"/>
          <w:szCs w:val="20"/>
          <w:lang w:eastAsia="zh-CN"/>
        </w:rPr>
        <w:t>,</w:t>
      </w:r>
      <w:r w:rsidRPr="000A7305">
        <w:rPr>
          <w:rFonts w:cs="Times New Roman"/>
          <w:sz w:val="20"/>
          <w:szCs w:val="20"/>
        </w:rPr>
        <w:t xml:space="preserve"> Eslam El-Sayed El-Hawary</w:t>
      </w:r>
      <w:r w:rsidRPr="000A7305">
        <w:rPr>
          <w:rFonts w:cs="Times New Roman" w:hint="eastAsia"/>
          <w:sz w:val="20"/>
          <w:szCs w:val="20"/>
          <w:lang w:eastAsia="zh-CN"/>
        </w:rPr>
        <w:t>,</w:t>
      </w:r>
      <w:r w:rsidRPr="000A7305">
        <w:rPr>
          <w:rFonts w:cs="Times New Roman"/>
          <w:sz w:val="20"/>
          <w:szCs w:val="20"/>
        </w:rPr>
        <w:t xml:space="preserve"> Aml Saaid El-Bendary</w:t>
      </w:r>
      <w:r w:rsidRPr="000A7305">
        <w:rPr>
          <w:rFonts w:cs="Times New Roman" w:hint="eastAsia"/>
          <w:sz w:val="20"/>
          <w:szCs w:val="20"/>
          <w:lang w:eastAsia="zh-CN"/>
        </w:rPr>
        <w:t>,</w:t>
      </w:r>
      <w:r w:rsidRPr="000A7305">
        <w:rPr>
          <w:rFonts w:cs="Times New Roman"/>
          <w:sz w:val="20"/>
          <w:szCs w:val="20"/>
        </w:rPr>
        <w:t xml:space="preserve"> Mohiee El-Deen AbdEl-Aziz Awad</w:t>
      </w:r>
      <w:r w:rsidRPr="000A7305">
        <w:rPr>
          <w:rFonts w:cs="Times New Roman" w:hint="eastAsia"/>
          <w:sz w:val="20"/>
          <w:szCs w:val="20"/>
          <w:lang w:eastAsia="zh-CN"/>
        </w:rPr>
        <w:t>,</w:t>
      </w:r>
      <w:r w:rsidRPr="000A7305">
        <w:rPr>
          <w:rFonts w:cs="Times New Roman"/>
          <w:sz w:val="20"/>
          <w:szCs w:val="20"/>
        </w:rPr>
        <w:t xml:space="preserve"> Mohamed Ramadan El-Shanshory.</w:t>
      </w:r>
      <w:r w:rsidRPr="000A7305">
        <w:rPr>
          <w:rFonts w:eastAsiaTheme="minorEastAsia" w:cs="Times New Roman" w:hint="eastAsia"/>
          <w:b/>
          <w:bCs/>
          <w:sz w:val="20"/>
          <w:szCs w:val="20"/>
          <w:lang w:bidi="fa-IR"/>
        </w:rPr>
        <w:t xml:space="preserve"> </w:t>
      </w:r>
      <w:r w:rsidRPr="000A7305">
        <w:rPr>
          <w:rFonts w:cs="Times New Roman"/>
          <w:b/>
          <w:sz w:val="20"/>
          <w:szCs w:val="20"/>
        </w:rPr>
        <w:t>Hyaluronic Acid Level for assessment of Liver Fibrosis in β-Thalassemia Children Treated for Hepatitis C Virus by Direct Acting Antiviral Drugs</w:t>
      </w:r>
      <w:r w:rsidRPr="000A7305">
        <w:rPr>
          <w:rFonts w:eastAsia="Times New Roman" w:cs="Times New Roman"/>
          <w:b/>
          <w:bCs/>
          <w:sz w:val="20"/>
          <w:szCs w:val="20"/>
          <w:lang w:bidi="fa-IR"/>
        </w:rPr>
        <w:t>.</w:t>
      </w:r>
      <w:r w:rsidRPr="000A7305">
        <w:rPr>
          <w:rFonts w:cs="Times New Roman"/>
          <w:bCs/>
          <w:i/>
          <w:sz w:val="20"/>
          <w:szCs w:val="20"/>
        </w:rPr>
        <w:t xml:space="preserve"> Researcher</w:t>
      </w:r>
      <w:r w:rsidRPr="000A7305">
        <w:rPr>
          <w:rFonts w:cs="Times New Roman"/>
          <w:bCs/>
          <w:sz w:val="20"/>
          <w:szCs w:val="20"/>
        </w:rPr>
        <w:t xml:space="preserve"> 20</w:t>
      </w:r>
      <w:r w:rsidRPr="000A7305">
        <w:rPr>
          <w:rFonts w:cs="Times New Roman" w:hint="eastAsia"/>
          <w:bCs/>
          <w:sz w:val="20"/>
          <w:szCs w:val="20"/>
        </w:rPr>
        <w:t>20</w:t>
      </w:r>
      <w:r w:rsidRPr="000A7305">
        <w:rPr>
          <w:rFonts w:cs="Times New Roman"/>
          <w:bCs/>
          <w:sz w:val="20"/>
          <w:szCs w:val="20"/>
        </w:rPr>
        <w:t>;</w:t>
      </w:r>
      <w:r w:rsidRPr="000A7305">
        <w:rPr>
          <w:rFonts w:cs="Times New Roman" w:hint="eastAsia"/>
          <w:bCs/>
          <w:sz w:val="20"/>
          <w:szCs w:val="20"/>
        </w:rPr>
        <w:t>12</w:t>
      </w:r>
      <w:r w:rsidRPr="000A7305">
        <w:rPr>
          <w:rFonts w:cs="Times New Roman"/>
          <w:bCs/>
          <w:sz w:val="20"/>
          <w:szCs w:val="20"/>
        </w:rPr>
        <w:t>(</w:t>
      </w:r>
      <w:r w:rsidRPr="000A7305">
        <w:rPr>
          <w:rFonts w:cs="Times New Roman" w:hint="eastAsia"/>
          <w:bCs/>
          <w:sz w:val="20"/>
          <w:szCs w:val="20"/>
        </w:rPr>
        <w:t>6</w:t>
      </w:r>
      <w:r w:rsidRPr="000A7305">
        <w:rPr>
          <w:rFonts w:cs="Times New Roman"/>
          <w:bCs/>
          <w:sz w:val="20"/>
          <w:szCs w:val="20"/>
        </w:rPr>
        <w:t>):</w:t>
      </w:r>
      <w:r w:rsidR="00B015B7" w:rsidRPr="000A7305">
        <w:rPr>
          <w:rFonts w:cs="Times New Roman"/>
          <w:noProof/>
          <w:color w:val="000000"/>
          <w:sz w:val="20"/>
          <w:szCs w:val="20"/>
        </w:rPr>
        <w:t>38-4</w:t>
      </w:r>
      <w:r w:rsidR="001C016A">
        <w:rPr>
          <w:rFonts w:cs="Times New Roman" w:hint="eastAsia"/>
          <w:noProof/>
          <w:color w:val="000000"/>
          <w:sz w:val="20"/>
          <w:szCs w:val="20"/>
          <w:lang w:eastAsia="zh-CN"/>
        </w:rPr>
        <w:t>3</w:t>
      </w:r>
      <w:r w:rsidRPr="000A7305">
        <w:rPr>
          <w:rFonts w:cs="Times New Roman"/>
          <w:bCs/>
          <w:sz w:val="20"/>
          <w:szCs w:val="20"/>
        </w:rPr>
        <w:t xml:space="preserve">]. </w:t>
      </w:r>
      <w:r w:rsidRPr="000A7305">
        <w:rPr>
          <w:rFonts w:cs="Times New Roman"/>
          <w:sz w:val="20"/>
          <w:szCs w:val="20"/>
        </w:rPr>
        <w:t>ISSN 1553-9865 (print); ISSN 2163-8950 (online)</w:t>
      </w:r>
      <w:r w:rsidRPr="000A7305">
        <w:rPr>
          <w:rFonts w:cs="Times New Roman"/>
          <w:bCs/>
          <w:sz w:val="20"/>
          <w:szCs w:val="20"/>
        </w:rPr>
        <w:t xml:space="preserve">. </w:t>
      </w:r>
      <w:hyperlink r:id="rId9" w:history="1">
        <w:r w:rsidRPr="000A7305">
          <w:rPr>
            <w:rStyle w:val="Hyperlink"/>
            <w:rFonts w:cs="Times New Roman"/>
            <w:color w:val="0000FF"/>
            <w:sz w:val="20"/>
            <w:szCs w:val="20"/>
          </w:rPr>
          <w:t>http://www.sciencepub.net/researcher</w:t>
        </w:r>
      </w:hyperlink>
      <w:r w:rsidRPr="000A7305">
        <w:rPr>
          <w:rFonts w:cs="Times New Roman"/>
          <w:bCs/>
          <w:sz w:val="20"/>
          <w:szCs w:val="20"/>
        </w:rPr>
        <w:t>.</w:t>
      </w:r>
      <w:r w:rsidRPr="000A7305">
        <w:rPr>
          <w:rFonts w:cs="Times New Roman" w:hint="eastAsia"/>
          <w:bCs/>
          <w:sz w:val="20"/>
          <w:szCs w:val="20"/>
        </w:rPr>
        <w:t xml:space="preserve"> </w:t>
      </w:r>
      <w:r w:rsidRPr="000A7305">
        <w:rPr>
          <w:rFonts w:cs="Times New Roman" w:hint="eastAsia"/>
          <w:bCs/>
          <w:sz w:val="20"/>
          <w:szCs w:val="20"/>
          <w:lang w:eastAsia="zh-CN"/>
        </w:rPr>
        <w:t>7</w:t>
      </w:r>
      <w:r w:rsidRPr="000A7305">
        <w:rPr>
          <w:rFonts w:cs="Times New Roman" w:hint="eastAsia"/>
          <w:bCs/>
          <w:sz w:val="20"/>
          <w:szCs w:val="20"/>
        </w:rPr>
        <w:t xml:space="preserve">. </w:t>
      </w:r>
      <w:r w:rsidRPr="000A7305">
        <w:rPr>
          <w:rFonts w:cs="Times New Roman"/>
          <w:color w:val="000000"/>
          <w:sz w:val="20"/>
          <w:szCs w:val="20"/>
          <w:shd w:val="clear" w:color="auto" w:fill="FFFFFF"/>
        </w:rPr>
        <w:t>doi:</w:t>
      </w:r>
      <w:hyperlink r:id="rId10" w:history="1">
        <w:r w:rsidRPr="000A7305">
          <w:rPr>
            <w:rStyle w:val="Hyperlink"/>
            <w:rFonts w:cs="Times New Roman"/>
            <w:color w:val="0000FF"/>
            <w:sz w:val="20"/>
            <w:szCs w:val="20"/>
            <w:shd w:val="clear" w:color="auto" w:fill="FFFFFF"/>
          </w:rPr>
          <w:t>10.7537/mars</w:t>
        </w:r>
        <w:r w:rsidRPr="000A7305">
          <w:rPr>
            <w:rStyle w:val="Hyperlink"/>
            <w:rFonts w:cs="Times New Roman" w:hint="eastAsia"/>
            <w:color w:val="0000FF"/>
            <w:sz w:val="20"/>
            <w:szCs w:val="20"/>
            <w:shd w:val="clear" w:color="auto" w:fill="FFFFFF"/>
          </w:rPr>
          <w:t>r</w:t>
        </w:r>
        <w:r w:rsidRPr="000A7305">
          <w:rPr>
            <w:rStyle w:val="Hyperlink"/>
            <w:rFonts w:cs="Times New Roman"/>
            <w:color w:val="0000FF"/>
            <w:sz w:val="20"/>
            <w:szCs w:val="20"/>
            <w:shd w:val="clear" w:color="auto" w:fill="FFFFFF"/>
          </w:rPr>
          <w:t>sj</w:t>
        </w:r>
        <w:r w:rsidRPr="000A7305">
          <w:rPr>
            <w:rStyle w:val="Hyperlink"/>
            <w:rFonts w:cs="Times New Roman" w:hint="eastAsia"/>
            <w:color w:val="0000FF"/>
            <w:sz w:val="20"/>
            <w:szCs w:val="20"/>
            <w:shd w:val="clear" w:color="auto" w:fill="FFFFFF"/>
          </w:rPr>
          <w:t>120620.</w:t>
        </w:r>
        <w:r w:rsidRPr="000A7305">
          <w:rPr>
            <w:rStyle w:val="Hyperlink"/>
            <w:rFonts w:cs="Times New Roman"/>
            <w:color w:val="0000FF"/>
            <w:sz w:val="20"/>
            <w:szCs w:val="20"/>
            <w:shd w:val="clear" w:color="auto" w:fill="FFFFFF"/>
          </w:rPr>
          <w:t>0</w:t>
        </w:r>
        <w:r w:rsidRPr="000A7305">
          <w:rPr>
            <w:rStyle w:val="Hyperlink"/>
            <w:rFonts w:cs="Times New Roman" w:hint="eastAsia"/>
            <w:color w:val="0000FF"/>
            <w:sz w:val="20"/>
            <w:szCs w:val="20"/>
            <w:shd w:val="clear" w:color="auto" w:fill="FFFFFF"/>
            <w:lang w:eastAsia="zh-CN"/>
          </w:rPr>
          <w:t>7</w:t>
        </w:r>
      </w:hyperlink>
      <w:r w:rsidRPr="000A7305">
        <w:rPr>
          <w:rFonts w:cs="Times New Roman"/>
          <w:color w:val="000000"/>
          <w:sz w:val="20"/>
          <w:szCs w:val="20"/>
          <w:shd w:val="clear" w:color="auto" w:fill="FFFFFF"/>
        </w:rPr>
        <w:t>.</w:t>
      </w:r>
    </w:p>
    <w:p w:rsidR="00E5246E" w:rsidRPr="000A7305" w:rsidRDefault="00E5246E" w:rsidP="00666DFC">
      <w:pPr>
        <w:snapToGrid w:val="0"/>
        <w:spacing w:after="0" w:line="240" w:lineRule="auto"/>
        <w:ind w:firstLine="0"/>
        <w:rPr>
          <w:rFonts w:cs="Times New Roman"/>
          <w:sz w:val="20"/>
          <w:szCs w:val="20"/>
          <w:lang w:eastAsia="zh-CN"/>
        </w:rPr>
      </w:pPr>
    </w:p>
    <w:p w:rsidR="00F67D4B" w:rsidRPr="000A7305" w:rsidRDefault="00595C79" w:rsidP="00666DFC">
      <w:pPr>
        <w:pStyle w:val="Heading1"/>
        <w:rPr>
          <w:rFonts w:eastAsia="宋体"/>
          <w:b w:val="0"/>
          <w:szCs w:val="20"/>
          <w:lang w:eastAsia="zh-CN"/>
        </w:rPr>
      </w:pPr>
      <w:r w:rsidRPr="000A7305">
        <w:rPr>
          <w:szCs w:val="20"/>
        </w:rPr>
        <w:t>Key Words</w:t>
      </w:r>
      <w:r w:rsidRPr="000A7305">
        <w:rPr>
          <w:rFonts w:eastAsia="宋体" w:hint="eastAsia"/>
          <w:szCs w:val="20"/>
          <w:lang w:eastAsia="zh-CN"/>
        </w:rPr>
        <w:t xml:space="preserve">: </w:t>
      </w:r>
      <w:r w:rsidR="00F67D4B" w:rsidRPr="000A7305">
        <w:rPr>
          <w:b w:val="0"/>
          <w:szCs w:val="20"/>
        </w:rPr>
        <w:t>Hyaluronic Acid, Liver Fibrosis, β-Thalassemia, Hepatitis C Virus, Direct Acting Antiviral Drugs</w:t>
      </w:r>
    </w:p>
    <w:p w:rsidR="002547BB" w:rsidRPr="000A7305" w:rsidRDefault="002547BB" w:rsidP="00666DFC">
      <w:pPr>
        <w:snapToGrid w:val="0"/>
        <w:spacing w:after="0" w:line="240" w:lineRule="auto"/>
        <w:ind w:firstLine="425"/>
        <w:rPr>
          <w:rFonts w:cs="Times New Roman"/>
          <w:sz w:val="20"/>
          <w:szCs w:val="20"/>
          <w:lang w:eastAsia="zh-CN"/>
        </w:rPr>
      </w:pPr>
    </w:p>
    <w:p w:rsidR="00E5246E" w:rsidRPr="000A7305" w:rsidRDefault="00E5246E" w:rsidP="00666DFC">
      <w:pPr>
        <w:pStyle w:val="Heading1"/>
        <w:rPr>
          <w:szCs w:val="20"/>
        </w:rPr>
        <w:sectPr w:rsidR="00E5246E" w:rsidRPr="000A7305" w:rsidSect="00B015B7">
          <w:headerReference w:type="default" r:id="rId11"/>
          <w:footerReference w:type="default" r:id="rId12"/>
          <w:type w:val="continuous"/>
          <w:pgSz w:w="12240" w:h="15840" w:code="9"/>
          <w:pgMar w:top="1440" w:right="1440" w:bottom="1440" w:left="1440" w:header="720" w:footer="720" w:gutter="0"/>
          <w:pgNumType w:start="38"/>
          <w:cols w:space="720"/>
          <w:docGrid w:linePitch="360"/>
        </w:sectPr>
      </w:pPr>
    </w:p>
    <w:p w:rsidR="00A94950" w:rsidRPr="000A7305" w:rsidRDefault="00E5246E" w:rsidP="00666DFC">
      <w:pPr>
        <w:pStyle w:val="Heading1"/>
        <w:rPr>
          <w:szCs w:val="20"/>
        </w:rPr>
      </w:pPr>
      <w:r w:rsidRPr="000A7305">
        <w:rPr>
          <w:szCs w:val="20"/>
        </w:rPr>
        <w:lastRenderedPageBreak/>
        <w:t>Introduction</w:t>
      </w:r>
    </w:p>
    <w:p w:rsidR="006D66E1" w:rsidRPr="000A7305" w:rsidRDefault="004312C2" w:rsidP="00666DFC">
      <w:pPr>
        <w:snapToGrid w:val="0"/>
        <w:spacing w:after="0" w:line="240" w:lineRule="auto"/>
        <w:ind w:firstLine="425"/>
        <w:rPr>
          <w:rFonts w:cs="Times New Roman"/>
          <w:sz w:val="20"/>
          <w:szCs w:val="20"/>
        </w:rPr>
      </w:pPr>
      <w:r w:rsidRPr="000A7305">
        <w:rPr>
          <w:rFonts w:cs="Times New Roman"/>
          <w:sz w:val="20"/>
          <w:szCs w:val="20"/>
        </w:rPr>
        <w:t>Thalassemias</w:t>
      </w:r>
      <w:r w:rsidR="006D66E1" w:rsidRPr="000A7305">
        <w:rPr>
          <w:rFonts w:cs="Times New Roman"/>
          <w:sz w:val="20"/>
          <w:szCs w:val="20"/>
        </w:rPr>
        <w:t xml:space="preserve"> are a</w:t>
      </w:r>
      <w:r w:rsidR="00725769" w:rsidRPr="000A7305">
        <w:rPr>
          <w:rFonts w:cs="Times New Roman"/>
          <w:sz w:val="20"/>
          <w:szCs w:val="20"/>
        </w:rPr>
        <w:t xml:space="preserve"> heterogeneous group of genetic</w:t>
      </w:r>
      <w:r w:rsidR="006D66E1" w:rsidRPr="000A7305">
        <w:rPr>
          <w:rFonts w:cs="Times New Roman"/>
          <w:sz w:val="20"/>
          <w:szCs w:val="20"/>
        </w:rPr>
        <w:t xml:space="preserve"> disorders of hemoglobin (Hb) synthesis, considered as the most common monogenic disorder in the world</w:t>
      </w:r>
      <w:r w:rsidR="00725769" w:rsidRPr="000A7305">
        <w:rPr>
          <w:rFonts w:cs="Times New Roman"/>
          <w:sz w:val="20"/>
          <w:szCs w:val="20"/>
        </w:rPr>
        <w:t xml:space="preserve"> </w:t>
      </w:r>
      <w:r w:rsidR="006D66E1" w:rsidRPr="000A7305">
        <w:rPr>
          <w:rFonts w:cs="Times New Roman"/>
          <w:sz w:val="20"/>
          <w:szCs w:val="20"/>
        </w:rPr>
        <w:t>(1). In Egypt; Thalassemia is a major health problem since it</w:t>
      </w:r>
      <w:r w:rsidR="00725769" w:rsidRPr="000A7305">
        <w:rPr>
          <w:rFonts w:cs="Times New Roman"/>
          <w:sz w:val="20"/>
          <w:szCs w:val="20"/>
        </w:rPr>
        <w:t>s incidence</w:t>
      </w:r>
      <w:r w:rsidR="006D66E1" w:rsidRPr="000A7305">
        <w:rPr>
          <w:rFonts w:cs="Times New Roman"/>
          <w:sz w:val="20"/>
          <w:szCs w:val="20"/>
        </w:rPr>
        <w:t xml:space="preserve"> is estimated as 1000 children/1.5 million</w:t>
      </w:r>
      <w:r w:rsidR="00725769" w:rsidRPr="000A7305">
        <w:rPr>
          <w:rFonts w:cs="Times New Roman"/>
          <w:sz w:val="20"/>
          <w:szCs w:val="20"/>
        </w:rPr>
        <w:t xml:space="preserve"> live birth</w:t>
      </w:r>
      <w:r w:rsidR="006D66E1" w:rsidRPr="000A7305">
        <w:rPr>
          <w:rFonts w:cs="Times New Roman"/>
          <w:sz w:val="20"/>
          <w:szCs w:val="20"/>
        </w:rPr>
        <w:t xml:space="preserve"> per year (2).</w:t>
      </w:r>
    </w:p>
    <w:p w:rsidR="00725769" w:rsidRPr="000A7305" w:rsidRDefault="006D66E1" w:rsidP="00666DFC">
      <w:pPr>
        <w:snapToGrid w:val="0"/>
        <w:spacing w:after="0" w:line="240" w:lineRule="auto"/>
        <w:ind w:firstLine="425"/>
        <w:rPr>
          <w:rFonts w:cs="Times New Roman"/>
          <w:sz w:val="20"/>
          <w:szCs w:val="20"/>
        </w:rPr>
      </w:pPr>
      <w:r w:rsidRPr="000A7305">
        <w:rPr>
          <w:rFonts w:cs="Times New Roman"/>
          <w:sz w:val="20"/>
          <w:szCs w:val="20"/>
        </w:rPr>
        <w:t xml:space="preserve">Thalassemic patients can develop liver fibrosis because of iron liver overload and hepatitis </w:t>
      </w:r>
      <w:r w:rsidR="008F4E37" w:rsidRPr="000A7305">
        <w:rPr>
          <w:rFonts w:cs="Times New Roman"/>
          <w:sz w:val="20"/>
          <w:szCs w:val="20"/>
        </w:rPr>
        <w:t xml:space="preserve">C virus </w:t>
      </w:r>
      <w:r w:rsidRPr="000A7305">
        <w:rPr>
          <w:rFonts w:cs="Times New Roman"/>
          <w:sz w:val="20"/>
          <w:szCs w:val="20"/>
        </w:rPr>
        <w:t xml:space="preserve">(HCV) infection. </w:t>
      </w:r>
      <w:r w:rsidR="00725769" w:rsidRPr="000A7305">
        <w:rPr>
          <w:rFonts w:cs="Times New Roman"/>
          <w:sz w:val="20"/>
          <w:szCs w:val="20"/>
        </w:rPr>
        <w:t xml:space="preserve">Studies </w:t>
      </w:r>
      <w:r w:rsidRPr="000A7305">
        <w:rPr>
          <w:rFonts w:cs="Times New Roman"/>
          <w:sz w:val="20"/>
          <w:szCs w:val="20"/>
        </w:rPr>
        <w:t>have reported that the development and the severity of liver fibrosis are strongly related to</w:t>
      </w:r>
      <w:r w:rsidR="00725769" w:rsidRPr="000A7305">
        <w:rPr>
          <w:rFonts w:cs="Times New Roman"/>
          <w:sz w:val="20"/>
          <w:szCs w:val="20"/>
        </w:rPr>
        <w:t>; not only</w:t>
      </w:r>
      <w:r w:rsidRPr="000A7305">
        <w:rPr>
          <w:rFonts w:cs="Times New Roman"/>
          <w:sz w:val="20"/>
          <w:szCs w:val="20"/>
        </w:rPr>
        <w:t xml:space="preserve"> the extent of liver iron overload</w:t>
      </w:r>
      <w:r w:rsidR="00725769" w:rsidRPr="000A7305">
        <w:rPr>
          <w:rFonts w:cs="Times New Roman"/>
          <w:sz w:val="20"/>
          <w:szCs w:val="20"/>
        </w:rPr>
        <w:t xml:space="preserve">, but also </w:t>
      </w:r>
      <w:r w:rsidRPr="000A7305">
        <w:rPr>
          <w:rFonts w:cs="Times New Roman"/>
          <w:sz w:val="20"/>
          <w:szCs w:val="20"/>
        </w:rPr>
        <w:t>to the presence of chronic HCV infection (3). HCV infection is</w:t>
      </w:r>
      <w:r w:rsidR="00D768C4" w:rsidRPr="000A7305">
        <w:rPr>
          <w:rFonts w:cs="Times New Roman"/>
          <w:sz w:val="20"/>
          <w:szCs w:val="20"/>
        </w:rPr>
        <w:t xml:space="preserve"> even considered as</w:t>
      </w:r>
      <w:r w:rsidRPr="000A7305">
        <w:rPr>
          <w:rFonts w:cs="Times New Roman"/>
          <w:sz w:val="20"/>
          <w:szCs w:val="20"/>
        </w:rPr>
        <w:t xml:space="preserve"> the main risk factor for liver fibrosis in transfusion-dependent thalassemic patients</w:t>
      </w:r>
      <w:r w:rsidR="00D768C4" w:rsidRPr="000A7305">
        <w:rPr>
          <w:rFonts w:cs="Times New Roman"/>
          <w:sz w:val="20"/>
          <w:szCs w:val="20"/>
        </w:rPr>
        <w:t>, whereas e</w:t>
      </w:r>
      <w:r w:rsidRPr="000A7305">
        <w:rPr>
          <w:rFonts w:cs="Times New Roman"/>
          <w:sz w:val="20"/>
          <w:szCs w:val="20"/>
        </w:rPr>
        <w:t xml:space="preserve">xcess liver iron is now clearly recognized as a cofactor for the development of advanced fibrosis in patients with HCV infection (4). </w:t>
      </w:r>
    </w:p>
    <w:p w:rsidR="006D66E1" w:rsidRPr="000A7305" w:rsidRDefault="006D66E1" w:rsidP="00666DFC">
      <w:pPr>
        <w:snapToGrid w:val="0"/>
        <w:spacing w:after="0" w:line="240" w:lineRule="auto"/>
        <w:ind w:firstLine="425"/>
        <w:rPr>
          <w:rFonts w:cs="Times New Roman"/>
          <w:sz w:val="20"/>
          <w:szCs w:val="20"/>
        </w:rPr>
      </w:pPr>
      <w:r w:rsidRPr="000A7305">
        <w:rPr>
          <w:rFonts w:cs="Times New Roman"/>
          <w:sz w:val="20"/>
          <w:szCs w:val="20"/>
        </w:rPr>
        <w:lastRenderedPageBreak/>
        <w:t xml:space="preserve">Although, hepatic fibrogenesis has long been thought to be an irreversible process, it is now evident that it is a dynamic process with significant potential for reversal; unlike cirrhosis, which is irreversible. That’s why, </w:t>
      </w:r>
      <w:r w:rsidR="00D768C4" w:rsidRPr="000A7305">
        <w:rPr>
          <w:rFonts w:cs="Times New Roman"/>
          <w:sz w:val="20"/>
          <w:szCs w:val="20"/>
        </w:rPr>
        <w:t xml:space="preserve">treatment of </w:t>
      </w:r>
      <w:r w:rsidR="00725769" w:rsidRPr="000A7305">
        <w:rPr>
          <w:rFonts w:cs="Times New Roman"/>
          <w:sz w:val="20"/>
          <w:szCs w:val="20"/>
        </w:rPr>
        <w:t>HCV</w:t>
      </w:r>
      <w:r w:rsidR="00D768C4" w:rsidRPr="000A7305">
        <w:rPr>
          <w:rFonts w:cs="Times New Roman"/>
          <w:sz w:val="20"/>
          <w:szCs w:val="20"/>
        </w:rPr>
        <w:t xml:space="preserve"> infection and </w:t>
      </w:r>
      <w:r w:rsidRPr="000A7305">
        <w:rPr>
          <w:rFonts w:cs="Times New Roman"/>
          <w:sz w:val="20"/>
          <w:szCs w:val="20"/>
        </w:rPr>
        <w:t>identification of liver fibrosis at an early stage would be of great significance (5).</w:t>
      </w:r>
    </w:p>
    <w:p w:rsidR="00D768C4" w:rsidRPr="000A7305" w:rsidRDefault="00D768C4" w:rsidP="00666DFC">
      <w:pPr>
        <w:snapToGrid w:val="0"/>
        <w:spacing w:after="0" w:line="240" w:lineRule="auto"/>
        <w:ind w:firstLine="425"/>
        <w:rPr>
          <w:rFonts w:cs="Times New Roman"/>
          <w:sz w:val="20"/>
          <w:szCs w:val="20"/>
        </w:rPr>
      </w:pPr>
      <w:r w:rsidRPr="000A7305">
        <w:rPr>
          <w:rFonts w:cs="Times New Roman"/>
          <w:sz w:val="20"/>
          <w:szCs w:val="20"/>
        </w:rPr>
        <w:t xml:space="preserve">The combined pegylated interferon-α and ribavirin (PEG-IFN/ribavirin) remained the standard therapy for </w:t>
      </w:r>
      <w:r w:rsidR="00B0203B" w:rsidRPr="000A7305">
        <w:rPr>
          <w:rFonts w:cs="Times New Roman"/>
          <w:sz w:val="20"/>
          <w:szCs w:val="20"/>
        </w:rPr>
        <w:t>Chronic HCV infection</w:t>
      </w:r>
      <w:r w:rsidRPr="000A7305">
        <w:rPr>
          <w:rFonts w:cs="Times New Roman"/>
          <w:sz w:val="20"/>
          <w:szCs w:val="20"/>
        </w:rPr>
        <w:t xml:space="preserve"> in children until 2016. </w:t>
      </w:r>
      <w:r w:rsidR="00B0203B" w:rsidRPr="000A7305">
        <w:rPr>
          <w:rFonts w:cs="Times New Roman"/>
          <w:sz w:val="20"/>
          <w:szCs w:val="20"/>
        </w:rPr>
        <w:t>But it was</w:t>
      </w:r>
      <w:r w:rsidRPr="000A7305">
        <w:rPr>
          <w:rFonts w:cs="Times New Roman"/>
          <w:sz w:val="20"/>
          <w:szCs w:val="20"/>
        </w:rPr>
        <w:t xml:space="preserve"> often held from use until adulthood because of its extensive list of potential side effects and high likelihood of causing adverse symptoms</w:t>
      </w:r>
      <w:r w:rsidR="007F46FE" w:rsidRPr="000A7305">
        <w:rPr>
          <w:rFonts w:cs="Times New Roman"/>
          <w:sz w:val="20"/>
          <w:szCs w:val="20"/>
        </w:rPr>
        <w:t xml:space="preserve"> (6-8)</w:t>
      </w:r>
      <w:r w:rsidRPr="000A7305">
        <w:rPr>
          <w:rFonts w:cs="Times New Roman"/>
          <w:sz w:val="20"/>
          <w:szCs w:val="20"/>
        </w:rPr>
        <w:t>.</w:t>
      </w:r>
      <w:r w:rsidR="002547BB" w:rsidRPr="000A7305">
        <w:rPr>
          <w:rFonts w:cs="Times New Roman"/>
          <w:sz w:val="20"/>
          <w:szCs w:val="20"/>
        </w:rPr>
        <w:t xml:space="preserve"> </w:t>
      </w:r>
    </w:p>
    <w:p w:rsidR="00B015B7" w:rsidRPr="000A7305" w:rsidRDefault="00D768C4" w:rsidP="00666DFC">
      <w:pPr>
        <w:snapToGrid w:val="0"/>
        <w:spacing w:after="0" w:line="240" w:lineRule="auto"/>
        <w:ind w:firstLine="425"/>
        <w:rPr>
          <w:rFonts w:cs="Times New Roman"/>
          <w:sz w:val="20"/>
          <w:szCs w:val="20"/>
        </w:rPr>
        <w:sectPr w:rsidR="00B015B7" w:rsidRPr="000A7305" w:rsidSect="00E938A6">
          <w:type w:val="continuous"/>
          <w:pgSz w:w="12240" w:h="15840" w:code="9"/>
          <w:pgMar w:top="1440" w:right="1440" w:bottom="1440" w:left="1440" w:header="720" w:footer="720" w:gutter="0"/>
          <w:cols w:num="2" w:space="600"/>
          <w:docGrid w:linePitch="360"/>
        </w:sectPr>
      </w:pPr>
      <w:r w:rsidRPr="000A7305">
        <w:rPr>
          <w:rFonts w:cs="Times New Roman"/>
          <w:sz w:val="20"/>
          <w:szCs w:val="20"/>
        </w:rPr>
        <w:t xml:space="preserve">Recently (on April 7, 2017), the U.S. Food and Drug Administration (FDA) approved the first </w:t>
      </w:r>
      <w:r w:rsidR="00B0203B" w:rsidRPr="000A7305">
        <w:rPr>
          <w:rFonts w:cs="Times New Roman"/>
          <w:sz w:val="20"/>
          <w:szCs w:val="20"/>
        </w:rPr>
        <w:t>direct-acting antiviral agents (DAAs)</w:t>
      </w:r>
      <w:r w:rsidRPr="000A7305">
        <w:rPr>
          <w:rFonts w:cs="Times New Roman"/>
          <w:sz w:val="20"/>
          <w:szCs w:val="20"/>
        </w:rPr>
        <w:t xml:space="preserve"> for children that included sofosbuvir and sofosbuvir/ledipasvir to treat </w:t>
      </w:r>
    </w:p>
    <w:p w:rsidR="00D768C4" w:rsidRPr="000A7305" w:rsidRDefault="00D768C4" w:rsidP="00B015B7">
      <w:pPr>
        <w:snapToGrid w:val="0"/>
        <w:spacing w:after="0" w:line="240" w:lineRule="auto"/>
        <w:ind w:firstLine="0"/>
        <w:rPr>
          <w:rFonts w:cs="Times New Roman"/>
          <w:sz w:val="20"/>
          <w:szCs w:val="20"/>
        </w:rPr>
      </w:pPr>
      <w:r w:rsidRPr="000A7305">
        <w:rPr>
          <w:rFonts w:cs="Times New Roman"/>
          <w:sz w:val="20"/>
          <w:szCs w:val="20"/>
        </w:rPr>
        <w:lastRenderedPageBreak/>
        <w:t>HCV in children and adolescents aged 12 years and older (</w:t>
      </w:r>
      <w:r w:rsidR="00B0203B" w:rsidRPr="000A7305">
        <w:rPr>
          <w:rFonts w:cs="Times New Roman"/>
          <w:sz w:val="20"/>
          <w:szCs w:val="20"/>
        </w:rPr>
        <w:t>9</w:t>
      </w:r>
      <w:r w:rsidRPr="000A7305">
        <w:rPr>
          <w:rFonts w:cs="Times New Roman"/>
          <w:sz w:val="20"/>
          <w:szCs w:val="20"/>
        </w:rPr>
        <w:t>).</w:t>
      </w:r>
    </w:p>
    <w:p w:rsidR="006D66E1" w:rsidRPr="000A7305" w:rsidRDefault="00D768C4" w:rsidP="00666DFC">
      <w:pPr>
        <w:snapToGrid w:val="0"/>
        <w:spacing w:after="0" w:line="240" w:lineRule="auto"/>
        <w:ind w:firstLine="425"/>
        <w:rPr>
          <w:rFonts w:cs="Times New Roman"/>
          <w:sz w:val="20"/>
          <w:szCs w:val="20"/>
        </w:rPr>
      </w:pPr>
      <w:r w:rsidRPr="000A7305">
        <w:rPr>
          <w:rFonts w:cs="Times New Roman"/>
          <w:sz w:val="20"/>
          <w:szCs w:val="20"/>
        </w:rPr>
        <w:t xml:space="preserve">Liver </w:t>
      </w:r>
      <w:r w:rsidR="006D66E1" w:rsidRPr="000A7305">
        <w:rPr>
          <w:rFonts w:cs="Times New Roman"/>
          <w:sz w:val="20"/>
          <w:szCs w:val="20"/>
        </w:rPr>
        <w:t xml:space="preserve">biopsy </w:t>
      </w:r>
      <w:r w:rsidRPr="000A7305">
        <w:rPr>
          <w:rFonts w:cs="Times New Roman"/>
          <w:sz w:val="20"/>
          <w:szCs w:val="20"/>
        </w:rPr>
        <w:t>has long been</w:t>
      </w:r>
      <w:r w:rsidR="006D66E1" w:rsidRPr="000A7305">
        <w:rPr>
          <w:rFonts w:cs="Times New Roman"/>
          <w:sz w:val="20"/>
          <w:szCs w:val="20"/>
        </w:rPr>
        <w:t xml:space="preserve"> considered</w:t>
      </w:r>
      <w:r w:rsidRPr="000A7305">
        <w:rPr>
          <w:rFonts w:cs="Times New Roman"/>
          <w:sz w:val="20"/>
          <w:szCs w:val="20"/>
        </w:rPr>
        <w:t xml:space="preserve"> as</w:t>
      </w:r>
      <w:r w:rsidR="006D66E1" w:rsidRPr="000A7305">
        <w:rPr>
          <w:rFonts w:cs="Times New Roman"/>
          <w:sz w:val="20"/>
          <w:szCs w:val="20"/>
        </w:rPr>
        <w:t xml:space="preserve"> the gold standard for assessing hepatic fibrosis. However, it is an invasive procedure that may lead to serious complications, limiting its acceptance and repetition in </w:t>
      </w:r>
      <w:r w:rsidR="00B0203B" w:rsidRPr="000A7305">
        <w:rPr>
          <w:rFonts w:cs="Times New Roman"/>
          <w:sz w:val="20"/>
          <w:szCs w:val="20"/>
        </w:rPr>
        <w:t>many</w:t>
      </w:r>
      <w:r w:rsidR="006D66E1" w:rsidRPr="000A7305">
        <w:rPr>
          <w:rFonts w:cs="Times New Roman"/>
          <w:sz w:val="20"/>
          <w:szCs w:val="20"/>
        </w:rPr>
        <w:t xml:space="preserve"> patients. In addition, the accuracy of liver biopsy may be questioned because of sampling error</w:t>
      </w:r>
      <w:r w:rsidR="00B0203B" w:rsidRPr="000A7305">
        <w:rPr>
          <w:rFonts w:cs="Times New Roman"/>
          <w:sz w:val="20"/>
          <w:szCs w:val="20"/>
        </w:rPr>
        <w:t>s</w:t>
      </w:r>
      <w:r w:rsidR="006D66E1" w:rsidRPr="000A7305">
        <w:rPr>
          <w:rFonts w:cs="Times New Roman"/>
          <w:sz w:val="20"/>
          <w:szCs w:val="20"/>
        </w:rPr>
        <w:t xml:space="preserve"> and inter</w:t>
      </w:r>
      <w:r w:rsidR="00FD252A" w:rsidRPr="000A7305">
        <w:rPr>
          <w:rFonts w:cs="Times New Roman"/>
          <w:sz w:val="20"/>
          <w:szCs w:val="20"/>
        </w:rPr>
        <w:t>-</w:t>
      </w:r>
      <w:r w:rsidR="006D66E1" w:rsidRPr="000A7305">
        <w:rPr>
          <w:rFonts w:cs="Times New Roman"/>
          <w:sz w:val="20"/>
          <w:szCs w:val="20"/>
        </w:rPr>
        <w:t>observer variability, which may lead to under or over staging of fibrosis or cirrhosis (</w:t>
      </w:r>
      <w:r w:rsidR="007F46FE" w:rsidRPr="000A7305">
        <w:rPr>
          <w:rFonts w:cs="Times New Roman"/>
          <w:sz w:val="20"/>
          <w:szCs w:val="20"/>
        </w:rPr>
        <w:t>1</w:t>
      </w:r>
      <w:r w:rsidR="008F4E37" w:rsidRPr="000A7305">
        <w:rPr>
          <w:rFonts w:cs="Times New Roman"/>
          <w:sz w:val="20"/>
          <w:szCs w:val="20"/>
        </w:rPr>
        <w:t>0</w:t>
      </w:r>
      <w:r w:rsidR="006D66E1" w:rsidRPr="000A7305">
        <w:rPr>
          <w:rFonts w:cs="Times New Roman"/>
          <w:sz w:val="20"/>
          <w:szCs w:val="20"/>
        </w:rPr>
        <w:t>). That created a need to develop and validate non-invasive tests which can accurately reflect the full spectrum of hepatic fibrosis, cirrhosis, and its severity in liver diseases (</w:t>
      </w:r>
      <w:r w:rsidR="007F46FE" w:rsidRPr="000A7305">
        <w:rPr>
          <w:rFonts w:cs="Times New Roman"/>
          <w:sz w:val="20"/>
          <w:szCs w:val="20"/>
        </w:rPr>
        <w:t>1</w:t>
      </w:r>
      <w:r w:rsidR="008F4E37" w:rsidRPr="000A7305">
        <w:rPr>
          <w:rFonts w:cs="Times New Roman"/>
          <w:sz w:val="20"/>
          <w:szCs w:val="20"/>
        </w:rPr>
        <w:t>1</w:t>
      </w:r>
      <w:r w:rsidR="006D66E1" w:rsidRPr="000A7305">
        <w:rPr>
          <w:rFonts w:cs="Times New Roman"/>
          <w:sz w:val="20"/>
          <w:szCs w:val="20"/>
        </w:rPr>
        <w:t xml:space="preserve">). </w:t>
      </w:r>
    </w:p>
    <w:p w:rsidR="008F4E37" w:rsidRPr="000A7305" w:rsidRDefault="008F4E37" w:rsidP="00666DFC">
      <w:pPr>
        <w:snapToGrid w:val="0"/>
        <w:spacing w:after="0" w:line="240" w:lineRule="auto"/>
        <w:ind w:firstLine="425"/>
        <w:rPr>
          <w:rFonts w:cs="Times New Roman"/>
          <w:sz w:val="20"/>
          <w:szCs w:val="20"/>
        </w:rPr>
      </w:pPr>
      <w:r w:rsidRPr="000A7305">
        <w:rPr>
          <w:rFonts w:cs="Times New Roman"/>
          <w:sz w:val="20"/>
          <w:szCs w:val="20"/>
        </w:rPr>
        <w:t>The Measurement of hepatic fibrosis helps to stage the severity of disease, and also allows serial determination of disease progression. Further, the fibrosis progression rate is an important predictor of the time to develop cirrhosis. Moreover, with growing evidence that fibrosis is reversible; methods will need to assess both progression and regression accurately (12).</w:t>
      </w:r>
    </w:p>
    <w:p w:rsidR="009E5488" w:rsidRPr="000A7305" w:rsidRDefault="006D66E1" w:rsidP="00666DFC">
      <w:pPr>
        <w:snapToGrid w:val="0"/>
        <w:spacing w:after="0" w:line="240" w:lineRule="auto"/>
        <w:ind w:firstLine="425"/>
        <w:rPr>
          <w:rFonts w:cs="Times New Roman"/>
          <w:sz w:val="20"/>
          <w:szCs w:val="20"/>
        </w:rPr>
      </w:pPr>
      <w:r w:rsidRPr="000A7305">
        <w:rPr>
          <w:rFonts w:cs="Times New Roman"/>
          <w:sz w:val="20"/>
          <w:szCs w:val="20"/>
        </w:rPr>
        <w:t>Hyaluronic acid (HA) is a high molecular weight glycosaminoglycan which is an essential component of extracellular matrix in almost every tissue in the body (</w:t>
      </w:r>
      <w:r w:rsidR="007F46FE" w:rsidRPr="000A7305">
        <w:rPr>
          <w:rFonts w:cs="Times New Roman"/>
          <w:sz w:val="20"/>
          <w:szCs w:val="20"/>
        </w:rPr>
        <w:t>1</w:t>
      </w:r>
      <w:r w:rsidR="00B0203B" w:rsidRPr="000A7305">
        <w:rPr>
          <w:rFonts w:cs="Times New Roman"/>
          <w:sz w:val="20"/>
          <w:szCs w:val="20"/>
        </w:rPr>
        <w:t>3</w:t>
      </w:r>
      <w:r w:rsidRPr="000A7305">
        <w:rPr>
          <w:rFonts w:cs="Times New Roman"/>
          <w:sz w:val="20"/>
          <w:szCs w:val="20"/>
        </w:rPr>
        <w:t>). In the liver, HA is mostly synthesized by the hepatic stellate cells and removed via sinusoidal cell adhesion molecules (</w:t>
      </w:r>
      <w:r w:rsidR="007F46FE" w:rsidRPr="000A7305">
        <w:rPr>
          <w:rFonts w:cs="Times New Roman"/>
          <w:sz w:val="20"/>
          <w:szCs w:val="20"/>
        </w:rPr>
        <w:t>1</w:t>
      </w:r>
      <w:r w:rsidR="00B0203B" w:rsidRPr="000A7305">
        <w:rPr>
          <w:rFonts w:cs="Times New Roman"/>
          <w:sz w:val="20"/>
          <w:szCs w:val="20"/>
        </w:rPr>
        <w:t>4</w:t>
      </w:r>
      <w:r w:rsidRPr="000A7305">
        <w:rPr>
          <w:rFonts w:cs="Times New Roman"/>
          <w:sz w:val="20"/>
          <w:szCs w:val="20"/>
        </w:rPr>
        <w:t>). This mechanism is impaired in fibrosis, leading to a rise in serum levels of HA. Therefore, serum HA is considered a marker that appears early before pathological changes occur (1</w:t>
      </w:r>
      <w:r w:rsidR="00B0203B" w:rsidRPr="000A7305">
        <w:rPr>
          <w:rFonts w:cs="Times New Roman"/>
          <w:sz w:val="20"/>
          <w:szCs w:val="20"/>
        </w:rPr>
        <w:t>5</w:t>
      </w:r>
      <w:r w:rsidRPr="000A7305">
        <w:rPr>
          <w:rFonts w:cs="Times New Roman"/>
          <w:sz w:val="20"/>
          <w:szCs w:val="20"/>
        </w:rPr>
        <w:t xml:space="preserve">). </w:t>
      </w:r>
    </w:p>
    <w:p w:rsidR="009E5488" w:rsidRPr="000A7305" w:rsidRDefault="009E5488" w:rsidP="00666DFC">
      <w:pPr>
        <w:snapToGrid w:val="0"/>
        <w:spacing w:after="0" w:line="240" w:lineRule="auto"/>
        <w:ind w:firstLine="425"/>
        <w:rPr>
          <w:rFonts w:cs="Times New Roman"/>
          <w:sz w:val="20"/>
          <w:szCs w:val="20"/>
          <w:lang w:eastAsia="zh-CN"/>
        </w:rPr>
      </w:pPr>
      <w:r w:rsidRPr="000A7305">
        <w:rPr>
          <w:rFonts w:cs="Times New Roman"/>
          <w:sz w:val="20"/>
          <w:szCs w:val="20"/>
        </w:rPr>
        <w:t>In the current study, we evaluated serum hyaluronic acid (HA) as a marker for hepatic fibrosis as it has been reported that there was significant association between the level of serum HA and the extent of liver fibrosis, indicating that higher levels of HA were highly associated with advanced stages of liver fibrosis.</w:t>
      </w:r>
      <w:r w:rsidRPr="000A7305">
        <w:rPr>
          <w:rFonts w:cs="Times New Roman"/>
          <w:b/>
          <w:bCs/>
          <w:sz w:val="20"/>
          <w:szCs w:val="20"/>
        </w:rPr>
        <w:t xml:space="preserve"> </w:t>
      </w:r>
      <w:r w:rsidRPr="000A7305">
        <w:rPr>
          <w:rFonts w:cs="Times New Roman"/>
          <w:sz w:val="20"/>
          <w:szCs w:val="20"/>
        </w:rPr>
        <w:t xml:space="preserve">The fact that HA has close relationship with stellate cells and that the activation of stellate cells is crucial for developing hepatic fibrosis led to the hypothesis that serum levels of HA could be significantly associated with fibrosis. Serum HA is considered as a marker that appears early even before advanced pathological changes occur (16). </w:t>
      </w:r>
    </w:p>
    <w:p w:rsidR="00E5246E" w:rsidRDefault="00E5246E" w:rsidP="00666DFC">
      <w:pPr>
        <w:snapToGrid w:val="0"/>
        <w:spacing w:after="0" w:line="240" w:lineRule="auto"/>
        <w:ind w:firstLine="425"/>
        <w:rPr>
          <w:rFonts w:cs="Times New Roman" w:hint="eastAsia"/>
          <w:sz w:val="20"/>
          <w:szCs w:val="20"/>
          <w:lang w:eastAsia="zh-CN"/>
        </w:rPr>
      </w:pPr>
    </w:p>
    <w:p w:rsidR="000A7305" w:rsidRPr="000A7305" w:rsidRDefault="000A7305" w:rsidP="00666DFC">
      <w:pPr>
        <w:snapToGrid w:val="0"/>
        <w:spacing w:after="0" w:line="240" w:lineRule="auto"/>
        <w:ind w:firstLine="425"/>
        <w:rPr>
          <w:rFonts w:cs="Times New Roman"/>
          <w:sz w:val="20"/>
          <w:szCs w:val="20"/>
          <w:lang w:eastAsia="zh-CN"/>
        </w:rPr>
      </w:pPr>
    </w:p>
    <w:p w:rsidR="002547BB" w:rsidRPr="000A7305" w:rsidRDefault="00E5246E" w:rsidP="00666DFC">
      <w:pPr>
        <w:pStyle w:val="Heading1"/>
        <w:rPr>
          <w:szCs w:val="20"/>
        </w:rPr>
      </w:pPr>
      <w:bookmarkStart w:id="2" w:name="_Toc476621945"/>
      <w:r w:rsidRPr="000A7305">
        <w:rPr>
          <w:szCs w:val="20"/>
        </w:rPr>
        <w:t>Patients And Methods</w:t>
      </w:r>
      <w:bookmarkEnd w:id="2"/>
    </w:p>
    <w:p w:rsidR="006D66E1" w:rsidRPr="000A7305" w:rsidRDefault="002547BB" w:rsidP="00666DFC">
      <w:pPr>
        <w:snapToGrid w:val="0"/>
        <w:spacing w:after="0" w:line="240" w:lineRule="auto"/>
        <w:ind w:firstLine="425"/>
        <w:rPr>
          <w:rFonts w:cs="Times New Roman"/>
          <w:sz w:val="20"/>
          <w:szCs w:val="20"/>
        </w:rPr>
      </w:pPr>
      <w:r w:rsidRPr="000A7305">
        <w:rPr>
          <w:rFonts w:cs="Times New Roman"/>
          <w:sz w:val="20"/>
          <w:szCs w:val="20"/>
        </w:rPr>
        <w:t>T</w:t>
      </w:r>
      <w:r w:rsidR="006D66E1" w:rsidRPr="000A7305">
        <w:rPr>
          <w:rFonts w:cs="Times New Roman"/>
          <w:sz w:val="20"/>
          <w:szCs w:val="20"/>
        </w:rPr>
        <w:t xml:space="preserve">his </w:t>
      </w:r>
      <w:r w:rsidR="004F65EE" w:rsidRPr="000A7305">
        <w:rPr>
          <w:rFonts w:cs="Times New Roman"/>
          <w:sz w:val="20"/>
          <w:szCs w:val="20"/>
        </w:rPr>
        <w:t>study</w:t>
      </w:r>
      <w:r w:rsidR="006D66E1" w:rsidRPr="000A7305">
        <w:rPr>
          <w:rFonts w:cs="Times New Roman"/>
          <w:sz w:val="20"/>
          <w:szCs w:val="20"/>
        </w:rPr>
        <w:t xml:space="preserve"> was carried out on β-thalassemic children with chronic </w:t>
      </w:r>
      <w:r w:rsidR="004F65EE" w:rsidRPr="000A7305">
        <w:rPr>
          <w:rFonts w:cs="Times New Roman"/>
          <w:sz w:val="20"/>
          <w:szCs w:val="20"/>
        </w:rPr>
        <w:t>HCV infection</w:t>
      </w:r>
      <w:r w:rsidR="006D66E1" w:rsidRPr="000A7305">
        <w:rPr>
          <w:rFonts w:cs="Times New Roman"/>
          <w:sz w:val="20"/>
          <w:szCs w:val="20"/>
        </w:rPr>
        <w:t xml:space="preserve"> at the Hematology Unit, Pediatric Department, Tanta University Hospital</w:t>
      </w:r>
      <w:r w:rsidR="003323CF" w:rsidRPr="000A7305">
        <w:rPr>
          <w:rFonts w:cs="Times New Roman"/>
          <w:sz w:val="20"/>
          <w:szCs w:val="20"/>
        </w:rPr>
        <w:t xml:space="preserve">, after approval by the ethical committee of the Faculty of Medicine, Tanta University. </w:t>
      </w:r>
      <w:r w:rsidR="006003C6" w:rsidRPr="000A7305">
        <w:rPr>
          <w:rFonts w:cs="Times New Roman"/>
          <w:sz w:val="20"/>
          <w:szCs w:val="20"/>
        </w:rPr>
        <w:t>HCV</w:t>
      </w:r>
      <w:r w:rsidR="00B52784" w:rsidRPr="000A7305">
        <w:rPr>
          <w:rFonts w:cs="Times New Roman"/>
          <w:sz w:val="20"/>
          <w:szCs w:val="20"/>
        </w:rPr>
        <w:t xml:space="preserve"> infection was initially diagnosed by serological detection of HCV-Ab then confirmed by polymerase chain reaction (PCR) for HCV RNA in </w:t>
      </w:r>
      <w:r w:rsidR="00B52784" w:rsidRPr="000A7305">
        <w:rPr>
          <w:rFonts w:cs="Times New Roman"/>
          <w:sz w:val="20"/>
          <w:szCs w:val="20"/>
        </w:rPr>
        <w:lastRenderedPageBreak/>
        <w:t xml:space="preserve">the serum. </w:t>
      </w:r>
      <w:r w:rsidR="006D66E1" w:rsidRPr="000A7305">
        <w:rPr>
          <w:rFonts w:cs="Times New Roman"/>
          <w:sz w:val="20"/>
          <w:szCs w:val="20"/>
        </w:rPr>
        <w:t>We recorded 7</w:t>
      </w:r>
      <w:r w:rsidR="003323CF" w:rsidRPr="000A7305">
        <w:rPr>
          <w:rFonts w:cs="Times New Roman"/>
          <w:sz w:val="20"/>
          <w:szCs w:val="20"/>
        </w:rPr>
        <w:t>2</w:t>
      </w:r>
      <w:r w:rsidR="006D66E1" w:rsidRPr="000A7305">
        <w:rPr>
          <w:rFonts w:cs="Times New Roman"/>
          <w:sz w:val="20"/>
          <w:szCs w:val="20"/>
        </w:rPr>
        <w:t xml:space="preserve"> children with positive HCV, 18 of them were excluded as they were less than 12 years old</w:t>
      </w:r>
      <w:r w:rsidR="003323CF" w:rsidRPr="000A7305">
        <w:rPr>
          <w:rFonts w:cs="Times New Roman"/>
          <w:sz w:val="20"/>
          <w:szCs w:val="20"/>
        </w:rPr>
        <w:t>,</w:t>
      </w:r>
      <w:r w:rsidR="0049711F" w:rsidRPr="000A7305">
        <w:rPr>
          <w:rFonts w:cs="Times New Roman"/>
          <w:sz w:val="20"/>
          <w:szCs w:val="20"/>
        </w:rPr>
        <w:t xml:space="preserve"> which is</w:t>
      </w:r>
      <w:r w:rsidR="003323CF" w:rsidRPr="000A7305">
        <w:rPr>
          <w:rFonts w:cs="Times New Roman"/>
          <w:sz w:val="20"/>
          <w:szCs w:val="20"/>
        </w:rPr>
        <w:t xml:space="preserve"> the age of </w:t>
      </w:r>
      <w:r w:rsidR="0049711F" w:rsidRPr="000A7305">
        <w:rPr>
          <w:rFonts w:cs="Times New Roman"/>
          <w:sz w:val="20"/>
          <w:szCs w:val="20"/>
        </w:rPr>
        <w:t xml:space="preserve">FDA </w:t>
      </w:r>
      <w:r w:rsidR="003323CF" w:rsidRPr="000A7305">
        <w:rPr>
          <w:rFonts w:cs="Times New Roman"/>
          <w:sz w:val="20"/>
          <w:szCs w:val="20"/>
        </w:rPr>
        <w:t xml:space="preserve">approval for </w:t>
      </w:r>
      <w:r w:rsidR="0049711F" w:rsidRPr="000A7305">
        <w:rPr>
          <w:rFonts w:cs="Times New Roman"/>
          <w:sz w:val="20"/>
          <w:szCs w:val="20"/>
        </w:rPr>
        <w:t xml:space="preserve">the use of </w:t>
      </w:r>
      <w:r w:rsidR="003323CF" w:rsidRPr="000A7305">
        <w:rPr>
          <w:rFonts w:cs="Times New Roman"/>
          <w:sz w:val="20"/>
          <w:szCs w:val="20"/>
        </w:rPr>
        <w:t>DAAs in children,</w:t>
      </w:r>
      <w:r w:rsidR="006D66E1" w:rsidRPr="000A7305">
        <w:rPr>
          <w:rFonts w:cs="Times New Roman"/>
          <w:sz w:val="20"/>
          <w:szCs w:val="20"/>
        </w:rPr>
        <w:t xml:space="preserve"> and </w:t>
      </w:r>
      <w:r w:rsidR="001205B0" w:rsidRPr="000A7305">
        <w:rPr>
          <w:rFonts w:cs="Times New Roman"/>
          <w:sz w:val="20"/>
          <w:szCs w:val="20"/>
        </w:rPr>
        <w:t>two</w:t>
      </w:r>
      <w:r w:rsidR="006D66E1" w:rsidRPr="000A7305">
        <w:rPr>
          <w:rFonts w:cs="Times New Roman"/>
          <w:sz w:val="20"/>
          <w:szCs w:val="20"/>
        </w:rPr>
        <w:t xml:space="preserve"> child</w:t>
      </w:r>
      <w:r w:rsidR="00A8679C" w:rsidRPr="000A7305">
        <w:rPr>
          <w:rFonts w:cs="Times New Roman"/>
          <w:sz w:val="20"/>
          <w:szCs w:val="20"/>
        </w:rPr>
        <w:t>ren were excluded due to HBV co-</w:t>
      </w:r>
      <w:r w:rsidR="006D66E1" w:rsidRPr="000A7305">
        <w:rPr>
          <w:rFonts w:cs="Times New Roman"/>
          <w:sz w:val="20"/>
          <w:szCs w:val="20"/>
        </w:rPr>
        <w:t xml:space="preserve">infection. </w:t>
      </w:r>
      <w:r w:rsidR="003323CF" w:rsidRPr="000A7305">
        <w:rPr>
          <w:rFonts w:cs="Times New Roman"/>
          <w:sz w:val="20"/>
          <w:szCs w:val="20"/>
        </w:rPr>
        <w:t xml:space="preserve">The remaining 52 children were recruited in the study. </w:t>
      </w:r>
    </w:p>
    <w:p w:rsidR="006D66E1" w:rsidRPr="000A7305" w:rsidRDefault="00B52784" w:rsidP="00666DFC">
      <w:pPr>
        <w:snapToGrid w:val="0"/>
        <w:spacing w:after="0" w:line="240" w:lineRule="auto"/>
        <w:ind w:firstLine="425"/>
        <w:rPr>
          <w:rFonts w:cs="Times New Roman"/>
          <w:sz w:val="20"/>
          <w:szCs w:val="20"/>
        </w:rPr>
      </w:pPr>
      <w:r w:rsidRPr="000A7305">
        <w:rPr>
          <w:rFonts w:cs="Times New Roman"/>
          <w:sz w:val="20"/>
          <w:szCs w:val="20"/>
        </w:rPr>
        <w:t xml:space="preserve">They </w:t>
      </w:r>
      <w:r w:rsidR="003323CF" w:rsidRPr="000A7305">
        <w:rPr>
          <w:rFonts w:cs="Times New Roman"/>
          <w:sz w:val="20"/>
          <w:szCs w:val="20"/>
        </w:rPr>
        <w:t xml:space="preserve">received </w:t>
      </w:r>
      <w:r w:rsidR="006003C6" w:rsidRPr="000A7305">
        <w:rPr>
          <w:rFonts w:cs="Times New Roman"/>
          <w:sz w:val="20"/>
          <w:szCs w:val="20"/>
        </w:rPr>
        <w:t>DAAs</w:t>
      </w:r>
      <w:r w:rsidR="003323CF" w:rsidRPr="000A7305">
        <w:rPr>
          <w:rFonts w:cs="Times New Roman"/>
          <w:sz w:val="20"/>
          <w:szCs w:val="20"/>
        </w:rPr>
        <w:t xml:space="preserve"> therapy in the form of Ledipasvir (90 mg)/Sofosbuvir (400 mg); as a </w:t>
      </w:r>
      <w:r w:rsidR="0049711F" w:rsidRPr="000A7305">
        <w:rPr>
          <w:rFonts w:cs="Times New Roman"/>
          <w:sz w:val="20"/>
          <w:szCs w:val="20"/>
        </w:rPr>
        <w:t xml:space="preserve">daily </w:t>
      </w:r>
      <w:r w:rsidR="003323CF" w:rsidRPr="000A7305">
        <w:rPr>
          <w:rFonts w:cs="Times New Roman"/>
          <w:sz w:val="20"/>
          <w:szCs w:val="20"/>
        </w:rPr>
        <w:t>single oral tablet for 12 weeks</w:t>
      </w:r>
      <w:r w:rsidR="006003C6" w:rsidRPr="000A7305">
        <w:rPr>
          <w:rFonts w:cs="Times New Roman"/>
          <w:sz w:val="20"/>
          <w:szCs w:val="20"/>
        </w:rPr>
        <w:t>, then</w:t>
      </w:r>
      <w:r w:rsidRPr="000A7305">
        <w:rPr>
          <w:rFonts w:cs="Times New Roman"/>
          <w:sz w:val="20"/>
          <w:szCs w:val="20"/>
        </w:rPr>
        <w:t xml:space="preserve"> r</w:t>
      </w:r>
      <w:r w:rsidR="003323CF" w:rsidRPr="000A7305">
        <w:rPr>
          <w:rFonts w:cs="Times New Roman"/>
          <w:sz w:val="20"/>
          <w:szCs w:val="20"/>
        </w:rPr>
        <w:t>e-evaluat</w:t>
      </w:r>
      <w:r w:rsidR="006003C6" w:rsidRPr="000A7305">
        <w:rPr>
          <w:rFonts w:cs="Times New Roman"/>
          <w:sz w:val="20"/>
          <w:szCs w:val="20"/>
        </w:rPr>
        <w:t>ed after another</w:t>
      </w:r>
      <w:r w:rsidR="0049711F" w:rsidRPr="000A7305">
        <w:rPr>
          <w:rFonts w:cs="Times New Roman"/>
          <w:sz w:val="20"/>
          <w:szCs w:val="20"/>
        </w:rPr>
        <w:t xml:space="preserve"> </w:t>
      </w:r>
      <w:r w:rsidR="003323CF" w:rsidRPr="000A7305">
        <w:rPr>
          <w:rFonts w:cs="Times New Roman"/>
          <w:sz w:val="20"/>
          <w:szCs w:val="20"/>
        </w:rPr>
        <w:t>12 weeks</w:t>
      </w:r>
      <w:r w:rsidRPr="000A7305">
        <w:rPr>
          <w:rFonts w:cs="Times New Roman"/>
          <w:sz w:val="20"/>
          <w:szCs w:val="20"/>
        </w:rPr>
        <w:t xml:space="preserve"> by PCR for HCV RNA to insure sustained viral remission</w:t>
      </w:r>
      <w:r w:rsidR="0049711F" w:rsidRPr="000A7305">
        <w:rPr>
          <w:rFonts w:cs="Times New Roman"/>
          <w:sz w:val="20"/>
          <w:szCs w:val="20"/>
        </w:rPr>
        <w:t xml:space="preserve"> (SVR)</w:t>
      </w:r>
      <w:r w:rsidRPr="000A7305">
        <w:rPr>
          <w:rFonts w:cs="Times New Roman"/>
          <w:sz w:val="20"/>
          <w:szCs w:val="20"/>
        </w:rPr>
        <w:t>.</w:t>
      </w:r>
    </w:p>
    <w:p w:rsidR="002547BB" w:rsidRPr="000A7305" w:rsidRDefault="00B52784"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Hyaluronic acid was used as a marker for assessment of hepatic fibrosis before and 12 weeks after the end of treatment</w:t>
      </w:r>
      <w:r w:rsidR="006003C6" w:rsidRPr="000A7305">
        <w:rPr>
          <w:rFonts w:cs="Times New Roman"/>
          <w:sz w:val="20"/>
          <w:szCs w:val="20"/>
        </w:rPr>
        <w:t xml:space="preserve"> using</w:t>
      </w:r>
      <w:r w:rsidRPr="000A7305">
        <w:rPr>
          <w:rFonts w:cs="Times New Roman"/>
          <w:sz w:val="20"/>
          <w:szCs w:val="20"/>
        </w:rPr>
        <w:t xml:space="preserve"> a double-antibody sandwich enzyme-lin</w:t>
      </w:r>
      <w:r w:rsidR="006003C6" w:rsidRPr="000A7305">
        <w:rPr>
          <w:rFonts w:cs="Times New Roman"/>
          <w:sz w:val="20"/>
          <w:szCs w:val="20"/>
        </w:rPr>
        <w:t xml:space="preserve">ked immunosorbent assay (ELISA). </w:t>
      </w:r>
      <w:r w:rsidR="00FD252A" w:rsidRPr="000A7305">
        <w:rPr>
          <w:rFonts w:cs="Times New Roman"/>
          <w:sz w:val="20"/>
          <w:szCs w:val="20"/>
        </w:rPr>
        <w:t xml:space="preserve">Another serological marker, Aspartate aminotransferase to platelet ratio index (APRI) was calculated for all our patients before and after DAADs. It </w:t>
      </w:r>
      <w:r w:rsidR="006003C6" w:rsidRPr="000A7305">
        <w:rPr>
          <w:rFonts w:cs="Times New Roman"/>
          <w:sz w:val="20"/>
          <w:szCs w:val="20"/>
        </w:rPr>
        <w:t>wa</w:t>
      </w:r>
      <w:r w:rsidR="00FD252A" w:rsidRPr="000A7305">
        <w:rPr>
          <w:rFonts w:cs="Times New Roman"/>
          <w:sz w:val="20"/>
          <w:szCs w:val="20"/>
        </w:rPr>
        <w:t>s calculated as</w:t>
      </w:r>
      <w:r w:rsidR="005E2051" w:rsidRPr="000A7305">
        <w:rPr>
          <w:rFonts w:cs="Times New Roman"/>
          <w:sz w:val="20"/>
          <w:szCs w:val="20"/>
        </w:rPr>
        <w:t>:</w:t>
      </w:r>
    </w:p>
    <w:p w:rsidR="005E2051" w:rsidRPr="000A7305" w:rsidRDefault="002547BB"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A</w:t>
      </w:r>
      <w:r w:rsidR="005E2051" w:rsidRPr="000A7305">
        <w:rPr>
          <w:rFonts w:cs="Times New Roman"/>
          <w:sz w:val="20"/>
          <w:szCs w:val="20"/>
        </w:rPr>
        <w:t xml:space="preserve">PRI = [AST level / </w:t>
      </w:r>
      <w:r w:rsidR="00BA343F" w:rsidRPr="000A7305">
        <w:rPr>
          <w:rFonts w:cs="Times New Roman"/>
          <w:sz w:val="20"/>
          <w:szCs w:val="20"/>
        </w:rPr>
        <w:t xml:space="preserve">Upper </w:t>
      </w:r>
      <w:r w:rsidR="005E2051" w:rsidRPr="000A7305">
        <w:rPr>
          <w:rFonts w:cs="Times New Roman"/>
          <w:sz w:val="20"/>
          <w:szCs w:val="20"/>
        </w:rPr>
        <w:t xml:space="preserve">limit of normal (ULN)] / </w:t>
      </w:r>
      <w:r w:rsidR="00BA343F" w:rsidRPr="000A7305">
        <w:rPr>
          <w:rFonts w:cs="Times New Roman"/>
          <w:sz w:val="20"/>
          <w:szCs w:val="20"/>
        </w:rPr>
        <w:t xml:space="preserve">Platelet </w:t>
      </w:r>
      <w:r w:rsidR="005E2051" w:rsidRPr="000A7305">
        <w:rPr>
          <w:rFonts w:cs="Times New Roman"/>
          <w:sz w:val="20"/>
          <w:szCs w:val="20"/>
        </w:rPr>
        <w:t>count (10</w:t>
      </w:r>
      <w:r w:rsidR="005E2051" w:rsidRPr="000A7305">
        <w:rPr>
          <w:rFonts w:cs="Times New Roman"/>
          <w:sz w:val="20"/>
          <w:szCs w:val="20"/>
          <w:vertAlign w:val="superscript"/>
        </w:rPr>
        <w:t>9</w:t>
      </w:r>
      <w:r w:rsidR="001D4C1C" w:rsidRPr="000A7305">
        <w:rPr>
          <w:rFonts w:cs="Times New Roman"/>
          <w:sz w:val="20"/>
          <w:szCs w:val="20"/>
          <w:vertAlign w:val="superscript"/>
        </w:rPr>
        <w:t xml:space="preserve"> </w:t>
      </w:r>
      <w:r w:rsidR="005E2051" w:rsidRPr="000A7305">
        <w:rPr>
          <w:rFonts w:cs="Times New Roman"/>
          <w:sz w:val="20"/>
          <w:szCs w:val="20"/>
        </w:rPr>
        <w:t xml:space="preserve">/l) x 100. </w:t>
      </w:r>
    </w:p>
    <w:p w:rsidR="00FD252A" w:rsidRPr="000A7305" w:rsidRDefault="001D4C1C"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 xml:space="preserve">An </w:t>
      </w:r>
      <w:r w:rsidR="005E2051" w:rsidRPr="000A7305">
        <w:rPr>
          <w:rFonts w:cs="Times New Roman"/>
          <w:sz w:val="20"/>
          <w:szCs w:val="20"/>
        </w:rPr>
        <w:t>APRI of ≤ 0.5 indicate</w:t>
      </w:r>
      <w:r w:rsidRPr="000A7305">
        <w:rPr>
          <w:rFonts w:cs="Times New Roman"/>
          <w:sz w:val="20"/>
          <w:szCs w:val="20"/>
        </w:rPr>
        <w:t>d</w:t>
      </w:r>
      <w:r w:rsidR="005E2051" w:rsidRPr="000A7305">
        <w:rPr>
          <w:rFonts w:cs="Times New Roman"/>
          <w:sz w:val="20"/>
          <w:szCs w:val="20"/>
        </w:rPr>
        <w:t xml:space="preserve"> no significant fibrosis, an APRI of ≥ 1.5 indicate</w:t>
      </w:r>
      <w:r w:rsidRPr="000A7305">
        <w:rPr>
          <w:rFonts w:cs="Times New Roman"/>
          <w:sz w:val="20"/>
          <w:szCs w:val="20"/>
        </w:rPr>
        <w:t>d</w:t>
      </w:r>
      <w:r w:rsidR="005E2051" w:rsidRPr="000A7305">
        <w:rPr>
          <w:rFonts w:cs="Times New Roman"/>
          <w:sz w:val="20"/>
          <w:szCs w:val="20"/>
        </w:rPr>
        <w:t xml:space="preserve"> significant fibrosis, </w:t>
      </w:r>
      <w:r w:rsidRPr="000A7305">
        <w:rPr>
          <w:rFonts w:cs="Times New Roman"/>
          <w:sz w:val="20"/>
          <w:szCs w:val="20"/>
        </w:rPr>
        <w:t>while figures i</w:t>
      </w:r>
      <w:r w:rsidR="005E2051" w:rsidRPr="000A7305">
        <w:rPr>
          <w:rFonts w:cs="Times New Roman"/>
          <w:sz w:val="20"/>
          <w:szCs w:val="20"/>
        </w:rPr>
        <w:t xml:space="preserve">n-between </w:t>
      </w:r>
      <w:r w:rsidRPr="000A7305">
        <w:rPr>
          <w:rFonts w:cs="Times New Roman"/>
          <w:sz w:val="20"/>
          <w:szCs w:val="20"/>
        </w:rPr>
        <w:t>were considered</w:t>
      </w:r>
      <w:r w:rsidR="005E2051" w:rsidRPr="000A7305">
        <w:rPr>
          <w:rFonts w:cs="Times New Roman"/>
          <w:sz w:val="20"/>
          <w:szCs w:val="20"/>
        </w:rPr>
        <w:t xml:space="preserve"> inconclusive</w:t>
      </w:r>
      <w:r w:rsidR="00FD252A" w:rsidRPr="000A7305">
        <w:rPr>
          <w:rFonts w:cs="Times New Roman"/>
          <w:sz w:val="20"/>
          <w:szCs w:val="20"/>
        </w:rPr>
        <w:t xml:space="preserve"> (</w:t>
      </w:r>
      <w:r w:rsidR="007F46FE" w:rsidRPr="000A7305">
        <w:rPr>
          <w:rFonts w:cs="Times New Roman"/>
          <w:sz w:val="20"/>
          <w:szCs w:val="20"/>
        </w:rPr>
        <w:t>1</w:t>
      </w:r>
      <w:r w:rsidR="00F61757" w:rsidRPr="000A7305">
        <w:rPr>
          <w:rFonts w:cs="Times New Roman"/>
          <w:sz w:val="20"/>
          <w:szCs w:val="20"/>
        </w:rPr>
        <w:t>7</w:t>
      </w:r>
      <w:r w:rsidR="00FD252A" w:rsidRPr="000A7305">
        <w:rPr>
          <w:rFonts w:cs="Times New Roman"/>
          <w:sz w:val="20"/>
          <w:szCs w:val="20"/>
        </w:rPr>
        <w:t>).</w:t>
      </w:r>
    </w:p>
    <w:p w:rsidR="00FD252A" w:rsidRPr="000A7305" w:rsidRDefault="00C202E6"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 xml:space="preserve">We also applied another non-invasive scoring system; Fibrosis-4 score (FIB-4). Using a lower cutoff value of 1.45, </w:t>
      </w:r>
      <w:r w:rsidR="0024346D" w:rsidRPr="000A7305">
        <w:rPr>
          <w:rFonts w:cs="Times New Roman"/>
          <w:sz w:val="20"/>
          <w:szCs w:val="20"/>
        </w:rPr>
        <w:t>and</w:t>
      </w:r>
      <w:r w:rsidRPr="000A7305">
        <w:rPr>
          <w:rFonts w:cs="Times New Roman"/>
          <w:sz w:val="20"/>
          <w:szCs w:val="20"/>
        </w:rPr>
        <w:t xml:space="preserve"> FIB-4 score &lt;1.45 had a negative predictive value of 90% for advanced fibrosis. In contrast, a FIB-4</w:t>
      </w:r>
      <w:r w:rsidR="001D4C1C" w:rsidRPr="000A7305">
        <w:rPr>
          <w:rFonts w:cs="Times New Roman"/>
          <w:sz w:val="20"/>
          <w:szCs w:val="20"/>
        </w:rPr>
        <w:t xml:space="preserve"> score</w:t>
      </w:r>
      <w:r w:rsidRPr="000A7305">
        <w:rPr>
          <w:rFonts w:cs="Times New Roman"/>
          <w:sz w:val="20"/>
          <w:szCs w:val="20"/>
        </w:rPr>
        <w:t xml:space="preserve"> &gt;3.25 would have a 97% specificity and a positive predictive valu</w:t>
      </w:r>
      <w:r w:rsidR="001D4C1C" w:rsidRPr="000A7305">
        <w:rPr>
          <w:rFonts w:cs="Times New Roman"/>
          <w:sz w:val="20"/>
          <w:szCs w:val="20"/>
        </w:rPr>
        <w:t xml:space="preserve">e of 65% for advanced fibrosis </w:t>
      </w:r>
      <w:r w:rsidRPr="000A7305">
        <w:rPr>
          <w:rFonts w:cs="Times New Roman"/>
          <w:sz w:val="20"/>
          <w:szCs w:val="20"/>
        </w:rPr>
        <w:t>(</w:t>
      </w:r>
      <w:r w:rsidR="00F61757" w:rsidRPr="000A7305">
        <w:rPr>
          <w:rFonts w:cs="Times New Roman"/>
          <w:sz w:val="20"/>
          <w:szCs w:val="20"/>
        </w:rPr>
        <w:t>18</w:t>
      </w:r>
      <w:r w:rsidRPr="000A7305">
        <w:rPr>
          <w:rFonts w:cs="Times New Roman"/>
          <w:sz w:val="20"/>
          <w:szCs w:val="20"/>
        </w:rPr>
        <w:t>)</w:t>
      </w:r>
      <w:r w:rsidR="001D4C1C" w:rsidRPr="000A7305">
        <w:rPr>
          <w:rFonts w:cs="Times New Roman"/>
          <w:sz w:val="20"/>
          <w:szCs w:val="20"/>
        </w:rPr>
        <w:t>.</w:t>
      </w:r>
    </w:p>
    <w:p w:rsidR="006D66E1" w:rsidRDefault="006D66E1" w:rsidP="00666DFC">
      <w:pPr>
        <w:autoSpaceDE w:val="0"/>
        <w:autoSpaceDN w:val="0"/>
        <w:adjustRightInd w:val="0"/>
        <w:snapToGrid w:val="0"/>
        <w:spacing w:after="0" w:line="240" w:lineRule="auto"/>
        <w:ind w:firstLine="425"/>
        <w:contextualSpacing/>
        <w:rPr>
          <w:rFonts w:cs="Times New Roman" w:hint="eastAsia"/>
          <w:color w:val="000000"/>
          <w:sz w:val="20"/>
          <w:szCs w:val="20"/>
          <w:lang w:eastAsia="zh-CN"/>
        </w:rPr>
      </w:pPr>
    </w:p>
    <w:p w:rsidR="000A7305" w:rsidRPr="000A7305" w:rsidRDefault="000A7305" w:rsidP="00666DFC">
      <w:pPr>
        <w:autoSpaceDE w:val="0"/>
        <w:autoSpaceDN w:val="0"/>
        <w:adjustRightInd w:val="0"/>
        <w:snapToGrid w:val="0"/>
        <w:spacing w:after="0" w:line="240" w:lineRule="auto"/>
        <w:ind w:firstLine="425"/>
        <w:contextualSpacing/>
        <w:rPr>
          <w:rFonts w:cs="Times New Roman" w:hint="eastAsia"/>
          <w:color w:val="000000"/>
          <w:sz w:val="20"/>
          <w:szCs w:val="20"/>
          <w:lang w:eastAsia="zh-CN"/>
        </w:rPr>
      </w:pPr>
    </w:p>
    <w:p w:rsidR="00EC4C55" w:rsidRPr="000A7305" w:rsidRDefault="00E5246E" w:rsidP="00666DFC">
      <w:pPr>
        <w:pStyle w:val="Heading1"/>
        <w:rPr>
          <w:szCs w:val="20"/>
        </w:rPr>
      </w:pPr>
      <w:bookmarkStart w:id="3" w:name="_Toc483407984"/>
      <w:r w:rsidRPr="000A7305">
        <w:rPr>
          <w:szCs w:val="20"/>
        </w:rPr>
        <w:t>Results</w:t>
      </w:r>
      <w:bookmarkEnd w:id="3"/>
    </w:p>
    <w:p w:rsidR="008F4E37" w:rsidRPr="000A7305" w:rsidRDefault="00BF4485"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 xml:space="preserve">Of the 52 patients who started the study, </w:t>
      </w:r>
      <w:r w:rsidR="001205B0" w:rsidRPr="000A7305">
        <w:rPr>
          <w:rFonts w:cs="Times New Roman"/>
          <w:sz w:val="20"/>
          <w:szCs w:val="20"/>
        </w:rPr>
        <w:t>two</w:t>
      </w:r>
      <w:r w:rsidR="003323CF" w:rsidRPr="000A7305">
        <w:rPr>
          <w:rFonts w:cs="Times New Roman"/>
          <w:sz w:val="20"/>
          <w:szCs w:val="20"/>
        </w:rPr>
        <w:t xml:space="preserve"> children </w:t>
      </w:r>
      <w:r w:rsidRPr="000A7305">
        <w:rPr>
          <w:rFonts w:cs="Times New Roman"/>
          <w:sz w:val="20"/>
          <w:szCs w:val="20"/>
        </w:rPr>
        <w:t>dropped out;</w:t>
      </w:r>
      <w:r w:rsidR="003323CF" w:rsidRPr="000A7305">
        <w:rPr>
          <w:rFonts w:cs="Times New Roman"/>
          <w:sz w:val="20"/>
          <w:szCs w:val="20"/>
        </w:rPr>
        <w:t xml:space="preserve"> one of them had negative PCR for HCV by the 8</w:t>
      </w:r>
      <w:r w:rsidR="003323CF" w:rsidRPr="000A7305">
        <w:rPr>
          <w:rFonts w:cs="Times New Roman"/>
          <w:sz w:val="20"/>
          <w:szCs w:val="20"/>
          <w:vertAlign w:val="superscript"/>
        </w:rPr>
        <w:t xml:space="preserve">th </w:t>
      </w:r>
      <w:r w:rsidR="003323CF" w:rsidRPr="000A7305">
        <w:rPr>
          <w:rFonts w:cs="Times New Roman"/>
          <w:sz w:val="20"/>
          <w:szCs w:val="20"/>
        </w:rPr>
        <w:t>week</w:t>
      </w:r>
      <w:r w:rsidRPr="000A7305">
        <w:rPr>
          <w:rFonts w:cs="Times New Roman"/>
          <w:sz w:val="20"/>
          <w:szCs w:val="20"/>
        </w:rPr>
        <w:t xml:space="preserve"> </w:t>
      </w:r>
      <w:r w:rsidR="008F4E37" w:rsidRPr="000A7305">
        <w:rPr>
          <w:rFonts w:cs="Times New Roman"/>
          <w:sz w:val="20"/>
          <w:szCs w:val="20"/>
        </w:rPr>
        <w:t>but</w:t>
      </w:r>
      <w:r w:rsidRPr="000A7305">
        <w:rPr>
          <w:rFonts w:cs="Times New Roman"/>
          <w:sz w:val="20"/>
          <w:szCs w:val="20"/>
        </w:rPr>
        <w:t xml:space="preserve"> did not complete treatment for the rest of the 12 weeks’ protocol,</w:t>
      </w:r>
      <w:r w:rsidR="003323CF" w:rsidRPr="000A7305">
        <w:rPr>
          <w:rFonts w:cs="Times New Roman"/>
          <w:sz w:val="20"/>
          <w:szCs w:val="20"/>
        </w:rPr>
        <w:t xml:space="preserve"> and the other </w:t>
      </w:r>
      <w:r w:rsidR="008F4E37" w:rsidRPr="000A7305">
        <w:rPr>
          <w:rFonts w:cs="Times New Roman"/>
          <w:sz w:val="20"/>
          <w:szCs w:val="20"/>
        </w:rPr>
        <w:t xml:space="preserve">one </w:t>
      </w:r>
      <w:r w:rsidRPr="000A7305">
        <w:rPr>
          <w:rFonts w:cs="Times New Roman"/>
          <w:sz w:val="20"/>
          <w:szCs w:val="20"/>
        </w:rPr>
        <w:t xml:space="preserve">stopped treatment on </w:t>
      </w:r>
      <w:r w:rsidR="008F4E37" w:rsidRPr="000A7305">
        <w:rPr>
          <w:rFonts w:cs="Times New Roman"/>
          <w:sz w:val="20"/>
          <w:szCs w:val="20"/>
        </w:rPr>
        <w:t>the second week of therapy</w:t>
      </w:r>
      <w:r w:rsidRPr="000A7305">
        <w:rPr>
          <w:rFonts w:cs="Times New Roman"/>
          <w:sz w:val="20"/>
          <w:szCs w:val="20"/>
        </w:rPr>
        <w:t xml:space="preserve"> and did not show for subsequent doses</w:t>
      </w:r>
      <w:r w:rsidR="003323CF" w:rsidRPr="000A7305">
        <w:rPr>
          <w:rFonts w:cs="Times New Roman"/>
          <w:sz w:val="20"/>
          <w:szCs w:val="20"/>
        </w:rPr>
        <w:t>.</w:t>
      </w:r>
      <w:r w:rsidRPr="000A7305">
        <w:rPr>
          <w:rFonts w:cs="Times New Roman"/>
          <w:sz w:val="20"/>
          <w:szCs w:val="20"/>
        </w:rPr>
        <w:t xml:space="preserve"> </w:t>
      </w:r>
      <w:r w:rsidR="006003C6" w:rsidRPr="000A7305">
        <w:rPr>
          <w:rFonts w:cs="Times New Roman"/>
          <w:sz w:val="20"/>
          <w:szCs w:val="20"/>
        </w:rPr>
        <w:t>The remaining 50</w:t>
      </w:r>
      <w:r w:rsidR="00D41832" w:rsidRPr="000A7305">
        <w:rPr>
          <w:rFonts w:cs="Times New Roman"/>
          <w:sz w:val="20"/>
          <w:szCs w:val="20"/>
        </w:rPr>
        <w:t xml:space="preserve"> children</w:t>
      </w:r>
      <w:r w:rsidR="001205B0" w:rsidRPr="000A7305">
        <w:rPr>
          <w:rFonts w:cs="Times New Roman"/>
          <w:sz w:val="20"/>
          <w:szCs w:val="20"/>
        </w:rPr>
        <w:t>,</w:t>
      </w:r>
      <w:r w:rsidR="00D41832" w:rsidRPr="000A7305">
        <w:rPr>
          <w:rFonts w:cs="Times New Roman"/>
          <w:sz w:val="20"/>
          <w:szCs w:val="20"/>
        </w:rPr>
        <w:t xml:space="preserve"> </w:t>
      </w:r>
      <w:r w:rsidR="001205B0" w:rsidRPr="000A7305">
        <w:rPr>
          <w:rFonts w:cs="Times New Roman"/>
          <w:sz w:val="20"/>
          <w:szCs w:val="20"/>
        </w:rPr>
        <w:t>completed the study and received treatment for a duration of 12 weeks</w:t>
      </w:r>
      <w:r w:rsidR="00D41832" w:rsidRPr="000A7305">
        <w:rPr>
          <w:rFonts w:cs="Times New Roman"/>
          <w:sz w:val="20"/>
          <w:szCs w:val="20"/>
        </w:rPr>
        <w:t xml:space="preserve"> and</w:t>
      </w:r>
      <w:r w:rsidR="001205B0" w:rsidRPr="000A7305">
        <w:rPr>
          <w:rFonts w:cs="Times New Roman"/>
          <w:sz w:val="20"/>
          <w:szCs w:val="20"/>
        </w:rPr>
        <w:t xml:space="preserve"> were</w:t>
      </w:r>
      <w:r w:rsidR="00D41832" w:rsidRPr="000A7305">
        <w:rPr>
          <w:rFonts w:cs="Times New Roman"/>
          <w:sz w:val="20"/>
          <w:szCs w:val="20"/>
        </w:rPr>
        <w:t xml:space="preserve"> reassessed again 12 weeks after </w:t>
      </w:r>
      <w:r w:rsidR="001205B0" w:rsidRPr="000A7305">
        <w:rPr>
          <w:rFonts w:cs="Times New Roman"/>
          <w:sz w:val="20"/>
          <w:szCs w:val="20"/>
        </w:rPr>
        <w:t xml:space="preserve">the </w:t>
      </w:r>
      <w:r w:rsidR="00D41832" w:rsidRPr="000A7305">
        <w:rPr>
          <w:rFonts w:cs="Times New Roman"/>
          <w:sz w:val="20"/>
          <w:szCs w:val="20"/>
        </w:rPr>
        <w:t>end of treatment</w:t>
      </w:r>
      <w:r w:rsidR="001205B0" w:rsidRPr="000A7305">
        <w:rPr>
          <w:rFonts w:cs="Times New Roman"/>
          <w:sz w:val="20"/>
          <w:szCs w:val="20"/>
        </w:rPr>
        <w:t xml:space="preserve">. </w:t>
      </w:r>
      <w:r w:rsidR="008F4E37" w:rsidRPr="000A7305">
        <w:rPr>
          <w:rFonts w:eastAsia="Calibri" w:cs="Times New Roman"/>
          <w:sz w:val="20"/>
          <w:szCs w:val="20"/>
        </w:rPr>
        <w:t>The mean age of patients who completed this study was 13.38 years (range: 12-18 years), 29 males and 21 females.</w:t>
      </w:r>
    </w:p>
    <w:p w:rsidR="00D41832" w:rsidRPr="000A7305" w:rsidRDefault="001205B0" w:rsidP="00666DFC">
      <w:pPr>
        <w:autoSpaceDE w:val="0"/>
        <w:autoSpaceDN w:val="0"/>
        <w:adjustRightInd w:val="0"/>
        <w:snapToGrid w:val="0"/>
        <w:spacing w:after="0" w:line="240" w:lineRule="auto"/>
        <w:ind w:firstLine="425"/>
        <w:rPr>
          <w:rFonts w:cs="Times New Roman"/>
          <w:color w:val="000000" w:themeColor="text1"/>
          <w:sz w:val="20"/>
          <w:szCs w:val="20"/>
        </w:rPr>
      </w:pPr>
      <w:r w:rsidRPr="000A7305">
        <w:rPr>
          <w:rFonts w:cs="Times New Roman"/>
          <w:sz w:val="20"/>
          <w:szCs w:val="20"/>
        </w:rPr>
        <w:t xml:space="preserve">A positive </w:t>
      </w:r>
      <w:r w:rsidR="00D41832" w:rsidRPr="000A7305">
        <w:rPr>
          <w:rFonts w:cs="Times New Roman"/>
          <w:color w:val="000000" w:themeColor="text1"/>
          <w:sz w:val="20"/>
          <w:szCs w:val="20"/>
        </w:rPr>
        <w:t>HCV PCR at baseline</w:t>
      </w:r>
      <w:r w:rsidRPr="000A7305">
        <w:rPr>
          <w:rFonts w:cs="Times New Roman"/>
          <w:color w:val="000000" w:themeColor="text1"/>
          <w:sz w:val="20"/>
          <w:szCs w:val="20"/>
        </w:rPr>
        <w:t xml:space="preserve"> was</w:t>
      </w:r>
      <w:r w:rsidR="00D41832" w:rsidRPr="000A7305">
        <w:rPr>
          <w:rFonts w:cs="Times New Roman"/>
          <w:color w:val="000000" w:themeColor="text1"/>
          <w:sz w:val="20"/>
          <w:szCs w:val="20"/>
        </w:rPr>
        <w:t xml:space="preserve"> </w:t>
      </w:r>
      <w:r w:rsidRPr="000A7305">
        <w:rPr>
          <w:rFonts w:cs="Times New Roman"/>
          <w:color w:val="000000" w:themeColor="text1"/>
          <w:sz w:val="20"/>
          <w:szCs w:val="20"/>
        </w:rPr>
        <w:t>a prerequisite</w:t>
      </w:r>
      <w:r w:rsidR="00D41832" w:rsidRPr="000A7305">
        <w:rPr>
          <w:rFonts w:cs="Times New Roman"/>
          <w:color w:val="000000" w:themeColor="text1"/>
          <w:sz w:val="20"/>
          <w:szCs w:val="20"/>
        </w:rPr>
        <w:t xml:space="preserve"> in 100% of patients</w:t>
      </w:r>
      <w:r w:rsidRPr="000A7305">
        <w:rPr>
          <w:rFonts w:cs="Times New Roman"/>
          <w:color w:val="000000" w:themeColor="text1"/>
          <w:sz w:val="20"/>
          <w:szCs w:val="20"/>
        </w:rPr>
        <w:t xml:space="preserve">, </w:t>
      </w:r>
      <w:r w:rsidR="00D41832" w:rsidRPr="000A7305">
        <w:rPr>
          <w:rFonts w:cs="Times New Roman"/>
          <w:color w:val="000000" w:themeColor="text1"/>
          <w:sz w:val="20"/>
          <w:szCs w:val="20"/>
        </w:rPr>
        <w:t xml:space="preserve">and </w:t>
      </w:r>
      <w:r w:rsidRPr="000A7305">
        <w:rPr>
          <w:rFonts w:cs="Times New Roman"/>
          <w:color w:val="000000" w:themeColor="text1"/>
          <w:sz w:val="20"/>
          <w:szCs w:val="20"/>
        </w:rPr>
        <w:t>was repeated for</w:t>
      </w:r>
      <w:r w:rsidR="00D41832" w:rsidRPr="000A7305">
        <w:rPr>
          <w:rFonts w:cs="Times New Roman"/>
          <w:color w:val="000000" w:themeColor="text1"/>
          <w:sz w:val="20"/>
          <w:szCs w:val="20"/>
        </w:rPr>
        <w:t xml:space="preserve"> reevaluation after 12 weeks at the end of treatment (EOT), as well as at 12 weeks </w:t>
      </w:r>
      <w:r w:rsidRPr="000A7305">
        <w:rPr>
          <w:rFonts w:cs="Times New Roman"/>
          <w:color w:val="000000" w:themeColor="text1"/>
          <w:sz w:val="20"/>
          <w:szCs w:val="20"/>
        </w:rPr>
        <w:t xml:space="preserve">later. HCV PCR </w:t>
      </w:r>
      <w:r w:rsidR="00D41832" w:rsidRPr="000A7305">
        <w:rPr>
          <w:rFonts w:cs="Times New Roman"/>
          <w:color w:val="000000" w:themeColor="text1"/>
          <w:sz w:val="20"/>
          <w:szCs w:val="20"/>
        </w:rPr>
        <w:t xml:space="preserve">became negative in 100% of patients with </w:t>
      </w:r>
      <w:r w:rsidR="004E0B73" w:rsidRPr="000A7305">
        <w:rPr>
          <w:rFonts w:cs="Times New Roman"/>
          <w:color w:val="000000" w:themeColor="text1"/>
          <w:sz w:val="20"/>
          <w:szCs w:val="20"/>
        </w:rPr>
        <w:t>SVR</w:t>
      </w:r>
      <w:r w:rsidR="00D41832" w:rsidRPr="000A7305">
        <w:rPr>
          <w:rFonts w:cs="Times New Roman"/>
          <w:color w:val="000000" w:themeColor="text1"/>
          <w:sz w:val="20"/>
          <w:szCs w:val="20"/>
        </w:rPr>
        <w:t xml:space="preserve">. </w:t>
      </w:r>
    </w:p>
    <w:p w:rsidR="00BF4485" w:rsidRPr="000A7305" w:rsidRDefault="00BF4485" w:rsidP="00666DFC">
      <w:pPr>
        <w:autoSpaceDE w:val="0"/>
        <w:autoSpaceDN w:val="0"/>
        <w:adjustRightInd w:val="0"/>
        <w:snapToGrid w:val="0"/>
        <w:spacing w:after="0" w:line="240" w:lineRule="auto"/>
        <w:ind w:firstLine="425"/>
        <w:rPr>
          <w:rFonts w:eastAsia="Calibri" w:cs="Times New Roman"/>
          <w:b/>
          <w:bCs/>
          <w:i/>
          <w:iCs/>
          <w:sz w:val="20"/>
          <w:szCs w:val="20"/>
        </w:rPr>
      </w:pPr>
      <w:r w:rsidRPr="000A7305">
        <w:rPr>
          <w:rFonts w:eastAsia="Calibri" w:cs="Times New Roman"/>
          <w:sz w:val="20"/>
          <w:szCs w:val="20"/>
        </w:rPr>
        <w:t xml:space="preserve">In pretreatment assessment with APRI, 12 patients had a score &lt; 0.5 (mild fibrosis), 32 patients had a score of 0.5 – 1.5 (moderate fibrosis) and 6 patients had a score &gt; 1.5 (severe fibrosis), whereas </w:t>
      </w:r>
      <w:r w:rsidRPr="000A7305">
        <w:rPr>
          <w:rFonts w:eastAsia="Calibri" w:cs="Times New Roman"/>
          <w:sz w:val="20"/>
          <w:szCs w:val="20"/>
        </w:rPr>
        <w:lastRenderedPageBreak/>
        <w:t>after treatment 15 patients had a score &lt; 0.5 (mild fibrosis), 35 patients had a score of 0.5 – 1.5 (moderate fibrosis) and none of them had a score &gt; 1.5 (severe fibrosis).</w:t>
      </w:r>
      <w:r w:rsidRPr="000A7305">
        <w:rPr>
          <w:rFonts w:eastAsia="Calibri" w:cs="Times New Roman"/>
          <w:b/>
          <w:bCs/>
          <w:i/>
          <w:iCs/>
          <w:sz w:val="20"/>
          <w:szCs w:val="20"/>
        </w:rPr>
        <w:t xml:space="preserve"> </w:t>
      </w:r>
      <w:r w:rsidRPr="000A7305">
        <w:rPr>
          <w:rFonts w:eastAsia="Calibri" w:cs="Times New Roman"/>
          <w:sz w:val="20"/>
          <w:szCs w:val="20"/>
        </w:rPr>
        <w:t xml:space="preserve">This demonstrates a statistically significant reduction in the number of patients with severe fibrosis, and redistribution of larger number of cases into the less severe </w:t>
      </w:r>
      <w:r w:rsidR="008F4E37" w:rsidRPr="000A7305">
        <w:rPr>
          <w:rFonts w:eastAsia="Calibri" w:cs="Times New Roman"/>
          <w:sz w:val="20"/>
          <w:szCs w:val="20"/>
        </w:rPr>
        <w:t>classes of fibroses (</w:t>
      </w:r>
      <w:r w:rsidRPr="000A7305">
        <w:rPr>
          <w:rFonts w:eastAsia="Calibri" w:cs="Times New Roman"/>
          <w:sz w:val="20"/>
          <w:szCs w:val="20"/>
        </w:rPr>
        <w:t>mild and moderate classes</w:t>
      </w:r>
      <w:r w:rsidR="008F4E37" w:rsidRPr="000A7305">
        <w:rPr>
          <w:rFonts w:eastAsia="Calibri" w:cs="Times New Roman"/>
          <w:sz w:val="20"/>
          <w:szCs w:val="20"/>
        </w:rPr>
        <w:t>)</w:t>
      </w:r>
      <w:r w:rsidRPr="000A7305">
        <w:rPr>
          <w:rFonts w:eastAsia="Calibri" w:cs="Times New Roman"/>
          <w:sz w:val="20"/>
          <w:szCs w:val="20"/>
        </w:rPr>
        <w:t xml:space="preserve"> (P.</w:t>
      </w:r>
      <w:r w:rsidRPr="000A7305">
        <w:rPr>
          <w:rFonts w:eastAsia="Calibri" w:cs="Times New Roman"/>
          <w:i/>
          <w:iCs/>
          <w:sz w:val="20"/>
          <w:szCs w:val="20"/>
        </w:rPr>
        <w:t>Value</w:t>
      </w:r>
      <w:r w:rsidRPr="000A7305">
        <w:rPr>
          <w:rFonts w:eastAsia="Calibri" w:cs="Times New Roman"/>
          <w:sz w:val="20"/>
          <w:szCs w:val="20"/>
        </w:rPr>
        <w:t xml:space="preserve"> </w:t>
      </w:r>
      <w:r w:rsidR="001205B0" w:rsidRPr="000A7305">
        <w:rPr>
          <w:rFonts w:eastAsia="Calibri" w:cs="Times New Roman"/>
          <w:sz w:val="20"/>
          <w:szCs w:val="20"/>
        </w:rPr>
        <w:t xml:space="preserve">0.039) </w:t>
      </w:r>
      <w:r w:rsidRPr="000A7305">
        <w:rPr>
          <w:rFonts w:eastAsia="Calibri" w:cs="Times New Roman"/>
          <w:b/>
          <w:bCs/>
          <w:i/>
          <w:iCs/>
          <w:sz w:val="20"/>
          <w:szCs w:val="20"/>
        </w:rPr>
        <w:t>(</w:t>
      </w:r>
      <w:r w:rsidR="000A7305">
        <w:rPr>
          <w:rFonts w:eastAsia="Calibri" w:cs="Times New Roman" w:hint="eastAsia"/>
          <w:b/>
          <w:bCs/>
          <w:i/>
          <w:iCs/>
          <w:sz w:val="20"/>
          <w:szCs w:val="20"/>
          <w:lang w:eastAsia="zh-CN"/>
        </w:rPr>
        <w:t>T</w:t>
      </w:r>
      <w:r w:rsidRPr="000A7305">
        <w:rPr>
          <w:rFonts w:eastAsia="Calibri" w:cs="Times New Roman"/>
          <w:b/>
          <w:bCs/>
          <w:i/>
          <w:iCs/>
          <w:sz w:val="20"/>
          <w:szCs w:val="20"/>
        </w:rPr>
        <w:t>able 1)</w:t>
      </w:r>
      <w:r w:rsidR="001205B0" w:rsidRPr="000A7305">
        <w:rPr>
          <w:rFonts w:eastAsia="Calibri" w:cs="Times New Roman"/>
          <w:b/>
          <w:bCs/>
          <w:i/>
          <w:iCs/>
          <w:sz w:val="20"/>
          <w:szCs w:val="20"/>
        </w:rPr>
        <w:t>.</w:t>
      </w:r>
      <w:r w:rsidR="002547BB" w:rsidRPr="000A7305">
        <w:rPr>
          <w:rFonts w:eastAsia="Calibri" w:cs="Times New Roman"/>
          <w:b/>
          <w:bCs/>
          <w:i/>
          <w:iCs/>
          <w:sz w:val="20"/>
          <w:szCs w:val="20"/>
        </w:rPr>
        <w:t xml:space="preserve"> </w:t>
      </w:r>
      <w:r w:rsidRPr="000A7305">
        <w:rPr>
          <w:rFonts w:eastAsia="Calibri" w:cs="Times New Roman"/>
          <w:sz w:val="20"/>
          <w:szCs w:val="20"/>
        </w:rPr>
        <w:t xml:space="preserve">The overall APRI values after treatment compared to those before treatment with </w:t>
      </w:r>
      <w:r w:rsidR="001205B0" w:rsidRPr="000A7305">
        <w:rPr>
          <w:rFonts w:eastAsia="Calibri" w:cs="Times New Roman"/>
          <w:sz w:val="20"/>
          <w:szCs w:val="20"/>
        </w:rPr>
        <w:t>DAAs</w:t>
      </w:r>
      <w:r w:rsidRPr="000A7305">
        <w:rPr>
          <w:rFonts w:eastAsia="Calibri" w:cs="Times New Roman"/>
          <w:sz w:val="20"/>
          <w:szCs w:val="20"/>
        </w:rPr>
        <w:t>, also demonstrated a statistically significant reduction (P.</w:t>
      </w:r>
      <w:r w:rsidRPr="000A7305">
        <w:rPr>
          <w:rFonts w:eastAsia="Calibri" w:cs="Times New Roman"/>
          <w:i/>
          <w:iCs/>
          <w:sz w:val="20"/>
          <w:szCs w:val="20"/>
        </w:rPr>
        <w:t>Value</w:t>
      </w:r>
      <w:r w:rsidRPr="000A7305">
        <w:rPr>
          <w:rFonts w:eastAsia="Calibri" w:cs="Times New Roman"/>
          <w:sz w:val="20"/>
          <w:szCs w:val="20"/>
        </w:rPr>
        <w:t xml:space="preserve"> &lt;0.001) </w:t>
      </w:r>
      <w:r w:rsidR="000A7305">
        <w:rPr>
          <w:rFonts w:eastAsia="Calibri" w:cs="Times New Roman"/>
          <w:b/>
          <w:bCs/>
          <w:i/>
          <w:iCs/>
          <w:sz w:val="20"/>
          <w:szCs w:val="20"/>
        </w:rPr>
        <w:lastRenderedPageBreak/>
        <w:t>(</w:t>
      </w:r>
      <w:r w:rsidR="000A7305">
        <w:rPr>
          <w:rFonts w:eastAsia="Calibri" w:cs="Times New Roman" w:hint="eastAsia"/>
          <w:b/>
          <w:bCs/>
          <w:i/>
          <w:iCs/>
          <w:sz w:val="20"/>
          <w:szCs w:val="20"/>
          <w:lang w:eastAsia="zh-CN"/>
        </w:rPr>
        <w:t>T</w:t>
      </w:r>
      <w:r w:rsidRPr="000A7305">
        <w:rPr>
          <w:rFonts w:eastAsia="Calibri" w:cs="Times New Roman"/>
          <w:b/>
          <w:bCs/>
          <w:i/>
          <w:iCs/>
          <w:sz w:val="20"/>
          <w:szCs w:val="20"/>
        </w:rPr>
        <w:t>able 2).</w:t>
      </w:r>
      <w:r w:rsidRPr="000A7305">
        <w:rPr>
          <w:rFonts w:eastAsia="Calibri" w:cs="Times New Roman"/>
          <w:sz w:val="20"/>
          <w:szCs w:val="20"/>
        </w:rPr>
        <w:t xml:space="preserve"> </w:t>
      </w:r>
      <w:r w:rsidR="001205B0" w:rsidRPr="000A7305">
        <w:rPr>
          <w:rFonts w:eastAsia="Calibri" w:cs="Times New Roman"/>
          <w:sz w:val="20"/>
          <w:szCs w:val="20"/>
        </w:rPr>
        <w:t xml:space="preserve">There </w:t>
      </w:r>
      <w:r w:rsidRPr="000A7305">
        <w:rPr>
          <w:rFonts w:eastAsia="Calibri" w:cs="Times New Roman"/>
          <w:sz w:val="20"/>
          <w:szCs w:val="20"/>
        </w:rPr>
        <w:t xml:space="preserve">was significant </w:t>
      </w:r>
      <w:r w:rsidR="001205B0" w:rsidRPr="000A7305">
        <w:rPr>
          <w:rFonts w:eastAsia="Calibri" w:cs="Times New Roman"/>
          <w:sz w:val="20"/>
          <w:szCs w:val="20"/>
        </w:rPr>
        <w:t xml:space="preserve">reduction </w:t>
      </w:r>
      <w:r w:rsidRPr="000A7305">
        <w:rPr>
          <w:rFonts w:eastAsia="Calibri" w:cs="Times New Roman"/>
          <w:sz w:val="20"/>
          <w:szCs w:val="20"/>
        </w:rPr>
        <w:t xml:space="preserve">in fibrosis-4 index after treatment in comparison </w:t>
      </w:r>
      <w:r w:rsidR="001205B0" w:rsidRPr="000A7305">
        <w:rPr>
          <w:rFonts w:eastAsia="Calibri" w:cs="Times New Roman"/>
          <w:sz w:val="20"/>
          <w:szCs w:val="20"/>
        </w:rPr>
        <w:t>to</w:t>
      </w:r>
      <w:r w:rsidRPr="000A7305">
        <w:rPr>
          <w:rFonts w:eastAsia="Calibri" w:cs="Times New Roman"/>
          <w:sz w:val="20"/>
          <w:szCs w:val="20"/>
        </w:rPr>
        <w:t xml:space="preserve"> their</w:t>
      </w:r>
      <w:r w:rsidR="001205B0" w:rsidRPr="000A7305">
        <w:rPr>
          <w:rFonts w:eastAsia="Calibri" w:cs="Times New Roman"/>
          <w:sz w:val="20"/>
          <w:szCs w:val="20"/>
        </w:rPr>
        <w:t xml:space="preserve"> pretreatment</w:t>
      </w:r>
      <w:r w:rsidRPr="000A7305">
        <w:rPr>
          <w:rFonts w:eastAsia="Calibri" w:cs="Times New Roman"/>
          <w:sz w:val="20"/>
          <w:szCs w:val="20"/>
        </w:rPr>
        <w:t xml:space="preserve"> values</w:t>
      </w:r>
      <w:r w:rsidR="00F1398B" w:rsidRPr="000A7305">
        <w:rPr>
          <w:rFonts w:eastAsia="Calibri" w:cs="Times New Roman"/>
          <w:sz w:val="20"/>
          <w:szCs w:val="20"/>
        </w:rPr>
        <w:t xml:space="preserve"> (P.</w:t>
      </w:r>
      <w:r w:rsidR="000A7305">
        <w:rPr>
          <w:rFonts w:eastAsia="Calibri" w:cs="Times New Roman" w:hint="eastAsia"/>
          <w:sz w:val="20"/>
          <w:szCs w:val="20"/>
          <w:lang w:eastAsia="zh-CN"/>
        </w:rPr>
        <w:t xml:space="preserve"> </w:t>
      </w:r>
      <w:r w:rsidR="00F1398B" w:rsidRPr="000A7305">
        <w:rPr>
          <w:rFonts w:eastAsia="Calibri" w:cs="Times New Roman"/>
          <w:i/>
          <w:iCs/>
          <w:sz w:val="20"/>
          <w:szCs w:val="20"/>
        </w:rPr>
        <w:t>Value</w:t>
      </w:r>
      <w:r w:rsidR="00F1398B" w:rsidRPr="000A7305">
        <w:rPr>
          <w:rFonts w:eastAsia="Calibri" w:cs="Times New Roman"/>
          <w:sz w:val="20"/>
          <w:szCs w:val="20"/>
        </w:rPr>
        <w:t xml:space="preserve"> &lt;0.001)</w:t>
      </w:r>
      <w:r w:rsidRPr="000A7305">
        <w:rPr>
          <w:rFonts w:eastAsia="Calibri" w:cs="Times New Roman"/>
          <w:sz w:val="20"/>
          <w:szCs w:val="20"/>
        </w:rPr>
        <w:t xml:space="preserve"> </w:t>
      </w:r>
      <w:r w:rsidR="000A7305">
        <w:rPr>
          <w:rFonts w:eastAsia="Calibri" w:cs="Times New Roman"/>
          <w:b/>
          <w:bCs/>
          <w:i/>
          <w:iCs/>
          <w:sz w:val="20"/>
          <w:szCs w:val="20"/>
        </w:rPr>
        <w:t>(</w:t>
      </w:r>
      <w:r w:rsidR="000A7305">
        <w:rPr>
          <w:rFonts w:eastAsia="Calibri" w:cs="Times New Roman" w:hint="eastAsia"/>
          <w:b/>
          <w:bCs/>
          <w:i/>
          <w:iCs/>
          <w:sz w:val="20"/>
          <w:szCs w:val="20"/>
          <w:lang w:eastAsia="zh-CN"/>
        </w:rPr>
        <w:t>T</w:t>
      </w:r>
      <w:r w:rsidRPr="000A7305">
        <w:rPr>
          <w:rFonts w:eastAsia="Calibri" w:cs="Times New Roman"/>
          <w:b/>
          <w:bCs/>
          <w:i/>
          <w:iCs/>
          <w:sz w:val="20"/>
          <w:szCs w:val="20"/>
        </w:rPr>
        <w:t>able 3)</w:t>
      </w:r>
      <w:r w:rsidR="001205B0" w:rsidRPr="000A7305">
        <w:rPr>
          <w:rFonts w:eastAsia="Calibri" w:cs="Times New Roman"/>
          <w:b/>
          <w:bCs/>
          <w:i/>
          <w:iCs/>
          <w:sz w:val="20"/>
          <w:szCs w:val="20"/>
        </w:rPr>
        <w:t>.</w:t>
      </w:r>
      <w:r w:rsidR="002547BB" w:rsidRPr="000A7305">
        <w:rPr>
          <w:rFonts w:eastAsia="Calibri" w:cs="Times New Roman"/>
          <w:b/>
          <w:bCs/>
          <w:i/>
          <w:iCs/>
          <w:sz w:val="20"/>
          <w:szCs w:val="20"/>
        </w:rPr>
        <w:t xml:space="preserve"> </w:t>
      </w:r>
      <w:r w:rsidR="001205B0" w:rsidRPr="000A7305">
        <w:rPr>
          <w:rFonts w:eastAsia="Calibri" w:cs="Times New Roman"/>
          <w:sz w:val="20"/>
          <w:szCs w:val="20"/>
        </w:rPr>
        <w:t>Treatment with DAAs led also to</w:t>
      </w:r>
      <w:r w:rsidRPr="000A7305">
        <w:rPr>
          <w:rFonts w:eastAsia="Calibri" w:cs="Times New Roman"/>
          <w:sz w:val="20"/>
          <w:szCs w:val="20"/>
        </w:rPr>
        <w:t xml:space="preserve"> significant </w:t>
      </w:r>
      <w:r w:rsidR="001205B0" w:rsidRPr="000A7305">
        <w:rPr>
          <w:rFonts w:eastAsia="Calibri" w:cs="Times New Roman"/>
          <w:sz w:val="20"/>
          <w:szCs w:val="20"/>
        </w:rPr>
        <w:t>reduction</w:t>
      </w:r>
      <w:r w:rsidRPr="000A7305">
        <w:rPr>
          <w:rFonts w:eastAsia="Calibri" w:cs="Times New Roman"/>
          <w:sz w:val="20"/>
          <w:szCs w:val="20"/>
        </w:rPr>
        <w:t xml:space="preserve"> </w:t>
      </w:r>
      <w:r w:rsidR="001205B0" w:rsidRPr="000A7305">
        <w:rPr>
          <w:rFonts w:eastAsia="Calibri" w:cs="Times New Roman"/>
          <w:sz w:val="20"/>
          <w:szCs w:val="20"/>
        </w:rPr>
        <w:t>of</w:t>
      </w:r>
      <w:r w:rsidRPr="000A7305">
        <w:rPr>
          <w:rFonts w:eastAsia="Calibri" w:cs="Times New Roman"/>
          <w:sz w:val="20"/>
          <w:szCs w:val="20"/>
        </w:rPr>
        <w:t xml:space="preserve"> serum hyaluronic acid in HCV infected patients in comparison with </w:t>
      </w:r>
      <w:r w:rsidR="001205B0" w:rsidRPr="000A7305">
        <w:rPr>
          <w:rFonts w:eastAsia="Calibri" w:cs="Times New Roman"/>
          <w:sz w:val="20"/>
          <w:szCs w:val="20"/>
        </w:rPr>
        <w:t xml:space="preserve">its </w:t>
      </w:r>
      <w:r w:rsidRPr="000A7305">
        <w:rPr>
          <w:rFonts w:eastAsia="Calibri" w:cs="Times New Roman"/>
          <w:sz w:val="20"/>
          <w:szCs w:val="20"/>
        </w:rPr>
        <w:t>pretreatment values for the same patients</w:t>
      </w:r>
      <w:r w:rsidR="00F1398B" w:rsidRPr="000A7305">
        <w:rPr>
          <w:rFonts w:eastAsia="Calibri" w:cs="Times New Roman"/>
          <w:sz w:val="20"/>
          <w:szCs w:val="20"/>
        </w:rPr>
        <w:t xml:space="preserve"> (P.</w:t>
      </w:r>
      <w:r w:rsidR="00F1398B" w:rsidRPr="000A7305">
        <w:rPr>
          <w:rFonts w:eastAsia="Calibri" w:cs="Times New Roman"/>
          <w:i/>
          <w:iCs/>
          <w:sz w:val="20"/>
          <w:szCs w:val="20"/>
        </w:rPr>
        <w:t>Value</w:t>
      </w:r>
      <w:r w:rsidR="00F1398B" w:rsidRPr="000A7305">
        <w:rPr>
          <w:rFonts w:eastAsia="Calibri" w:cs="Times New Roman"/>
          <w:sz w:val="20"/>
          <w:szCs w:val="20"/>
        </w:rPr>
        <w:t xml:space="preserve"> &lt;0.001)</w:t>
      </w:r>
      <w:r w:rsidR="004E0B73" w:rsidRPr="000A7305">
        <w:rPr>
          <w:rFonts w:eastAsia="Calibri" w:cs="Times New Roman"/>
          <w:b/>
          <w:bCs/>
          <w:i/>
          <w:iCs/>
          <w:sz w:val="20"/>
          <w:szCs w:val="20"/>
        </w:rPr>
        <w:t xml:space="preserve"> (</w:t>
      </w:r>
      <w:r w:rsidR="000A7305">
        <w:rPr>
          <w:rFonts w:eastAsia="Calibri" w:cs="Times New Roman" w:hint="eastAsia"/>
          <w:b/>
          <w:bCs/>
          <w:i/>
          <w:iCs/>
          <w:sz w:val="20"/>
          <w:szCs w:val="20"/>
          <w:lang w:eastAsia="zh-CN"/>
        </w:rPr>
        <w:t>T</w:t>
      </w:r>
      <w:r w:rsidR="004E0B73" w:rsidRPr="000A7305">
        <w:rPr>
          <w:rFonts w:eastAsia="Calibri" w:cs="Times New Roman"/>
          <w:b/>
          <w:bCs/>
          <w:i/>
          <w:iCs/>
          <w:sz w:val="20"/>
          <w:szCs w:val="20"/>
        </w:rPr>
        <w:t>able 4).</w:t>
      </w:r>
    </w:p>
    <w:p w:rsidR="0024346D" w:rsidRPr="000A7305" w:rsidRDefault="0024346D" w:rsidP="00666DFC">
      <w:pPr>
        <w:autoSpaceDE w:val="0"/>
        <w:autoSpaceDN w:val="0"/>
        <w:adjustRightInd w:val="0"/>
        <w:snapToGrid w:val="0"/>
        <w:spacing w:after="0" w:line="240" w:lineRule="auto"/>
        <w:ind w:firstLine="425"/>
        <w:rPr>
          <w:rFonts w:eastAsia="Calibri" w:cs="Times New Roman"/>
          <w:b/>
          <w:bCs/>
          <w:i/>
          <w:iCs/>
          <w:sz w:val="20"/>
          <w:szCs w:val="20"/>
        </w:rPr>
      </w:pPr>
      <w:r w:rsidRPr="000A7305">
        <w:rPr>
          <w:rFonts w:eastAsia="Calibri" w:cs="Times New Roman"/>
          <w:sz w:val="20"/>
          <w:szCs w:val="20"/>
        </w:rPr>
        <w:t>When we compared APRI values to serum hyaluronic, there was positive significant correlation as regard both pre-treatment and post-treatment value (P.</w:t>
      </w:r>
      <w:r w:rsidRPr="000A7305">
        <w:rPr>
          <w:rFonts w:eastAsia="Calibri" w:cs="Times New Roman"/>
          <w:i/>
          <w:iCs/>
          <w:sz w:val="20"/>
          <w:szCs w:val="20"/>
        </w:rPr>
        <w:t>Value</w:t>
      </w:r>
      <w:r w:rsidRPr="000A7305">
        <w:rPr>
          <w:rFonts w:eastAsia="Calibri" w:cs="Times New Roman"/>
          <w:sz w:val="20"/>
          <w:szCs w:val="20"/>
        </w:rPr>
        <w:t xml:space="preserve"> &lt;0.001) </w:t>
      </w:r>
      <w:r w:rsidRPr="000A7305">
        <w:rPr>
          <w:rFonts w:eastAsia="Calibri" w:cs="Times New Roman"/>
          <w:b/>
          <w:bCs/>
          <w:i/>
          <w:iCs/>
          <w:sz w:val="20"/>
          <w:szCs w:val="20"/>
        </w:rPr>
        <w:t>(Figure 1</w:t>
      </w:r>
      <w:r w:rsidR="002547BB" w:rsidRPr="000A7305">
        <w:rPr>
          <w:rFonts w:eastAsia="Calibri" w:cs="Times New Roman"/>
          <w:b/>
          <w:bCs/>
          <w:i/>
          <w:iCs/>
          <w:sz w:val="20"/>
          <w:szCs w:val="20"/>
        </w:rPr>
        <w:t xml:space="preserve"> &amp; </w:t>
      </w:r>
      <w:r w:rsidRPr="000A7305">
        <w:rPr>
          <w:rFonts w:eastAsia="Calibri" w:cs="Times New Roman"/>
          <w:b/>
          <w:bCs/>
          <w:i/>
          <w:iCs/>
          <w:sz w:val="20"/>
          <w:szCs w:val="20"/>
        </w:rPr>
        <w:t>2 respectively).</w:t>
      </w:r>
    </w:p>
    <w:p w:rsidR="00E5246E" w:rsidRPr="000A7305" w:rsidRDefault="00E5246E" w:rsidP="00666DFC">
      <w:pPr>
        <w:snapToGrid w:val="0"/>
        <w:spacing w:after="0" w:line="240" w:lineRule="auto"/>
        <w:ind w:firstLine="425"/>
        <w:rPr>
          <w:rFonts w:cs="Times New Roman"/>
          <w:color w:val="000000" w:themeColor="text1"/>
          <w:sz w:val="20"/>
          <w:szCs w:val="20"/>
        </w:rPr>
        <w:sectPr w:rsidR="00E5246E" w:rsidRPr="000A7305" w:rsidSect="00B015B7">
          <w:headerReference w:type="default" r:id="rId13"/>
          <w:pgSz w:w="12240" w:h="15840" w:code="9"/>
          <w:pgMar w:top="1440" w:right="1440" w:bottom="1440" w:left="1440" w:header="720" w:footer="720" w:gutter="0"/>
          <w:cols w:num="2" w:space="600"/>
          <w:docGrid w:linePitch="360"/>
        </w:sectPr>
      </w:pPr>
    </w:p>
    <w:p w:rsidR="00C679D4" w:rsidRPr="000A7305" w:rsidRDefault="00C679D4" w:rsidP="00666DFC">
      <w:pPr>
        <w:snapToGrid w:val="0"/>
        <w:spacing w:after="0" w:line="240" w:lineRule="auto"/>
        <w:ind w:firstLine="425"/>
        <w:rPr>
          <w:rFonts w:cs="Times New Roman"/>
          <w:color w:val="000000" w:themeColor="text1"/>
          <w:sz w:val="20"/>
          <w:szCs w:val="20"/>
        </w:rPr>
      </w:pPr>
    </w:p>
    <w:p w:rsidR="000A7305" w:rsidRDefault="000A7305" w:rsidP="00666DFC">
      <w:pPr>
        <w:snapToGrid w:val="0"/>
        <w:spacing w:after="0" w:line="240" w:lineRule="auto"/>
        <w:ind w:firstLine="0"/>
        <w:rPr>
          <w:rFonts w:eastAsiaTheme="minorEastAsia" w:cs="Times New Roman" w:hint="eastAsia"/>
          <w:b/>
          <w:bCs/>
          <w:iCs/>
          <w:sz w:val="20"/>
          <w:szCs w:val="20"/>
          <w:lang w:eastAsia="zh-CN"/>
        </w:rPr>
      </w:pPr>
    </w:p>
    <w:p w:rsidR="000A7305" w:rsidRDefault="000A7305" w:rsidP="00666DFC">
      <w:pPr>
        <w:snapToGrid w:val="0"/>
        <w:spacing w:after="0" w:line="240" w:lineRule="auto"/>
        <w:ind w:firstLine="0"/>
        <w:rPr>
          <w:rFonts w:eastAsiaTheme="minorEastAsia" w:cs="Times New Roman" w:hint="eastAsia"/>
          <w:b/>
          <w:bCs/>
          <w:iCs/>
          <w:sz w:val="20"/>
          <w:szCs w:val="20"/>
          <w:lang w:eastAsia="zh-CN"/>
        </w:rPr>
      </w:pPr>
    </w:p>
    <w:p w:rsidR="000A7305" w:rsidRDefault="000A7305" w:rsidP="00666DFC">
      <w:pPr>
        <w:snapToGrid w:val="0"/>
        <w:spacing w:after="0" w:line="240" w:lineRule="auto"/>
        <w:ind w:firstLine="0"/>
        <w:rPr>
          <w:rFonts w:eastAsiaTheme="minorEastAsia" w:cs="Times New Roman" w:hint="eastAsia"/>
          <w:b/>
          <w:bCs/>
          <w:iCs/>
          <w:sz w:val="20"/>
          <w:szCs w:val="20"/>
          <w:lang w:eastAsia="zh-CN"/>
        </w:rPr>
      </w:pPr>
    </w:p>
    <w:p w:rsidR="0024346D" w:rsidRPr="000A7305" w:rsidRDefault="00E5246E" w:rsidP="00666DFC">
      <w:pPr>
        <w:snapToGrid w:val="0"/>
        <w:spacing w:after="0" w:line="240" w:lineRule="auto"/>
        <w:ind w:firstLine="0"/>
        <w:rPr>
          <w:rFonts w:cs="Times New Roman"/>
          <w:color w:val="000000" w:themeColor="text1"/>
          <w:sz w:val="20"/>
          <w:szCs w:val="20"/>
        </w:rPr>
      </w:pPr>
      <w:r w:rsidRPr="000A7305">
        <w:rPr>
          <w:rFonts w:eastAsia="Calibri" w:cs="Times New Roman"/>
          <w:b/>
          <w:bCs/>
          <w:iCs/>
          <w:sz w:val="20"/>
          <w:szCs w:val="20"/>
        </w:rPr>
        <w:t>Table (1) Number of patients with different fibrosis grades by Aspartate transaminase platelet ratio index (</w:t>
      </w:r>
      <w:r w:rsidRPr="000A7305">
        <w:rPr>
          <w:rFonts w:eastAsia="Times New Roman" w:cs="Times New Roman"/>
          <w:b/>
          <w:bCs/>
          <w:sz w:val="20"/>
          <w:szCs w:val="20"/>
        </w:rPr>
        <w:t>APRI)</w:t>
      </w:r>
      <w:r w:rsidRPr="000A7305">
        <w:rPr>
          <w:rFonts w:eastAsia="Calibri" w:cs="Times New Roman"/>
          <w:b/>
          <w:bCs/>
          <w:iCs/>
          <w:sz w:val="20"/>
          <w:szCs w:val="20"/>
        </w:rPr>
        <w:t xml:space="preserve"> before and after treatment with direct acting antiviral drugs.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tblPr>
      <w:tblGrid>
        <w:gridCol w:w="2190"/>
        <w:gridCol w:w="2378"/>
        <w:gridCol w:w="2499"/>
        <w:gridCol w:w="1012"/>
        <w:gridCol w:w="1395"/>
      </w:tblGrid>
      <w:tr w:rsidR="00C679D4" w:rsidRPr="000A7305" w:rsidTr="00E5246E">
        <w:trPr>
          <w:jc w:val="center"/>
        </w:trPr>
        <w:tc>
          <w:tcPr>
            <w:tcW w:w="1156"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APRI</w:t>
            </w:r>
          </w:p>
        </w:tc>
        <w:tc>
          <w:tcPr>
            <w:tcW w:w="2574"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Number of patients</w:t>
            </w:r>
          </w:p>
        </w:tc>
        <w:tc>
          <w:tcPr>
            <w:tcW w:w="127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Chi-Square</w:t>
            </w:r>
          </w:p>
        </w:tc>
      </w:tr>
      <w:tr w:rsidR="002547BB" w:rsidRPr="000A7305" w:rsidTr="00E5246E">
        <w:trPr>
          <w:jc w:val="center"/>
        </w:trPr>
        <w:tc>
          <w:tcPr>
            <w:tcW w:w="1156"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p>
        </w:tc>
        <w:tc>
          <w:tcPr>
            <w:tcW w:w="125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Pre-treatment</w:t>
            </w:r>
          </w:p>
        </w:tc>
        <w:tc>
          <w:tcPr>
            <w:tcW w:w="131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Post-treatment</w:t>
            </w:r>
          </w:p>
        </w:tc>
        <w:tc>
          <w:tcPr>
            <w:tcW w:w="53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X</w:t>
            </w:r>
            <w:r w:rsidRPr="000A7305">
              <w:rPr>
                <w:rFonts w:eastAsia="Times New Roman" w:cs="Times New Roman"/>
                <w:b/>
                <w:bCs/>
                <w:sz w:val="20"/>
                <w:szCs w:val="20"/>
                <w:vertAlign w:val="superscript"/>
              </w:rPr>
              <w:t>2</w:t>
            </w:r>
          </w:p>
        </w:tc>
        <w:tc>
          <w:tcPr>
            <w:tcW w:w="73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P.</w:t>
            </w:r>
            <w:r w:rsidRPr="000A7305">
              <w:rPr>
                <w:rFonts w:eastAsia="Times New Roman" w:cs="Times New Roman"/>
                <w:b/>
                <w:bCs/>
                <w:i/>
                <w:iCs/>
                <w:sz w:val="20"/>
                <w:szCs w:val="20"/>
              </w:rPr>
              <w:t>Value</w:t>
            </w:r>
          </w:p>
        </w:tc>
      </w:tr>
      <w:tr w:rsidR="002547BB" w:rsidRPr="000A7305" w:rsidTr="00E5246E">
        <w:trPr>
          <w:jc w:val="center"/>
        </w:trPr>
        <w:tc>
          <w:tcPr>
            <w:tcW w:w="11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&lt; 0.5 APRI</w:t>
            </w:r>
          </w:p>
        </w:tc>
        <w:tc>
          <w:tcPr>
            <w:tcW w:w="12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12 (24 %)</w:t>
            </w:r>
          </w:p>
        </w:tc>
        <w:tc>
          <w:tcPr>
            <w:tcW w:w="13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15 (30 %)</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6.468</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0.039*</w:t>
            </w:r>
          </w:p>
        </w:tc>
      </w:tr>
      <w:tr w:rsidR="002547BB" w:rsidRPr="000A7305" w:rsidTr="00E5246E">
        <w:trPr>
          <w:jc w:val="center"/>
        </w:trPr>
        <w:tc>
          <w:tcPr>
            <w:tcW w:w="1156"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0.5-1.5 APRI</w:t>
            </w:r>
          </w:p>
        </w:tc>
        <w:tc>
          <w:tcPr>
            <w:tcW w:w="125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32 (64 %)</w:t>
            </w:r>
          </w:p>
        </w:tc>
        <w:tc>
          <w:tcPr>
            <w:tcW w:w="13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35 (70 %)</w:t>
            </w:r>
          </w:p>
        </w:tc>
        <w:tc>
          <w:tcPr>
            <w:tcW w:w="5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679D4" w:rsidRPr="000A7305" w:rsidRDefault="00C679D4" w:rsidP="00666DFC">
            <w:pPr>
              <w:snapToGrid w:val="0"/>
              <w:spacing w:after="0" w:line="240" w:lineRule="auto"/>
              <w:ind w:firstLine="0"/>
              <w:rPr>
                <w:rFonts w:eastAsia="Times New Roman" w:cs="Times New Roman"/>
                <w:sz w:val="20"/>
                <w:szCs w:val="20"/>
              </w:rPr>
            </w:pPr>
          </w:p>
        </w:tc>
        <w:tc>
          <w:tcPr>
            <w:tcW w:w="73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679D4" w:rsidRPr="000A7305" w:rsidRDefault="00C679D4" w:rsidP="00666DFC">
            <w:pPr>
              <w:snapToGrid w:val="0"/>
              <w:spacing w:after="0" w:line="240" w:lineRule="auto"/>
              <w:ind w:firstLine="0"/>
              <w:rPr>
                <w:rFonts w:eastAsia="Times New Roman" w:cs="Times New Roman"/>
                <w:sz w:val="20"/>
                <w:szCs w:val="20"/>
              </w:rPr>
            </w:pPr>
          </w:p>
        </w:tc>
      </w:tr>
      <w:tr w:rsidR="002547BB" w:rsidRPr="000A7305" w:rsidTr="00E5246E">
        <w:trPr>
          <w:jc w:val="center"/>
        </w:trPr>
        <w:tc>
          <w:tcPr>
            <w:tcW w:w="115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79D4" w:rsidRPr="000A7305" w:rsidRDefault="00C679D4" w:rsidP="00666DFC">
            <w:pPr>
              <w:snapToGrid w:val="0"/>
              <w:spacing w:after="0" w:line="240" w:lineRule="auto"/>
              <w:ind w:firstLine="0"/>
              <w:rPr>
                <w:rFonts w:eastAsia="Times New Roman" w:cs="Times New Roman"/>
                <w:b/>
                <w:bCs/>
                <w:sz w:val="20"/>
                <w:szCs w:val="20"/>
              </w:rPr>
            </w:pPr>
            <w:r w:rsidRPr="000A7305">
              <w:rPr>
                <w:rFonts w:eastAsia="Times New Roman" w:cs="Times New Roman"/>
                <w:b/>
                <w:bCs/>
                <w:sz w:val="20"/>
                <w:szCs w:val="20"/>
              </w:rPr>
              <w:t>&gt; 1.5 APRI</w:t>
            </w:r>
          </w:p>
        </w:tc>
        <w:tc>
          <w:tcPr>
            <w:tcW w:w="125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6 (12 %)</w:t>
            </w:r>
          </w:p>
        </w:tc>
        <w:tc>
          <w:tcPr>
            <w:tcW w:w="131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679D4" w:rsidRPr="000A7305" w:rsidRDefault="00C679D4" w:rsidP="00666DFC">
            <w:pPr>
              <w:snapToGrid w:val="0"/>
              <w:spacing w:after="0" w:line="240" w:lineRule="auto"/>
              <w:ind w:firstLine="0"/>
              <w:rPr>
                <w:rFonts w:eastAsia="Times New Roman" w:cs="Times New Roman"/>
                <w:sz w:val="20"/>
                <w:szCs w:val="20"/>
              </w:rPr>
            </w:pPr>
            <w:r w:rsidRPr="000A7305">
              <w:rPr>
                <w:rFonts w:eastAsia="Times New Roman" w:cs="Times New Roman"/>
                <w:sz w:val="20"/>
                <w:szCs w:val="20"/>
              </w:rPr>
              <w:t>0</w:t>
            </w:r>
          </w:p>
        </w:tc>
        <w:tc>
          <w:tcPr>
            <w:tcW w:w="5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679D4" w:rsidRPr="000A7305" w:rsidRDefault="00C679D4" w:rsidP="00666DFC">
            <w:pPr>
              <w:snapToGrid w:val="0"/>
              <w:spacing w:after="0" w:line="240" w:lineRule="auto"/>
              <w:ind w:firstLine="0"/>
              <w:rPr>
                <w:rFonts w:eastAsia="Times New Roman" w:cs="Times New Roman"/>
                <w:sz w:val="20"/>
                <w:szCs w:val="20"/>
              </w:rPr>
            </w:pPr>
          </w:p>
        </w:tc>
        <w:tc>
          <w:tcPr>
            <w:tcW w:w="73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679D4" w:rsidRPr="000A7305" w:rsidRDefault="00C679D4" w:rsidP="00666DFC">
            <w:pPr>
              <w:snapToGrid w:val="0"/>
              <w:spacing w:after="0" w:line="240" w:lineRule="auto"/>
              <w:ind w:firstLine="0"/>
              <w:rPr>
                <w:rFonts w:eastAsia="Times New Roman" w:cs="Times New Roman"/>
                <w:sz w:val="20"/>
                <w:szCs w:val="20"/>
              </w:rPr>
            </w:pPr>
          </w:p>
        </w:tc>
      </w:tr>
    </w:tbl>
    <w:p w:rsidR="00C679D4" w:rsidRDefault="00C679D4" w:rsidP="00666DFC">
      <w:pPr>
        <w:snapToGrid w:val="0"/>
        <w:spacing w:after="0" w:line="240" w:lineRule="auto"/>
        <w:ind w:firstLine="0"/>
        <w:rPr>
          <w:rFonts w:eastAsiaTheme="minorEastAsia" w:cs="Times New Roman" w:hint="eastAsia"/>
          <w:b/>
          <w:bCs/>
          <w:i/>
          <w:iCs/>
          <w:sz w:val="20"/>
          <w:szCs w:val="20"/>
          <w:lang w:eastAsia="zh-CN"/>
        </w:rPr>
      </w:pPr>
    </w:p>
    <w:p w:rsidR="000A7305" w:rsidRDefault="000A7305" w:rsidP="00666DFC">
      <w:pPr>
        <w:snapToGrid w:val="0"/>
        <w:spacing w:after="0" w:line="240" w:lineRule="auto"/>
        <w:ind w:firstLine="0"/>
        <w:rPr>
          <w:rFonts w:eastAsiaTheme="minorEastAsia" w:cs="Times New Roman" w:hint="eastAsia"/>
          <w:b/>
          <w:bCs/>
          <w:i/>
          <w:iCs/>
          <w:sz w:val="20"/>
          <w:szCs w:val="20"/>
          <w:lang w:eastAsia="zh-CN"/>
        </w:rPr>
      </w:pPr>
    </w:p>
    <w:p w:rsidR="000A7305" w:rsidRPr="000A7305" w:rsidRDefault="000A7305" w:rsidP="00666DFC">
      <w:pPr>
        <w:snapToGrid w:val="0"/>
        <w:spacing w:after="0" w:line="240" w:lineRule="auto"/>
        <w:ind w:firstLine="0"/>
        <w:rPr>
          <w:rFonts w:eastAsiaTheme="minorEastAsia" w:cs="Times New Roman"/>
          <w:b/>
          <w:bCs/>
          <w:i/>
          <w:iCs/>
          <w:sz w:val="20"/>
          <w:szCs w:val="20"/>
          <w:lang w:eastAsia="zh-CN"/>
        </w:rPr>
      </w:pPr>
    </w:p>
    <w:p w:rsidR="00E5246E" w:rsidRPr="000A7305" w:rsidRDefault="00E5246E" w:rsidP="00666DFC">
      <w:pPr>
        <w:snapToGrid w:val="0"/>
        <w:spacing w:after="0" w:line="240" w:lineRule="auto"/>
        <w:ind w:firstLine="0"/>
        <w:rPr>
          <w:rFonts w:eastAsiaTheme="minorEastAsia" w:cs="Times New Roman"/>
          <w:b/>
          <w:bCs/>
          <w:iCs/>
          <w:sz w:val="20"/>
          <w:szCs w:val="20"/>
          <w:lang w:eastAsia="zh-CN"/>
        </w:rPr>
      </w:pPr>
      <w:r w:rsidRPr="000A7305">
        <w:rPr>
          <w:rFonts w:eastAsia="Calibri" w:cs="Times New Roman"/>
          <w:b/>
          <w:bCs/>
          <w:iCs/>
          <w:sz w:val="20"/>
          <w:szCs w:val="20"/>
        </w:rPr>
        <w:t>Table (2) Comparison of aspartate transaminase platelets ratio index (APRI) values before and after treatment with direct acting antiviral drugs.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tblPr>
      <w:tblGrid>
        <w:gridCol w:w="2030"/>
        <w:gridCol w:w="1722"/>
        <w:gridCol w:w="1785"/>
        <w:gridCol w:w="1883"/>
        <w:gridCol w:w="921"/>
        <w:gridCol w:w="1133"/>
      </w:tblGrid>
      <w:tr w:rsidR="00BF4485" w:rsidRPr="000A7305" w:rsidTr="00E5246E">
        <w:trPr>
          <w:jc w:val="center"/>
        </w:trPr>
        <w:tc>
          <w:tcPr>
            <w:tcW w:w="107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Time</w:t>
            </w:r>
          </w:p>
        </w:tc>
        <w:tc>
          <w:tcPr>
            <w:tcW w:w="1851"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APRI</w:t>
            </w:r>
          </w:p>
        </w:tc>
        <w:tc>
          <w:tcPr>
            <w:tcW w:w="99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Differences</w:t>
            </w:r>
          </w:p>
        </w:tc>
        <w:tc>
          <w:tcPr>
            <w:tcW w:w="1084"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 xml:space="preserve">Paired </w:t>
            </w:r>
            <w:r w:rsidR="00C679D4" w:rsidRPr="000A7305">
              <w:rPr>
                <w:rFonts w:eastAsia="Times New Roman" w:cs="Times New Roman"/>
                <w:b/>
                <w:bCs/>
                <w:color w:val="000000"/>
                <w:sz w:val="20"/>
                <w:szCs w:val="20"/>
              </w:rPr>
              <w:t>T-</w:t>
            </w:r>
            <w:r w:rsidRPr="000A7305">
              <w:rPr>
                <w:rFonts w:eastAsia="Times New Roman" w:cs="Times New Roman"/>
                <w:b/>
                <w:bCs/>
                <w:color w:val="000000"/>
                <w:sz w:val="20"/>
                <w:szCs w:val="20"/>
              </w:rPr>
              <w:t>Test</w:t>
            </w:r>
          </w:p>
        </w:tc>
      </w:tr>
      <w:tr w:rsidR="002547BB" w:rsidRPr="000A7305" w:rsidTr="00E5246E">
        <w:trPr>
          <w:jc w:val="center"/>
        </w:trPr>
        <w:tc>
          <w:tcPr>
            <w:tcW w:w="107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p>
        </w:tc>
        <w:tc>
          <w:tcPr>
            <w:tcW w:w="90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Range</w:t>
            </w:r>
          </w:p>
        </w:tc>
        <w:tc>
          <w:tcPr>
            <w:tcW w:w="942"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Mean ± SD</w:t>
            </w:r>
          </w:p>
        </w:tc>
        <w:tc>
          <w:tcPr>
            <w:tcW w:w="994"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Mean ± SD</w:t>
            </w:r>
          </w:p>
        </w:tc>
        <w:tc>
          <w:tcPr>
            <w:tcW w:w="48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t.test</w:t>
            </w:r>
          </w:p>
        </w:tc>
        <w:tc>
          <w:tcPr>
            <w:tcW w:w="598"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w:t>
            </w:r>
            <w:r w:rsidRPr="000A7305">
              <w:rPr>
                <w:rFonts w:eastAsia="Times New Roman" w:cs="Times New Roman"/>
                <w:b/>
                <w:bCs/>
                <w:i/>
                <w:iCs/>
                <w:color w:val="000000"/>
                <w:sz w:val="20"/>
                <w:szCs w:val="20"/>
              </w:rPr>
              <w:t>Value</w:t>
            </w:r>
          </w:p>
        </w:tc>
      </w:tr>
      <w:tr w:rsidR="002547BB" w:rsidRPr="000A7305" w:rsidTr="00E5246E">
        <w:trPr>
          <w:jc w:val="center"/>
        </w:trPr>
        <w:tc>
          <w:tcPr>
            <w:tcW w:w="107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Pre</w:t>
            </w:r>
            <w:r w:rsidR="00C679D4" w:rsidRPr="000A7305">
              <w:rPr>
                <w:rFonts w:eastAsia="Times New Roman" w:cs="Times New Roman"/>
                <w:b/>
                <w:bCs/>
                <w:color w:val="000000"/>
                <w:sz w:val="20"/>
                <w:szCs w:val="20"/>
              </w:rPr>
              <w:t>-</w:t>
            </w:r>
            <w:r w:rsidRPr="000A7305">
              <w:rPr>
                <w:rFonts w:eastAsia="Times New Roman" w:cs="Times New Roman"/>
                <w:b/>
                <w:bCs/>
                <w:color w:val="000000"/>
                <w:sz w:val="20"/>
                <w:szCs w:val="20"/>
              </w:rPr>
              <w:t>treatment</w:t>
            </w:r>
          </w:p>
        </w:tc>
        <w:tc>
          <w:tcPr>
            <w:tcW w:w="9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0.220 - 1.988</w:t>
            </w:r>
          </w:p>
        </w:tc>
        <w:tc>
          <w:tcPr>
            <w:tcW w:w="94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0.909 ± 0.459</w:t>
            </w:r>
          </w:p>
        </w:tc>
        <w:tc>
          <w:tcPr>
            <w:tcW w:w="99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 xml:space="preserve">-0.256 </w:t>
            </w:r>
            <w:r w:rsidRPr="000A7305">
              <w:rPr>
                <w:rFonts w:eastAsia="Times New Roman" w:cs="Times New Roman"/>
                <w:b/>
                <w:bCs/>
                <w:color w:val="000000"/>
                <w:sz w:val="20"/>
                <w:szCs w:val="20"/>
              </w:rPr>
              <w:t xml:space="preserve">± </w:t>
            </w:r>
            <w:r w:rsidRPr="000A7305">
              <w:rPr>
                <w:rFonts w:eastAsia="Times New Roman" w:cs="Times New Roman"/>
                <w:color w:val="000000"/>
                <w:sz w:val="20"/>
                <w:szCs w:val="20"/>
              </w:rPr>
              <w:t>0.251</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-7.199</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&lt;0.001*</w:t>
            </w:r>
          </w:p>
        </w:tc>
      </w:tr>
      <w:tr w:rsidR="002547BB" w:rsidRPr="000A7305" w:rsidTr="00E5246E">
        <w:trPr>
          <w:jc w:val="center"/>
        </w:trPr>
        <w:tc>
          <w:tcPr>
            <w:tcW w:w="107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52218" w:rsidRPr="000A7305" w:rsidRDefault="00C679D4"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Post-</w:t>
            </w:r>
            <w:r w:rsidR="00852218" w:rsidRPr="000A7305">
              <w:rPr>
                <w:rFonts w:eastAsia="Times New Roman" w:cs="Times New Roman"/>
                <w:b/>
                <w:bCs/>
                <w:color w:val="000000"/>
                <w:sz w:val="20"/>
                <w:szCs w:val="20"/>
              </w:rPr>
              <w:t>treatment</w:t>
            </w:r>
          </w:p>
        </w:tc>
        <w:tc>
          <w:tcPr>
            <w:tcW w:w="90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0.200 - 1.181</w:t>
            </w:r>
          </w:p>
        </w:tc>
        <w:tc>
          <w:tcPr>
            <w:tcW w:w="94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0.653 ± 0.264</w:t>
            </w:r>
          </w:p>
        </w:tc>
        <w:tc>
          <w:tcPr>
            <w:tcW w:w="9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c>
          <w:tcPr>
            <w:tcW w:w="4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c>
          <w:tcPr>
            <w:tcW w:w="59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r>
    </w:tbl>
    <w:p w:rsidR="00E5246E" w:rsidRDefault="00E5246E" w:rsidP="00666DFC">
      <w:pPr>
        <w:snapToGrid w:val="0"/>
        <w:spacing w:after="0" w:line="240" w:lineRule="auto"/>
        <w:ind w:firstLine="0"/>
        <w:rPr>
          <w:rFonts w:eastAsiaTheme="minorEastAsia" w:cs="Times New Roman" w:hint="eastAsia"/>
          <w:b/>
          <w:bCs/>
          <w:i/>
          <w:iCs/>
          <w:sz w:val="20"/>
          <w:szCs w:val="20"/>
          <w:lang w:eastAsia="zh-CN"/>
        </w:rPr>
      </w:pPr>
    </w:p>
    <w:p w:rsidR="000A7305" w:rsidRDefault="000A7305" w:rsidP="00666DFC">
      <w:pPr>
        <w:snapToGrid w:val="0"/>
        <w:spacing w:after="0" w:line="240" w:lineRule="auto"/>
        <w:ind w:firstLine="0"/>
        <w:rPr>
          <w:rFonts w:eastAsiaTheme="minorEastAsia" w:cs="Times New Roman" w:hint="eastAsia"/>
          <w:b/>
          <w:bCs/>
          <w:i/>
          <w:iCs/>
          <w:sz w:val="20"/>
          <w:szCs w:val="20"/>
          <w:lang w:eastAsia="zh-CN"/>
        </w:rPr>
      </w:pPr>
    </w:p>
    <w:p w:rsidR="000A7305" w:rsidRPr="000A7305" w:rsidRDefault="000A7305" w:rsidP="00666DFC">
      <w:pPr>
        <w:snapToGrid w:val="0"/>
        <w:spacing w:after="0" w:line="240" w:lineRule="auto"/>
        <w:ind w:firstLine="0"/>
        <w:rPr>
          <w:rFonts w:eastAsiaTheme="minorEastAsia" w:cs="Times New Roman"/>
          <w:b/>
          <w:bCs/>
          <w:i/>
          <w:iCs/>
          <w:sz w:val="20"/>
          <w:szCs w:val="20"/>
          <w:lang w:eastAsia="zh-CN"/>
        </w:rPr>
      </w:pPr>
    </w:p>
    <w:p w:rsidR="00E5246E" w:rsidRPr="000A7305" w:rsidRDefault="00E5246E" w:rsidP="00666DFC">
      <w:pPr>
        <w:snapToGrid w:val="0"/>
        <w:spacing w:after="0" w:line="240" w:lineRule="auto"/>
        <w:ind w:firstLine="0"/>
        <w:jc w:val="center"/>
        <w:rPr>
          <w:rFonts w:eastAsiaTheme="minorEastAsia" w:cs="Times New Roman"/>
          <w:b/>
          <w:bCs/>
          <w:iCs/>
          <w:sz w:val="20"/>
          <w:szCs w:val="20"/>
          <w:lang w:eastAsia="zh-CN"/>
        </w:rPr>
      </w:pPr>
      <w:r w:rsidRPr="000A7305">
        <w:rPr>
          <w:rFonts w:eastAsia="Calibri" w:cs="Times New Roman"/>
          <w:b/>
          <w:bCs/>
          <w:iCs/>
          <w:sz w:val="20"/>
          <w:szCs w:val="20"/>
        </w:rPr>
        <w:t>Table (3) Comparison of FIB-4 score before and after treatment with direct acting antiviral drugs.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tblPr>
      <w:tblGrid>
        <w:gridCol w:w="2150"/>
        <w:gridCol w:w="1535"/>
        <w:gridCol w:w="1914"/>
        <w:gridCol w:w="881"/>
        <w:gridCol w:w="883"/>
        <w:gridCol w:w="881"/>
        <w:gridCol w:w="1230"/>
      </w:tblGrid>
      <w:tr w:rsidR="00BF4485" w:rsidRPr="000A7305" w:rsidTr="00E5246E">
        <w:trPr>
          <w:jc w:val="center"/>
        </w:trPr>
        <w:tc>
          <w:tcPr>
            <w:tcW w:w="11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Time</w:t>
            </w:r>
          </w:p>
        </w:tc>
        <w:tc>
          <w:tcPr>
            <w:tcW w:w="18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FIB-4 score</w:t>
            </w:r>
          </w:p>
        </w:tc>
        <w:tc>
          <w:tcPr>
            <w:tcW w:w="9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F4485" w:rsidRPr="000A7305" w:rsidRDefault="00BF4485"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Differences</w:t>
            </w:r>
          </w:p>
        </w:tc>
        <w:tc>
          <w:tcPr>
            <w:tcW w:w="11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F4485"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Paired T-Test</w:t>
            </w:r>
          </w:p>
        </w:tc>
      </w:tr>
      <w:tr w:rsidR="002547BB" w:rsidRPr="000A7305" w:rsidTr="00E5246E">
        <w:trPr>
          <w:jc w:val="center"/>
        </w:trPr>
        <w:tc>
          <w:tcPr>
            <w:tcW w:w="11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p>
        </w:tc>
        <w:tc>
          <w:tcPr>
            <w:tcW w:w="8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Range</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Mean ± SD</w:t>
            </w:r>
          </w:p>
        </w:tc>
        <w:tc>
          <w:tcPr>
            <w:tcW w:w="93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Mean ± SD</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t.test</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P.Value</w:t>
            </w:r>
          </w:p>
        </w:tc>
      </w:tr>
      <w:tr w:rsidR="002547BB" w:rsidRPr="000A7305" w:rsidTr="00E5246E">
        <w:trPr>
          <w:jc w:val="center"/>
        </w:trPr>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Pretreatment</w:t>
            </w:r>
          </w:p>
        </w:tc>
        <w:tc>
          <w:tcPr>
            <w:tcW w:w="8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0.12 - 0.98</w:t>
            </w:r>
          </w:p>
        </w:tc>
        <w:tc>
          <w:tcPr>
            <w:tcW w:w="10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0.502 ± 0.236</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0.076</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0.124</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4.320</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&lt;0.001*</w:t>
            </w:r>
          </w:p>
        </w:tc>
      </w:tr>
      <w:tr w:rsidR="002547BB" w:rsidRPr="000A7305" w:rsidTr="00E5246E">
        <w:trPr>
          <w:jc w:val="center"/>
        </w:trPr>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2218" w:rsidRPr="000A7305" w:rsidRDefault="00852218"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Post treatment</w:t>
            </w:r>
          </w:p>
        </w:tc>
        <w:tc>
          <w:tcPr>
            <w:tcW w:w="8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0.11 - 1</w:t>
            </w:r>
          </w:p>
        </w:tc>
        <w:tc>
          <w:tcPr>
            <w:tcW w:w="101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0.426 ± 0.194</w:t>
            </w:r>
          </w:p>
        </w:tc>
        <w:tc>
          <w:tcPr>
            <w:tcW w:w="4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c>
          <w:tcPr>
            <w:tcW w:w="64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52218" w:rsidRPr="000A7305" w:rsidRDefault="00852218" w:rsidP="00666DFC">
            <w:pPr>
              <w:snapToGrid w:val="0"/>
              <w:spacing w:after="0" w:line="240" w:lineRule="auto"/>
              <w:ind w:firstLine="0"/>
              <w:rPr>
                <w:rFonts w:eastAsia="Times New Roman" w:cs="Times New Roman"/>
                <w:color w:val="000000"/>
                <w:sz w:val="20"/>
                <w:szCs w:val="20"/>
              </w:rPr>
            </w:pPr>
          </w:p>
        </w:tc>
      </w:tr>
    </w:tbl>
    <w:p w:rsidR="00E5246E" w:rsidRDefault="00E5246E" w:rsidP="00666DFC">
      <w:pPr>
        <w:snapToGrid w:val="0"/>
        <w:spacing w:after="0" w:line="240" w:lineRule="auto"/>
        <w:ind w:firstLine="0"/>
        <w:rPr>
          <w:rFonts w:eastAsiaTheme="minorEastAsia" w:cs="Times New Roman" w:hint="eastAsia"/>
          <w:b/>
          <w:bCs/>
          <w:i/>
          <w:iCs/>
          <w:sz w:val="20"/>
          <w:szCs w:val="20"/>
          <w:lang w:eastAsia="zh-CN"/>
        </w:rPr>
      </w:pPr>
    </w:p>
    <w:p w:rsidR="000A7305" w:rsidRDefault="000A7305" w:rsidP="00666DFC">
      <w:pPr>
        <w:snapToGrid w:val="0"/>
        <w:spacing w:after="0" w:line="240" w:lineRule="auto"/>
        <w:ind w:firstLine="0"/>
        <w:rPr>
          <w:rFonts w:eastAsiaTheme="minorEastAsia" w:cs="Times New Roman" w:hint="eastAsia"/>
          <w:b/>
          <w:bCs/>
          <w:i/>
          <w:iCs/>
          <w:sz w:val="20"/>
          <w:szCs w:val="20"/>
          <w:lang w:eastAsia="zh-CN"/>
        </w:rPr>
      </w:pPr>
    </w:p>
    <w:p w:rsidR="000A7305" w:rsidRPr="000A7305" w:rsidRDefault="000A7305" w:rsidP="00666DFC">
      <w:pPr>
        <w:snapToGrid w:val="0"/>
        <w:spacing w:after="0" w:line="240" w:lineRule="auto"/>
        <w:ind w:firstLine="0"/>
        <w:rPr>
          <w:rFonts w:eastAsiaTheme="minorEastAsia" w:cs="Times New Roman"/>
          <w:b/>
          <w:bCs/>
          <w:i/>
          <w:iCs/>
          <w:sz w:val="20"/>
          <w:szCs w:val="20"/>
          <w:lang w:eastAsia="zh-CN"/>
        </w:rPr>
      </w:pPr>
    </w:p>
    <w:p w:rsidR="00E5246E" w:rsidRPr="000A7305" w:rsidRDefault="00E5246E" w:rsidP="00666DFC">
      <w:pPr>
        <w:snapToGrid w:val="0"/>
        <w:spacing w:after="0" w:line="240" w:lineRule="auto"/>
        <w:ind w:firstLine="0"/>
        <w:jc w:val="center"/>
        <w:rPr>
          <w:rFonts w:eastAsiaTheme="minorEastAsia" w:cs="Times New Roman"/>
          <w:b/>
          <w:bCs/>
          <w:iCs/>
          <w:sz w:val="20"/>
          <w:szCs w:val="20"/>
          <w:lang w:eastAsia="zh-CN"/>
        </w:rPr>
      </w:pPr>
      <w:r w:rsidRPr="000A7305">
        <w:rPr>
          <w:rFonts w:eastAsia="Calibri" w:cs="Times New Roman"/>
          <w:b/>
          <w:bCs/>
          <w:iCs/>
          <w:sz w:val="20"/>
          <w:szCs w:val="20"/>
        </w:rPr>
        <w:t xml:space="preserve">Table (4) Comparison of hyaluronic acid before and after treatment with direct acting antiviral Drugs.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tblPr>
      <w:tblGrid>
        <w:gridCol w:w="2007"/>
        <w:gridCol w:w="1576"/>
        <w:gridCol w:w="2079"/>
        <w:gridCol w:w="921"/>
        <w:gridCol w:w="822"/>
        <w:gridCol w:w="921"/>
        <w:gridCol w:w="1148"/>
      </w:tblGrid>
      <w:tr w:rsidR="002547BB" w:rsidRPr="000A7305" w:rsidTr="00E5246E">
        <w:trPr>
          <w:jc w:val="center"/>
        </w:trPr>
        <w:tc>
          <w:tcPr>
            <w:tcW w:w="10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Time</w:t>
            </w:r>
          </w:p>
        </w:tc>
        <w:tc>
          <w:tcPr>
            <w:tcW w:w="19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Hyaluronic acid (ng/ml)</w:t>
            </w:r>
          </w:p>
        </w:tc>
        <w:tc>
          <w:tcPr>
            <w:tcW w:w="9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Differences</w:t>
            </w:r>
          </w:p>
        </w:tc>
        <w:tc>
          <w:tcPr>
            <w:tcW w:w="10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Paired T-Test</w:t>
            </w:r>
          </w:p>
        </w:tc>
      </w:tr>
      <w:tr w:rsidR="002547BB" w:rsidRPr="000A7305" w:rsidTr="00E5246E">
        <w:trPr>
          <w:jc w:val="center"/>
        </w:trPr>
        <w:tc>
          <w:tcPr>
            <w:tcW w:w="10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Range</w:t>
            </w:r>
          </w:p>
        </w:tc>
        <w:tc>
          <w:tcPr>
            <w:tcW w:w="109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Mean ± SD</w:t>
            </w:r>
          </w:p>
        </w:tc>
        <w:tc>
          <w:tcPr>
            <w:tcW w:w="9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Mean ± SD</w:t>
            </w:r>
          </w:p>
        </w:tc>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t.test</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P.Value</w:t>
            </w:r>
          </w:p>
        </w:tc>
      </w:tr>
      <w:tr w:rsidR="002547BB" w:rsidRPr="000A7305" w:rsidTr="00E5246E">
        <w:trPr>
          <w:jc w:val="center"/>
        </w:trPr>
        <w:tc>
          <w:tcPr>
            <w:tcW w:w="105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Pretreatment</w:t>
            </w:r>
          </w:p>
        </w:tc>
        <w:tc>
          <w:tcPr>
            <w:tcW w:w="8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31.4 - 226.6</w:t>
            </w:r>
          </w:p>
        </w:tc>
        <w:tc>
          <w:tcPr>
            <w:tcW w:w="10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97.762 ± 41.792</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-32.05</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31.56</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-7.181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&lt;0.001*</w:t>
            </w:r>
          </w:p>
        </w:tc>
      </w:tr>
      <w:tr w:rsidR="002547BB" w:rsidRPr="000A7305" w:rsidTr="00E5246E">
        <w:trPr>
          <w:jc w:val="center"/>
        </w:trPr>
        <w:tc>
          <w:tcPr>
            <w:tcW w:w="105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362FD" w:rsidRPr="000A7305" w:rsidRDefault="00F362FD" w:rsidP="00666DFC">
            <w:pPr>
              <w:snapToGrid w:val="0"/>
              <w:spacing w:after="0" w:line="240" w:lineRule="auto"/>
              <w:ind w:firstLine="0"/>
              <w:rPr>
                <w:rFonts w:eastAsia="Times New Roman" w:cs="Times New Roman"/>
                <w:b/>
                <w:bCs/>
                <w:color w:val="000000"/>
                <w:sz w:val="20"/>
                <w:szCs w:val="20"/>
              </w:rPr>
            </w:pPr>
            <w:r w:rsidRPr="000A7305">
              <w:rPr>
                <w:rFonts w:eastAsia="Times New Roman" w:cs="Times New Roman"/>
                <w:b/>
                <w:bCs/>
                <w:color w:val="000000"/>
                <w:sz w:val="20"/>
                <w:szCs w:val="20"/>
              </w:rPr>
              <w:t>Post treatment</w:t>
            </w:r>
          </w:p>
        </w:tc>
        <w:tc>
          <w:tcPr>
            <w:tcW w:w="8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20.6 - 148</w:t>
            </w:r>
          </w:p>
        </w:tc>
        <w:tc>
          <w:tcPr>
            <w:tcW w:w="109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r w:rsidRPr="000A7305">
              <w:rPr>
                <w:rFonts w:eastAsia="Times New Roman" w:cs="Times New Roman"/>
                <w:color w:val="000000"/>
                <w:sz w:val="20"/>
                <w:szCs w:val="20"/>
              </w:rPr>
              <w:t>65.71 ± 28.43</w:t>
            </w:r>
          </w:p>
        </w:tc>
        <w:tc>
          <w:tcPr>
            <w:tcW w:w="4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p>
        </w:tc>
        <w:tc>
          <w:tcPr>
            <w:tcW w:w="43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p>
        </w:tc>
        <w:tc>
          <w:tcPr>
            <w:tcW w:w="48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p>
        </w:tc>
        <w:tc>
          <w:tcPr>
            <w:tcW w:w="6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F362FD" w:rsidRPr="000A7305" w:rsidRDefault="00F362FD" w:rsidP="00666DFC">
            <w:pPr>
              <w:snapToGrid w:val="0"/>
              <w:spacing w:after="0" w:line="240" w:lineRule="auto"/>
              <w:ind w:firstLine="0"/>
              <w:rPr>
                <w:rFonts w:eastAsia="Times New Roman" w:cs="Times New Roman"/>
                <w:color w:val="000000"/>
                <w:sz w:val="20"/>
                <w:szCs w:val="20"/>
              </w:rPr>
            </w:pPr>
          </w:p>
        </w:tc>
      </w:tr>
    </w:tbl>
    <w:p w:rsidR="00BF4485" w:rsidRDefault="00BF448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Default="000A7305" w:rsidP="00666DFC">
      <w:pPr>
        <w:snapToGrid w:val="0"/>
        <w:spacing w:after="0" w:line="240" w:lineRule="auto"/>
        <w:ind w:firstLine="425"/>
        <w:rPr>
          <w:rFonts w:eastAsiaTheme="minorEastAsia" w:cs="Times New Roman" w:hint="eastAsia"/>
          <w:sz w:val="20"/>
          <w:szCs w:val="20"/>
          <w:lang w:eastAsia="zh-CN"/>
        </w:rPr>
      </w:pPr>
    </w:p>
    <w:p w:rsidR="000A7305" w:rsidRPr="000A7305" w:rsidRDefault="000A7305" w:rsidP="00666DFC">
      <w:pPr>
        <w:snapToGrid w:val="0"/>
        <w:spacing w:after="0" w:line="240" w:lineRule="auto"/>
        <w:ind w:firstLine="425"/>
        <w:rPr>
          <w:rFonts w:eastAsiaTheme="minorEastAsia" w:cs="Times New Roman" w:hint="eastAsia"/>
          <w:sz w:val="20"/>
          <w:szCs w:val="20"/>
          <w:lang w:eastAsia="zh-CN"/>
        </w:rPr>
      </w:pPr>
    </w:p>
    <w:p w:rsidR="00E5246E" w:rsidRPr="000A7305" w:rsidRDefault="00E5246E" w:rsidP="00666DFC">
      <w:pPr>
        <w:snapToGrid w:val="0"/>
        <w:spacing w:after="0" w:line="240" w:lineRule="auto"/>
        <w:ind w:firstLine="425"/>
        <w:rPr>
          <w:rFonts w:cs="Times New Roman"/>
          <w:sz w:val="20"/>
          <w:szCs w:val="20"/>
        </w:rPr>
        <w:sectPr w:rsidR="00E5246E" w:rsidRPr="000A7305" w:rsidSect="00E938A6">
          <w:type w:val="continuous"/>
          <w:pgSz w:w="12240" w:h="15840" w:code="9"/>
          <w:pgMar w:top="1440" w:right="1440" w:bottom="1440" w:left="1440" w:header="720" w:footer="720" w:gutter="0"/>
          <w:cols w:space="720"/>
          <w:docGrid w:linePitch="360"/>
        </w:sectPr>
      </w:pPr>
    </w:p>
    <w:p w:rsidR="000A7305" w:rsidRDefault="000A7305" w:rsidP="00666DFC">
      <w:pPr>
        <w:snapToGrid w:val="0"/>
        <w:spacing w:after="0" w:line="240" w:lineRule="auto"/>
        <w:ind w:firstLine="0"/>
        <w:jc w:val="center"/>
        <w:rPr>
          <w:rFonts w:eastAsiaTheme="minorEastAsia" w:cs="Times New Roman" w:hint="eastAsia"/>
          <w:color w:val="FF0000"/>
          <w:sz w:val="20"/>
          <w:szCs w:val="20"/>
          <w:lang w:eastAsia="zh-CN"/>
        </w:rPr>
      </w:pPr>
    </w:p>
    <w:p w:rsidR="00E5246E" w:rsidRPr="000A7305" w:rsidRDefault="00E5246E" w:rsidP="00666DFC">
      <w:pPr>
        <w:snapToGrid w:val="0"/>
        <w:spacing w:after="0" w:line="240" w:lineRule="auto"/>
        <w:ind w:firstLine="0"/>
        <w:jc w:val="center"/>
        <w:rPr>
          <w:rFonts w:eastAsia="Calibri" w:cs="Times New Roman"/>
          <w:color w:val="FF0000"/>
          <w:sz w:val="20"/>
          <w:szCs w:val="20"/>
        </w:rPr>
      </w:pPr>
      <w:r w:rsidRPr="000A7305">
        <w:rPr>
          <w:rFonts w:eastAsia="Calibri" w:cs="Times New Roman"/>
          <w:b/>
          <w:bCs/>
          <w:noProof/>
          <w:sz w:val="20"/>
          <w:szCs w:val="20"/>
          <w:lang w:eastAsia="zh-CN"/>
        </w:rPr>
        <w:drawing>
          <wp:inline distT="0" distB="0" distL="0" distR="0">
            <wp:extent cx="2548875" cy="2040134"/>
            <wp:effectExtent l="19050" t="0" r="3825"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99" cy="2042715"/>
                    </a:xfrm>
                    <a:prstGeom prst="rect">
                      <a:avLst/>
                    </a:prstGeom>
                    <a:noFill/>
                    <a:ln>
                      <a:noFill/>
                    </a:ln>
                  </pic:spPr>
                </pic:pic>
              </a:graphicData>
            </a:graphic>
          </wp:inline>
        </w:drawing>
      </w:r>
    </w:p>
    <w:p w:rsidR="00E5246E" w:rsidRDefault="00E5246E" w:rsidP="00666DFC">
      <w:pPr>
        <w:autoSpaceDE w:val="0"/>
        <w:autoSpaceDN w:val="0"/>
        <w:adjustRightInd w:val="0"/>
        <w:snapToGrid w:val="0"/>
        <w:spacing w:after="0" w:line="240" w:lineRule="auto"/>
        <w:ind w:firstLine="0"/>
        <w:rPr>
          <w:rFonts w:eastAsiaTheme="minorEastAsia" w:cs="Times New Roman" w:hint="eastAsia"/>
          <w:b/>
          <w:bCs/>
          <w:iCs/>
          <w:sz w:val="20"/>
          <w:szCs w:val="20"/>
          <w:lang w:eastAsia="zh-CN"/>
        </w:rPr>
      </w:pPr>
      <w:r w:rsidRPr="000A7305">
        <w:rPr>
          <w:rFonts w:eastAsia="Calibri" w:cs="Times New Roman"/>
          <w:b/>
          <w:bCs/>
          <w:iCs/>
          <w:sz w:val="20"/>
          <w:szCs w:val="20"/>
        </w:rPr>
        <w:t>Figure (1) correlation between APRI values and serum hyaluronic acid in patients before treatment with direct acting antiviral drugs.</w:t>
      </w:r>
    </w:p>
    <w:p w:rsidR="000A7305" w:rsidRPr="000A7305" w:rsidRDefault="000A7305" w:rsidP="00666DFC">
      <w:pPr>
        <w:autoSpaceDE w:val="0"/>
        <w:autoSpaceDN w:val="0"/>
        <w:adjustRightInd w:val="0"/>
        <w:snapToGrid w:val="0"/>
        <w:spacing w:after="0" w:line="240" w:lineRule="auto"/>
        <w:ind w:firstLine="0"/>
        <w:rPr>
          <w:rFonts w:eastAsiaTheme="minorEastAsia" w:cs="Times New Roman" w:hint="eastAsia"/>
          <w:b/>
          <w:bCs/>
          <w:iCs/>
          <w:sz w:val="20"/>
          <w:szCs w:val="20"/>
          <w:lang w:eastAsia="zh-CN"/>
        </w:rPr>
      </w:pPr>
    </w:p>
    <w:p w:rsidR="00E5246E" w:rsidRPr="000A7305" w:rsidRDefault="00E5246E" w:rsidP="00666DFC">
      <w:pPr>
        <w:autoSpaceDE w:val="0"/>
        <w:autoSpaceDN w:val="0"/>
        <w:adjustRightInd w:val="0"/>
        <w:snapToGrid w:val="0"/>
        <w:spacing w:after="0" w:line="240" w:lineRule="auto"/>
        <w:ind w:firstLine="0"/>
        <w:jc w:val="center"/>
        <w:rPr>
          <w:rFonts w:eastAsia="Calibri" w:cs="Times New Roman"/>
          <w:b/>
          <w:bCs/>
          <w:sz w:val="20"/>
          <w:szCs w:val="20"/>
        </w:rPr>
      </w:pPr>
      <w:r w:rsidRPr="000A7305">
        <w:rPr>
          <w:rFonts w:eastAsia="Calibri" w:cs="Times New Roman"/>
          <w:b/>
          <w:bCs/>
          <w:noProof/>
          <w:sz w:val="20"/>
          <w:szCs w:val="20"/>
          <w:lang w:eastAsia="zh-CN"/>
        </w:rPr>
        <w:drawing>
          <wp:inline distT="0" distB="0" distL="0" distR="0">
            <wp:extent cx="2622600" cy="2099144"/>
            <wp:effectExtent l="19050" t="0" r="6300" b="0"/>
            <wp:docPr id="4"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0847" cy="2105745"/>
                    </a:xfrm>
                    <a:prstGeom prst="rect">
                      <a:avLst/>
                    </a:prstGeom>
                    <a:noFill/>
                    <a:ln>
                      <a:noFill/>
                    </a:ln>
                  </pic:spPr>
                </pic:pic>
              </a:graphicData>
            </a:graphic>
          </wp:inline>
        </w:drawing>
      </w:r>
    </w:p>
    <w:p w:rsidR="00E5246E" w:rsidRDefault="00E5246E" w:rsidP="00666DFC">
      <w:pPr>
        <w:autoSpaceDE w:val="0"/>
        <w:autoSpaceDN w:val="0"/>
        <w:adjustRightInd w:val="0"/>
        <w:snapToGrid w:val="0"/>
        <w:spacing w:after="0" w:line="240" w:lineRule="auto"/>
        <w:ind w:firstLine="0"/>
        <w:rPr>
          <w:rFonts w:eastAsiaTheme="minorEastAsia" w:cs="Times New Roman" w:hint="eastAsia"/>
          <w:b/>
          <w:bCs/>
          <w:iCs/>
          <w:sz w:val="20"/>
          <w:szCs w:val="20"/>
          <w:lang w:eastAsia="zh-CN"/>
        </w:rPr>
      </w:pPr>
      <w:r w:rsidRPr="000A7305">
        <w:rPr>
          <w:rFonts w:eastAsia="Calibri" w:cs="Times New Roman"/>
          <w:b/>
          <w:bCs/>
          <w:iCs/>
          <w:sz w:val="20"/>
          <w:szCs w:val="20"/>
        </w:rPr>
        <w:t>Figure (2) correlation between aspartate platelets ratio index value and serum hyaluronic acid in patients after treatment with direct acting antiviral drugs.</w:t>
      </w:r>
    </w:p>
    <w:p w:rsidR="000A7305" w:rsidRDefault="000A7305" w:rsidP="00666DFC">
      <w:pPr>
        <w:autoSpaceDE w:val="0"/>
        <w:autoSpaceDN w:val="0"/>
        <w:adjustRightInd w:val="0"/>
        <w:snapToGrid w:val="0"/>
        <w:spacing w:after="0" w:line="240" w:lineRule="auto"/>
        <w:ind w:firstLine="0"/>
        <w:rPr>
          <w:rFonts w:eastAsiaTheme="minorEastAsia" w:cs="Times New Roman" w:hint="eastAsia"/>
          <w:b/>
          <w:bCs/>
          <w:iCs/>
          <w:sz w:val="20"/>
          <w:szCs w:val="20"/>
          <w:lang w:eastAsia="zh-CN"/>
        </w:rPr>
      </w:pPr>
    </w:p>
    <w:p w:rsidR="000A7305" w:rsidRPr="000A7305" w:rsidRDefault="000A7305" w:rsidP="00666DFC">
      <w:pPr>
        <w:autoSpaceDE w:val="0"/>
        <w:autoSpaceDN w:val="0"/>
        <w:adjustRightInd w:val="0"/>
        <w:snapToGrid w:val="0"/>
        <w:spacing w:after="0" w:line="240" w:lineRule="auto"/>
        <w:ind w:firstLine="0"/>
        <w:rPr>
          <w:rFonts w:eastAsiaTheme="minorEastAsia" w:cs="Times New Roman" w:hint="eastAsia"/>
          <w:b/>
          <w:bCs/>
          <w:iCs/>
          <w:sz w:val="20"/>
          <w:szCs w:val="20"/>
          <w:lang w:eastAsia="zh-CN"/>
        </w:rPr>
      </w:pPr>
    </w:p>
    <w:p w:rsidR="00A57C2A" w:rsidRPr="000A7305" w:rsidRDefault="00E5246E" w:rsidP="00666DFC">
      <w:pPr>
        <w:pStyle w:val="Heading1"/>
        <w:rPr>
          <w:szCs w:val="20"/>
        </w:rPr>
      </w:pPr>
      <w:bookmarkStart w:id="4" w:name="_Toc476621953"/>
      <w:bookmarkStart w:id="5" w:name="_Hlk476544838"/>
      <w:r w:rsidRPr="000A7305">
        <w:rPr>
          <w:szCs w:val="20"/>
        </w:rPr>
        <w:t>Discussion</w:t>
      </w:r>
      <w:bookmarkEnd w:id="4"/>
    </w:p>
    <w:p w:rsidR="00A8679C" w:rsidRPr="000A7305" w:rsidRDefault="009E5488" w:rsidP="00666DFC">
      <w:pPr>
        <w:autoSpaceDE w:val="0"/>
        <w:autoSpaceDN w:val="0"/>
        <w:adjustRightInd w:val="0"/>
        <w:snapToGrid w:val="0"/>
        <w:spacing w:after="0" w:line="240" w:lineRule="auto"/>
        <w:ind w:firstLine="425"/>
        <w:rPr>
          <w:rFonts w:cs="Times New Roman"/>
          <w:sz w:val="20"/>
          <w:szCs w:val="20"/>
        </w:rPr>
      </w:pPr>
      <w:bookmarkStart w:id="6" w:name="_Hlk476603715"/>
      <w:bookmarkEnd w:id="5"/>
      <w:r w:rsidRPr="000A7305">
        <w:rPr>
          <w:rFonts w:cs="Times New Roman"/>
          <w:sz w:val="20"/>
          <w:szCs w:val="20"/>
        </w:rPr>
        <w:t>The</w:t>
      </w:r>
      <w:r w:rsidR="00A8679C" w:rsidRPr="000A7305">
        <w:rPr>
          <w:rFonts w:cs="Times New Roman"/>
          <w:sz w:val="20"/>
          <w:szCs w:val="20"/>
        </w:rPr>
        <w:t xml:space="preserve"> significant decrease in APRI values after treatment with </w:t>
      </w:r>
      <w:bookmarkStart w:id="7" w:name="_Hlk13008280"/>
      <w:r w:rsidR="003C542D" w:rsidRPr="000A7305">
        <w:rPr>
          <w:rFonts w:cs="Times New Roman"/>
          <w:sz w:val="20"/>
          <w:szCs w:val="20"/>
        </w:rPr>
        <w:t>DAAs</w:t>
      </w:r>
      <w:r w:rsidR="00A8679C" w:rsidRPr="000A7305">
        <w:rPr>
          <w:rFonts w:cs="Times New Roman"/>
          <w:sz w:val="20"/>
          <w:szCs w:val="20"/>
        </w:rPr>
        <w:t xml:space="preserve"> </w:t>
      </w:r>
      <w:r w:rsidR="003C542D" w:rsidRPr="000A7305">
        <w:rPr>
          <w:rFonts w:cs="Times New Roman"/>
          <w:sz w:val="20"/>
          <w:szCs w:val="20"/>
        </w:rPr>
        <w:t>was similar to the previous findings of</w:t>
      </w:r>
      <w:r w:rsidR="00A8679C" w:rsidRPr="000A7305">
        <w:rPr>
          <w:rFonts w:cs="Times New Roman"/>
          <w:sz w:val="20"/>
          <w:szCs w:val="20"/>
        </w:rPr>
        <w:t xml:space="preserve"> Elsharkawy et al, </w:t>
      </w:r>
      <w:r w:rsidR="00D41832" w:rsidRPr="000A7305">
        <w:rPr>
          <w:rFonts w:cs="Times New Roman"/>
          <w:sz w:val="20"/>
          <w:szCs w:val="20"/>
        </w:rPr>
        <w:t xml:space="preserve">who </w:t>
      </w:r>
      <w:r w:rsidR="00A8679C" w:rsidRPr="000A7305">
        <w:rPr>
          <w:rFonts w:cs="Times New Roman"/>
          <w:sz w:val="20"/>
          <w:szCs w:val="20"/>
        </w:rPr>
        <w:t>stated that there was significant difference in APRI values after treatment with DAA</w:t>
      </w:r>
      <w:r w:rsidRPr="000A7305">
        <w:rPr>
          <w:rFonts w:cs="Times New Roman"/>
          <w:sz w:val="20"/>
          <w:szCs w:val="20"/>
        </w:rPr>
        <w:t>s</w:t>
      </w:r>
      <w:r w:rsidR="00A8679C" w:rsidRPr="000A7305">
        <w:rPr>
          <w:rFonts w:cs="Times New Roman"/>
          <w:sz w:val="20"/>
          <w:szCs w:val="20"/>
        </w:rPr>
        <w:t xml:space="preserve"> when they performed </w:t>
      </w:r>
      <w:r w:rsidR="00A8679C" w:rsidRPr="000A7305">
        <w:rPr>
          <w:rFonts w:cs="Times New Roman"/>
          <w:color w:val="1C1D1E"/>
          <w:sz w:val="20"/>
          <w:szCs w:val="20"/>
        </w:rPr>
        <w:t>retrospective study including 337 chronic HCV Egyptian patients with genotype 4 mainly who received Sofosbuvir‐based treatment regimen</w:t>
      </w:r>
      <w:r w:rsidR="00A8679C" w:rsidRPr="000A7305">
        <w:rPr>
          <w:rFonts w:cs="Times New Roman" w:hint="cs"/>
          <w:color w:val="1C1D1E"/>
          <w:sz w:val="20"/>
          <w:szCs w:val="20"/>
        </w:rPr>
        <w:t xml:space="preserve"> </w:t>
      </w:r>
      <w:bookmarkEnd w:id="7"/>
      <w:r w:rsidR="00866E6F" w:rsidRPr="000A7305">
        <w:rPr>
          <w:rFonts w:cs="Times New Roman"/>
          <w:sz w:val="20"/>
          <w:szCs w:val="20"/>
        </w:rPr>
        <w:t>(19).</w:t>
      </w:r>
    </w:p>
    <w:p w:rsidR="002547BB" w:rsidRPr="000A7305" w:rsidRDefault="00A8679C" w:rsidP="00666DFC">
      <w:pPr>
        <w:snapToGrid w:val="0"/>
        <w:spacing w:after="0" w:line="240" w:lineRule="auto"/>
        <w:ind w:firstLine="425"/>
        <w:rPr>
          <w:rFonts w:cs="Times New Roman"/>
          <w:sz w:val="20"/>
          <w:szCs w:val="20"/>
        </w:rPr>
      </w:pPr>
      <w:r w:rsidRPr="000A7305">
        <w:rPr>
          <w:rFonts w:cs="Times New Roman"/>
          <w:sz w:val="20"/>
          <w:szCs w:val="20"/>
        </w:rPr>
        <w:t>In this study there was significant decrease in frequency of patients with severe degree of liver fibrosis after treatment with DAA</w:t>
      </w:r>
      <w:r w:rsidR="003C542D" w:rsidRPr="000A7305">
        <w:rPr>
          <w:rFonts w:cs="Times New Roman"/>
          <w:sz w:val="20"/>
          <w:szCs w:val="20"/>
        </w:rPr>
        <w:t>s</w:t>
      </w:r>
      <w:r w:rsidRPr="000A7305">
        <w:rPr>
          <w:rFonts w:cs="Times New Roman"/>
          <w:sz w:val="20"/>
          <w:szCs w:val="20"/>
        </w:rPr>
        <w:t xml:space="preserve"> in comparison to pretreatment values. Also, there was significant increase in frequency of patients with mild and moderate degree of liver fibrosis after treatment with DAA in comparison to pretreatment values using </w:t>
      </w:r>
      <w:r w:rsidRPr="000A7305">
        <w:rPr>
          <w:rFonts w:cs="Times New Roman"/>
          <w:sz w:val="20"/>
          <w:szCs w:val="20"/>
        </w:rPr>
        <w:lastRenderedPageBreak/>
        <w:t>APRI values.</w:t>
      </w:r>
      <w:r w:rsidR="00D41832" w:rsidRPr="000A7305">
        <w:rPr>
          <w:rFonts w:cs="Times New Roman"/>
          <w:sz w:val="20"/>
          <w:szCs w:val="20"/>
        </w:rPr>
        <w:t xml:space="preserve"> Similar</w:t>
      </w:r>
      <w:r w:rsidRPr="000A7305">
        <w:rPr>
          <w:rFonts w:cs="Times New Roman"/>
          <w:sz w:val="20"/>
          <w:szCs w:val="20"/>
        </w:rPr>
        <w:t xml:space="preserve"> results</w:t>
      </w:r>
      <w:r w:rsidR="00D41832" w:rsidRPr="000A7305">
        <w:rPr>
          <w:rFonts w:cs="Times New Roman"/>
          <w:sz w:val="20"/>
          <w:szCs w:val="20"/>
        </w:rPr>
        <w:t xml:space="preserve"> were</w:t>
      </w:r>
      <w:r w:rsidRPr="000A7305">
        <w:rPr>
          <w:rFonts w:cs="Times New Roman"/>
          <w:sz w:val="20"/>
          <w:szCs w:val="20"/>
        </w:rPr>
        <w:t xml:space="preserve"> obtained by </w:t>
      </w:r>
      <w:r w:rsidRPr="000A7305">
        <w:rPr>
          <w:rFonts w:cs="Times New Roman"/>
          <w:b/>
          <w:bCs/>
          <w:noProof/>
          <w:sz w:val="20"/>
          <w:szCs w:val="20"/>
        </w:rPr>
        <w:t xml:space="preserve">Shousha et al </w:t>
      </w:r>
      <w:r w:rsidRPr="000A7305">
        <w:rPr>
          <w:rFonts w:cs="Times New Roman"/>
          <w:sz w:val="20"/>
          <w:szCs w:val="20"/>
        </w:rPr>
        <w:t>who performed a cohort study that incl</w:t>
      </w:r>
      <w:r w:rsidR="00866E6F" w:rsidRPr="000A7305">
        <w:rPr>
          <w:rFonts w:cs="Times New Roman"/>
          <w:sz w:val="20"/>
          <w:szCs w:val="20"/>
        </w:rPr>
        <w:t>uded 155 CHC Egyptian patients (20).</w:t>
      </w:r>
    </w:p>
    <w:p w:rsidR="00A8679C" w:rsidRPr="000A7305" w:rsidRDefault="002547BB" w:rsidP="00666DFC">
      <w:pPr>
        <w:snapToGrid w:val="0"/>
        <w:spacing w:after="0" w:line="240" w:lineRule="auto"/>
        <w:ind w:firstLine="425"/>
        <w:rPr>
          <w:rFonts w:cs="Times New Roman"/>
          <w:sz w:val="20"/>
          <w:szCs w:val="20"/>
        </w:rPr>
      </w:pPr>
      <w:r w:rsidRPr="000A7305">
        <w:rPr>
          <w:rFonts w:cs="Times New Roman"/>
          <w:sz w:val="20"/>
          <w:szCs w:val="20"/>
        </w:rPr>
        <w:t>H</w:t>
      </w:r>
      <w:r w:rsidR="00A8679C" w:rsidRPr="000A7305">
        <w:rPr>
          <w:rFonts w:cs="Times New Roman"/>
          <w:sz w:val="20"/>
          <w:szCs w:val="20"/>
        </w:rPr>
        <w:t>owever, these values should be interpreted cautiously as th</w:t>
      </w:r>
      <w:r w:rsidR="003C542D" w:rsidRPr="000A7305">
        <w:rPr>
          <w:rFonts w:cs="Times New Roman"/>
          <w:sz w:val="20"/>
          <w:szCs w:val="20"/>
        </w:rPr>
        <w:t>ese</w:t>
      </w:r>
      <w:r w:rsidR="00A8679C" w:rsidRPr="000A7305">
        <w:rPr>
          <w:rFonts w:cs="Times New Roman"/>
          <w:sz w:val="20"/>
          <w:szCs w:val="20"/>
        </w:rPr>
        <w:t xml:space="preserve"> finding</w:t>
      </w:r>
      <w:r w:rsidR="003C542D" w:rsidRPr="000A7305">
        <w:rPr>
          <w:rFonts w:cs="Times New Roman"/>
          <w:sz w:val="20"/>
          <w:szCs w:val="20"/>
        </w:rPr>
        <w:t>s</w:t>
      </w:r>
      <w:r w:rsidR="00A8679C" w:rsidRPr="000A7305">
        <w:rPr>
          <w:rFonts w:cs="Times New Roman"/>
          <w:sz w:val="20"/>
          <w:szCs w:val="20"/>
        </w:rPr>
        <w:t xml:space="preserve"> could be affected by the increased aminotransferase activity induced by exacerbation of inflammation and progression of liver fibrosis as a result of HCV-infection in the patients and increased platelets count due to splenectomy and thalassemia itself.</w:t>
      </w:r>
    </w:p>
    <w:p w:rsidR="00A8679C" w:rsidRPr="000A7305" w:rsidRDefault="00F1398B"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Treatment</w:t>
      </w:r>
      <w:r w:rsidR="003C542D" w:rsidRPr="000A7305">
        <w:rPr>
          <w:rFonts w:cs="Times New Roman"/>
          <w:sz w:val="20"/>
          <w:szCs w:val="20"/>
        </w:rPr>
        <w:t xml:space="preserve"> with DAAs was associated with </w:t>
      </w:r>
      <w:r w:rsidR="00A8679C" w:rsidRPr="000A7305">
        <w:rPr>
          <w:rFonts w:cs="Times New Roman"/>
          <w:sz w:val="20"/>
          <w:szCs w:val="20"/>
        </w:rPr>
        <w:t xml:space="preserve">significant decrease in serum hyaluronic acid in </w:t>
      </w:r>
      <w:r w:rsidR="003C542D" w:rsidRPr="000A7305">
        <w:rPr>
          <w:rFonts w:cs="Times New Roman"/>
          <w:sz w:val="20"/>
          <w:szCs w:val="20"/>
        </w:rPr>
        <w:t xml:space="preserve">thalassemia patients infected with HCV, this is in </w:t>
      </w:r>
      <w:r w:rsidR="00A8679C" w:rsidRPr="000A7305">
        <w:rPr>
          <w:rFonts w:cs="Times New Roman"/>
          <w:sz w:val="20"/>
          <w:szCs w:val="20"/>
        </w:rPr>
        <w:t xml:space="preserve">agreement with </w:t>
      </w:r>
      <w:r w:rsidR="00A8679C" w:rsidRPr="000A7305">
        <w:rPr>
          <w:rFonts w:cs="Times New Roman"/>
          <w:b/>
          <w:bCs/>
          <w:noProof/>
          <w:sz w:val="20"/>
          <w:szCs w:val="20"/>
        </w:rPr>
        <w:t xml:space="preserve">Miyaki et al </w:t>
      </w:r>
      <w:r w:rsidR="00A8679C" w:rsidRPr="000A7305">
        <w:rPr>
          <w:rFonts w:cs="Times New Roman"/>
          <w:sz w:val="20"/>
          <w:szCs w:val="20"/>
        </w:rPr>
        <w:t xml:space="preserve">who performed a study on </w:t>
      </w:r>
      <w:r w:rsidR="00A8679C" w:rsidRPr="000A7305">
        <w:rPr>
          <w:rFonts w:cs="Times New Roman"/>
          <w:color w:val="1C1D1E"/>
          <w:sz w:val="20"/>
          <w:szCs w:val="20"/>
        </w:rPr>
        <w:t>thirty patients treated with daclatasvir and asunaprevir for 24 weeks, and 26 patients achieved SVR, liver function parameters, serum alanine aminotransferase (ALT) and albumin levels and liver fibrosis markers, hyaluronic acid and type IV collagen</w:t>
      </w:r>
      <w:r w:rsidR="002547BB" w:rsidRPr="000A7305">
        <w:rPr>
          <w:rFonts w:cs="Times New Roman"/>
          <w:color w:val="1C1D1E"/>
          <w:sz w:val="20"/>
          <w:szCs w:val="20"/>
        </w:rPr>
        <w:t xml:space="preserve"> </w:t>
      </w:r>
      <w:r w:rsidR="00A8679C" w:rsidRPr="000A7305">
        <w:rPr>
          <w:rFonts w:cs="Times New Roman"/>
          <w:color w:val="1C1D1E"/>
          <w:sz w:val="20"/>
          <w:szCs w:val="20"/>
        </w:rPr>
        <w:t>were measured before and after completion of the treatment in SVR and non‐SVR patients and showed significant decrease in hyaluronic acid after end of treatment in co</w:t>
      </w:r>
      <w:r w:rsidR="00866E6F" w:rsidRPr="000A7305">
        <w:rPr>
          <w:rFonts w:cs="Times New Roman"/>
          <w:color w:val="1C1D1E"/>
          <w:sz w:val="20"/>
          <w:szCs w:val="20"/>
        </w:rPr>
        <w:t>mparison to pretreatment levels (21).</w:t>
      </w:r>
    </w:p>
    <w:p w:rsidR="00F1398B" w:rsidRPr="000A7305" w:rsidRDefault="00CE0C0C" w:rsidP="00666DFC">
      <w:pPr>
        <w:autoSpaceDE w:val="0"/>
        <w:autoSpaceDN w:val="0"/>
        <w:adjustRightInd w:val="0"/>
        <w:snapToGrid w:val="0"/>
        <w:spacing w:after="0" w:line="240" w:lineRule="auto"/>
        <w:ind w:firstLine="425"/>
        <w:rPr>
          <w:rFonts w:cs="Times New Roman"/>
          <w:sz w:val="20"/>
          <w:szCs w:val="20"/>
        </w:rPr>
      </w:pPr>
      <w:r w:rsidRPr="000A7305">
        <w:rPr>
          <w:rFonts w:cs="Times New Roman"/>
          <w:sz w:val="20"/>
          <w:szCs w:val="20"/>
        </w:rPr>
        <w:t>It has been reported that the combination of HA and aspartate transaminase to platelets ratio index (APRI) in patients with chronic HCV infection allows for the non-invasive identification of patients with cirrhosis with higher accuracy</w:t>
      </w:r>
      <w:bookmarkStart w:id="8" w:name="_Hlk13008253"/>
      <w:r w:rsidRPr="000A7305">
        <w:rPr>
          <w:rFonts w:cs="Times New Roman"/>
          <w:sz w:val="20"/>
          <w:szCs w:val="20"/>
        </w:rPr>
        <w:t xml:space="preserve"> </w:t>
      </w:r>
      <w:bookmarkEnd w:id="8"/>
      <w:r w:rsidR="00866E6F" w:rsidRPr="000A7305">
        <w:rPr>
          <w:rFonts w:cs="Times New Roman"/>
          <w:sz w:val="20"/>
          <w:szCs w:val="20"/>
        </w:rPr>
        <w:t>(22,23).</w:t>
      </w:r>
      <w:r w:rsidR="00F1398B" w:rsidRPr="000A7305">
        <w:rPr>
          <w:rFonts w:cs="Times New Roman"/>
          <w:b/>
          <w:bCs/>
          <w:sz w:val="20"/>
          <w:szCs w:val="20"/>
        </w:rPr>
        <w:t xml:space="preserve"> </w:t>
      </w:r>
      <w:r w:rsidR="00A8679C" w:rsidRPr="000A7305">
        <w:rPr>
          <w:rFonts w:cs="Times New Roman"/>
          <w:sz w:val="20"/>
          <w:szCs w:val="20"/>
        </w:rPr>
        <w:t xml:space="preserve">Thus, it was recommended that HA </w:t>
      </w:r>
      <w:r w:rsidR="00F1398B" w:rsidRPr="000A7305">
        <w:rPr>
          <w:rFonts w:cs="Times New Roman"/>
          <w:sz w:val="20"/>
          <w:szCs w:val="20"/>
        </w:rPr>
        <w:t>can be used as</w:t>
      </w:r>
      <w:r w:rsidR="00A8679C" w:rsidRPr="000A7305">
        <w:rPr>
          <w:rFonts w:cs="Times New Roman"/>
          <w:sz w:val="20"/>
          <w:szCs w:val="20"/>
        </w:rPr>
        <w:t xml:space="preserve"> a useful biomarker to monitor progression of liver disease and risk of complications in patients with chronic viral hepatitis</w:t>
      </w:r>
      <w:r w:rsidR="00866E6F" w:rsidRPr="000A7305">
        <w:rPr>
          <w:rFonts w:cs="Times New Roman"/>
          <w:b/>
          <w:bCs/>
          <w:sz w:val="20"/>
          <w:szCs w:val="20"/>
        </w:rPr>
        <w:t xml:space="preserve"> </w:t>
      </w:r>
      <w:r w:rsidR="00F1398B" w:rsidRPr="000A7305">
        <w:rPr>
          <w:rFonts w:cs="Times New Roman"/>
          <w:sz w:val="20"/>
          <w:szCs w:val="20"/>
        </w:rPr>
        <w:t>(24), which makes it</w:t>
      </w:r>
      <w:r w:rsidR="00A8679C" w:rsidRPr="000A7305">
        <w:rPr>
          <w:rFonts w:cs="Times New Roman"/>
          <w:sz w:val="20"/>
          <w:szCs w:val="20"/>
        </w:rPr>
        <w:t xml:space="preserve"> a reliable surrogate marker in distinguishing the clinically relevant stages of fibrosis</w:t>
      </w:r>
      <w:r w:rsidR="00866E6F" w:rsidRPr="000A7305">
        <w:rPr>
          <w:rFonts w:cs="Times New Roman"/>
          <w:b/>
          <w:bCs/>
          <w:sz w:val="20"/>
          <w:szCs w:val="20"/>
        </w:rPr>
        <w:t xml:space="preserve"> </w:t>
      </w:r>
      <w:r w:rsidR="00866E6F" w:rsidRPr="000A7305">
        <w:rPr>
          <w:rFonts w:cs="Times New Roman"/>
          <w:sz w:val="20"/>
          <w:szCs w:val="20"/>
        </w:rPr>
        <w:t>(25).</w:t>
      </w:r>
    </w:p>
    <w:p w:rsidR="00F3218B" w:rsidRPr="000A7305" w:rsidRDefault="00F3218B" w:rsidP="00666DFC">
      <w:pPr>
        <w:snapToGrid w:val="0"/>
        <w:spacing w:after="0" w:line="240" w:lineRule="auto"/>
        <w:ind w:firstLine="425"/>
        <w:rPr>
          <w:rFonts w:cs="Times New Roman"/>
          <w:sz w:val="20"/>
          <w:szCs w:val="20"/>
        </w:rPr>
      </w:pPr>
    </w:p>
    <w:p w:rsidR="00CE0C0C" w:rsidRPr="000A7305" w:rsidRDefault="00CE0C0C" w:rsidP="00666DFC">
      <w:pPr>
        <w:pStyle w:val="Heading1"/>
        <w:rPr>
          <w:szCs w:val="20"/>
        </w:rPr>
      </w:pPr>
      <w:r w:rsidRPr="000A7305">
        <w:rPr>
          <w:szCs w:val="20"/>
        </w:rPr>
        <w:t>Conclusion</w:t>
      </w:r>
    </w:p>
    <w:p w:rsidR="00CE0C0C" w:rsidRPr="000A7305" w:rsidRDefault="00F1398B" w:rsidP="00666DFC">
      <w:pPr>
        <w:snapToGrid w:val="0"/>
        <w:spacing w:after="0" w:line="240" w:lineRule="auto"/>
        <w:ind w:firstLine="425"/>
        <w:rPr>
          <w:rFonts w:cs="Times New Roman"/>
          <w:sz w:val="20"/>
          <w:szCs w:val="20"/>
        </w:rPr>
      </w:pPr>
      <w:r w:rsidRPr="000A7305">
        <w:rPr>
          <w:rFonts w:cs="Times New Roman"/>
          <w:sz w:val="20"/>
          <w:szCs w:val="20"/>
        </w:rPr>
        <w:t xml:space="preserve">Since serum HA levels were positively correlated to APRI, which is a well-established indicator of liver fibrosis, </w:t>
      </w:r>
      <w:r w:rsidR="009E5488" w:rsidRPr="000A7305">
        <w:rPr>
          <w:rFonts w:cs="Times New Roman"/>
          <w:sz w:val="20"/>
          <w:szCs w:val="20"/>
        </w:rPr>
        <w:t>HA can be considered to have a good diagnostic accuracy as a noninvasive assessment of fibrosis</w:t>
      </w:r>
      <w:r w:rsidR="00CE0C0C" w:rsidRPr="000A7305">
        <w:rPr>
          <w:rFonts w:cs="Times New Roman"/>
          <w:sz w:val="20"/>
          <w:szCs w:val="20"/>
        </w:rPr>
        <w:t xml:space="preserve">. Moreover, the measurement of serum HA is a non- invasive, accurate and cost-effective method for diagnosis of liver fibrosis in patients with </w:t>
      </w:r>
      <w:bookmarkStart w:id="9" w:name="_Hlk13008548"/>
      <w:r w:rsidR="00CE0C0C" w:rsidRPr="000A7305">
        <w:rPr>
          <w:rFonts w:cs="Times New Roman"/>
          <w:sz w:val="20"/>
          <w:szCs w:val="20"/>
        </w:rPr>
        <w:t>β-thalassemia infected with hepatitis C virus</w:t>
      </w:r>
      <w:bookmarkEnd w:id="9"/>
      <w:r w:rsidR="00CE0C0C" w:rsidRPr="000A7305">
        <w:rPr>
          <w:rFonts w:cs="Times New Roman"/>
          <w:sz w:val="20"/>
          <w:szCs w:val="20"/>
        </w:rPr>
        <w:t>.</w:t>
      </w:r>
    </w:p>
    <w:p w:rsidR="009E5488" w:rsidRPr="000A7305" w:rsidRDefault="009E5488" w:rsidP="00666DFC">
      <w:pPr>
        <w:snapToGrid w:val="0"/>
        <w:spacing w:after="0" w:line="240" w:lineRule="auto"/>
        <w:ind w:firstLine="425"/>
        <w:rPr>
          <w:rFonts w:cs="Times New Roman"/>
          <w:sz w:val="20"/>
          <w:szCs w:val="20"/>
        </w:rPr>
      </w:pPr>
    </w:p>
    <w:p w:rsidR="00797897" w:rsidRPr="000A7305" w:rsidRDefault="00E5246E" w:rsidP="00666DFC">
      <w:pPr>
        <w:pStyle w:val="Heading1"/>
        <w:rPr>
          <w:szCs w:val="20"/>
        </w:rPr>
      </w:pPr>
      <w:bookmarkStart w:id="10" w:name="_Toc476621957"/>
      <w:bookmarkEnd w:id="6"/>
      <w:r w:rsidRPr="000A7305">
        <w:rPr>
          <w:szCs w:val="20"/>
        </w:rPr>
        <w:t>Disclosure</w:t>
      </w:r>
      <w:bookmarkEnd w:id="10"/>
    </w:p>
    <w:p w:rsidR="00CE0C0C" w:rsidRPr="000A7305" w:rsidRDefault="004F65EE" w:rsidP="00666DFC">
      <w:pPr>
        <w:snapToGrid w:val="0"/>
        <w:spacing w:after="0" w:line="240" w:lineRule="auto"/>
        <w:ind w:firstLine="425"/>
        <w:rPr>
          <w:rFonts w:cs="Times New Roman"/>
          <w:sz w:val="20"/>
          <w:szCs w:val="20"/>
        </w:rPr>
      </w:pPr>
      <w:r w:rsidRPr="000A7305">
        <w:rPr>
          <w:rFonts w:cs="Times New Roman"/>
          <w:sz w:val="20"/>
          <w:szCs w:val="20"/>
        </w:rPr>
        <w:t>All patients were enrolled after obtaining an informed consent from one of their parents.</w:t>
      </w:r>
      <w:r w:rsidR="00CE0C0C" w:rsidRPr="000A7305">
        <w:rPr>
          <w:rFonts w:cs="Times New Roman"/>
          <w:sz w:val="20"/>
          <w:szCs w:val="20"/>
        </w:rPr>
        <w:t xml:space="preserve"> The study was registered as a clinical trial on Clinicaltrials.gov.</w:t>
      </w:r>
      <w:r w:rsidR="002547BB" w:rsidRPr="000A7305">
        <w:rPr>
          <w:rFonts w:cs="Times New Roman"/>
          <w:sz w:val="20"/>
          <w:szCs w:val="20"/>
        </w:rPr>
        <w:t xml:space="preserve"> </w:t>
      </w:r>
      <w:r w:rsidR="00CE0C0C" w:rsidRPr="000A7305">
        <w:rPr>
          <w:rFonts w:cs="Times New Roman"/>
          <w:sz w:val="20"/>
          <w:szCs w:val="20"/>
        </w:rPr>
        <w:t>(ClinicalTrials.gov Identifier: NCT03961828</w:t>
      </w:r>
      <w:r w:rsidR="00F1398B" w:rsidRPr="000A7305">
        <w:rPr>
          <w:rFonts w:cs="Times New Roman"/>
          <w:sz w:val="20"/>
          <w:szCs w:val="20"/>
        </w:rPr>
        <w:t>) as this was the first study to treat chronic HCV infection in children with thalassemia using DAAs.</w:t>
      </w:r>
    </w:p>
    <w:p w:rsidR="00E5246E" w:rsidRDefault="00E5246E" w:rsidP="00666DFC">
      <w:pPr>
        <w:pStyle w:val="Heading1"/>
        <w:rPr>
          <w:rFonts w:eastAsiaTheme="minorEastAsia" w:hint="eastAsia"/>
          <w:szCs w:val="20"/>
          <w:lang w:eastAsia="zh-CN"/>
        </w:rPr>
      </w:pPr>
    </w:p>
    <w:p w:rsidR="000A7305" w:rsidRPr="000A7305" w:rsidRDefault="000A7305" w:rsidP="000A7305">
      <w:pPr>
        <w:rPr>
          <w:lang w:eastAsia="zh-CN"/>
        </w:rPr>
      </w:pPr>
    </w:p>
    <w:p w:rsidR="00E5246E" w:rsidRPr="000A7305" w:rsidRDefault="00E5246E" w:rsidP="00666DFC">
      <w:pPr>
        <w:pStyle w:val="Heading1"/>
        <w:rPr>
          <w:szCs w:val="20"/>
        </w:rPr>
      </w:pPr>
      <w:bookmarkStart w:id="11" w:name="OLE_LINK1"/>
      <w:bookmarkStart w:id="12" w:name="OLE_LINK2"/>
      <w:r w:rsidRPr="000A7305">
        <w:rPr>
          <w:szCs w:val="20"/>
        </w:rPr>
        <w:lastRenderedPageBreak/>
        <w:t>Corresponding Author</w:t>
      </w:r>
    </w:p>
    <w:p w:rsidR="00E5246E" w:rsidRPr="000A7305" w:rsidRDefault="00E5246E" w:rsidP="00666DFC">
      <w:pPr>
        <w:snapToGrid w:val="0"/>
        <w:spacing w:after="0" w:line="240" w:lineRule="auto"/>
        <w:ind w:firstLine="0"/>
        <w:rPr>
          <w:rFonts w:cs="Times New Roman"/>
          <w:sz w:val="20"/>
          <w:szCs w:val="20"/>
        </w:rPr>
      </w:pPr>
      <w:r w:rsidRPr="000A7305">
        <w:rPr>
          <w:rFonts w:cs="Times New Roman"/>
          <w:sz w:val="20"/>
          <w:szCs w:val="20"/>
        </w:rPr>
        <w:t>Eslam El-Sayed El-Hawary. Lecturer of Pediatric Hematology, Faculty of Medicine, Tanta University.</w:t>
      </w:r>
    </w:p>
    <w:p w:rsidR="00E5246E" w:rsidRPr="000A7305" w:rsidRDefault="00E5246E" w:rsidP="00666DFC">
      <w:pPr>
        <w:snapToGrid w:val="0"/>
        <w:spacing w:after="0" w:line="240" w:lineRule="auto"/>
        <w:ind w:firstLine="0"/>
        <w:rPr>
          <w:rFonts w:cs="Times New Roman"/>
          <w:sz w:val="20"/>
          <w:szCs w:val="20"/>
        </w:rPr>
      </w:pPr>
      <w:r w:rsidRPr="000A7305">
        <w:rPr>
          <w:rFonts w:cs="Times New Roman"/>
          <w:sz w:val="20"/>
          <w:szCs w:val="20"/>
        </w:rPr>
        <w:t xml:space="preserve">Email: </w:t>
      </w:r>
      <w:hyperlink r:id="rId16" w:history="1">
        <w:r w:rsidRPr="000A7305">
          <w:rPr>
            <w:rStyle w:val="Hyperlink"/>
            <w:rFonts w:cs="Times New Roman"/>
            <w:sz w:val="20"/>
            <w:szCs w:val="20"/>
          </w:rPr>
          <w:t>eslam.elhawary@med.tanta.edu.eg</w:t>
        </w:r>
      </w:hyperlink>
    </w:p>
    <w:p w:rsidR="00E5246E" w:rsidRPr="000A7305" w:rsidRDefault="00E5246E" w:rsidP="00666DFC">
      <w:pPr>
        <w:snapToGrid w:val="0"/>
        <w:spacing w:after="0" w:line="240" w:lineRule="auto"/>
        <w:ind w:firstLine="0"/>
        <w:rPr>
          <w:rFonts w:cs="Times New Roman"/>
          <w:sz w:val="20"/>
          <w:szCs w:val="20"/>
        </w:rPr>
      </w:pPr>
      <w:r w:rsidRPr="000A7305">
        <w:rPr>
          <w:rFonts w:cs="Times New Roman"/>
          <w:sz w:val="20"/>
          <w:szCs w:val="20"/>
        </w:rPr>
        <w:t>Mobile: 02 01090044779</w:t>
      </w:r>
    </w:p>
    <w:p w:rsidR="00E5246E" w:rsidRPr="000A7305" w:rsidRDefault="00E5246E" w:rsidP="00666DFC">
      <w:pPr>
        <w:snapToGrid w:val="0"/>
        <w:spacing w:after="0" w:line="240" w:lineRule="auto"/>
        <w:ind w:firstLine="0"/>
        <w:rPr>
          <w:rFonts w:cs="Times New Roman"/>
          <w:sz w:val="20"/>
          <w:szCs w:val="20"/>
        </w:rPr>
      </w:pPr>
      <w:r w:rsidRPr="000A7305">
        <w:rPr>
          <w:rFonts w:cs="Times New Roman"/>
          <w:sz w:val="20"/>
          <w:szCs w:val="20"/>
        </w:rPr>
        <w:t xml:space="preserve">Address: Faculty of Medicine, Pediatrics department, El Bahr St.، Tanta Qism 2, Tanta, Gharbia Governorate. </w:t>
      </w:r>
    </w:p>
    <w:p w:rsidR="00E5246E" w:rsidRPr="000A7305" w:rsidRDefault="00E5246E" w:rsidP="00666DFC">
      <w:pPr>
        <w:snapToGrid w:val="0"/>
        <w:spacing w:after="0" w:line="240" w:lineRule="auto"/>
        <w:ind w:firstLine="0"/>
        <w:rPr>
          <w:rFonts w:cs="Times New Roman"/>
          <w:sz w:val="20"/>
          <w:szCs w:val="20"/>
        </w:rPr>
      </w:pPr>
      <w:r w:rsidRPr="000A7305">
        <w:rPr>
          <w:rFonts w:cs="Times New Roman"/>
          <w:sz w:val="20"/>
          <w:szCs w:val="20"/>
        </w:rPr>
        <w:t xml:space="preserve">Postal code: </w:t>
      </w:r>
      <w:r w:rsidRPr="000A7305">
        <w:rPr>
          <w:rFonts w:cs="Times New Roman"/>
          <w:bCs/>
          <w:color w:val="000000"/>
          <w:sz w:val="20"/>
          <w:szCs w:val="20"/>
          <w:shd w:val="clear" w:color="auto" w:fill="FFFFFF"/>
        </w:rPr>
        <w:t>31527</w:t>
      </w:r>
      <w:bookmarkEnd w:id="11"/>
      <w:bookmarkEnd w:id="12"/>
    </w:p>
    <w:p w:rsidR="00E5246E" w:rsidRDefault="00E5246E" w:rsidP="00666DFC">
      <w:pPr>
        <w:snapToGrid w:val="0"/>
        <w:spacing w:after="0" w:line="240" w:lineRule="auto"/>
        <w:ind w:firstLine="425"/>
        <w:rPr>
          <w:rFonts w:cs="Times New Roman" w:hint="eastAsia"/>
          <w:b/>
          <w:bCs/>
          <w:color w:val="000000"/>
          <w:sz w:val="20"/>
          <w:szCs w:val="20"/>
          <w:shd w:val="clear" w:color="auto" w:fill="FFFFFF"/>
          <w:lang w:eastAsia="zh-CN"/>
        </w:rPr>
      </w:pPr>
    </w:p>
    <w:p w:rsidR="000A7305" w:rsidRPr="000A7305" w:rsidRDefault="000A7305" w:rsidP="00666DFC">
      <w:pPr>
        <w:snapToGrid w:val="0"/>
        <w:spacing w:after="0" w:line="240" w:lineRule="auto"/>
        <w:ind w:firstLine="425"/>
        <w:rPr>
          <w:rFonts w:cs="Times New Roman"/>
          <w:b/>
          <w:bCs/>
          <w:color w:val="000000"/>
          <w:sz w:val="20"/>
          <w:szCs w:val="20"/>
          <w:shd w:val="clear" w:color="auto" w:fill="FFFFFF"/>
          <w:lang w:eastAsia="zh-CN"/>
        </w:rPr>
      </w:pPr>
    </w:p>
    <w:p w:rsidR="00E5246E" w:rsidRPr="000A7305" w:rsidRDefault="00E5246E" w:rsidP="00666DFC">
      <w:pPr>
        <w:pStyle w:val="Heading1"/>
        <w:rPr>
          <w:szCs w:val="20"/>
        </w:rPr>
      </w:pPr>
      <w:bookmarkStart w:id="13" w:name="_Toc476621959"/>
      <w:r w:rsidRPr="000A7305">
        <w:rPr>
          <w:szCs w:val="20"/>
        </w:rPr>
        <w:t>References</w:t>
      </w:r>
      <w:bookmarkEnd w:id="13"/>
    </w:p>
    <w:p w:rsidR="00E5246E" w:rsidRPr="000A7305" w:rsidRDefault="00E5246E" w:rsidP="00666DFC">
      <w:pPr>
        <w:pStyle w:val="EndNoteBibliography"/>
        <w:numPr>
          <w:ilvl w:val="1"/>
          <w:numId w:val="31"/>
        </w:numPr>
        <w:snapToGrid w:val="0"/>
        <w:spacing w:after="0" w:line="240" w:lineRule="auto"/>
        <w:ind w:left="425" w:hanging="425"/>
        <w:rPr>
          <w:bCs/>
          <w:iCs/>
          <w:sz w:val="20"/>
          <w:szCs w:val="20"/>
        </w:rPr>
      </w:pPr>
      <w:r w:rsidRPr="000A7305">
        <w:rPr>
          <w:i/>
          <w:sz w:val="20"/>
          <w:szCs w:val="20"/>
        </w:rPr>
        <w:t>L</w:t>
      </w:r>
      <w:r w:rsidR="008F4E37" w:rsidRPr="000A7305">
        <w:rPr>
          <w:i/>
          <w:sz w:val="20"/>
          <w:szCs w:val="20"/>
        </w:rPr>
        <w:t>anzkowsky</w:t>
      </w:r>
      <w:r w:rsidR="002547BB" w:rsidRPr="000A7305">
        <w:rPr>
          <w:i/>
          <w:sz w:val="20"/>
          <w:szCs w:val="20"/>
        </w:rPr>
        <w:t xml:space="preserve"> </w:t>
      </w:r>
      <w:r w:rsidR="008F4E37" w:rsidRPr="000A7305">
        <w:rPr>
          <w:i/>
          <w:sz w:val="20"/>
          <w:szCs w:val="20"/>
        </w:rPr>
        <w:t>P.</w:t>
      </w:r>
      <w:r w:rsidR="002547BB" w:rsidRPr="000A7305">
        <w:rPr>
          <w:i/>
          <w:sz w:val="20"/>
          <w:szCs w:val="20"/>
        </w:rPr>
        <w:t xml:space="preserve"> </w:t>
      </w:r>
      <w:r w:rsidR="008F4E37" w:rsidRPr="000A7305">
        <w:rPr>
          <w:bCs/>
          <w:iCs/>
          <w:sz w:val="20"/>
          <w:szCs w:val="20"/>
        </w:rPr>
        <w:t>Classification</w:t>
      </w:r>
      <w:r w:rsidR="002547BB" w:rsidRPr="000A7305">
        <w:rPr>
          <w:bCs/>
          <w:iCs/>
          <w:sz w:val="20"/>
          <w:szCs w:val="20"/>
        </w:rPr>
        <w:t xml:space="preserve"> </w:t>
      </w:r>
      <w:r w:rsidR="008F4E37" w:rsidRPr="000A7305">
        <w:rPr>
          <w:bCs/>
          <w:iCs/>
          <w:sz w:val="20"/>
          <w:szCs w:val="20"/>
        </w:rPr>
        <w:t>and</w:t>
      </w:r>
      <w:r w:rsidR="002547BB" w:rsidRPr="000A7305">
        <w:rPr>
          <w:bCs/>
          <w:iCs/>
          <w:sz w:val="20"/>
          <w:szCs w:val="20"/>
        </w:rPr>
        <w:t xml:space="preserve"> </w:t>
      </w:r>
      <w:r w:rsidR="008F4E37" w:rsidRPr="000A7305">
        <w:rPr>
          <w:bCs/>
          <w:iCs/>
          <w:sz w:val="20"/>
          <w:szCs w:val="20"/>
        </w:rPr>
        <w:t>diagnosis</w:t>
      </w:r>
      <w:r w:rsidR="002547BB" w:rsidRPr="000A7305">
        <w:rPr>
          <w:bCs/>
          <w:iCs/>
          <w:sz w:val="20"/>
          <w:szCs w:val="20"/>
        </w:rPr>
        <w:t xml:space="preserve"> </w:t>
      </w:r>
      <w:r w:rsidR="008F4E37" w:rsidRPr="000A7305">
        <w:rPr>
          <w:bCs/>
          <w:iCs/>
          <w:sz w:val="20"/>
          <w:szCs w:val="20"/>
        </w:rPr>
        <w:t>of</w:t>
      </w:r>
      <w:r w:rsidR="002547BB" w:rsidRPr="000A7305">
        <w:rPr>
          <w:bCs/>
          <w:iCs/>
          <w:sz w:val="20"/>
          <w:szCs w:val="20"/>
        </w:rPr>
        <w:t xml:space="preserve"> </w:t>
      </w:r>
      <w:r w:rsidR="008F4E37" w:rsidRPr="000A7305">
        <w:rPr>
          <w:bCs/>
          <w:iCs/>
          <w:sz w:val="20"/>
          <w:szCs w:val="20"/>
        </w:rPr>
        <w:t>anemia</w:t>
      </w:r>
      <w:r w:rsidR="002547BB" w:rsidRPr="000A7305">
        <w:rPr>
          <w:bCs/>
          <w:iCs/>
          <w:sz w:val="20"/>
          <w:szCs w:val="20"/>
        </w:rPr>
        <w:t xml:space="preserve"> </w:t>
      </w:r>
      <w:r w:rsidR="008F4E37" w:rsidRPr="000A7305">
        <w:rPr>
          <w:bCs/>
          <w:iCs/>
          <w:sz w:val="20"/>
          <w:szCs w:val="20"/>
        </w:rPr>
        <w:t>in</w:t>
      </w:r>
      <w:r w:rsidR="002547BB" w:rsidRPr="000A7305">
        <w:rPr>
          <w:bCs/>
          <w:iCs/>
          <w:sz w:val="20"/>
          <w:szCs w:val="20"/>
        </w:rPr>
        <w:t xml:space="preserve"> </w:t>
      </w:r>
      <w:r w:rsidR="008F4E37" w:rsidRPr="000A7305">
        <w:rPr>
          <w:bCs/>
          <w:iCs/>
          <w:sz w:val="20"/>
          <w:szCs w:val="20"/>
        </w:rPr>
        <w:t>children.</w:t>
      </w:r>
      <w:r w:rsidR="002547BB" w:rsidRPr="000A7305">
        <w:rPr>
          <w:bCs/>
          <w:iCs/>
          <w:sz w:val="20"/>
          <w:szCs w:val="20"/>
        </w:rPr>
        <w:t xml:space="preserve"> </w:t>
      </w:r>
      <w:r w:rsidR="008F4E37" w:rsidRPr="000A7305">
        <w:rPr>
          <w:bCs/>
          <w:iCs/>
          <w:sz w:val="20"/>
          <w:szCs w:val="20"/>
        </w:rPr>
        <w:t>Lanzkowsky's</w:t>
      </w:r>
      <w:r w:rsidR="002547BB" w:rsidRPr="000A7305">
        <w:rPr>
          <w:bCs/>
          <w:iCs/>
          <w:sz w:val="20"/>
          <w:szCs w:val="20"/>
        </w:rPr>
        <w:t xml:space="preserve"> </w:t>
      </w:r>
      <w:r w:rsidR="008F4E37" w:rsidRPr="000A7305">
        <w:rPr>
          <w:bCs/>
          <w:iCs/>
          <w:sz w:val="20"/>
          <w:szCs w:val="20"/>
        </w:rPr>
        <w:t>manual</w:t>
      </w:r>
      <w:r w:rsidR="002547BB" w:rsidRPr="000A7305">
        <w:rPr>
          <w:bCs/>
          <w:iCs/>
          <w:sz w:val="20"/>
          <w:szCs w:val="20"/>
        </w:rPr>
        <w:t xml:space="preserve"> </w:t>
      </w:r>
      <w:r w:rsidR="008F4E37" w:rsidRPr="000A7305">
        <w:rPr>
          <w:bCs/>
          <w:iCs/>
          <w:sz w:val="20"/>
          <w:szCs w:val="20"/>
        </w:rPr>
        <w:t>of</w:t>
      </w:r>
      <w:r w:rsidR="002547BB" w:rsidRPr="000A7305">
        <w:rPr>
          <w:bCs/>
          <w:iCs/>
          <w:sz w:val="20"/>
          <w:szCs w:val="20"/>
        </w:rPr>
        <w:t xml:space="preserve"> </w:t>
      </w:r>
      <w:r w:rsidR="008F4E37" w:rsidRPr="000A7305">
        <w:rPr>
          <w:bCs/>
          <w:iCs/>
          <w:sz w:val="20"/>
          <w:szCs w:val="20"/>
        </w:rPr>
        <w:t>pediatric</w:t>
      </w:r>
      <w:r w:rsidR="002547BB" w:rsidRPr="000A7305">
        <w:rPr>
          <w:bCs/>
          <w:iCs/>
          <w:sz w:val="20"/>
          <w:szCs w:val="20"/>
        </w:rPr>
        <w:t xml:space="preserve"> </w:t>
      </w:r>
      <w:r w:rsidR="008F4E37" w:rsidRPr="000A7305">
        <w:rPr>
          <w:bCs/>
          <w:iCs/>
          <w:sz w:val="20"/>
          <w:szCs w:val="20"/>
        </w:rPr>
        <w:t>hematology</w:t>
      </w:r>
      <w:r w:rsidR="002547BB" w:rsidRPr="000A7305">
        <w:rPr>
          <w:bCs/>
          <w:iCs/>
          <w:sz w:val="20"/>
          <w:szCs w:val="20"/>
        </w:rPr>
        <w:t xml:space="preserve"> </w:t>
      </w:r>
      <w:r w:rsidR="008F4E37" w:rsidRPr="000A7305">
        <w:rPr>
          <w:bCs/>
          <w:iCs/>
          <w:sz w:val="20"/>
          <w:szCs w:val="20"/>
        </w:rPr>
        <w:t>and</w:t>
      </w:r>
      <w:r w:rsidR="002547BB" w:rsidRPr="000A7305">
        <w:rPr>
          <w:bCs/>
          <w:iCs/>
          <w:sz w:val="20"/>
          <w:szCs w:val="20"/>
        </w:rPr>
        <w:t xml:space="preserve"> </w:t>
      </w:r>
      <w:r w:rsidR="008F4E37" w:rsidRPr="000A7305">
        <w:rPr>
          <w:bCs/>
          <w:iCs/>
          <w:sz w:val="20"/>
          <w:szCs w:val="20"/>
        </w:rPr>
        <w:t>oncology:</w:t>
      </w:r>
      <w:r w:rsidR="002547BB" w:rsidRPr="000A7305">
        <w:rPr>
          <w:bCs/>
          <w:iCs/>
          <w:sz w:val="20"/>
          <w:szCs w:val="20"/>
        </w:rPr>
        <w:t xml:space="preserve"> </w:t>
      </w:r>
      <w:r w:rsidR="008F4E37" w:rsidRPr="000A7305">
        <w:rPr>
          <w:bCs/>
          <w:iCs/>
          <w:sz w:val="20"/>
          <w:szCs w:val="20"/>
        </w:rPr>
        <w:t>Elsevier;</w:t>
      </w:r>
      <w:r w:rsidR="002547BB" w:rsidRPr="000A7305">
        <w:rPr>
          <w:bCs/>
          <w:iCs/>
          <w:sz w:val="20"/>
          <w:szCs w:val="20"/>
        </w:rPr>
        <w:t xml:space="preserve"> </w:t>
      </w:r>
      <w:r w:rsidR="008F4E37" w:rsidRPr="000A7305">
        <w:rPr>
          <w:bCs/>
          <w:iCs/>
          <w:sz w:val="20"/>
          <w:szCs w:val="20"/>
        </w:rPr>
        <w:t>2016.</w:t>
      </w:r>
      <w:r w:rsidR="002547BB" w:rsidRPr="000A7305">
        <w:rPr>
          <w:bCs/>
          <w:iCs/>
          <w:sz w:val="20"/>
          <w:szCs w:val="20"/>
        </w:rPr>
        <w:t xml:space="preserve"> </w:t>
      </w:r>
      <w:r w:rsidR="008F4E37" w:rsidRPr="000A7305">
        <w:rPr>
          <w:bCs/>
          <w:iCs/>
          <w:sz w:val="20"/>
          <w:szCs w:val="20"/>
        </w:rPr>
        <w:t>p.</w:t>
      </w:r>
      <w:r w:rsidR="002547BB" w:rsidRPr="000A7305">
        <w:rPr>
          <w:bCs/>
          <w:iCs/>
          <w:sz w:val="20"/>
          <w:szCs w:val="20"/>
        </w:rPr>
        <w:t xml:space="preserve"> </w:t>
      </w:r>
      <w:r w:rsidR="008F4E37" w:rsidRPr="000A7305">
        <w:rPr>
          <w:bCs/>
          <w:iCs/>
          <w:sz w:val="20"/>
          <w:szCs w:val="20"/>
        </w:rPr>
        <w:t>32-41.</w:t>
      </w:r>
      <w:r w:rsidR="002547BB" w:rsidRPr="000A7305">
        <w:rPr>
          <w:bCs/>
          <w:iCs/>
          <w:sz w:val="20"/>
          <w:szCs w:val="20"/>
        </w:rPr>
        <w:t xml:space="preserve"> </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Y</w:t>
      </w:r>
      <w:r w:rsidR="006F77E2" w:rsidRPr="000A7305">
        <w:rPr>
          <w:i/>
          <w:sz w:val="20"/>
          <w:szCs w:val="20"/>
        </w:rPr>
        <w:t>oussef</w:t>
      </w:r>
      <w:r w:rsidR="002547BB" w:rsidRPr="000A7305">
        <w:rPr>
          <w:i/>
          <w:sz w:val="20"/>
          <w:szCs w:val="20"/>
        </w:rPr>
        <w:t xml:space="preserve"> </w:t>
      </w:r>
      <w:r w:rsidR="006F77E2" w:rsidRPr="000A7305">
        <w:rPr>
          <w:i/>
          <w:sz w:val="20"/>
          <w:szCs w:val="20"/>
        </w:rPr>
        <w:t>SM,</w:t>
      </w:r>
      <w:r w:rsidR="002547BB" w:rsidRPr="000A7305">
        <w:rPr>
          <w:i/>
          <w:sz w:val="20"/>
          <w:szCs w:val="20"/>
        </w:rPr>
        <w:t xml:space="preserve"> </w:t>
      </w:r>
      <w:r w:rsidR="006F77E2" w:rsidRPr="000A7305">
        <w:rPr>
          <w:i/>
          <w:sz w:val="20"/>
          <w:szCs w:val="20"/>
        </w:rPr>
        <w:t>El</w:t>
      </w:r>
      <w:r w:rsidR="002547BB" w:rsidRPr="000A7305">
        <w:rPr>
          <w:i/>
          <w:sz w:val="20"/>
          <w:szCs w:val="20"/>
        </w:rPr>
        <w:t xml:space="preserve"> </w:t>
      </w:r>
      <w:r w:rsidR="006F77E2" w:rsidRPr="000A7305">
        <w:rPr>
          <w:i/>
          <w:sz w:val="20"/>
          <w:szCs w:val="20"/>
        </w:rPr>
        <w:t>Alfy</w:t>
      </w:r>
      <w:r w:rsidR="002547BB" w:rsidRPr="000A7305">
        <w:rPr>
          <w:i/>
          <w:sz w:val="20"/>
          <w:szCs w:val="20"/>
        </w:rPr>
        <w:t xml:space="preserve"> </w:t>
      </w:r>
      <w:r w:rsidR="006F77E2" w:rsidRPr="000A7305">
        <w:rPr>
          <w:i/>
          <w:sz w:val="20"/>
          <w:szCs w:val="20"/>
        </w:rPr>
        <w:t>MS,</w:t>
      </w:r>
      <w:r w:rsidR="002547BB" w:rsidRPr="000A7305">
        <w:rPr>
          <w:i/>
          <w:sz w:val="20"/>
          <w:szCs w:val="20"/>
        </w:rPr>
        <w:t xml:space="preserve"> </w:t>
      </w:r>
      <w:r w:rsidR="006F77E2" w:rsidRPr="000A7305">
        <w:rPr>
          <w:i/>
          <w:sz w:val="20"/>
          <w:szCs w:val="20"/>
        </w:rPr>
        <w:t>Osman</w:t>
      </w:r>
      <w:r w:rsidR="002547BB" w:rsidRPr="000A7305">
        <w:rPr>
          <w:i/>
          <w:sz w:val="20"/>
          <w:szCs w:val="20"/>
        </w:rPr>
        <w:t xml:space="preserve"> </w:t>
      </w:r>
      <w:r w:rsidR="006F77E2" w:rsidRPr="000A7305">
        <w:rPr>
          <w:i/>
          <w:sz w:val="20"/>
          <w:szCs w:val="20"/>
        </w:rPr>
        <w:t>AA,</w:t>
      </w:r>
      <w:r w:rsidR="002547BB" w:rsidRPr="000A7305">
        <w:rPr>
          <w:i/>
          <w:sz w:val="20"/>
          <w:szCs w:val="20"/>
        </w:rPr>
        <w:t xml:space="preserve"> </w:t>
      </w:r>
      <w:r w:rsidR="006F77E2" w:rsidRPr="000A7305">
        <w:rPr>
          <w:i/>
          <w:sz w:val="20"/>
          <w:szCs w:val="20"/>
        </w:rPr>
        <w:t>Khattab</w:t>
      </w:r>
      <w:r w:rsidR="002547BB" w:rsidRPr="000A7305">
        <w:rPr>
          <w:i/>
          <w:sz w:val="20"/>
          <w:szCs w:val="20"/>
        </w:rPr>
        <w:t xml:space="preserve"> </w:t>
      </w:r>
      <w:r w:rsidR="006F77E2" w:rsidRPr="000A7305">
        <w:rPr>
          <w:i/>
          <w:sz w:val="20"/>
          <w:szCs w:val="20"/>
        </w:rPr>
        <w:t>DA,</w:t>
      </w:r>
      <w:r w:rsidR="002547BB" w:rsidRPr="000A7305">
        <w:rPr>
          <w:i/>
          <w:sz w:val="20"/>
          <w:szCs w:val="20"/>
        </w:rPr>
        <w:t xml:space="preserve"> </w:t>
      </w:r>
      <w:r w:rsidR="006F77E2" w:rsidRPr="000A7305">
        <w:rPr>
          <w:i/>
          <w:sz w:val="20"/>
          <w:szCs w:val="20"/>
        </w:rPr>
        <w:t>El</w:t>
      </w:r>
      <w:r w:rsidR="002547BB" w:rsidRPr="000A7305">
        <w:rPr>
          <w:i/>
          <w:sz w:val="20"/>
          <w:szCs w:val="20"/>
        </w:rPr>
        <w:t xml:space="preserve"> </w:t>
      </w:r>
      <w:r w:rsidR="006F77E2" w:rsidRPr="000A7305">
        <w:rPr>
          <w:i/>
          <w:sz w:val="20"/>
          <w:szCs w:val="20"/>
        </w:rPr>
        <w:t>Feky</w:t>
      </w:r>
      <w:r w:rsidR="002547BB" w:rsidRPr="000A7305">
        <w:rPr>
          <w:i/>
          <w:sz w:val="20"/>
          <w:szCs w:val="20"/>
        </w:rPr>
        <w:t xml:space="preserve"> </w:t>
      </w:r>
      <w:r w:rsidR="006F77E2" w:rsidRPr="000A7305">
        <w:rPr>
          <w:i/>
          <w:sz w:val="20"/>
          <w:szCs w:val="20"/>
        </w:rPr>
        <w:t>MA,</w:t>
      </w:r>
      <w:r w:rsidR="002547BB" w:rsidRPr="000A7305">
        <w:rPr>
          <w:i/>
          <w:sz w:val="20"/>
          <w:szCs w:val="20"/>
        </w:rPr>
        <w:t xml:space="preserve"> </w:t>
      </w:r>
      <w:r w:rsidR="006F77E2" w:rsidRPr="000A7305">
        <w:rPr>
          <w:i/>
          <w:sz w:val="20"/>
          <w:szCs w:val="20"/>
        </w:rPr>
        <w:t>and</w:t>
      </w:r>
      <w:r w:rsidR="002547BB" w:rsidRPr="000A7305">
        <w:rPr>
          <w:i/>
          <w:sz w:val="20"/>
          <w:szCs w:val="20"/>
        </w:rPr>
        <w:t xml:space="preserve"> </w:t>
      </w:r>
      <w:r w:rsidR="006F77E2" w:rsidRPr="000A7305">
        <w:rPr>
          <w:i/>
          <w:sz w:val="20"/>
          <w:szCs w:val="20"/>
        </w:rPr>
        <w:t>Hussein</w:t>
      </w:r>
      <w:r w:rsidR="002547BB" w:rsidRPr="000A7305">
        <w:rPr>
          <w:i/>
          <w:sz w:val="20"/>
          <w:szCs w:val="20"/>
        </w:rPr>
        <w:t xml:space="preserve"> </w:t>
      </w:r>
      <w:r w:rsidR="006F77E2" w:rsidRPr="000A7305">
        <w:rPr>
          <w:i/>
          <w:sz w:val="20"/>
          <w:szCs w:val="20"/>
        </w:rPr>
        <w:t>ME</w:t>
      </w:r>
      <w:r w:rsidR="006F77E2" w:rsidRPr="000A7305">
        <w:rPr>
          <w:sz w:val="20"/>
          <w:szCs w:val="20"/>
        </w:rPr>
        <w:t>.</w:t>
      </w:r>
      <w:r w:rsidR="002547BB" w:rsidRPr="000A7305">
        <w:rPr>
          <w:sz w:val="20"/>
          <w:szCs w:val="20"/>
        </w:rPr>
        <w:t xml:space="preserve"> </w:t>
      </w:r>
      <w:r w:rsidR="006F77E2" w:rsidRPr="000A7305">
        <w:rPr>
          <w:sz w:val="20"/>
          <w:szCs w:val="20"/>
        </w:rPr>
        <w:t>Rapid</w:t>
      </w:r>
      <w:r w:rsidR="002547BB" w:rsidRPr="000A7305">
        <w:rPr>
          <w:sz w:val="20"/>
          <w:szCs w:val="20"/>
        </w:rPr>
        <w:t xml:space="preserve"> </w:t>
      </w:r>
      <w:r w:rsidR="006F77E2" w:rsidRPr="000A7305">
        <w:rPr>
          <w:sz w:val="20"/>
          <w:szCs w:val="20"/>
        </w:rPr>
        <w:t>Detection</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Multiple</w:t>
      </w:r>
      <w:r w:rsidR="002547BB" w:rsidRPr="000A7305">
        <w:rPr>
          <w:sz w:val="20"/>
          <w:szCs w:val="20"/>
        </w:rPr>
        <w:t xml:space="preserve"> </w:t>
      </w:r>
      <w:r w:rsidR="006F77E2" w:rsidRPr="000A7305">
        <w:rPr>
          <w:sz w:val="20"/>
          <w:szCs w:val="20"/>
        </w:rPr>
        <w:t>Β-Globin</w:t>
      </w:r>
      <w:r w:rsidR="002547BB" w:rsidRPr="000A7305">
        <w:rPr>
          <w:sz w:val="20"/>
          <w:szCs w:val="20"/>
        </w:rPr>
        <w:t xml:space="preserve"> </w:t>
      </w:r>
      <w:r w:rsidR="006F77E2" w:rsidRPr="000A7305">
        <w:rPr>
          <w:sz w:val="20"/>
          <w:szCs w:val="20"/>
        </w:rPr>
        <w:t>Gene</w:t>
      </w:r>
      <w:r w:rsidR="002547BB" w:rsidRPr="000A7305">
        <w:rPr>
          <w:sz w:val="20"/>
          <w:szCs w:val="20"/>
        </w:rPr>
        <w:t xml:space="preserve"> </w:t>
      </w:r>
      <w:r w:rsidR="006F77E2" w:rsidRPr="000A7305">
        <w:rPr>
          <w:sz w:val="20"/>
          <w:szCs w:val="20"/>
        </w:rPr>
        <w:t>Mutations</w:t>
      </w:r>
      <w:r w:rsidR="002547BB" w:rsidRPr="000A7305">
        <w:rPr>
          <w:sz w:val="20"/>
          <w:szCs w:val="20"/>
        </w:rPr>
        <w:t xml:space="preserve"> </w:t>
      </w:r>
      <w:r w:rsidR="006F77E2" w:rsidRPr="000A7305">
        <w:rPr>
          <w:sz w:val="20"/>
          <w:szCs w:val="20"/>
        </w:rPr>
        <w:t>by</w:t>
      </w:r>
      <w:r w:rsidR="002547BB" w:rsidRPr="000A7305">
        <w:rPr>
          <w:sz w:val="20"/>
          <w:szCs w:val="20"/>
        </w:rPr>
        <w:t xml:space="preserve"> </w:t>
      </w:r>
      <w:r w:rsidR="006F77E2" w:rsidRPr="000A7305">
        <w:rPr>
          <w:sz w:val="20"/>
          <w:szCs w:val="20"/>
        </w:rPr>
        <w:t>a</w:t>
      </w:r>
      <w:r w:rsidR="002547BB" w:rsidRPr="000A7305">
        <w:rPr>
          <w:sz w:val="20"/>
          <w:szCs w:val="20"/>
        </w:rPr>
        <w:t xml:space="preserve"> </w:t>
      </w:r>
      <w:r w:rsidR="006F77E2" w:rsidRPr="000A7305">
        <w:rPr>
          <w:sz w:val="20"/>
          <w:szCs w:val="20"/>
        </w:rPr>
        <w:t>Real-Time</w:t>
      </w:r>
      <w:r w:rsidR="002547BB" w:rsidRPr="000A7305">
        <w:rPr>
          <w:sz w:val="20"/>
          <w:szCs w:val="20"/>
        </w:rPr>
        <w:t xml:space="preserve"> </w:t>
      </w:r>
      <w:r w:rsidR="006F77E2" w:rsidRPr="000A7305">
        <w:rPr>
          <w:sz w:val="20"/>
          <w:szCs w:val="20"/>
        </w:rPr>
        <w:t>Polymerase</w:t>
      </w:r>
      <w:r w:rsidR="002547BB" w:rsidRPr="000A7305">
        <w:rPr>
          <w:sz w:val="20"/>
          <w:szCs w:val="20"/>
        </w:rPr>
        <w:t xml:space="preserve"> </w:t>
      </w:r>
      <w:r w:rsidR="006F77E2" w:rsidRPr="000A7305">
        <w:rPr>
          <w:sz w:val="20"/>
          <w:szCs w:val="20"/>
        </w:rPr>
        <w:t>Chain</w:t>
      </w:r>
      <w:r w:rsidR="002547BB" w:rsidRPr="000A7305">
        <w:rPr>
          <w:sz w:val="20"/>
          <w:szCs w:val="20"/>
        </w:rPr>
        <w:t xml:space="preserve"> </w:t>
      </w:r>
      <w:r w:rsidR="006F77E2" w:rsidRPr="000A7305">
        <w:rPr>
          <w:sz w:val="20"/>
          <w:szCs w:val="20"/>
        </w:rPr>
        <w:t>Reaction</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Β-Thalassemia</w:t>
      </w:r>
      <w:r w:rsidR="002547BB" w:rsidRPr="000A7305">
        <w:rPr>
          <w:sz w:val="20"/>
          <w:szCs w:val="20"/>
        </w:rPr>
        <w:t xml:space="preserve"> </w:t>
      </w:r>
      <w:r w:rsidR="006F77E2" w:rsidRPr="000A7305">
        <w:rPr>
          <w:sz w:val="20"/>
          <w:szCs w:val="20"/>
        </w:rPr>
        <w:t>Carriers.</w:t>
      </w:r>
      <w:r w:rsidR="002547BB" w:rsidRPr="000A7305">
        <w:rPr>
          <w:sz w:val="20"/>
          <w:szCs w:val="20"/>
        </w:rPr>
        <w:t xml:space="preserve"> </w:t>
      </w:r>
      <w:r w:rsidR="006F77E2" w:rsidRPr="000A7305">
        <w:rPr>
          <w:sz w:val="20"/>
          <w:szCs w:val="20"/>
        </w:rPr>
        <w:t>The</w:t>
      </w:r>
      <w:r w:rsidR="002547BB" w:rsidRPr="000A7305">
        <w:rPr>
          <w:sz w:val="20"/>
          <w:szCs w:val="20"/>
        </w:rPr>
        <w:t xml:space="preserve"> </w:t>
      </w:r>
      <w:r w:rsidR="006F77E2" w:rsidRPr="000A7305">
        <w:rPr>
          <w:sz w:val="20"/>
          <w:szCs w:val="20"/>
        </w:rPr>
        <w:t>Egyptian</w:t>
      </w:r>
      <w:r w:rsidR="002547BB" w:rsidRPr="000A7305">
        <w:rPr>
          <w:sz w:val="20"/>
          <w:szCs w:val="20"/>
        </w:rPr>
        <w:t xml:space="preserve"> </w:t>
      </w:r>
      <w:r w:rsidR="006F77E2" w:rsidRPr="000A7305">
        <w:rPr>
          <w:sz w:val="20"/>
          <w:szCs w:val="20"/>
        </w:rPr>
        <w:t>Journal</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Haematology.</w:t>
      </w:r>
      <w:r w:rsidR="002547BB" w:rsidRPr="000A7305">
        <w:rPr>
          <w:sz w:val="20"/>
          <w:szCs w:val="20"/>
        </w:rPr>
        <w:t xml:space="preserve"> </w:t>
      </w:r>
      <w:r w:rsidR="006F77E2" w:rsidRPr="000A7305">
        <w:rPr>
          <w:sz w:val="20"/>
          <w:szCs w:val="20"/>
        </w:rPr>
        <w:t>2012;37(3):147.</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D</w:t>
      </w:r>
      <w:r w:rsidR="006F77E2" w:rsidRPr="000A7305">
        <w:rPr>
          <w:i/>
          <w:sz w:val="20"/>
          <w:szCs w:val="20"/>
        </w:rPr>
        <w:t>i</w:t>
      </w:r>
      <w:r w:rsidR="002547BB" w:rsidRPr="000A7305">
        <w:rPr>
          <w:i/>
          <w:sz w:val="20"/>
          <w:szCs w:val="20"/>
        </w:rPr>
        <w:t xml:space="preserve"> </w:t>
      </w:r>
      <w:r w:rsidR="006F77E2" w:rsidRPr="000A7305">
        <w:rPr>
          <w:i/>
          <w:sz w:val="20"/>
          <w:szCs w:val="20"/>
        </w:rPr>
        <w:t>Marco</w:t>
      </w:r>
      <w:r w:rsidR="002547BB" w:rsidRPr="000A7305">
        <w:rPr>
          <w:i/>
          <w:sz w:val="20"/>
          <w:szCs w:val="20"/>
        </w:rPr>
        <w:t xml:space="preserve"> </w:t>
      </w:r>
      <w:r w:rsidR="006F77E2" w:rsidRPr="000A7305">
        <w:rPr>
          <w:i/>
          <w:sz w:val="20"/>
          <w:szCs w:val="20"/>
        </w:rPr>
        <w:t>V,</w:t>
      </w:r>
      <w:r w:rsidR="002547BB" w:rsidRPr="000A7305">
        <w:rPr>
          <w:i/>
          <w:sz w:val="20"/>
          <w:szCs w:val="20"/>
        </w:rPr>
        <w:t xml:space="preserve"> </w:t>
      </w:r>
      <w:r w:rsidR="006F77E2" w:rsidRPr="000A7305">
        <w:rPr>
          <w:i/>
          <w:sz w:val="20"/>
          <w:szCs w:val="20"/>
        </w:rPr>
        <w:t>Capra</w:t>
      </w:r>
      <w:r w:rsidR="002547BB" w:rsidRPr="000A7305">
        <w:rPr>
          <w:i/>
          <w:sz w:val="20"/>
          <w:szCs w:val="20"/>
        </w:rPr>
        <w:t xml:space="preserve"> </w:t>
      </w:r>
      <w:r w:rsidR="006F77E2" w:rsidRPr="000A7305">
        <w:rPr>
          <w:i/>
          <w:sz w:val="20"/>
          <w:szCs w:val="20"/>
        </w:rPr>
        <w:t>M,</w:t>
      </w:r>
      <w:r w:rsidR="002547BB" w:rsidRPr="000A7305">
        <w:rPr>
          <w:i/>
          <w:sz w:val="20"/>
          <w:szCs w:val="20"/>
        </w:rPr>
        <w:t xml:space="preserve"> </w:t>
      </w:r>
      <w:r w:rsidR="006F77E2" w:rsidRPr="000A7305">
        <w:rPr>
          <w:i/>
          <w:sz w:val="20"/>
          <w:szCs w:val="20"/>
        </w:rPr>
        <w:t>Gagliardotto</w:t>
      </w:r>
      <w:r w:rsidR="002547BB" w:rsidRPr="000A7305">
        <w:rPr>
          <w:i/>
          <w:sz w:val="20"/>
          <w:szCs w:val="20"/>
        </w:rPr>
        <w:t xml:space="preserve"> </w:t>
      </w:r>
      <w:r w:rsidR="006F77E2" w:rsidRPr="000A7305">
        <w:rPr>
          <w:i/>
          <w:sz w:val="20"/>
          <w:szCs w:val="20"/>
        </w:rPr>
        <w:t>F,</w:t>
      </w:r>
      <w:r w:rsidR="002547BB" w:rsidRPr="000A7305">
        <w:rPr>
          <w:i/>
          <w:sz w:val="20"/>
          <w:szCs w:val="20"/>
        </w:rPr>
        <w:t xml:space="preserve"> </w:t>
      </w:r>
      <w:r w:rsidR="006F77E2" w:rsidRPr="000A7305">
        <w:rPr>
          <w:i/>
          <w:sz w:val="20"/>
          <w:szCs w:val="20"/>
        </w:rPr>
        <w:t>Borsellino</w:t>
      </w:r>
      <w:r w:rsidR="002547BB" w:rsidRPr="000A7305">
        <w:rPr>
          <w:i/>
          <w:sz w:val="20"/>
          <w:szCs w:val="20"/>
        </w:rPr>
        <w:t xml:space="preserve"> </w:t>
      </w:r>
      <w:r w:rsidR="006F77E2" w:rsidRPr="000A7305">
        <w:rPr>
          <w:i/>
          <w:sz w:val="20"/>
          <w:szCs w:val="20"/>
        </w:rPr>
        <w:t>Z,</w:t>
      </w:r>
      <w:r w:rsidR="002547BB" w:rsidRPr="000A7305">
        <w:rPr>
          <w:i/>
          <w:sz w:val="20"/>
          <w:szCs w:val="20"/>
        </w:rPr>
        <w:t xml:space="preserve"> </w:t>
      </w:r>
      <w:r w:rsidR="006F77E2" w:rsidRPr="000A7305">
        <w:rPr>
          <w:i/>
          <w:sz w:val="20"/>
          <w:szCs w:val="20"/>
        </w:rPr>
        <w:t>Cabibi</w:t>
      </w:r>
      <w:r w:rsidR="002547BB" w:rsidRPr="000A7305">
        <w:rPr>
          <w:i/>
          <w:sz w:val="20"/>
          <w:szCs w:val="20"/>
        </w:rPr>
        <w:t xml:space="preserve"> </w:t>
      </w:r>
      <w:r w:rsidR="006F77E2" w:rsidRPr="000A7305">
        <w:rPr>
          <w:i/>
          <w:sz w:val="20"/>
          <w:szCs w:val="20"/>
        </w:rPr>
        <w:t>D,</w:t>
      </w:r>
      <w:r w:rsidR="002547BB" w:rsidRPr="000A7305">
        <w:rPr>
          <w:i/>
          <w:sz w:val="20"/>
          <w:szCs w:val="20"/>
        </w:rPr>
        <w:t xml:space="preserve"> </w:t>
      </w:r>
      <w:r w:rsidR="006F77E2" w:rsidRPr="000A7305">
        <w:rPr>
          <w:i/>
          <w:sz w:val="20"/>
          <w:szCs w:val="20"/>
        </w:rPr>
        <w:t>Barbaria</w:t>
      </w:r>
      <w:r w:rsidR="002547BB" w:rsidRPr="000A7305">
        <w:rPr>
          <w:i/>
          <w:sz w:val="20"/>
          <w:szCs w:val="20"/>
        </w:rPr>
        <w:t xml:space="preserve"> </w:t>
      </w:r>
      <w:r w:rsidR="006F77E2" w:rsidRPr="000A7305">
        <w:rPr>
          <w:i/>
          <w:sz w:val="20"/>
          <w:szCs w:val="20"/>
        </w:rPr>
        <w:t>F,</w:t>
      </w:r>
      <w:r w:rsidR="002547BB" w:rsidRPr="000A7305">
        <w:rPr>
          <w:i/>
          <w:sz w:val="20"/>
          <w:szCs w:val="20"/>
        </w:rPr>
        <w:t xml:space="preserve"> </w:t>
      </w:r>
      <w:r w:rsidR="006F77E2" w:rsidRPr="000A7305">
        <w:rPr>
          <w:i/>
          <w:sz w:val="20"/>
          <w:szCs w:val="20"/>
        </w:rPr>
        <w:t>et</w:t>
      </w:r>
      <w:r w:rsidR="002547BB" w:rsidRPr="000A7305">
        <w:rPr>
          <w:i/>
          <w:sz w:val="20"/>
          <w:szCs w:val="20"/>
        </w:rPr>
        <w:t xml:space="preserve"> </w:t>
      </w:r>
      <w:r w:rsidR="006F77E2" w:rsidRPr="000A7305">
        <w:rPr>
          <w:i/>
          <w:sz w:val="20"/>
          <w:szCs w:val="20"/>
        </w:rPr>
        <w:t>al.</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Disease</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Chelated</w:t>
      </w:r>
      <w:r w:rsidR="002547BB" w:rsidRPr="000A7305">
        <w:rPr>
          <w:sz w:val="20"/>
          <w:szCs w:val="20"/>
        </w:rPr>
        <w:t xml:space="preserve"> </w:t>
      </w:r>
      <w:r w:rsidR="006F77E2" w:rsidRPr="000A7305">
        <w:rPr>
          <w:sz w:val="20"/>
          <w:szCs w:val="20"/>
        </w:rPr>
        <w:t>Transfusion-Dependent</w:t>
      </w:r>
      <w:r w:rsidR="002547BB" w:rsidRPr="000A7305">
        <w:rPr>
          <w:sz w:val="20"/>
          <w:szCs w:val="20"/>
        </w:rPr>
        <w:t xml:space="preserve"> </w:t>
      </w:r>
      <w:r w:rsidR="006F77E2" w:rsidRPr="000A7305">
        <w:rPr>
          <w:sz w:val="20"/>
          <w:szCs w:val="20"/>
        </w:rPr>
        <w:t>Thalassemics:</w:t>
      </w:r>
      <w:r w:rsidR="002547BB" w:rsidRPr="000A7305">
        <w:rPr>
          <w:sz w:val="20"/>
          <w:szCs w:val="20"/>
        </w:rPr>
        <w:t xml:space="preserve"> </w:t>
      </w:r>
      <w:r w:rsidR="006F77E2" w:rsidRPr="000A7305">
        <w:rPr>
          <w:sz w:val="20"/>
          <w:szCs w:val="20"/>
        </w:rPr>
        <w:t>The</w:t>
      </w:r>
      <w:r w:rsidR="002547BB" w:rsidRPr="000A7305">
        <w:rPr>
          <w:sz w:val="20"/>
          <w:szCs w:val="20"/>
        </w:rPr>
        <w:t xml:space="preserve"> </w:t>
      </w:r>
      <w:r w:rsidR="006F77E2" w:rsidRPr="000A7305">
        <w:rPr>
          <w:sz w:val="20"/>
          <w:szCs w:val="20"/>
        </w:rPr>
        <w:t>Role</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Iron</w:t>
      </w:r>
      <w:r w:rsidR="002547BB" w:rsidRPr="000A7305">
        <w:rPr>
          <w:sz w:val="20"/>
          <w:szCs w:val="20"/>
        </w:rPr>
        <w:t xml:space="preserve"> </w:t>
      </w:r>
      <w:r w:rsidR="006F77E2" w:rsidRPr="000A7305">
        <w:rPr>
          <w:sz w:val="20"/>
          <w:szCs w:val="20"/>
        </w:rPr>
        <w:t>Overload</w:t>
      </w:r>
      <w:r w:rsidR="002547BB" w:rsidRPr="000A7305">
        <w:rPr>
          <w:sz w:val="20"/>
          <w:szCs w:val="20"/>
        </w:rPr>
        <w:t xml:space="preserve"> </w:t>
      </w:r>
      <w:r w:rsidR="006F77E2" w:rsidRPr="000A7305">
        <w:rPr>
          <w:sz w:val="20"/>
          <w:szCs w:val="20"/>
        </w:rPr>
        <w:t>and</w:t>
      </w:r>
      <w:r w:rsidR="002547BB" w:rsidRPr="000A7305">
        <w:rPr>
          <w:sz w:val="20"/>
          <w:szCs w:val="20"/>
        </w:rPr>
        <w:t xml:space="preserve"> </w:t>
      </w:r>
      <w:r w:rsidR="006F77E2" w:rsidRPr="000A7305">
        <w:rPr>
          <w:sz w:val="20"/>
          <w:szCs w:val="20"/>
        </w:rPr>
        <w:t>Chronic</w:t>
      </w:r>
      <w:r w:rsidR="002547BB" w:rsidRPr="000A7305">
        <w:rPr>
          <w:sz w:val="20"/>
          <w:szCs w:val="20"/>
        </w:rPr>
        <w:t xml:space="preserve"> </w:t>
      </w:r>
      <w:r w:rsidR="006F77E2" w:rsidRPr="000A7305">
        <w:rPr>
          <w:sz w:val="20"/>
          <w:szCs w:val="20"/>
        </w:rPr>
        <w:t>Hepatitis</w:t>
      </w:r>
      <w:r w:rsidR="002547BB" w:rsidRPr="000A7305">
        <w:rPr>
          <w:sz w:val="20"/>
          <w:szCs w:val="20"/>
        </w:rPr>
        <w:t xml:space="preserve"> </w:t>
      </w:r>
      <w:r w:rsidR="006F77E2" w:rsidRPr="000A7305">
        <w:rPr>
          <w:sz w:val="20"/>
          <w:szCs w:val="20"/>
        </w:rPr>
        <w:t>C.</w:t>
      </w:r>
      <w:r w:rsidR="002547BB" w:rsidRPr="000A7305">
        <w:rPr>
          <w:sz w:val="20"/>
          <w:szCs w:val="20"/>
        </w:rPr>
        <w:t xml:space="preserve"> </w:t>
      </w:r>
      <w:r w:rsidR="00F1398B" w:rsidRPr="000A7305">
        <w:rPr>
          <w:sz w:val="20"/>
          <w:szCs w:val="20"/>
        </w:rPr>
        <w:t>Haematologica</w:t>
      </w:r>
      <w:r w:rsidR="006F77E2" w:rsidRPr="000A7305">
        <w:rPr>
          <w:sz w:val="20"/>
          <w:szCs w:val="20"/>
        </w:rPr>
        <w:t>.</w:t>
      </w:r>
      <w:r w:rsidR="002547BB" w:rsidRPr="000A7305">
        <w:rPr>
          <w:sz w:val="20"/>
          <w:szCs w:val="20"/>
        </w:rPr>
        <w:t xml:space="preserve"> </w:t>
      </w:r>
      <w:r w:rsidR="006F77E2" w:rsidRPr="000A7305">
        <w:rPr>
          <w:sz w:val="20"/>
          <w:szCs w:val="20"/>
        </w:rPr>
        <w:t>2008;93(8):1243-1246.</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E</w:t>
      </w:r>
      <w:r w:rsidR="006F77E2" w:rsidRPr="000A7305">
        <w:rPr>
          <w:i/>
          <w:sz w:val="20"/>
          <w:szCs w:val="20"/>
        </w:rPr>
        <w:t>lalfy</w:t>
      </w:r>
      <w:r w:rsidR="002547BB" w:rsidRPr="000A7305">
        <w:rPr>
          <w:i/>
          <w:sz w:val="20"/>
          <w:szCs w:val="20"/>
        </w:rPr>
        <w:t xml:space="preserve"> </w:t>
      </w:r>
      <w:r w:rsidR="006F77E2" w:rsidRPr="000A7305">
        <w:rPr>
          <w:i/>
          <w:sz w:val="20"/>
          <w:szCs w:val="20"/>
        </w:rPr>
        <w:t>MS,</w:t>
      </w:r>
      <w:r w:rsidR="002547BB" w:rsidRPr="000A7305">
        <w:rPr>
          <w:i/>
          <w:sz w:val="20"/>
          <w:szCs w:val="20"/>
        </w:rPr>
        <w:t xml:space="preserve"> </w:t>
      </w:r>
      <w:r w:rsidR="006F77E2" w:rsidRPr="000A7305">
        <w:rPr>
          <w:i/>
          <w:sz w:val="20"/>
          <w:szCs w:val="20"/>
        </w:rPr>
        <w:t>Esmat</w:t>
      </w:r>
      <w:r w:rsidR="002547BB" w:rsidRPr="000A7305">
        <w:rPr>
          <w:i/>
          <w:sz w:val="20"/>
          <w:szCs w:val="20"/>
        </w:rPr>
        <w:t xml:space="preserve"> </w:t>
      </w:r>
      <w:r w:rsidR="006F77E2" w:rsidRPr="000A7305">
        <w:rPr>
          <w:i/>
          <w:sz w:val="20"/>
          <w:szCs w:val="20"/>
        </w:rPr>
        <w:t>G,</w:t>
      </w:r>
      <w:r w:rsidR="002547BB" w:rsidRPr="000A7305">
        <w:rPr>
          <w:i/>
          <w:sz w:val="20"/>
          <w:szCs w:val="20"/>
        </w:rPr>
        <w:t xml:space="preserve"> </w:t>
      </w:r>
      <w:r w:rsidR="006F77E2" w:rsidRPr="000A7305">
        <w:rPr>
          <w:i/>
          <w:sz w:val="20"/>
          <w:szCs w:val="20"/>
        </w:rPr>
        <w:t>Matter</w:t>
      </w:r>
      <w:r w:rsidR="002547BB" w:rsidRPr="000A7305">
        <w:rPr>
          <w:i/>
          <w:sz w:val="20"/>
          <w:szCs w:val="20"/>
        </w:rPr>
        <w:t xml:space="preserve"> </w:t>
      </w:r>
      <w:r w:rsidR="006F77E2" w:rsidRPr="000A7305">
        <w:rPr>
          <w:i/>
          <w:sz w:val="20"/>
          <w:szCs w:val="20"/>
        </w:rPr>
        <w:t>RM,</w:t>
      </w:r>
      <w:r w:rsidR="002547BB" w:rsidRPr="000A7305">
        <w:rPr>
          <w:i/>
          <w:sz w:val="20"/>
          <w:szCs w:val="20"/>
        </w:rPr>
        <w:t xml:space="preserve"> </w:t>
      </w:r>
      <w:r w:rsidR="006F77E2" w:rsidRPr="000A7305">
        <w:rPr>
          <w:i/>
          <w:sz w:val="20"/>
          <w:szCs w:val="20"/>
        </w:rPr>
        <w:t>Aziz</w:t>
      </w:r>
      <w:r w:rsidR="002547BB" w:rsidRPr="000A7305">
        <w:rPr>
          <w:i/>
          <w:sz w:val="20"/>
          <w:szCs w:val="20"/>
        </w:rPr>
        <w:t xml:space="preserve"> </w:t>
      </w:r>
      <w:r w:rsidR="006F77E2" w:rsidRPr="000A7305">
        <w:rPr>
          <w:i/>
          <w:sz w:val="20"/>
          <w:szCs w:val="20"/>
        </w:rPr>
        <w:t>HEA,</w:t>
      </w:r>
      <w:r w:rsidR="002547BB" w:rsidRPr="000A7305">
        <w:rPr>
          <w:i/>
          <w:sz w:val="20"/>
          <w:szCs w:val="20"/>
        </w:rPr>
        <w:t xml:space="preserve"> </w:t>
      </w:r>
      <w:r w:rsidR="006F77E2" w:rsidRPr="000A7305">
        <w:rPr>
          <w:i/>
          <w:sz w:val="20"/>
          <w:szCs w:val="20"/>
        </w:rPr>
        <w:t>and</w:t>
      </w:r>
      <w:r w:rsidR="002547BB" w:rsidRPr="000A7305">
        <w:rPr>
          <w:i/>
          <w:sz w:val="20"/>
          <w:szCs w:val="20"/>
        </w:rPr>
        <w:t xml:space="preserve"> </w:t>
      </w:r>
      <w:r w:rsidR="006F77E2" w:rsidRPr="000A7305">
        <w:rPr>
          <w:i/>
          <w:sz w:val="20"/>
          <w:szCs w:val="20"/>
        </w:rPr>
        <w:t>Massoud</w:t>
      </w:r>
      <w:r w:rsidR="002547BB" w:rsidRPr="000A7305">
        <w:rPr>
          <w:i/>
          <w:sz w:val="20"/>
          <w:szCs w:val="20"/>
        </w:rPr>
        <w:t xml:space="preserve"> </w:t>
      </w:r>
      <w:r w:rsidR="006F77E2" w:rsidRPr="000A7305">
        <w:rPr>
          <w:i/>
          <w:sz w:val="20"/>
          <w:szCs w:val="20"/>
        </w:rPr>
        <w:t>WA</w:t>
      </w:r>
      <w:r w:rsidR="006F77E2" w:rsidRPr="000A7305">
        <w:rPr>
          <w:sz w:val="20"/>
          <w:szCs w:val="20"/>
        </w:rPr>
        <w:t>.</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Fibrosis</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Young</w:t>
      </w:r>
      <w:r w:rsidR="002547BB" w:rsidRPr="000A7305">
        <w:rPr>
          <w:sz w:val="20"/>
          <w:szCs w:val="20"/>
        </w:rPr>
        <w:t xml:space="preserve"> </w:t>
      </w:r>
      <w:r w:rsidR="006F77E2" w:rsidRPr="000A7305">
        <w:rPr>
          <w:sz w:val="20"/>
          <w:szCs w:val="20"/>
        </w:rPr>
        <w:t>Egyptian</w:t>
      </w:r>
      <w:r w:rsidR="002547BB" w:rsidRPr="000A7305">
        <w:rPr>
          <w:sz w:val="20"/>
          <w:szCs w:val="20"/>
        </w:rPr>
        <w:t xml:space="preserve"> </w:t>
      </w:r>
      <w:r w:rsidR="006F77E2" w:rsidRPr="000A7305">
        <w:rPr>
          <w:sz w:val="20"/>
          <w:szCs w:val="20"/>
        </w:rPr>
        <w:t>Beta-Thalassemia</w:t>
      </w:r>
      <w:r w:rsidR="002547BB" w:rsidRPr="000A7305">
        <w:rPr>
          <w:sz w:val="20"/>
          <w:szCs w:val="20"/>
        </w:rPr>
        <w:t xml:space="preserve"> </w:t>
      </w:r>
      <w:r w:rsidR="006F77E2" w:rsidRPr="000A7305">
        <w:rPr>
          <w:sz w:val="20"/>
          <w:szCs w:val="20"/>
        </w:rPr>
        <w:t>Major</w:t>
      </w:r>
      <w:r w:rsidR="002547BB" w:rsidRPr="000A7305">
        <w:rPr>
          <w:sz w:val="20"/>
          <w:szCs w:val="20"/>
        </w:rPr>
        <w:t xml:space="preserve"> </w:t>
      </w:r>
      <w:r w:rsidR="006F77E2" w:rsidRPr="000A7305">
        <w:rPr>
          <w:sz w:val="20"/>
          <w:szCs w:val="20"/>
        </w:rPr>
        <w:t>Patients:</w:t>
      </w:r>
      <w:r w:rsidR="002547BB" w:rsidRPr="000A7305">
        <w:rPr>
          <w:sz w:val="20"/>
          <w:szCs w:val="20"/>
        </w:rPr>
        <w:t xml:space="preserve"> </w:t>
      </w:r>
      <w:r w:rsidR="006F77E2" w:rsidRPr="000A7305">
        <w:rPr>
          <w:sz w:val="20"/>
          <w:szCs w:val="20"/>
        </w:rPr>
        <w:t>Relation</w:t>
      </w:r>
      <w:r w:rsidR="002547BB" w:rsidRPr="000A7305">
        <w:rPr>
          <w:sz w:val="20"/>
          <w:szCs w:val="20"/>
        </w:rPr>
        <w:t xml:space="preserve"> </w:t>
      </w:r>
      <w:r w:rsidR="006F77E2" w:rsidRPr="000A7305">
        <w:rPr>
          <w:sz w:val="20"/>
          <w:szCs w:val="20"/>
        </w:rPr>
        <w:t>to</w:t>
      </w:r>
      <w:r w:rsidR="002547BB" w:rsidRPr="000A7305">
        <w:rPr>
          <w:sz w:val="20"/>
          <w:szCs w:val="20"/>
        </w:rPr>
        <w:t xml:space="preserve"> </w:t>
      </w:r>
      <w:r w:rsidR="006F77E2" w:rsidRPr="000A7305">
        <w:rPr>
          <w:sz w:val="20"/>
          <w:szCs w:val="20"/>
        </w:rPr>
        <w:t>Hepatitis</w:t>
      </w:r>
      <w:r w:rsidR="002547BB" w:rsidRPr="000A7305">
        <w:rPr>
          <w:sz w:val="20"/>
          <w:szCs w:val="20"/>
        </w:rPr>
        <w:t xml:space="preserve"> </w:t>
      </w:r>
      <w:r w:rsidR="006F77E2" w:rsidRPr="000A7305">
        <w:rPr>
          <w:sz w:val="20"/>
          <w:szCs w:val="20"/>
        </w:rPr>
        <w:t>C</w:t>
      </w:r>
      <w:r w:rsidR="002547BB" w:rsidRPr="000A7305">
        <w:rPr>
          <w:sz w:val="20"/>
          <w:szCs w:val="20"/>
        </w:rPr>
        <w:t xml:space="preserve"> </w:t>
      </w:r>
      <w:r w:rsidR="006F77E2" w:rsidRPr="000A7305">
        <w:rPr>
          <w:sz w:val="20"/>
          <w:szCs w:val="20"/>
        </w:rPr>
        <w:t>Virus</w:t>
      </w:r>
      <w:r w:rsidR="002547BB" w:rsidRPr="000A7305">
        <w:rPr>
          <w:sz w:val="20"/>
          <w:szCs w:val="20"/>
        </w:rPr>
        <w:t xml:space="preserve"> </w:t>
      </w:r>
      <w:r w:rsidR="006F77E2" w:rsidRPr="000A7305">
        <w:rPr>
          <w:sz w:val="20"/>
          <w:szCs w:val="20"/>
        </w:rPr>
        <w:t>and</w:t>
      </w:r>
      <w:r w:rsidR="002547BB" w:rsidRPr="000A7305">
        <w:rPr>
          <w:sz w:val="20"/>
          <w:szCs w:val="20"/>
        </w:rPr>
        <w:t xml:space="preserve"> </w:t>
      </w:r>
      <w:r w:rsidR="006F77E2" w:rsidRPr="000A7305">
        <w:rPr>
          <w:sz w:val="20"/>
          <w:szCs w:val="20"/>
        </w:rPr>
        <w:t>Compliance</w:t>
      </w:r>
      <w:r w:rsidR="002547BB" w:rsidRPr="000A7305">
        <w:rPr>
          <w:sz w:val="20"/>
          <w:szCs w:val="20"/>
        </w:rPr>
        <w:t xml:space="preserve"> </w:t>
      </w:r>
      <w:r w:rsidR="006F77E2" w:rsidRPr="000A7305">
        <w:rPr>
          <w:sz w:val="20"/>
          <w:szCs w:val="20"/>
        </w:rPr>
        <w:t>with</w:t>
      </w:r>
      <w:r w:rsidR="002547BB" w:rsidRPr="000A7305">
        <w:rPr>
          <w:sz w:val="20"/>
          <w:szCs w:val="20"/>
        </w:rPr>
        <w:t xml:space="preserve"> </w:t>
      </w:r>
      <w:r w:rsidR="006F77E2" w:rsidRPr="000A7305">
        <w:rPr>
          <w:sz w:val="20"/>
          <w:szCs w:val="20"/>
        </w:rPr>
        <w:t>Chelation.</w:t>
      </w:r>
      <w:r w:rsidR="002547BB" w:rsidRPr="000A7305">
        <w:rPr>
          <w:sz w:val="20"/>
          <w:szCs w:val="20"/>
        </w:rPr>
        <w:t xml:space="preserve"> </w:t>
      </w:r>
      <w:r w:rsidR="006F77E2" w:rsidRPr="000A7305">
        <w:rPr>
          <w:sz w:val="20"/>
          <w:szCs w:val="20"/>
        </w:rPr>
        <w:t>Annals</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hepatology.</w:t>
      </w:r>
      <w:r w:rsidR="002547BB" w:rsidRPr="000A7305">
        <w:rPr>
          <w:sz w:val="20"/>
          <w:szCs w:val="20"/>
        </w:rPr>
        <w:t xml:space="preserve"> </w:t>
      </w:r>
      <w:r w:rsidR="006F77E2" w:rsidRPr="000A7305">
        <w:rPr>
          <w:sz w:val="20"/>
          <w:szCs w:val="20"/>
        </w:rPr>
        <w:t>2013;12(1):54-61.</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M</w:t>
      </w:r>
      <w:r w:rsidR="006F77E2" w:rsidRPr="000A7305">
        <w:rPr>
          <w:i/>
          <w:sz w:val="20"/>
          <w:szCs w:val="20"/>
        </w:rPr>
        <w:t>anning</w:t>
      </w:r>
      <w:r w:rsidR="002547BB" w:rsidRPr="000A7305">
        <w:rPr>
          <w:i/>
          <w:sz w:val="20"/>
          <w:szCs w:val="20"/>
        </w:rPr>
        <w:t xml:space="preserve"> </w:t>
      </w:r>
      <w:r w:rsidR="006F77E2" w:rsidRPr="000A7305">
        <w:rPr>
          <w:i/>
          <w:sz w:val="20"/>
          <w:szCs w:val="20"/>
        </w:rPr>
        <w:t>DS,</w:t>
      </w:r>
      <w:r w:rsidR="002547BB" w:rsidRPr="000A7305">
        <w:rPr>
          <w:i/>
          <w:sz w:val="20"/>
          <w:szCs w:val="20"/>
        </w:rPr>
        <w:t xml:space="preserve"> </w:t>
      </w:r>
      <w:r w:rsidR="006F77E2" w:rsidRPr="000A7305">
        <w:rPr>
          <w:i/>
          <w:sz w:val="20"/>
          <w:szCs w:val="20"/>
        </w:rPr>
        <w:t>and</w:t>
      </w:r>
      <w:r w:rsidR="002547BB" w:rsidRPr="000A7305">
        <w:rPr>
          <w:i/>
          <w:sz w:val="20"/>
          <w:szCs w:val="20"/>
        </w:rPr>
        <w:t xml:space="preserve"> </w:t>
      </w:r>
      <w:r w:rsidR="006F77E2" w:rsidRPr="000A7305">
        <w:rPr>
          <w:i/>
          <w:sz w:val="20"/>
          <w:szCs w:val="20"/>
        </w:rPr>
        <w:t>Afdhal</w:t>
      </w:r>
      <w:r w:rsidR="002547BB" w:rsidRPr="000A7305">
        <w:rPr>
          <w:i/>
          <w:sz w:val="20"/>
          <w:szCs w:val="20"/>
        </w:rPr>
        <w:t xml:space="preserve"> </w:t>
      </w:r>
      <w:r w:rsidR="006F77E2" w:rsidRPr="000A7305">
        <w:rPr>
          <w:i/>
          <w:sz w:val="20"/>
          <w:szCs w:val="20"/>
        </w:rPr>
        <w:t>NH</w:t>
      </w:r>
      <w:r w:rsidR="006F77E2" w:rsidRPr="000A7305">
        <w:rPr>
          <w:sz w:val="20"/>
          <w:szCs w:val="20"/>
        </w:rPr>
        <w:t>.</w:t>
      </w:r>
      <w:r w:rsidR="002547BB" w:rsidRPr="000A7305">
        <w:rPr>
          <w:sz w:val="20"/>
          <w:szCs w:val="20"/>
        </w:rPr>
        <w:t xml:space="preserve"> </w:t>
      </w:r>
      <w:r w:rsidR="006F77E2" w:rsidRPr="000A7305">
        <w:rPr>
          <w:sz w:val="20"/>
          <w:szCs w:val="20"/>
        </w:rPr>
        <w:t>Diagnosis</w:t>
      </w:r>
      <w:r w:rsidR="002547BB" w:rsidRPr="000A7305">
        <w:rPr>
          <w:sz w:val="20"/>
          <w:szCs w:val="20"/>
        </w:rPr>
        <w:t xml:space="preserve"> </w:t>
      </w:r>
      <w:r w:rsidR="006F77E2" w:rsidRPr="000A7305">
        <w:rPr>
          <w:sz w:val="20"/>
          <w:szCs w:val="20"/>
        </w:rPr>
        <w:t>and</w:t>
      </w:r>
      <w:r w:rsidR="002547BB" w:rsidRPr="000A7305">
        <w:rPr>
          <w:sz w:val="20"/>
          <w:szCs w:val="20"/>
        </w:rPr>
        <w:t xml:space="preserve"> </w:t>
      </w:r>
      <w:r w:rsidR="006F77E2" w:rsidRPr="000A7305">
        <w:rPr>
          <w:sz w:val="20"/>
          <w:szCs w:val="20"/>
        </w:rPr>
        <w:t>Quantitation</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Fibrosis.</w:t>
      </w:r>
      <w:r w:rsidR="002547BB" w:rsidRPr="000A7305">
        <w:rPr>
          <w:sz w:val="20"/>
          <w:szCs w:val="20"/>
        </w:rPr>
        <w:t xml:space="preserve"> </w:t>
      </w:r>
      <w:r w:rsidR="006F77E2" w:rsidRPr="000A7305">
        <w:rPr>
          <w:sz w:val="20"/>
          <w:szCs w:val="20"/>
        </w:rPr>
        <w:t>Gastroenterology.</w:t>
      </w:r>
      <w:r w:rsidR="002547BB" w:rsidRPr="000A7305">
        <w:rPr>
          <w:sz w:val="20"/>
          <w:szCs w:val="20"/>
        </w:rPr>
        <w:t xml:space="preserve"> </w:t>
      </w:r>
      <w:r w:rsidR="006F77E2" w:rsidRPr="000A7305">
        <w:rPr>
          <w:sz w:val="20"/>
          <w:szCs w:val="20"/>
        </w:rPr>
        <w:t>2008;134(6):1670-1681.</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A</w:t>
      </w:r>
      <w:r w:rsidR="007F46FE" w:rsidRPr="000A7305">
        <w:rPr>
          <w:i/>
          <w:sz w:val="20"/>
          <w:szCs w:val="20"/>
        </w:rPr>
        <w:t>ziz</w:t>
      </w:r>
      <w:r w:rsidR="002547BB" w:rsidRPr="000A7305">
        <w:rPr>
          <w:i/>
          <w:sz w:val="20"/>
          <w:szCs w:val="20"/>
        </w:rPr>
        <w:t xml:space="preserve"> </w:t>
      </w:r>
      <w:r w:rsidR="007F46FE" w:rsidRPr="000A7305">
        <w:rPr>
          <w:i/>
          <w:sz w:val="20"/>
          <w:szCs w:val="20"/>
        </w:rPr>
        <w:t>S</w:t>
      </w:r>
      <w:r w:rsidR="007F46FE" w:rsidRPr="000A7305">
        <w:rPr>
          <w:sz w:val="20"/>
          <w:szCs w:val="20"/>
        </w:rPr>
        <w:t>.</w:t>
      </w:r>
      <w:r w:rsidR="002547BB" w:rsidRPr="000A7305">
        <w:rPr>
          <w:sz w:val="20"/>
          <w:szCs w:val="20"/>
        </w:rPr>
        <w:t xml:space="preserve"> </w:t>
      </w:r>
      <w:r w:rsidR="007F46FE" w:rsidRPr="000A7305">
        <w:rPr>
          <w:sz w:val="20"/>
          <w:szCs w:val="20"/>
        </w:rPr>
        <w:t>Treatment</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Hepatitis</w:t>
      </w:r>
      <w:r w:rsidR="002547BB" w:rsidRPr="000A7305">
        <w:rPr>
          <w:sz w:val="20"/>
          <w:szCs w:val="20"/>
        </w:rPr>
        <w:t xml:space="preserve"> </w:t>
      </w:r>
      <w:r w:rsidR="007F46FE" w:rsidRPr="000A7305">
        <w:rPr>
          <w:sz w:val="20"/>
          <w:szCs w:val="20"/>
        </w:rPr>
        <w:t>C</w:t>
      </w:r>
      <w:r w:rsidR="002547BB" w:rsidRPr="000A7305">
        <w:rPr>
          <w:sz w:val="20"/>
          <w:szCs w:val="20"/>
        </w:rPr>
        <w:t xml:space="preserve"> </w:t>
      </w:r>
      <w:r w:rsidR="007F46FE" w:rsidRPr="000A7305">
        <w:rPr>
          <w:sz w:val="20"/>
          <w:szCs w:val="20"/>
        </w:rPr>
        <w:t>Virus</w:t>
      </w:r>
      <w:r w:rsidR="002547BB" w:rsidRPr="000A7305">
        <w:rPr>
          <w:sz w:val="20"/>
          <w:szCs w:val="20"/>
        </w:rPr>
        <w:t xml:space="preserve"> </w:t>
      </w:r>
      <w:r w:rsidR="007F46FE" w:rsidRPr="000A7305">
        <w:rPr>
          <w:sz w:val="20"/>
          <w:szCs w:val="20"/>
        </w:rPr>
        <w:t>Infection</w:t>
      </w:r>
      <w:r w:rsidR="002547BB" w:rsidRPr="000A7305">
        <w:rPr>
          <w:sz w:val="20"/>
          <w:szCs w:val="20"/>
        </w:rPr>
        <w:t xml:space="preserve"> </w:t>
      </w:r>
      <w:r w:rsidR="007F46FE" w:rsidRPr="000A7305">
        <w:rPr>
          <w:sz w:val="20"/>
          <w:szCs w:val="20"/>
        </w:rPr>
        <w:t>in</w:t>
      </w:r>
      <w:r w:rsidR="002547BB" w:rsidRPr="000A7305">
        <w:rPr>
          <w:sz w:val="20"/>
          <w:szCs w:val="20"/>
        </w:rPr>
        <w:t xml:space="preserve"> </w:t>
      </w:r>
      <w:r w:rsidR="007F46FE" w:rsidRPr="000A7305">
        <w:rPr>
          <w:sz w:val="20"/>
          <w:szCs w:val="20"/>
        </w:rPr>
        <w:t>Children</w:t>
      </w:r>
      <w:r w:rsidR="002547BB" w:rsidRPr="000A7305">
        <w:rPr>
          <w:sz w:val="20"/>
          <w:szCs w:val="20"/>
        </w:rPr>
        <w:t xml:space="preserve"> </w:t>
      </w:r>
      <w:r w:rsidR="007F46FE" w:rsidRPr="000A7305">
        <w:rPr>
          <w:sz w:val="20"/>
          <w:szCs w:val="20"/>
        </w:rPr>
        <w:t>Less</w:t>
      </w:r>
      <w:r w:rsidR="002547BB" w:rsidRPr="000A7305">
        <w:rPr>
          <w:sz w:val="20"/>
          <w:szCs w:val="20"/>
        </w:rPr>
        <w:t xml:space="preserve"> </w:t>
      </w:r>
      <w:r w:rsidR="007F46FE" w:rsidRPr="000A7305">
        <w:rPr>
          <w:sz w:val="20"/>
          <w:szCs w:val="20"/>
        </w:rPr>
        <w:t>Than</w:t>
      </w:r>
      <w:r w:rsidR="002547BB" w:rsidRPr="000A7305">
        <w:rPr>
          <w:sz w:val="20"/>
          <w:szCs w:val="20"/>
        </w:rPr>
        <w:t xml:space="preserve"> </w:t>
      </w:r>
      <w:r w:rsidR="007F46FE" w:rsidRPr="000A7305">
        <w:rPr>
          <w:sz w:val="20"/>
          <w:szCs w:val="20"/>
        </w:rPr>
        <w:t>12</w:t>
      </w:r>
      <w:r w:rsidR="002547BB" w:rsidRPr="000A7305">
        <w:rPr>
          <w:sz w:val="20"/>
          <w:szCs w:val="20"/>
        </w:rPr>
        <w:t xml:space="preserve"> </w:t>
      </w:r>
      <w:r w:rsidR="007F46FE" w:rsidRPr="000A7305">
        <w:rPr>
          <w:sz w:val="20"/>
          <w:szCs w:val="20"/>
        </w:rPr>
        <w:t>Years</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Age</w:t>
      </w:r>
      <w:r w:rsidR="002547BB" w:rsidRPr="000A7305">
        <w:rPr>
          <w:sz w:val="20"/>
          <w:szCs w:val="20"/>
        </w:rPr>
        <w:t xml:space="preserve"> </w:t>
      </w:r>
      <w:r w:rsidR="007F46FE" w:rsidRPr="000A7305">
        <w:rPr>
          <w:sz w:val="20"/>
          <w:szCs w:val="20"/>
        </w:rPr>
        <w:t>in</w:t>
      </w:r>
      <w:r w:rsidR="002547BB" w:rsidRPr="000A7305">
        <w:rPr>
          <w:sz w:val="20"/>
          <w:szCs w:val="20"/>
        </w:rPr>
        <w:t xml:space="preserve"> </w:t>
      </w:r>
      <w:r w:rsidR="007F46FE" w:rsidRPr="000A7305">
        <w:rPr>
          <w:sz w:val="20"/>
          <w:szCs w:val="20"/>
        </w:rPr>
        <w:t>Developing</w:t>
      </w:r>
      <w:r w:rsidR="002547BB" w:rsidRPr="000A7305">
        <w:rPr>
          <w:sz w:val="20"/>
          <w:szCs w:val="20"/>
        </w:rPr>
        <w:t xml:space="preserve"> </w:t>
      </w:r>
      <w:r w:rsidR="007F46FE" w:rsidRPr="000A7305">
        <w:rPr>
          <w:sz w:val="20"/>
          <w:szCs w:val="20"/>
        </w:rPr>
        <w:t>Countries.</w:t>
      </w:r>
      <w:r w:rsidR="002547BB" w:rsidRPr="000A7305">
        <w:rPr>
          <w:sz w:val="20"/>
          <w:szCs w:val="20"/>
        </w:rPr>
        <w:t xml:space="preserve"> </w:t>
      </w:r>
      <w:r w:rsidR="007F46FE" w:rsidRPr="000A7305">
        <w:rPr>
          <w:sz w:val="20"/>
          <w:szCs w:val="20"/>
        </w:rPr>
        <w:t>Journal</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clinical</w:t>
      </w:r>
      <w:r w:rsidR="002547BB" w:rsidRPr="000A7305">
        <w:rPr>
          <w:sz w:val="20"/>
          <w:szCs w:val="20"/>
        </w:rPr>
        <w:t xml:space="preserve"> </w:t>
      </w:r>
      <w:r w:rsidR="007F46FE" w:rsidRPr="000A7305">
        <w:rPr>
          <w:sz w:val="20"/>
          <w:szCs w:val="20"/>
        </w:rPr>
        <w:t>and</w:t>
      </w:r>
      <w:r w:rsidR="002547BB" w:rsidRPr="000A7305">
        <w:rPr>
          <w:sz w:val="20"/>
          <w:szCs w:val="20"/>
        </w:rPr>
        <w:t xml:space="preserve"> </w:t>
      </w:r>
      <w:r w:rsidR="007F46FE" w:rsidRPr="000A7305">
        <w:rPr>
          <w:sz w:val="20"/>
          <w:szCs w:val="20"/>
        </w:rPr>
        <w:t>translational</w:t>
      </w:r>
      <w:r w:rsidR="002547BB" w:rsidRPr="000A7305">
        <w:rPr>
          <w:sz w:val="20"/>
          <w:szCs w:val="20"/>
        </w:rPr>
        <w:t xml:space="preserve"> </w:t>
      </w:r>
      <w:r w:rsidR="007F46FE" w:rsidRPr="000A7305">
        <w:rPr>
          <w:sz w:val="20"/>
          <w:szCs w:val="20"/>
        </w:rPr>
        <w:t>hepatology.</w:t>
      </w:r>
      <w:r w:rsidR="002547BB" w:rsidRPr="000A7305">
        <w:rPr>
          <w:sz w:val="20"/>
          <w:szCs w:val="20"/>
        </w:rPr>
        <w:t xml:space="preserve"> </w:t>
      </w:r>
      <w:r w:rsidR="007F46FE" w:rsidRPr="000A7305">
        <w:rPr>
          <w:sz w:val="20"/>
          <w:szCs w:val="20"/>
        </w:rPr>
        <w:t>2014;2(4):247.</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S</w:t>
      </w:r>
      <w:r w:rsidR="007F46FE" w:rsidRPr="000A7305">
        <w:rPr>
          <w:i/>
          <w:sz w:val="20"/>
          <w:szCs w:val="20"/>
        </w:rPr>
        <w:t>uzuki</w:t>
      </w:r>
      <w:r w:rsidR="002547BB" w:rsidRPr="000A7305">
        <w:rPr>
          <w:i/>
          <w:sz w:val="20"/>
          <w:szCs w:val="20"/>
        </w:rPr>
        <w:t xml:space="preserve"> </w:t>
      </w:r>
      <w:r w:rsidR="007F46FE" w:rsidRPr="000A7305">
        <w:rPr>
          <w:i/>
          <w:sz w:val="20"/>
          <w:szCs w:val="20"/>
        </w:rPr>
        <w:t>M,</w:t>
      </w:r>
      <w:r w:rsidR="002547BB" w:rsidRPr="000A7305">
        <w:rPr>
          <w:i/>
          <w:sz w:val="20"/>
          <w:szCs w:val="20"/>
        </w:rPr>
        <w:t xml:space="preserve"> </w:t>
      </w:r>
      <w:r w:rsidR="007F46FE" w:rsidRPr="000A7305">
        <w:rPr>
          <w:i/>
          <w:sz w:val="20"/>
          <w:szCs w:val="20"/>
        </w:rPr>
        <w:t>Tajiri</w:t>
      </w:r>
      <w:r w:rsidR="002547BB" w:rsidRPr="000A7305">
        <w:rPr>
          <w:i/>
          <w:sz w:val="20"/>
          <w:szCs w:val="20"/>
        </w:rPr>
        <w:t xml:space="preserve"> </w:t>
      </w:r>
      <w:r w:rsidR="007F46FE" w:rsidRPr="000A7305">
        <w:rPr>
          <w:i/>
          <w:sz w:val="20"/>
          <w:szCs w:val="20"/>
        </w:rPr>
        <w:t>H,</w:t>
      </w:r>
      <w:r w:rsidR="002547BB" w:rsidRPr="000A7305">
        <w:rPr>
          <w:i/>
          <w:sz w:val="20"/>
          <w:szCs w:val="20"/>
        </w:rPr>
        <w:t xml:space="preserve"> </w:t>
      </w:r>
      <w:r w:rsidR="007F46FE" w:rsidRPr="000A7305">
        <w:rPr>
          <w:i/>
          <w:sz w:val="20"/>
          <w:szCs w:val="20"/>
        </w:rPr>
        <w:t>Tanaka</w:t>
      </w:r>
      <w:r w:rsidR="002547BB" w:rsidRPr="000A7305">
        <w:rPr>
          <w:i/>
          <w:sz w:val="20"/>
          <w:szCs w:val="20"/>
        </w:rPr>
        <w:t xml:space="preserve"> </w:t>
      </w:r>
      <w:r w:rsidR="007F46FE" w:rsidRPr="000A7305">
        <w:rPr>
          <w:i/>
          <w:sz w:val="20"/>
          <w:szCs w:val="20"/>
        </w:rPr>
        <w:t>Y,</w:t>
      </w:r>
      <w:r w:rsidR="002547BB" w:rsidRPr="000A7305">
        <w:rPr>
          <w:i/>
          <w:sz w:val="20"/>
          <w:szCs w:val="20"/>
        </w:rPr>
        <w:t xml:space="preserve"> </w:t>
      </w:r>
      <w:r w:rsidR="007F46FE" w:rsidRPr="000A7305">
        <w:rPr>
          <w:i/>
          <w:sz w:val="20"/>
          <w:szCs w:val="20"/>
        </w:rPr>
        <w:t>Takano</w:t>
      </w:r>
      <w:r w:rsidR="002547BB" w:rsidRPr="000A7305">
        <w:rPr>
          <w:i/>
          <w:sz w:val="20"/>
          <w:szCs w:val="20"/>
        </w:rPr>
        <w:t xml:space="preserve"> </w:t>
      </w:r>
      <w:r w:rsidR="007F46FE" w:rsidRPr="000A7305">
        <w:rPr>
          <w:i/>
          <w:sz w:val="20"/>
          <w:szCs w:val="20"/>
        </w:rPr>
        <w:t>T,</w:t>
      </w:r>
      <w:r w:rsidR="002547BB" w:rsidRPr="000A7305">
        <w:rPr>
          <w:i/>
          <w:sz w:val="20"/>
          <w:szCs w:val="20"/>
        </w:rPr>
        <w:t xml:space="preserve"> </w:t>
      </w:r>
      <w:r w:rsidR="007F46FE" w:rsidRPr="000A7305">
        <w:rPr>
          <w:i/>
          <w:sz w:val="20"/>
          <w:szCs w:val="20"/>
        </w:rPr>
        <w:t>Miyoshi</w:t>
      </w:r>
      <w:r w:rsidR="002547BB" w:rsidRPr="000A7305">
        <w:rPr>
          <w:i/>
          <w:sz w:val="20"/>
          <w:szCs w:val="20"/>
        </w:rPr>
        <w:t xml:space="preserve"> </w:t>
      </w:r>
      <w:r w:rsidR="007F46FE" w:rsidRPr="000A7305">
        <w:rPr>
          <w:i/>
          <w:sz w:val="20"/>
          <w:szCs w:val="20"/>
        </w:rPr>
        <w:t>Y,</w:t>
      </w:r>
      <w:r w:rsidR="002547BB" w:rsidRPr="000A7305">
        <w:rPr>
          <w:i/>
          <w:sz w:val="20"/>
          <w:szCs w:val="20"/>
        </w:rPr>
        <w:t xml:space="preserve"> </w:t>
      </w:r>
      <w:r w:rsidR="007F46FE" w:rsidRPr="000A7305">
        <w:rPr>
          <w:i/>
          <w:sz w:val="20"/>
          <w:szCs w:val="20"/>
        </w:rPr>
        <w:t>Murakami</w:t>
      </w:r>
      <w:r w:rsidR="002547BB" w:rsidRPr="000A7305">
        <w:rPr>
          <w:i/>
          <w:sz w:val="20"/>
          <w:szCs w:val="20"/>
        </w:rPr>
        <w:t xml:space="preserve"> </w:t>
      </w:r>
      <w:r w:rsidR="007F46FE" w:rsidRPr="000A7305">
        <w:rPr>
          <w:i/>
          <w:sz w:val="20"/>
          <w:szCs w:val="20"/>
        </w:rPr>
        <w:t>J,</w:t>
      </w:r>
      <w:r w:rsidR="002547BB" w:rsidRPr="000A7305">
        <w:rPr>
          <w:i/>
          <w:sz w:val="20"/>
          <w:szCs w:val="20"/>
        </w:rPr>
        <w:t xml:space="preserve"> </w:t>
      </w:r>
      <w:r w:rsidR="00F1398B" w:rsidRPr="000A7305">
        <w:rPr>
          <w:i/>
          <w:sz w:val="20"/>
          <w:szCs w:val="20"/>
        </w:rPr>
        <w:t>Shimizu</w:t>
      </w:r>
      <w:r w:rsidR="002547BB" w:rsidRPr="000A7305">
        <w:rPr>
          <w:i/>
          <w:sz w:val="20"/>
          <w:szCs w:val="20"/>
        </w:rPr>
        <w:t xml:space="preserve"> </w:t>
      </w:r>
      <w:r w:rsidR="00F1398B" w:rsidRPr="000A7305">
        <w:rPr>
          <w:i/>
          <w:sz w:val="20"/>
          <w:szCs w:val="20"/>
        </w:rPr>
        <w:t>T,</w:t>
      </w:r>
      <w:r w:rsidR="002547BB" w:rsidRPr="000A7305">
        <w:rPr>
          <w:i/>
          <w:sz w:val="20"/>
          <w:szCs w:val="20"/>
        </w:rPr>
        <w:t xml:space="preserve"> </w:t>
      </w:r>
      <w:r w:rsidR="00DF430D" w:rsidRPr="000A7305">
        <w:rPr>
          <w:i/>
          <w:sz w:val="20"/>
          <w:szCs w:val="20"/>
        </w:rPr>
        <w:t>and</w:t>
      </w:r>
      <w:r w:rsidR="002547BB" w:rsidRPr="000A7305">
        <w:rPr>
          <w:i/>
          <w:sz w:val="20"/>
          <w:szCs w:val="20"/>
        </w:rPr>
        <w:t xml:space="preserve"> </w:t>
      </w:r>
      <w:r w:rsidR="00F1398B" w:rsidRPr="000A7305">
        <w:rPr>
          <w:i/>
          <w:sz w:val="20"/>
          <w:szCs w:val="20"/>
        </w:rPr>
        <w:t>Brooks</w:t>
      </w:r>
      <w:r w:rsidR="002547BB" w:rsidRPr="000A7305">
        <w:rPr>
          <w:i/>
          <w:sz w:val="20"/>
          <w:szCs w:val="20"/>
        </w:rPr>
        <w:t xml:space="preserve"> </w:t>
      </w:r>
      <w:r w:rsidR="00F1398B" w:rsidRPr="000A7305">
        <w:rPr>
          <w:i/>
          <w:sz w:val="20"/>
          <w:szCs w:val="20"/>
        </w:rPr>
        <w:t>S</w:t>
      </w:r>
      <w:r w:rsidR="007F46FE" w:rsidRPr="000A7305">
        <w:rPr>
          <w:i/>
          <w:sz w:val="20"/>
          <w:szCs w:val="20"/>
        </w:rPr>
        <w:t>.</w:t>
      </w:r>
      <w:r w:rsidR="002547BB" w:rsidRPr="000A7305">
        <w:rPr>
          <w:sz w:val="20"/>
          <w:szCs w:val="20"/>
        </w:rPr>
        <w:t xml:space="preserve"> </w:t>
      </w:r>
      <w:r w:rsidR="007F46FE" w:rsidRPr="000A7305">
        <w:rPr>
          <w:sz w:val="20"/>
          <w:szCs w:val="20"/>
        </w:rPr>
        <w:t>Peginterferon</w:t>
      </w:r>
      <w:r w:rsidR="002547BB" w:rsidRPr="000A7305">
        <w:rPr>
          <w:sz w:val="20"/>
          <w:szCs w:val="20"/>
        </w:rPr>
        <w:t xml:space="preserve"> </w:t>
      </w:r>
      <w:r w:rsidR="007F46FE" w:rsidRPr="000A7305">
        <w:rPr>
          <w:sz w:val="20"/>
          <w:szCs w:val="20"/>
        </w:rPr>
        <w:t>Therapy</w:t>
      </w:r>
      <w:r w:rsidR="002547BB" w:rsidRPr="000A7305">
        <w:rPr>
          <w:sz w:val="20"/>
          <w:szCs w:val="20"/>
        </w:rPr>
        <w:t xml:space="preserve"> </w:t>
      </w:r>
      <w:r w:rsidR="007F46FE" w:rsidRPr="000A7305">
        <w:rPr>
          <w:sz w:val="20"/>
          <w:szCs w:val="20"/>
        </w:rPr>
        <w:t>in</w:t>
      </w:r>
      <w:r w:rsidR="002547BB" w:rsidRPr="000A7305">
        <w:rPr>
          <w:sz w:val="20"/>
          <w:szCs w:val="20"/>
        </w:rPr>
        <w:t xml:space="preserve"> </w:t>
      </w:r>
      <w:r w:rsidR="007F46FE" w:rsidRPr="000A7305">
        <w:rPr>
          <w:sz w:val="20"/>
          <w:szCs w:val="20"/>
        </w:rPr>
        <w:t>Children</w:t>
      </w:r>
      <w:r w:rsidR="002547BB" w:rsidRPr="000A7305">
        <w:rPr>
          <w:sz w:val="20"/>
          <w:szCs w:val="20"/>
        </w:rPr>
        <w:t xml:space="preserve"> </w:t>
      </w:r>
      <w:r w:rsidR="007F46FE" w:rsidRPr="000A7305">
        <w:rPr>
          <w:sz w:val="20"/>
          <w:szCs w:val="20"/>
        </w:rPr>
        <w:t>with</w:t>
      </w:r>
      <w:r w:rsidR="002547BB" w:rsidRPr="000A7305">
        <w:rPr>
          <w:sz w:val="20"/>
          <w:szCs w:val="20"/>
        </w:rPr>
        <w:t xml:space="preserve"> </w:t>
      </w:r>
      <w:r w:rsidR="007F46FE" w:rsidRPr="000A7305">
        <w:rPr>
          <w:sz w:val="20"/>
          <w:szCs w:val="20"/>
        </w:rPr>
        <w:t>Chronic</w:t>
      </w:r>
      <w:r w:rsidR="002547BB" w:rsidRPr="000A7305">
        <w:rPr>
          <w:sz w:val="20"/>
          <w:szCs w:val="20"/>
        </w:rPr>
        <w:t xml:space="preserve"> </w:t>
      </w:r>
      <w:r w:rsidR="007F46FE" w:rsidRPr="000A7305">
        <w:rPr>
          <w:sz w:val="20"/>
          <w:szCs w:val="20"/>
        </w:rPr>
        <w:t>Hepatitis</w:t>
      </w:r>
      <w:r w:rsidR="002547BB" w:rsidRPr="000A7305">
        <w:rPr>
          <w:sz w:val="20"/>
          <w:szCs w:val="20"/>
        </w:rPr>
        <w:t xml:space="preserve"> </w:t>
      </w:r>
      <w:r w:rsidR="007F46FE" w:rsidRPr="000A7305">
        <w:rPr>
          <w:sz w:val="20"/>
          <w:szCs w:val="20"/>
        </w:rPr>
        <w:t>C:</w:t>
      </w:r>
      <w:r w:rsidR="002547BB" w:rsidRPr="000A7305">
        <w:rPr>
          <w:sz w:val="20"/>
          <w:szCs w:val="20"/>
        </w:rPr>
        <w:t xml:space="preserve"> </w:t>
      </w:r>
      <w:r w:rsidR="007F46FE" w:rsidRPr="000A7305">
        <w:rPr>
          <w:sz w:val="20"/>
          <w:szCs w:val="20"/>
        </w:rPr>
        <w:t>A</w:t>
      </w:r>
      <w:r w:rsidR="002547BB" w:rsidRPr="000A7305">
        <w:rPr>
          <w:sz w:val="20"/>
          <w:szCs w:val="20"/>
        </w:rPr>
        <w:t xml:space="preserve"> </w:t>
      </w:r>
      <w:r w:rsidR="007F46FE" w:rsidRPr="000A7305">
        <w:rPr>
          <w:sz w:val="20"/>
          <w:szCs w:val="20"/>
        </w:rPr>
        <w:t>Nationwide,</w:t>
      </w:r>
      <w:r w:rsidR="002547BB" w:rsidRPr="000A7305">
        <w:rPr>
          <w:sz w:val="20"/>
          <w:szCs w:val="20"/>
        </w:rPr>
        <w:t xml:space="preserve"> </w:t>
      </w:r>
      <w:r w:rsidR="007F46FE" w:rsidRPr="000A7305">
        <w:rPr>
          <w:sz w:val="20"/>
          <w:szCs w:val="20"/>
        </w:rPr>
        <w:t>Multicenter</w:t>
      </w:r>
      <w:r w:rsidR="002547BB" w:rsidRPr="000A7305">
        <w:rPr>
          <w:sz w:val="20"/>
          <w:szCs w:val="20"/>
        </w:rPr>
        <w:t xml:space="preserve"> </w:t>
      </w:r>
      <w:r w:rsidR="007F46FE" w:rsidRPr="000A7305">
        <w:rPr>
          <w:sz w:val="20"/>
          <w:szCs w:val="20"/>
        </w:rPr>
        <w:t>Study</w:t>
      </w:r>
      <w:r w:rsidR="002547BB" w:rsidRPr="000A7305">
        <w:rPr>
          <w:sz w:val="20"/>
          <w:szCs w:val="20"/>
        </w:rPr>
        <w:t xml:space="preserve"> </w:t>
      </w:r>
      <w:r w:rsidR="007F46FE" w:rsidRPr="000A7305">
        <w:rPr>
          <w:sz w:val="20"/>
          <w:szCs w:val="20"/>
        </w:rPr>
        <w:t>in</w:t>
      </w:r>
      <w:r w:rsidR="002547BB" w:rsidRPr="000A7305">
        <w:rPr>
          <w:sz w:val="20"/>
          <w:szCs w:val="20"/>
        </w:rPr>
        <w:t xml:space="preserve"> </w:t>
      </w:r>
      <w:r w:rsidR="007F46FE" w:rsidRPr="000A7305">
        <w:rPr>
          <w:sz w:val="20"/>
          <w:szCs w:val="20"/>
        </w:rPr>
        <w:t>Japan,</w:t>
      </w:r>
      <w:r w:rsidR="002547BB" w:rsidRPr="000A7305">
        <w:rPr>
          <w:sz w:val="20"/>
          <w:szCs w:val="20"/>
        </w:rPr>
        <w:t xml:space="preserve"> </w:t>
      </w:r>
      <w:r w:rsidR="007F46FE" w:rsidRPr="000A7305">
        <w:rPr>
          <w:sz w:val="20"/>
          <w:szCs w:val="20"/>
        </w:rPr>
        <w:t>2004–2013.</w:t>
      </w:r>
      <w:r w:rsidR="002547BB" w:rsidRPr="000A7305">
        <w:rPr>
          <w:sz w:val="20"/>
          <w:szCs w:val="20"/>
        </w:rPr>
        <w:t xml:space="preserve"> </w:t>
      </w:r>
      <w:r w:rsidR="007F46FE" w:rsidRPr="000A7305">
        <w:rPr>
          <w:sz w:val="20"/>
          <w:szCs w:val="20"/>
        </w:rPr>
        <w:t>Journal</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pediatric</w:t>
      </w:r>
      <w:r w:rsidR="002547BB" w:rsidRPr="000A7305">
        <w:rPr>
          <w:sz w:val="20"/>
          <w:szCs w:val="20"/>
        </w:rPr>
        <w:t xml:space="preserve"> </w:t>
      </w:r>
      <w:r w:rsidR="007F46FE" w:rsidRPr="000A7305">
        <w:rPr>
          <w:sz w:val="20"/>
          <w:szCs w:val="20"/>
        </w:rPr>
        <w:t>gastroenterology</w:t>
      </w:r>
      <w:r w:rsidR="002547BB" w:rsidRPr="000A7305">
        <w:rPr>
          <w:sz w:val="20"/>
          <w:szCs w:val="20"/>
        </w:rPr>
        <w:t xml:space="preserve"> </w:t>
      </w:r>
      <w:r w:rsidR="007F46FE" w:rsidRPr="000A7305">
        <w:rPr>
          <w:sz w:val="20"/>
          <w:szCs w:val="20"/>
        </w:rPr>
        <w:t>and</w:t>
      </w:r>
      <w:r w:rsidR="002547BB" w:rsidRPr="000A7305">
        <w:rPr>
          <w:sz w:val="20"/>
          <w:szCs w:val="20"/>
        </w:rPr>
        <w:t xml:space="preserve"> </w:t>
      </w:r>
      <w:r w:rsidR="007F46FE" w:rsidRPr="000A7305">
        <w:rPr>
          <w:sz w:val="20"/>
          <w:szCs w:val="20"/>
        </w:rPr>
        <w:t>nutrition.</w:t>
      </w:r>
      <w:r w:rsidR="002547BB" w:rsidRPr="000A7305">
        <w:rPr>
          <w:sz w:val="20"/>
          <w:szCs w:val="20"/>
        </w:rPr>
        <w:t xml:space="preserve"> </w:t>
      </w:r>
      <w:r w:rsidR="007F46FE" w:rsidRPr="000A7305">
        <w:rPr>
          <w:sz w:val="20"/>
          <w:szCs w:val="20"/>
        </w:rPr>
        <w:t>2016;63(1):88-93.</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Y</w:t>
      </w:r>
      <w:r w:rsidR="007F46FE" w:rsidRPr="000A7305">
        <w:rPr>
          <w:i/>
          <w:sz w:val="20"/>
          <w:szCs w:val="20"/>
        </w:rPr>
        <w:t>ang</w:t>
      </w:r>
      <w:r w:rsidR="002547BB" w:rsidRPr="000A7305">
        <w:rPr>
          <w:i/>
          <w:sz w:val="20"/>
          <w:szCs w:val="20"/>
        </w:rPr>
        <w:t xml:space="preserve"> </w:t>
      </w:r>
      <w:r w:rsidR="007F46FE" w:rsidRPr="000A7305">
        <w:rPr>
          <w:i/>
          <w:sz w:val="20"/>
          <w:szCs w:val="20"/>
        </w:rPr>
        <w:t>CHT,</w:t>
      </w:r>
      <w:r w:rsidR="002547BB" w:rsidRPr="000A7305">
        <w:rPr>
          <w:i/>
          <w:sz w:val="20"/>
          <w:szCs w:val="20"/>
        </w:rPr>
        <w:t xml:space="preserve"> </w:t>
      </w:r>
      <w:r w:rsidR="007F46FE" w:rsidRPr="000A7305">
        <w:rPr>
          <w:i/>
          <w:sz w:val="20"/>
          <w:szCs w:val="20"/>
        </w:rPr>
        <w:t>Yoo</w:t>
      </w:r>
      <w:r w:rsidR="002547BB" w:rsidRPr="000A7305">
        <w:rPr>
          <w:i/>
          <w:sz w:val="20"/>
          <w:szCs w:val="20"/>
        </w:rPr>
        <w:t xml:space="preserve"> </w:t>
      </w:r>
      <w:r w:rsidR="007F46FE" w:rsidRPr="000A7305">
        <w:rPr>
          <w:i/>
          <w:sz w:val="20"/>
          <w:szCs w:val="20"/>
        </w:rPr>
        <w:t>ER,</w:t>
      </w:r>
      <w:r w:rsidR="002547BB" w:rsidRPr="000A7305">
        <w:rPr>
          <w:i/>
          <w:sz w:val="20"/>
          <w:szCs w:val="20"/>
        </w:rPr>
        <w:t xml:space="preserve"> </w:t>
      </w:r>
      <w:r w:rsidR="007F46FE" w:rsidRPr="000A7305">
        <w:rPr>
          <w:i/>
          <w:sz w:val="20"/>
          <w:szCs w:val="20"/>
        </w:rPr>
        <w:t>and</w:t>
      </w:r>
      <w:r w:rsidR="002547BB" w:rsidRPr="000A7305">
        <w:rPr>
          <w:i/>
          <w:sz w:val="20"/>
          <w:szCs w:val="20"/>
        </w:rPr>
        <w:t xml:space="preserve"> </w:t>
      </w:r>
      <w:r w:rsidR="007F46FE" w:rsidRPr="000A7305">
        <w:rPr>
          <w:i/>
          <w:sz w:val="20"/>
          <w:szCs w:val="20"/>
        </w:rPr>
        <w:t>Ahmed</w:t>
      </w:r>
      <w:r w:rsidR="002547BB" w:rsidRPr="000A7305">
        <w:rPr>
          <w:i/>
          <w:sz w:val="20"/>
          <w:szCs w:val="20"/>
        </w:rPr>
        <w:t xml:space="preserve"> </w:t>
      </w:r>
      <w:r w:rsidR="007F46FE" w:rsidRPr="000A7305">
        <w:rPr>
          <w:i/>
          <w:sz w:val="20"/>
          <w:szCs w:val="20"/>
        </w:rPr>
        <w:t>A</w:t>
      </w:r>
      <w:r w:rsidR="007F46FE" w:rsidRPr="000A7305">
        <w:rPr>
          <w:sz w:val="20"/>
          <w:szCs w:val="20"/>
        </w:rPr>
        <w:t>.</w:t>
      </w:r>
      <w:r w:rsidR="002547BB" w:rsidRPr="000A7305">
        <w:rPr>
          <w:sz w:val="20"/>
          <w:szCs w:val="20"/>
        </w:rPr>
        <w:t xml:space="preserve"> </w:t>
      </w:r>
      <w:r w:rsidR="007F46FE" w:rsidRPr="000A7305">
        <w:rPr>
          <w:sz w:val="20"/>
          <w:szCs w:val="20"/>
        </w:rPr>
        <w:t>The</w:t>
      </w:r>
      <w:r w:rsidR="002547BB" w:rsidRPr="000A7305">
        <w:rPr>
          <w:sz w:val="20"/>
          <w:szCs w:val="20"/>
        </w:rPr>
        <w:t xml:space="preserve"> </w:t>
      </w:r>
      <w:r w:rsidR="007F46FE" w:rsidRPr="000A7305">
        <w:rPr>
          <w:sz w:val="20"/>
          <w:szCs w:val="20"/>
        </w:rPr>
        <w:t>Role</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Direct-Acting</w:t>
      </w:r>
      <w:r w:rsidR="002547BB" w:rsidRPr="000A7305">
        <w:rPr>
          <w:sz w:val="20"/>
          <w:szCs w:val="20"/>
        </w:rPr>
        <w:t xml:space="preserve"> </w:t>
      </w:r>
      <w:r w:rsidR="007F46FE" w:rsidRPr="000A7305">
        <w:rPr>
          <w:sz w:val="20"/>
          <w:szCs w:val="20"/>
        </w:rPr>
        <w:t>Antivirals</w:t>
      </w:r>
      <w:r w:rsidR="002547BB" w:rsidRPr="000A7305">
        <w:rPr>
          <w:sz w:val="20"/>
          <w:szCs w:val="20"/>
        </w:rPr>
        <w:t xml:space="preserve"> </w:t>
      </w:r>
      <w:r w:rsidR="007F46FE" w:rsidRPr="000A7305">
        <w:rPr>
          <w:sz w:val="20"/>
          <w:szCs w:val="20"/>
        </w:rPr>
        <w:t>in</w:t>
      </w:r>
      <w:r w:rsidR="002547BB" w:rsidRPr="000A7305">
        <w:rPr>
          <w:sz w:val="20"/>
          <w:szCs w:val="20"/>
        </w:rPr>
        <w:t xml:space="preserve"> </w:t>
      </w:r>
      <w:r w:rsidR="007F46FE" w:rsidRPr="000A7305">
        <w:rPr>
          <w:sz w:val="20"/>
          <w:szCs w:val="20"/>
        </w:rPr>
        <w:t>the</w:t>
      </w:r>
      <w:r w:rsidR="002547BB" w:rsidRPr="000A7305">
        <w:rPr>
          <w:sz w:val="20"/>
          <w:szCs w:val="20"/>
        </w:rPr>
        <w:t xml:space="preserve"> </w:t>
      </w:r>
      <w:r w:rsidR="007F46FE" w:rsidRPr="000A7305">
        <w:rPr>
          <w:sz w:val="20"/>
          <w:szCs w:val="20"/>
        </w:rPr>
        <w:t>Treatment</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Children</w:t>
      </w:r>
      <w:r w:rsidR="002547BB" w:rsidRPr="000A7305">
        <w:rPr>
          <w:sz w:val="20"/>
          <w:szCs w:val="20"/>
        </w:rPr>
        <w:t xml:space="preserve"> </w:t>
      </w:r>
      <w:r w:rsidR="007F46FE" w:rsidRPr="000A7305">
        <w:rPr>
          <w:sz w:val="20"/>
          <w:szCs w:val="20"/>
        </w:rPr>
        <w:t>with</w:t>
      </w:r>
      <w:r w:rsidR="002547BB" w:rsidRPr="000A7305">
        <w:rPr>
          <w:sz w:val="20"/>
          <w:szCs w:val="20"/>
        </w:rPr>
        <w:t xml:space="preserve"> </w:t>
      </w:r>
      <w:r w:rsidR="007F46FE" w:rsidRPr="000A7305">
        <w:rPr>
          <w:sz w:val="20"/>
          <w:szCs w:val="20"/>
        </w:rPr>
        <w:t>Chronic</w:t>
      </w:r>
      <w:r w:rsidR="002547BB" w:rsidRPr="000A7305">
        <w:rPr>
          <w:sz w:val="20"/>
          <w:szCs w:val="20"/>
        </w:rPr>
        <w:t xml:space="preserve"> </w:t>
      </w:r>
      <w:r w:rsidR="007F46FE" w:rsidRPr="000A7305">
        <w:rPr>
          <w:sz w:val="20"/>
          <w:szCs w:val="20"/>
        </w:rPr>
        <w:t>Hepatitis</w:t>
      </w:r>
      <w:r w:rsidR="002547BB" w:rsidRPr="000A7305">
        <w:rPr>
          <w:sz w:val="20"/>
          <w:szCs w:val="20"/>
        </w:rPr>
        <w:t xml:space="preserve"> </w:t>
      </w:r>
      <w:r w:rsidR="007F46FE" w:rsidRPr="000A7305">
        <w:rPr>
          <w:sz w:val="20"/>
          <w:szCs w:val="20"/>
        </w:rPr>
        <w:t>C.</w:t>
      </w:r>
      <w:r w:rsidR="002547BB" w:rsidRPr="000A7305">
        <w:rPr>
          <w:sz w:val="20"/>
          <w:szCs w:val="20"/>
        </w:rPr>
        <w:t xml:space="preserve"> </w:t>
      </w:r>
      <w:r w:rsidR="007F46FE" w:rsidRPr="000A7305">
        <w:rPr>
          <w:sz w:val="20"/>
          <w:szCs w:val="20"/>
        </w:rPr>
        <w:t>Journal</w:t>
      </w:r>
      <w:r w:rsidR="002547BB" w:rsidRPr="000A7305">
        <w:rPr>
          <w:sz w:val="20"/>
          <w:szCs w:val="20"/>
        </w:rPr>
        <w:t xml:space="preserve"> </w:t>
      </w:r>
      <w:r w:rsidR="007F46FE" w:rsidRPr="000A7305">
        <w:rPr>
          <w:sz w:val="20"/>
          <w:szCs w:val="20"/>
        </w:rPr>
        <w:t>of</w:t>
      </w:r>
      <w:r w:rsidR="002547BB" w:rsidRPr="000A7305">
        <w:rPr>
          <w:sz w:val="20"/>
          <w:szCs w:val="20"/>
        </w:rPr>
        <w:t xml:space="preserve"> </w:t>
      </w:r>
      <w:r w:rsidR="007F46FE" w:rsidRPr="000A7305">
        <w:rPr>
          <w:sz w:val="20"/>
          <w:szCs w:val="20"/>
        </w:rPr>
        <w:t>clinical</w:t>
      </w:r>
      <w:r w:rsidR="002547BB" w:rsidRPr="000A7305">
        <w:rPr>
          <w:sz w:val="20"/>
          <w:szCs w:val="20"/>
        </w:rPr>
        <w:t xml:space="preserve"> </w:t>
      </w:r>
      <w:r w:rsidR="007F46FE" w:rsidRPr="000A7305">
        <w:rPr>
          <w:sz w:val="20"/>
          <w:szCs w:val="20"/>
        </w:rPr>
        <w:t>and</w:t>
      </w:r>
      <w:r w:rsidR="002547BB" w:rsidRPr="000A7305">
        <w:rPr>
          <w:sz w:val="20"/>
          <w:szCs w:val="20"/>
        </w:rPr>
        <w:t xml:space="preserve"> </w:t>
      </w:r>
      <w:r w:rsidR="007F46FE" w:rsidRPr="000A7305">
        <w:rPr>
          <w:sz w:val="20"/>
          <w:szCs w:val="20"/>
        </w:rPr>
        <w:t>translational</w:t>
      </w:r>
      <w:r w:rsidR="002547BB" w:rsidRPr="000A7305">
        <w:rPr>
          <w:sz w:val="20"/>
          <w:szCs w:val="20"/>
        </w:rPr>
        <w:t xml:space="preserve"> </w:t>
      </w:r>
      <w:r w:rsidR="007F46FE" w:rsidRPr="000A7305">
        <w:rPr>
          <w:sz w:val="20"/>
          <w:szCs w:val="20"/>
        </w:rPr>
        <w:t>hepatology.</w:t>
      </w:r>
      <w:r w:rsidR="002547BB" w:rsidRPr="000A7305">
        <w:rPr>
          <w:sz w:val="20"/>
          <w:szCs w:val="20"/>
        </w:rPr>
        <w:t xml:space="preserve"> </w:t>
      </w:r>
      <w:r w:rsidR="007F46FE" w:rsidRPr="000A7305">
        <w:rPr>
          <w:sz w:val="20"/>
          <w:szCs w:val="20"/>
        </w:rPr>
        <w:t>2017;5(1):59.</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F</w:t>
      </w:r>
      <w:r w:rsidR="00F61757" w:rsidRPr="000A7305">
        <w:rPr>
          <w:i/>
          <w:sz w:val="20"/>
          <w:szCs w:val="20"/>
        </w:rPr>
        <w:t>DA</w:t>
      </w:r>
      <w:r w:rsidR="007F46FE" w:rsidRPr="000A7305">
        <w:rPr>
          <w:sz w:val="20"/>
          <w:szCs w:val="20"/>
        </w:rPr>
        <w:t>.</w:t>
      </w:r>
      <w:r w:rsidR="002547BB" w:rsidRPr="000A7305">
        <w:rPr>
          <w:sz w:val="20"/>
          <w:szCs w:val="20"/>
        </w:rPr>
        <w:t xml:space="preserve"> </w:t>
      </w:r>
      <w:r w:rsidR="007F46FE" w:rsidRPr="000A7305">
        <w:rPr>
          <w:sz w:val="20"/>
          <w:szCs w:val="20"/>
        </w:rPr>
        <w:t>Fda</w:t>
      </w:r>
      <w:r w:rsidR="002547BB" w:rsidRPr="000A7305">
        <w:rPr>
          <w:sz w:val="20"/>
          <w:szCs w:val="20"/>
        </w:rPr>
        <w:t xml:space="preserve"> </w:t>
      </w:r>
      <w:r w:rsidR="007F46FE" w:rsidRPr="000A7305">
        <w:rPr>
          <w:sz w:val="20"/>
          <w:szCs w:val="20"/>
        </w:rPr>
        <w:t>Approves</w:t>
      </w:r>
      <w:r w:rsidR="002547BB" w:rsidRPr="000A7305">
        <w:rPr>
          <w:sz w:val="20"/>
          <w:szCs w:val="20"/>
        </w:rPr>
        <w:t xml:space="preserve"> </w:t>
      </w:r>
      <w:r w:rsidR="007F46FE" w:rsidRPr="000A7305">
        <w:rPr>
          <w:sz w:val="20"/>
          <w:szCs w:val="20"/>
        </w:rPr>
        <w:t>Two</w:t>
      </w:r>
      <w:r w:rsidR="002547BB" w:rsidRPr="000A7305">
        <w:rPr>
          <w:sz w:val="20"/>
          <w:szCs w:val="20"/>
        </w:rPr>
        <w:t xml:space="preserve"> </w:t>
      </w:r>
      <w:r w:rsidR="007F46FE" w:rsidRPr="000A7305">
        <w:rPr>
          <w:sz w:val="20"/>
          <w:szCs w:val="20"/>
        </w:rPr>
        <w:t>Hepatitis</w:t>
      </w:r>
      <w:r w:rsidR="002547BB" w:rsidRPr="000A7305">
        <w:rPr>
          <w:sz w:val="20"/>
          <w:szCs w:val="20"/>
        </w:rPr>
        <w:t xml:space="preserve"> </w:t>
      </w:r>
      <w:r w:rsidR="007F46FE" w:rsidRPr="000A7305">
        <w:rPr>
          <w:sz w:val="20"/>
          <w:szCs w:val="20"/>
        </w:rPr>
        <w:t>C</w:t>
      </w:r>
      <w:r w:rsidR="002547BB" w:rsidRPr="000A7305">
        <w:rPr>
          <w:sz w:val="20"/>
          <w:szCs w:val="20"/>
        </w:rPr>
        <w:t xml:space="preserve"> </w:t>
      </w:r>
      <w:r w:rsidR="007F46FE" w:rsidRPr="000A7305">
        <w:rPr>
          <w:sz w:val="20"/>
          <w:szCs w:val="20"/>
        </w:rPr>
        <w:t>Drugs</w:t>
      </w:r>
      <w:r w:rsidR="002547BB" w:rsidRPr="000A7305">
        <w:rPr>
          <w:sz w:val="20"/>
          <w:szCs w:val="20"/>
        </w:rPr>
        <w:t xml:space="preserve"> </w:t>
      </w:r>
      <w:r w:rsidR="007F46FE" w:rsidRPr="000A7305">
        <w:rPr>
          <w:sz w:val="20"/>
          <w:szCs w:val="20"/>
        </w:rPr>
        <w:t>for</w:t>
      </w:r>
      <w:r w:rsidR="002547BB" w:rsidRPr="000A7305">
        <w:rPr>
          <w:sz w:val="20"/>
          <w:szCs w:val="20"/>
        </w:rPr>
        <w:t xml:space="preserve"> </w:t>
      </w:r>
      <w:r w:rsidR="007F46FE" w:rsidRPr="000A7305">
        <w:rPr>
          <w:sz w:val="20"/>
          <w:szCs w:val="20"/>
        </w:rPr>
        <w:t>Pe</w:t>
      </w:r>
      <w:r w:rsidR="00F61757" w:rsidRPr="000A7305">
        <w:rPr>
          <w:sz w:val="20"/>
          <w:szCs w:val="20"/>
        </w:rPr>
        <w:t>diatric</w:t>
      </w:r>
      <w:r w:rsidR="002547BB" w:rsidRPr="000A7305">
        <w:rPr>
          <w:sz w:val="20"/>
          <w:szCs w:val="20"/>
        </w:rPr>
        <w:t xml:space="preserve"> </w:t>
      </w:r>
      <w:r w:rsidR="00F61757" w:rsidRPr="000A7305">
        <w:rPr>
          <w:sz w:val="20"/>
          <w:szCs w:val="20"/>
        </w:rPr>
        <w:t>Patients</w:t>
      </w:r>
      <w:r w:rsidR="002547BB" w:rsidRPr="000A7305">
        <w:rPr>
          <w:sz w:val="20"/>
          <w:szCs w:val="20"/>
        </w:rPr>
        <w:t xml:space="preserve"> </w:t>
      </w:r>
      <w:r w:rsidR="00C73E7B" w:rsidRPr="000A7305">
        <w:rPr>
          <w:sz w:val="20"/>
          <w:szCs w:val="20"/>
        </w:rPr>
        <w:t>April</w:t>
      </w:r>
      <w:r w:rsidR="002547BB" w:rsidRPr="000A7305">
        <w:rPr>
          <w:sz w:val="20"/>
          <w:szCs w:val="20"/>
        </w:rPr>
        <w:t xml:space="preserve"> </w:t>
      </w:r>
      <w:r w:rsidR="00C73E7B" w:rsidRPr="000A7305">
        <w:rPr>
          <w:sz w:val="20"/>
          <w:szCs w:val="20"/>
        </w:rPr>
        <w:t>07,</w:t>
      </w:r>
      <w:r w:rsidR="002547BB" w:rsidRPr="000A7305">
        <w:rPr>
          <w:sz w:val="20"/>
          <w:szCs w:val="20"/>
        </w:rPr>
        <w:t xml:space="preserve"> </w:t>
      </w:r>
      <w:r w:rsidR="00C73E7B" w:rsidRPr="000A7305">
        <w:rPr>
          <w:sz w:val="20"/>
          <w:szCs w:val="20"/>
        </w:rPr>
        <w:t>2017</w:t>
      </w:r>
      <w:r w:rsidR="00F61757" w:rsidRPr="000A7305">
        <w:rPr>
          <w:sz w:val="20"/>
          <w:szCs w:val="20"/>
        </w:rPr>
        <w:t>.</w:t>
      </w:r>
      <w:r w:rsidR="002547BB" w:rsidRPr="000A7305">
        <w:rPr>
          <w:sz w:val="20"/>
          <w:szCs w:val="20"/>
        </w:rPr>
        <w:t xml:space="preserve"> </w:t>
      </w:r>
      <w:r w:rsidR="007F46FE" w:rsidRPr="000A7305">
        <w:rPr>
          <w:sz w:val="20"/>
          <w:szCs w:val="20"/>
        </w:rPr>
        <w:t>Available</w:t>
      </w:r>
      <w:r w:rsidR="002547BB" w:rsidRPr="000A7305">
        <w:rPr>
          <w:sz w:val="20"/>
          <w:szCs w:val="20"/>
        </w:rPr>
        <w:t xml:space="preserve"> </w:t>
      </w:r>
      <w:r w:rsidR="007F46FE" w:rsidRPr="000A7305">
        <w:rPr>
          <w:sz w:val="20"/>
          <w:szCs w:val="20"/>
        </w:rPr>
        <w:t>from:</w:t>
      </w:r>
      <w:r w:rsidR="002547BB" w:rsidRPr="000A7305">
        <w:rPr>
          <w:sz w:val="20"/>
          <w:szCs w:val="20"/>
        </w:rPr>
        <w:t xml:space="preserve"> </w:t>
      </w:r>
      <w:r w:rsidR="007F46FE" w:rsidRPr="000A7305">
        <w:rPr>
          <w:sz w:val="20"/>
          <w:szCs w:val="20"/>
        </w:rPr>
        <w:t>https://www.fda.gov/news-events/press-</w:t>
      </w:r>
      <w:r w:rsidR="007F46FE" w:rsidRPr="000A7305">
        <w:rPr>
          <w:sz w:val="20"/>
          <w:szCs w:val="20"/>
        </w:rPr>
        <w:lastRenderedPageBreak/>
        <w:t>announcements/fda-approves-two-hepatitis-c-drugs-pediatric-patients.</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F</w:t>
      </w:r>
      <w:r w:rsidR="006F77E2" w:rsidRPr="000A7305">
        <w:rPr>
          <w:i/>
          <w:sz w:val="20"/>
          <w:szCs w:val="20"/>
        </w:rPr>
        <w:t>oucher</w:t>
      </w:r>
      <w:r w:rsidR="002547BB" w:rsidRPr="000A7305">
        <w:rPr>
          <w:i/>
          <w:sz w:val="20"/>
          <w:szCs w:val="20"/>
        </w:rPr>
        <w:t xml:space="preserve"> </w:t>
      </w:r>
      <w:r w:rsidR="006F77E2" w:rsidRPr="000A7305">
        <w:rPr>
          <w:i/>
          <w:sz w:val="20"/>
          <w:szCs w:val="20"/>
        </w:rPr>
        <w:t>J,</w:t>
      </w:r>
      <w:r w:rsidR="002547BB" w:rsidRPr="000A7305">
        <w:rPr>
          <w:i/>
          <w:sz w:val="20"/>
          <w:szCs w:val="20"/>
        </w:rPr>
        <w:t xml:space="preserve"> </w:t>
      </w:r>
      <w:r w:rsidR="006F77E2" w:rsidRPr="000A7305">
        <w:rPr>
          <w:i/>
          <w:sz w:val="20"/>
          <w:szCs w:val="20"/>
        </w:rPr>
        <w:t>Chanteloup</w:t>
      </w:r>
      <w:r w:rsidR="002547BB" w:rsidRPr="000A7305">
        <w:rPr>
          <w:i/>
          <w:sz w:val="20"/>
          <w:szCs w:val="20"/>
        </w:rPr>
        <w:t xml:space="preserve"> </w:t>
      </w:r>
      <w:r w:rsidR="006F77E2" w:rsidRPr="000A7305">
        <w:rPr>
          <w:i/>
          <w:sz w:val="20"/>
          <w:szCs w:val="20"/>
        </w:rPr>
        <w:t>E,</w:t>
      </w:r>
      <w:r w:rsidR="002547BB" w:rsidRPr="000A7305">
        <w:rPr>
          <w:i/>
          <w:sz w:val="20"/>
          <w:szCs w:val="20"/>
        </w:rPr>
        <w:t xml:space="preserve"> </w:t>
      </w:r>
      <w:r w:rsidR="006F77E2" w:rsidRPr="000A7305">
        <w:rPr>
          <w:i/>
          <w:sz w:val="20"/>
          <w:szCs w:val="20"/>
        </w:rPr>
        <w:t>Vergniol</w:t>
      </w:r>
      <w:r w:rsidR="002547BB" w:rsidRPr="000A7305">
        <w:rPr>
          <w:i/>
          <w:sz w:val="20"/>
          <w:szCs w:val="20"/>
        </w:rPr>
        <w:t xml:space="preserve"> </w:t>
      </w:r>
      <w:r w:rsidR="006F77E2" w:rsidRPr="000A7305">
        <w:rPr>
          <w:i/>
          <w:sz w:val="20"/>
          <w:szCs w:val="20"/>
        </w:rPr>
        <w:t>J,</w:t>
      </w:r>
      <w:r w:rsidR="002547BB" w:rsidRPr="000A7305">
        <w:rPr>
          <w:i/>
          <w:sz w:val="20"/>
          <w:szCs w:val="20"/>
        </w:rPr>
        <w:t xml:space="preserve"> </w:t>
      </w:r>
      <w:r w:rsidR="006F77E2" w:rsidRPr="000A7305">
        <w:rPr>
          <w:i/>
          <w:sz w:val="20"/>
          <w:szCs w:val="20"/>
        </w:rPr>
        <w:t>Castera</w:t>
      </w:r>
      <w:r w:rsidR="002547BB" w:rsidRPr="000A7305">
        <w:rPr>
          <w:i/>
          <w:sz w:val="20"/>
          <w:szCs w:val="20"/>
        </w:rPr>
        <w:t xml:space="preserve"> </w:t>
      </w:r>
      <w:r w:rsidR="006F77E2" w:rsidRPr="000A7305">
        <w:rPr>
          <w:i/>
          <w:sz w:val="20"/>
          <w:szCs w:val="20"/>
        </w:rPr>
        <w:t>L,</w:t>
      </w:r>
      <w:r w:rsidR="002547BB" w:rsidRPr="000A7305">
        <w:rPr>
          <w:i/>
          <w:sz w:val="20"/>
          <w:szCs w:val="20"/>
        </w:rPr>
        <w:t xml:space="preserve"> </w:t>
      </w:r>
      <w:r w:rsidR="006F77E2" w:rsidRPr="000A7305">
        <w:rPr>
          <w:i/>
          <w:sz w:val="20"/>
          <w:szCs w:val="20"/>
        </w:rPr>
        <w:t>Le</w:t>
      </w:r>
      <w:r w:rsidR="002547BB" w:rsidRPr="000A7305">
        <w:rPr>
          <w:i/>
          <w:sz w:val="20"/>
          <w:szCs w:val="20"/>
        </w:rPr>
        <w:t xml:space="preserve"> </w:t>
      </w:r>
      <w:r w:rsidR="006F77E2" w:rsidRPr="000A7305">
        <w:rPr>
          <w:i/>
          <w:sz w:val="20"/>
          <w:szCs w:val="20"/>
        </w:rPr>
        <w:t>Bail</w:t>
      </w:r>
      <w:r w:rsidR="002547BB" w:rsidRPr="000A7305">
        <w:rPr>
          <w:i/>
          <w:sz w:val="20"/>
          <w:szCs w:val="20"/>
        </w:rPr>
        <w:t xml:space="preserve"> </w:t>
      </w:r>
      <w:r w:rsidR="006F77E2" w:rsidRPr="000A7305">
        <w:rPr>
          <w:i/>
          <w:sz w:val="20"/>
          <w:szCs w:val="20"/>
        </w:rPr>
        <w:t>B,</w:t>
      </w:r>
      <w:r w:rsidR="002547BB" w:rsidRPr="000A7305">
        <w:rPr>
          <w:i/>
          <w:sz w:val="20"/>
          <w:szCs w:val="20"/>
        </w:rPr>
        <w:t xml:space="preserve"> </w:t>
      </w:r>
      <w:r w:rsidR="006F77E2" w:rsidRPr="000A7305">
        <w:rPr>
          <w:i/>
          <w:sz w:val="20"/>
          <w:szCs w:val="20"/>
        </w:rPr>
        <w:t>Adhoute</w:t>
      </w:r>
      <w:r w:rsidR="002547BB" w:rsidRPr="000A7305">
        <w:rPr>
          <w:i/>
          <w:sz w:val="20"/>
          <w:szCs w:val="20"/>
        </w:rPr>
        <w:t xml:space="preserve"> </w:t>
      </w:r>
      <w:r w:rsidR="006F77E2" w:rsidRPr="000A7305">
        <w:rPr>
          <w:i/>
          <w:sz w:val="20"/>
          <w:szCs w:val="20"/>
        </w:rPr>
        <w:t>X,</w:t>
      </w:r>
      <w:r w:rsidR="002547BB" w:rsidRPr="000A7305">
        <w:rPr>
          <w:i/>
          <w:sz w:val="20"/>
          <w:szCs w:val="20"/>
        </w:rPr>
        <w:t xml:space="preserve"> </w:t>
      </w:r>
      <w:r w:rsidR="00DF5385" w:rsidRPr="000A7305">
        <w:rPr>
          <w:i/>
          <w:sz w:val="20"/>
          <w:szCs w:val="20"/>
        </w:rPr>
        <w:t>Bertet</w:t>
      </w:r>
      <w:r w:rsidR="002547BB" w:rsidRPr="000A7305">
        <w:rPr>
          <w:i/>
          <w:sz w:val="20"/>
          <w:szCs w:val="20"/>
        </w:rPr>
        <w:t xml:space="preserve"> </w:t>
      </w:r>
      <w:r w:rsidR="00DF5385" w:rsidRPr="000A7305">
        <w:rPr>
          <w:i/>
          <w:sz w:val="20"/>
          <w:szCs w:val="20"/>
        </w:rPr>
        <w:t>J,</w:t>
      </w:r>
      <w:r w:rsidR="002547BB" w:rsidRPr="000A7305">
        <w:rPr>
          <w:i/>
          <w:sz w:val="20"/>
          <w:szCs w:val="20"/>
        </w:rPr>
        <w:t xml:space="preserve"> </w:t>
      </w:r>
      <w:r w:rsidR="00DF5385" w:rsidRPr="000A7305">
        <w:rPr>
          <w:i/>
          <w:sz w:val="20"/>
          <w:szCs w:val="20"/>
        </w:rPr>
        <w:t>Couzigou</w:t>
      </w:r>
      <w:r w:rsidR="002547BB" w:rsidRPr="000A7305">
        <w:rPr>
          <w:i/>
          <w:sz w:val="20"/>
          <w:szCs w:val="20"/>
        </w:rPr>
        <w:t xml:space="preserve"> </w:t>
      </w:r>
      <w:r w:rsidR="00DF5385" w:rsidRPr="000A7305">
        <w:rPr>
          <w:i/>
          <w:sz w:val="20"/>
          <w:szCs w:val="20"/>
        </w:rPr>
        <w:t>P,</w:t>
      </w:r>
      <w:r w:rsidR="002547BB" w:rsidRPr="000A7305">
        <w:rPr>
          <w:i/>
          <w:sz w:val="20"/>
          <w:szCs w:val="20"/>
        </w:rPr>
        <w:t xml:space="preserve"> </w:t>
      </w:r>
      <w:r w:rsidR="00DF5385" w:rsidRPr="000A7305">
        <w:rPr>
          <w:i/>
          <w:sz w:val="20"/>
          <w:szCs w:val="20"/>
        </w:rPr>
        <w:t>and</w:t>
      </w:r>
      <w:r w:rsidR="002547BB" w:rsidRPr="000A7305">
        <w:rPr>
          <w:i/>
          <w:sz w:val="20"/>
          <w:szCs w:val="20"/>
        </w:rPr>
        <w:t xml:space="preserve"> </w:t>
      </w:r>
      <w:r w:rsidR="00DF5385" w:rsidRPr="000A7305">
        <w:rPr>
          <w:i/>
          <w:sz w:val="20"/>
          <w:szCs w:val="20"/>
        </w:rPr>
        <w:t>de</w:t>
      </w:r>
      <w:r w:rsidR="002547BB" w:rsidRPr="000A7305">
        <w:rPr>
          <w:i/>
          <w:sz w:val="20"/>
          <w:szCs w:val="20"/>
        </w:rPr>
        <w:t xml:space="preserve"> </w:t>
      </w:r>
      <w:r w:rsidR="00DF5385" w:rsidRPr="000A7305">
        <w:rPr>
          <w:i/>
          <w:sz w:val="20"/>
          <w:szCs w:val="20"/>
        </w:rPr>
        <w:t>Lédinghen</w:t>
      </w:r>
      <w:r w:rsidR="002547BB" w:rsidRPr="000A7305">
        <w:rPr>
          <w:i/>
          <w:sz w:val="20"/>
          <w:szCs w:val="20"/>
        </w:rPr>
        <w:t xml:space="preserve"> </w:t>
      </w:r>
      <w:r w:rsidR="00DF5385" w:rsidRPr="000A7305">
        <w:rPr>
          <w:i/>
          <w:sz w:val="20"/>
          <w:szCs w:val="20"/>
        </w:rPr>
        <w:t>V</w:t>
      </w:r>
      <w:r w:rsidR="006F77E2" w:rsidRPr="000A7305">
        <w:rPr>
          <w:i/>
          <w:sz w:val="20"/>
          <w:szCs w:val="20"/>
        </w:rPr>
        <w:t>.</w:t>
      </w:r>
      <w:r w:rsidR="002547BB" w:rsidRPr="000A7305">
        <w:rPr>
          <w:sz w:val="20"/>
          <w:szCs w:val="20"/>
        </w:rPr>
        <w:t xml:space="preserve"> </w:t>
      </w:r>
      <w:r w:rsidR="006F77E2" w:rsidRPr="000A7305">
        <w:rPr>
          <w:sz w:val="20"/>
          <w:szCs w:val="20"/>
        </w:rPr>
        <w:t>Diagnosis</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Cirrhosis</w:t>
      </w:r>
      <w:r w:rsidR="002547BB" w:rsidRPr="000A7305">
        <w:rPr>
          <w:sz w:val="20"/>
          <w:szCs w:val="20"/>
        </w:rPr>
        <w:t xml:space="preserve"> </w:t>
      </w:r>
      <w:r w:rsidR="006F77E2" w:rsidRPr="000A7305">
        <w:rPr>
          <w:sz w:val="20"/>
          <w:szCs w:val="20"/>
        </w:rPr>
        <w:t>by</w:t>
      </w:r>
      <w:r w:rsidR="002547BB" w:rsidRPr="000A7305">
        <w:rPr>
          <w:sz w:val="20"/>
          <w:szCs w:val="20"/>
        </w:rPr>
        <w:t xml:space="preserve"> </w:t>
      </w:r>
      <w:r w:rsidR="006F77E2" w:rsidRPr="000A7305">
        <w:rPr>
          <w:sz w:val="20"/>
          <w:szCs w:val="20"/>
        </w:rPr>
        <w:t>Transient</w:t>
      </w:r>
      <w:r w:rsidR="002547BB" w:rsidRPr="000A7305">
        <w:rPr>
          <w:sz w:val="20"/>
          <w:szCs w:val="20"/>
        </w:rPr>
        <w:t xml:space="preserve"> </w:t>
      </w:r>
      <w:r w:rsidR="006F77E2" w:rsidRPr="000A7305">
        <w:rPr>
          <w:sz w:val="20"/>
          <w:szCs w:val="20"/>
        </w:rPr>
        <w:t>Elastography</w:t>
      </w:r>
      <w:r w:rsidR="002547BB" w:rsidRPr="000A7305">
        <w:rPr>
          <w:sz w:val="20"/>
          <w:szCs w:val="20"/>
        </w:rPr>
        <w:t xml:space="preserve"> </w:t>
      </w:r>
      <w:r w:rsidR="006F77E2" w:rsidRPr="000A7305">
        <w:rPr>
          <w:sz w:val="20"/>
          <w:szCs w:val="20"/>
        </w:rPr>
        <w:t>(Fibroscan):</w:t>
      </w:r>
      <w:r w:rsidR="002547BB" w:rsidRPr="000A7305">
        <w:rPr>
          <w:sz w:val="20"/>
          <w:szCs w:val="20"/>
        </w:rPr>
        <w:t xml:space="preserve"> </w:t>
      </w:r>
      <w:r w:rsidR="006F77E2" w:rsidRPr="000A7305">
        <w:rPr>
          <w:sz w:val="20"/>
          <w:szCs w:val="20"/>
        </w:rPr>
        <w:t>A</w:t>
      </w:r>
      <w:r w:rsidR="002547BB" w:rsidRPr="000A7305">
        <w:rPr>
          <w:sz w:val="20"/>
          <w:szCs w:val="20"/>
        </w:rPr>
        <w:t xml:space="preserve"> </w:t>
      </w:r>
      <w:r w:rsidR="006F77E2" w:rsidRPr="000A7305">
        <w:rPr>
          <w:sz w:val="20"/>
          <w:szCs w:val="20"/>
        </w:rPr>
        <w:t>Prospective</w:t>
      </w:r>
      <w:r w:rsidR="002547BB" w:rsidRPr="000A7305">
        <w:rPr>
          <w:sz w:val="20"/>
          <w:szCs w:val="20"/>
        </w:rPr>
        <w:t xml:space="preserve"> </w:t>
      </w:r>
      <w:r w:rsidR="006F77E2" w:rsidRPr="000A7305">
        <w:rPr>
          <w:sz w:val="20"/>
          <w:szCs w:val="20"/>
        </w:rPr>
        <w:t>Study.</w:t>
      </w:r>
      <w:r w:rsidR="002547BB" w:rsidRPr="000A7305">
        <w:rPr>
          <w:sz w:val="20"/>
          <w:szCs w:val="20"/>
        </w:rPr>
        <w:t xml:space="preserve"> </w:t>
      </w:r>
      <w:r w:rsidR="006F77E2" w:rsidRPr="000A7305">
        <w:rPr>
          <w:sz w:val="20"/>
          <w:szCs w:val="20"/>
        </w:rPr>
        <w:t>Gut.</w:t>
      </w:r>
      <w:r w:rsidR="002547BB" w:rsidRPr="000A7305">
        <w:rPr>
          <w:sz w:val="20"/>
          <w:szCs w:val="20"/>
        </w:rPr>
        <w:t xml:space="preserve"> </w:t>
      </w:r>
      <w:r w:rsidR="006F77E2" w:rsidRPr="000A7305">
        <w:rPr>
          <w:sz w:val="20"/>
          <w:szCs w:val="20"/>
        </w:rPr>
        <w:t>2006;55(3):403-408.</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R</w:t>
      </w:r>
      <w:r w:rsidR="006F77E2" w:rsidRPr="000A7305">
        <w:rPr>
          <w:i/>
          <w:sz w:val="20"/>
          <w:szCs w:val="20"/>
        </w:rPr>
        <w:t>ockey</w:t>
      </w:r>
      <w:r w:rsidR="002547BB" w:rsidRPr="000A7305">
        <w:rPr>
          <w:i/>
          <w:sz w:val="20"/>
          <w:szCs w:val="20"/>
        </w:rPr>
        <w:t xml:space="preserve"> </w:t>
      </w:r>
      <w:r w:rsidR="006F77E2" w:rsidRPr="000A7305">
        <w:rPr>
          <w:i/>
          <w:sz w:val="20"/>
          <w:szCs w:val="20"/>
        </w:rPr>
        <w:t>DC,</w:t>
      </w:r>
      <w:r w:rsidR="002547BB" w:rsidRPr="000A7305">
        <w:rPr>
          <w:i/>
          <w:sz w:val="20"/>
          <w:szCs w:val="20"/>
        </w:rPr>
        <w:t xml:space="preserve"> </w:t>
      </w:r>
      <w:r w:rsidR="006F77E2" w:rsidRPr="000A7305">
        <w:rPr>
          <w:i/>
          <w:sz w:val="20"/>
          <w:szCs w:val="20"/>
        </w:rPr>
        <w:t>and</w:t>
      </w:r>
      <w:r w:rsidR="002547BB" w:rsidRPr="000A7305">
        <w:rPr>
          <w:i/>
          <w:sz w:val="20"/>
          <w:szCs w:val="20"/>
        </w:rPr>
        <w:t xml:space="preserve"> </w:t>
      </w:r>
      <w:r w:rsidR="006F77E2" w:rsidRPr="000A7305">
        <w:rPr>
          <w:i/>
          <w:sz w:val="20"/>
          <w:szCs w:val="20"/>
        </w:rPr>
        <w:t>Bissell</w:t>
      </w:r>
      <w:r w:rsidR="002547BB" w:rsidRPr="000A7305">
        <w:rPr>
          <w:i/>
          <w:sz w:val="20"/>
          <w:szCs w:val="20"/>
        </w:rPr>
        <w:t xml:space="preserve"> </w:t>
      </w:r>
      <w:r w:rsidR="006F77E2" w:rsidRPr="000A7305">
        <w:rPr>
          <w:i/>
          <w:sz w:val="20"/>
          <w:szCs w:val="20"/>
        </w:rPr>
        <w:t>DM</w:t>
      </w:r>
      <w:r w:rsidR="006F77E2" w:rsidRPr="000A7305">
        <w:rPr>
          <w:sz w:val="20"/>
          <w:szCs w:val="20"/>
        </w:rPr>
        <w:t>.</w:t>
      </w:r>
      <w:r w:rsidR="002547BB" w:rsidRPr="000A7305">
        <w:rPr>
          <w:sz w:val="20"/>
          <w:szCs w:val="20"/>
        </w:rPr>
        <w:t xml:space="preserve"> </w:t>
      </w:r>
      <w:r w:rsidR="006F77E2" w:rsidRPr="000A7305">
        <w:rPr>
          <w:sz w:val="20"/>
          <w:szCs w:val="20"/>
        </w:rPr>
        <w:t>Noninvasive</w:t>
      </w:r>
      <w:r w:rsidR="002547BB" w:rsidRPr="000A7305">
        <w:rPr>
          <w:sz w:val="20"/>
          <w:szCs w:val="20"/>
        </w:rPr>
        <w:t xml:space="preserve"> </w:t>
      </w:r>
      <w:r w:rsidR="006F77E2" w:rsidRPr="000A7305">
        <w:rPr>
          <w:sz w:val="20"/>
          <w:szCs w:val="20"/>
        </w:rPr>
        <w:t>Measures</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Fibrosis.</w:t>
      </w:r>
      <w:r w:rsidR="002547BB" w:rsidRPr="000A7305">
        <w:rPr>
          <w:sz w:val="20"/>
          <w:szCs w:val="20"/>
        </w:rPr>
        <w:t xml:space="preserve"> </w:t>
      </w:r>
      <w:r w:rsidR="006F77E2" w:rsidRPr="000A7305">
        <w:rPr>
          <w:sz w:val="20"/>
          <w:szCs w:val="20"/>
        </w:rPr>
        <w:t>Hepatology.</w:t>
      </w:r>
      <w:r w:rsidR="002547BB" w:rsidRPr="000A7305">
        <w:rPr>
          <w:sz w:val="20"/>
          <w:szCs w:val="20"/>
        </w:rPr>
        <w:t xml:space="preserve"> </w:t>
      </w:r>
      <w:r w:rsidR="006F77E2" w:rsidRPr="000A7305">
        <w:rPr>
          <w:sz w:val="20"/>
          <w:szCs w:val="20"/>
        </w:rPr>
        <w:t>2006;43(S1):S113-S120.</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A</w:t>
      </w:r>
      <w:r w:rsidR="008F4E37" w:rsidRPr="000A7305">
        <w:rPr>
          <w:i/>
          <w:sz w:val="20"/>
          <w:szCs w:val="20"/>
        </w:rPr>
        <w:t>l</w:t>
      </w:r>
      <w:r w:rsidR="002547BB" w:rsidRPr="000A7305">
        <w:rPr>
          <w:i/>
          <w:sz w:val="20"/>
          <w:szCs w:val="20"/>
        </w:rPr>
        <w:t xml:space="preserve"> </w:t>
      </w:r>
      <w:r w:rsidR="008F4E37" w:rsidRPr="000A7305">
        <w:rPr>
          <w:i/>
          <w:sz w:val="20"/>
          <w:szCs w:val="20"/>
        </w:rPr>
        <w:t>Mahtab</w:t>
      </w:r>
      <w:r w:rsidR="002547BB" w:rsidRPr="000A7305">
        <w:rPr>
          <w:i/>
          <w:sz w:val="20"/>
          <w:szCs w:val="20"/>
        </w:rPr>
        <w:t xml:space="preserve"> </w:t>
      </w:r>
      <w:r w:rsidR="008F4E37" w:rsidRPr="000A7305">
        <w:rPr>
          <w:i/>
          <w:sz w:val="20"/>
          <w:szCs w:val="20"/>
        </w:rPr>
        <w:t>M,</w:t>
      </w:r>
      <w:r w:rsidR="002547BB" w:rsidRPr="000A7305">
        <w:rPr>
          <w:i/>
          <w:sz w:val="20"/>
          <w:szCs w:val="20"/>
        </w:rPr>
        <w:t xml:space="preserve"> </w:t>
      </w:r>
      <w:r w:rsidR="008F4E37" w:rsidRPr="000A7305">
        <w:rPr>
          <w:i/>
          <w:sz w:val="20"/>
          <w:szCs w:val="20"/>
        </w:rPr>
        <w:t>and</w:t>
      </w:r>
      <w:r w:rsidR="002547BB" w:rsidRPr="000A7305">
        <w:rPr>
          <w:i/>
          <w:sz w:val="20"/>
          <w:szCs w:val="20"/>
        </w:rPr>
        <w:t xml:space="preserve"> </w:t>
      </w:r>
      <w:r w:rsidR="008F4E37" w:rsidRPr="000A7305">
        <w:rPr>
          <w:i/>
          <w:sz w:val="20"/>
          <w:szCs w:val="20"/>
        </w:rPr>
        <w:t>Akbar</w:t>
      </w:r>
      <w:r w:rsidR="002547BB" w:rsidRPr="000A7305">
        <w:rPr>
          <w:i/>
          <w:sz w:val="20"/>
          <w:szCs w:val="20"/>
        </w:rPr>
        <w:t xml:space="preserve"> </w:t>
      </w:r>
      <w:r w:rsidR="008F4E37" w:rsidRPr="000A7305">
        <w:rPr>
          <w:i/>
          <w:sz w:val="20"/>
          <w:szCs w:val="20"/>
        </w:rPr>
        <w:t>SMF</w:t>
      </w:r>
      <w:r w:rsidR="008F4E37" w:rsidRPr="000A7305">
        <w:rPr>
          <w:sz w:val="20"/>
          <w:szCs w:val="20"/>
        </w:rPr>
        <w:t>.</w:t>
      </w:r>
      <w:r w:rsidR="002547BB" w:rsidRPr="000A7305">
        <w:rPr>
          <w:sz w:val="20"/>
          <w:szCs w:val="20"/>
        </w:rPr>
        <w:t xml:space="preserve"> </w:t>
      </w:r>
      <w:r w:rsidR="008F4E37" w:rsidRPr="000A7305">
        <w:rPr>
          <w:sz w:val="20"/>
          <w:szCs w:val="20"/>
        </w:rPr>
        <w:t>Non-Alcoholic</w:t>
      </w:r>
      <w:r w:rsidR="002547BB" w:rsidRPr="000A7305">
        <w:rPr>
          <w:sz w:val="20"/>
          <w:szCs w:val="20"/>
        </w:rPr>
        <w:t xml:space="preserve"> </w:t>
      </w:r>
      <w:r w:rsidR="008F4E37" w:rsidRPr="000A7305">
        <w:rPr>
          <w:sz w:val="20"/>
          <w:szCs w:val="20"/>
        </w:rPr>
        <w:t>Fatty</w:t>
      </w:r>
      <w:r w:rsidR="002547BB" w:rsidRPr="000A7305">
        <w:rPr>
          <w:sz w:val="20"/>
          <w:szCs w:val="20"/>
        </w:rPr>
        <w:t xml:space="preserve"> </w:t>
      </w:r>
      <w:r w:rsidR="008F4E37" w:rsidRPr="000A7305">
        <w:rPr>
          <w:sz w:val="20"/>
          <w:szCs w:val="20"/>
        </w:rPr>
        <w:t>Liver</w:t>
      </w:r>
      <w:r w:rsidR="002547BB" w:rsidRPr="000A7305">
        <w:rPr>
          <w:sz w:val="20"/>
          <w:szCs w:val="20"/>
        </w:rPr>
        <w:t xml:space="preserve"> </w:t>
      </w:r>
      <w:r w:rsidR="008F4E37" w:rsidRPr="000A7305">
        <w:rPr>
          <w:sz w:val="20"/>
          <w:szCs w:val="20"/>
        </w:rPr>
        <w:t>Disease:</w:t>
      </w:r>
      <w:r w:rsidR="002547BB" w:rsidRPr="000A7305">
        <w:rPr>
          <w:sz w:val="20"/>
          <w:szCs w:val="20"/>
        </w:rPr>
        <w:t xml:space="preserve"> </w:t>
      </w:r>
      <w:r w:rsidR="008F4E37" w:rsidRPr="000A7305">
        <w:rPr>
          <w:sz w:val="20"/>
          <w:szCs w:val="20"/>
        </w:rPr>
        <w:t>A</w:t>
      </w:r>
      <w:r w:rsidR="002547BB" w:rsidRPr="000A7305">
        <w:rPr>
          <w:sz w:val="20"/>
          <w:szCs w:val="20"/>
        </w:rPr>
        <w:t xml:space="preserve"> </w:t>
      </w:r>
      <w:r w:rsidR="008F4E37" w:rsidRPr="000A7305">
        <w:rPr>
          <w:sz w:val="20"/>
          <w:szCs w:val="20"/>
        </w:rPr>
        <w:t>Review.</w:t>
      </w:r>
      <w:r w:rsidR="002547BB" w:rsidRPr="000A7305">
        <w:rPr>
          <w:sz w:val="20"/>
          <w:szCs w:val="20"/>
        </w:rPr>
        <w:t xml:space="preserve"> </w:t>
      </w:r>
      <w:r w:rsidR="008F4E37" w:rsidRPr="000A7305">
        <w:rPr>
          <w:sz w:val="20"/>
          <w:szCs w:val="20"/>
        </w:rPr>
        <w:t>Journal</w:t>
      </w:r>
      <w:r w:rsidR="002547BB" w:rsidRPr="000A7305">
        <w:rPr>
          <w:sz w:val="20"/>
          <w:szCs w:val="20"/>
        </w:rPr>
        <w:t xml:space="preserve"> </w:t>
      </w:r>
      <w:r w:rsidR="008F4E37" w:rsidRPr="000A7305">
        <w:rPr>
          <w:sz w:val="20"/>
          <w:szCs w:val="20"/>
        </w:rPr>
        <w:t>of</w:t>
      </w:r>
      <w:r w:rsidR="002547BB" w:rsidRPr="000A7305">
        <w:rPr>
          <w:sz w:val="20"/>
          <w:szCs w:val="20"/>
        </w:rPr>
        <w:t xml:space="preserve"> </w:t>
      </w:r>
      <w:r w:rsidR="008F4E37" w:rsidRPr="000A7305">
        <w:rPr>
          <w:sz w:val="20"/>
          <w:szCs w:val="20"/>
        </w:rPr>
        <w:t>Gastroenterology</w:t>
      </w:r>
      <w:r w:rsidR="002547BB" w:rsidRPr="000A7305">
        <w:rPr>
          <w:sz w:val="20"/>
          <w:szCs w:val="20"/>
        </w:rPr>
        <w:t xml:space="preserve"> </w:t>
      </w:r>
      <w:r w:rsidR="008F4E37" w:rsidRPr="000A7305">
        <w:rPr>
          <w:sz w:val="20"/>
          <w:szCs w:val="20"/>
        </w:rPr>
        <w:t>and</w:t>
      </w:r>
      <w:r w:rsidR="002547BB" w:rsidRPr="000A7305">
        <w:rPr>
          <w:sz w:val="20"/>
          <w:szCs w:val="20"/>
        </w:rPr>
        <w:t xml:space="preserve"> </w:t>
      </w:r>
      <w:r w:rsidR="008F4E37" w:rsidRPr="000A7305">
        <w:rPr>
          <w:sz w:val="20"/>
          <w:szCs w:val="20"/>
        </w:rPr>
        <w:t>Hepatology</w:t>
      </w:r>
      <w:r w:rsidR="002547BB" w:rsidRPr="000A7305">
        <w:rPr>
          <w:sz w:val="20"/>
          <w:szCs w:val="20"/>
        </w:rPr>
        <w:t xml:space="preserve"> </w:t>
      </w:r>
      <w:r w:rsidR="008F4E37" w:rsidRPr="000A7305">
        <w:rPr>
          <w:sz w:val="20"/>
          <w:szCs w:val="20"/>
        </w:rPr>
        <w:t>Research.</w:t>
      </w:r>
      <w:r w:rsidR="002547BB" w:rsidRPr="000A7305">
        <w:rPr>
          <w:sz w:val="20"/>
          <w:szCs w:val="20"/>
        </w:rPr>
        <w:t xml:space="preserve"> </w:t>
      </w:r>
      <w:r w:rsidR="008F4E37" w:rsidRPr="000A7305">
        <w:rPr>
          <w:sz w:val="20"/>
          <w:szCs w:val="20"/>
        </w:rPr>
        <w:t>2013;2(3):439-444.</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H</w:t>
      </w:r>
      <w:r w:rsidR="006F77E2" w:rsidRPr="000A7305">
        <w:rPr>
          <w:i/>
          <w:sz w:val="20"/>
          <w:szCs w:val="20"/>
        </w:rPr>
        <w:t>alfon</w:t>
      </w:r>
      <w:r w:rsidR="002547BB" w:rsidRPr="000A7305">
        <w:rPr>
          <w:i/>
          <w:sz w:val="20"/>
          <w:szCs w:val="20"/>
        </w:rPr>
        <w:t xml:space="preserve"> </w:t>
      </w:r>
      <w:r w:rsidR="006F77E2" w:rsidRPr="000A7305">
        <w:rPr>
          <w:i/>
          <w:sz w:val="20"/>
          <w:szCs w:val="20"/>
        </w:rPr>
        <w:t>P,</w:t>
      </w:r>
      <w:r w:rsidR="002547BB" w:rsidRPr="000A7305">
        <w:rPr>
          <w:i/>
          <w:sz w:val="20"/>
          <w:szCs w:val="20"/>
        </w:rPr>
        <w:t xml:space="preserve"> </w:t>
      </w:r>
      <w:r w:rsidR="006F77E2" w:rsidRPr="000A7305">
        <w:rPr>
          <w:i/>
          <w:sz w:val="20"/>
          <w:szCs w:val="20"/>
        </w:rPr>
        <w:t>Bourlière</w:t>
      </w:r>
      <w:r w:rsidR="002547BB" w:rsidRPr="000A7305">
        <w:rPr>
          <w:i/>
          <w:sz w:val="20"/>
          <w:szCs w:val="20"/>
        </w:rPr>
        <w:t xml:space="preserve"> </w:t>
      </w:r>
      <w:r w:rsidR="006F77E2" w:rsidRPr="000A7305">
        <w:rPr>
          <w:i/>
          <w:sz w:val="20"/>
          <w:szCs w:val="20"/>
        </w:rPr>
        <w:t>M,</w:t>
      </w:r>
      <w:r w:rsidR="002547BB" w:rsidRPr="000A7305">
        <w:rPr>
          <w:i/>
          <w:sz w:val="20"/>
          <w:szCs w:val="20"/>
        </w:rPr>
        <w:t xml:space="preserve"> </w:t>
      </w:r>
      <w:r w:rsidR="006F77E2" w:rsidRPr="000A7305">
        <w:rPr>
          <w:i/>
          <w:sz w:val="20"/>
          <w:szCs w:val="20"/>
        </w:rPr>
        <w:t>Pénaranda</w:t>
      </w:r>
      <w:r w:rsidR="002547BB" w:rsidRPr="000A7305">
        <w:rPr>
          <w:i/>
          <w:sz w:val="20"/>
          <w:szCs w:val="20"/>
        </w:rPr>
        <w:t xml:space="preserve"> </w:t>
      </w:r>
      <w:r w:rsidR="006F77E2" w:rsidRPr="000A7305">
        <w:rPr>
          <w:i/>
          <w:sz w:val="20"/>
          <w:szCs w:val="20"/>
        </w:rPr>
        <w:t>G,</w:t>
      </w:r>
      <w:r w:rsidR="002547BB" w:rsidRPr="000A7305">
        <w:rPr>
          <w:i/>
          <w:sz w:val="20"/>
          <w:szCs w:val="20"/>
        </w:rPr>
        <w:t xml:space="preserve"> </w:t>
      </w:r>
      <w:r w:rsidR="006F77E2" w:rsidRPr="000A7305">
        <w:rPr>
          <w:i/>
          <w:sz w:val="20"/>
          <w:szCs w:val="20"/>
        </w:rPr>
        <w:t>Deydie</w:t>
      </w:r>
      <w:r w:rsidR="00E60F6A" w:rsidRPr="000A7305">
        <w:rPr>
          <w:i/>
          <w:sz w:val="20"/>
          <w:szCs w:val="20"/>
        </w:rPr>
        <w:t>r</w:t>
      </w:r>
      <w:r w:rsidR="002547BB" w:rsidRPr="000A7305">
        <w:rPr>
          <w:i/>
          <w:sz w:val="20"/>
          <w:szCs w:val="20"/>
        </w:rPr>
        <w:t xml:space="preserve"> </w:t>
      </w:r>
      <w:r w:rsidR="00E60F6A" w:rsidRPr="000A7305">
        <w:rPr>
          <w:i/>
          <w:sz w:val="20"/>
          <w:szCs w:val="20"/>
        </w:rPr>
        <w:t>R,</w:t>
      </w:r>
      <w:r w:rsidR="002547BB" w:rsidRPr="000A7305">
        <w:rPr>
          <w:i/>
          <w:sz w:val="20"/>
          <w:szCs w:val="20"/>
        </w:rPr>
        <w:t xml:space="preserve"> </w:t>
      </w:r>
      <w:r w:rsidR="00E60F6A" w:rsidRPr="000A7305">
        <w:rPr>
          <w:i/>
          <w:sz w:val="20"/>
          <w:szCs w:val="20"/>
        </w:rPr>
        <w:t>Renou</w:t>
      </w:r>
      <w:r w:rsidR="002547BB" w:rsidRPr="000A7305">
        <w:rPr>
          <w:i/>
          <w:sz w:val="20"/>
          <w:szCs w:val="20"/>
        </w:rPr>
        <w:t xml:space="preserve"> </w:t>
      </w:r>
      <w:r w:rsidR="00E60F6A" w:rsidRPr="000A7305">
        <w:rPr>
          <w:i/>
          <w:sz w:val="20"/>
          <w:szCs w:val="20"/>
        </w:rPr>
        <w:t>C,</w:t>
      </w:r>
      <w:r w:rsidR="002547BB" w:rsidRPr="000A7305">
        <w:rPr>
          <w:i/>
          <w:sz w:val="20"/>
          <w:szCs w:val="20"/>
        </w:rPr>
        <w:t xml:space="preserve"> </w:t>
      </w:r>
      <w:r w:rsidR="00E60F6A" w:rsidRPr="000A7305">
        <w:rPr>
          <w:i/>
          <w:sz w:val="20"/>
          <w:szCs w:val="20"/>
        </w:rPr>
        <w:t>Botta-Fridlund</w:t>
      </w:r>
      <w:r w:rsidR="002547BB" w:rsidRPr="000A7305">
        <w:rPr>
          <w:i/>
          <w:sz w:val="20"/>
          <w:szCs w:val="20"/>
        </w:rPr>
        <w:t xml:space="preserve"> </w:t>
      </w:r>
      <w:r w:rsidR="00E60F6A" w:rsidRPr="000A7305">
        <w:rPr>
          <w:i/>
          <w:sz w:val="20"/>
          <w:szCs w:val="20"/>
        </w:rPr>
        <w:t>D,</w:t>
      </w:r>
      <w:r w:rsidR="002547BB" w:rsidRPr="000A7305">
        <w:rPr>
          <w:i/>
          <w:sz w:val="20"/>
          <w:szCs w:val="20"/>
        </w:rPr>
        <w:t xml:space="preserve"> </w:t>
      </w:r>
      <w:r w:rsidR="00E60F6A" w:rsidRPr="000A7305">
        <w:rPr>
          <w:i/>
          <w:sz w:val="20"/>
          <w:szCs w:val="20"/>
        </w:rPr>
        <w:t>Tran</w:t>
      </w:r>
      <w:r w:rsidR="002547BB" w:rsidRPr="000A7305">
        <w:rPr>
          <w:i/>
          <w:sz w:val="20"/>
          <w:szCs w:val="20"/>
        </w:rPr>
        <w:t xml:space="preserve"> </w:t>
      </w:r>
      <w:r w:rsidR="00E60F6A" w:rsidRPr="000A7305">
        <w:rPr>
          <w:i/>
          <w:sz w:val="20"/>
          <w:szCs w:val="20"/>
        </w:rPr>
        <w:t>A,</w:t>
      </w:r>
      <w:r w:rsidR="002547BB" w:rsidRPr="000A7305">
        <w:rPr>
          <w:i/>
          <w:sz w:val="20"/>
          <w:szCs w:val="20"/>
        </w:rPr>
        <w:t xml:space="preserve"> </w:t>
      </w:r>
      <w:r w:rsidR="00E60F6A" w:rsidRPr="000A7305">
        <w:rPr>
          <w:i/>
          <w:sz w:val="20"/>
          <w:szCs w:val="20"/>
        </w:rPr>
        <w:t>Portal</w:t>
      </w:r>
      <w:r w:rsidR="002547BB" w:rsidRPr="000A7305">
        <w:rPr>
          <w:i/>
          <w:sz w:val="20"/>
          <w:szCs w:val="20"/>
        </w:rPr>
        <w:t xml:space="preserve"> </w:t>
      </w:r>
      <w:r w:rsidR="00E60F6A" w:rsidRPr="000A7305">
        <w:rPr>
          <w:i/>
          <w:sz w:val="20"/>
          <w:szCs w:val="20"/>
        </w:rPr>
        <w:t>I,</w:t>
      </w:r>
      <w:r w:rsidR="002547BB" w:rsidRPr="000A7305">
        <w:rPr>
          <w:i/>
          <w:sz w:val="20"/>
          <w:szCs w:val="20"/>
        </w:rPr>
        <w:t xml:space="preserve"> </w:t>
      </w:r>
      <w:r w:rsidR="00E60F6A" w:rsidRPr="000A7305">
        <w:rPr>
          <w:i/>
          <w:sz w:val="20"/>
          <w:szCs w:val="20"/>
        </w:rPr>
        <w:t>Allemand</w:t>
      </w:r>
      <w:r w:rsidR="002547BB" w:rsidRPr="000A7305">
        <w:rPr>
          <w:i/>
          <w:sz w:val="20"/>
          <w:szCs w:val="20"/>
        </w:rPr>
        <w:t xml:space="preserve"> </w:t>
      </w:r>
      <w:r w:rsidR="00E60F6A" w:rsidRPr="000A7305">
        <w:rPr>
          <w:i/>
          <w:sz w:val="20"/>
          <w:szCs w:val="20"/>
        </w:rPr>
        <w:t>I,</w:t>
      </w:r>
      <w:r w:rsidR="002547BB" w:rsidRPr="000A7305">
        <w:rPr>
          <w:i/>
          <w:sz w:val="20"/>
          <w:szCs w:val="20"/>
        </w:rPr>
        <w:t xml:space="preserve"> </w:t>
      </w:r>
      <w:r w:rsidR="00E60F6A" w:rsidRPr="000A7305">
        <w:rPr>
          <w:i/>
          <w:sz w:val="20"/>
          <w:szCs w:val="20"/>
        </w:rPr>
        <w:t>Rosenthal-Allieri</w:t>
      </w:r>
      <w:r w:rsidR="002547BB" w:rsidRPr="000A7305">
        <w:rPr>
          <w:i/>
          <w:sz w:val="20"/>
          <w:szCs w:val="20"/>
        </w:rPr>
        <w:t xml:space="preserve"> </w:t>
      </w:r>
      <w:r w:rsidR="00E60F6A" w:rsidRPr="000A7305">
        <w:rPr>
          <w:i/>
          <w:sz w:val="20"/>
          <w:szCs w:val="20"/>
        </w:rPr>
        <w:t>A,</w:t>
      </w:r>
      <w:r w:rsidR="002547BB" w:rsidRPr="000A7305">
        <w:rPr>
          <w:i/>
          <w:sz w:val="20"/>
          <w:szCs w:val="20"/>
        </w:rPr>
        <w:t xml:space="preserve"> </w:t>
      </w:r>
      <w:r w:rsidR="00E60F6A" w:rsidRPr="000A7305">
        <w:rPr>
          <w:i/>
          <w:sz w:val="20"/>
          <w:szCs w:val="20"/>
        </w:rPr>
        <w:t>and</w:t>
      </w:r>
      <w:r w:rsidR="002547BB" w:rsidRPr="000A7305">
        <w:rPr>
          <w:i/>
          <w:sz w:val="20"/>
          <w:szCs w:val="20"/>
        </w:rPr>
        <w:t xml:space="preserve"> </w:t>
      </w:r>
      <w:r w:rsidR="00E60F6A" w:rsidRPr="000A7305">
        <w:rPr>
          <w:i/>
          <w:sz w:val="20"/>
          <w:szCs w:val="20"/>
        </w:rPr>
        <w:t>Ouzan</w:t>
      </w:r>
      <w:r w:rsidR="002547BB" w:rsidRPr="000A7305">
        <w:rPr>
          <w:i/>
          <w:sz w:val="20"/>
          <w:szCs w:val="20"/>
        </w:rPr>
        <w:t xml:space="preserve"> </w:t>
      </w:r>
      <w:r w:rsidR="00E60F6A" w:rsidRPr="000A7305">
        <w:rPr>
          <w:i/>
          <w:sz w:val="20"/>
          <w:szCs w:val="20"/>
        </w:rPr>
        <w:t>D</w:t>
      </w:r>
      <w:r w:rsidR="006F77E2" w:rsidRPr="000A7305">
        <w:rPr>
          <w:i/>
          <w:sz w:val="20"/>
          <w:szCs w:val="20"/>
        </w:rPr>
        <w:t>.</w:t>
      </w:r>
      <w:r w:rsidR="002547BB" w:rsidRPr="000A7305">
        <w:rPr>
          <w:sz w:val="20"/>
          <w:szCs w:val="20"/>
        </w:rPr>
        <w:t xml:space="preserve"> </w:t>
      </w:r>
      <w:r w:rsidR="006F77E2" w:rsidRPr="000A7305">
        <w:rPr>
          <w:sz w:val="20"/>
          <w:szCs w:val="20"/>
        </w:rPr>
        <w:t>Accuracy</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Hyaluronic</w:t>
      </w:r>
      <w:r w:rsidR="002547BB" w:rsidRPr="000A7305">
        <w:rPr>
          <w:sz w:val="20"/>
          <w:szCs w:val="20"/>
        </w:rPr>
        <w:t xml:space="preserve"> </w:t>
      </w:r>
      <w:r w:rsidR="006F77E2" w:rsidRPr="000A7305">
        <w:rPr>
          <w:sz w:val="20"/>
          <w:szCs w:val="20"/>
        </w:rPr>
        <w:t>Acid</w:t>
      </w:r>
      <w:r w:rsidR="002547BB" w:rsidRPr="000A7305">
        <w:rPr>
          <w:sz w:val="20"/>
          <w:szCs w:val="20"/>
        </w:rPr>
        <w:t xml:space="preserve"> </w:t>
      </w:r>
      <w:r w:rsidR="006F77E2" w:rsidRPr="000A7305">
        <w:rPr>
          <w:sz w:val="20"/>
          <w:szCs w:val="20"/>
        </w:rPr>
        <w:t>Level</w:t>
      </w:r>
      <w:r w:rsidR="002547BB" w:rsidRPr="000A7305">
        <w:rPr>
          <w:sz w:val="20"/>
          <w:szCs w:val="20"/>
        </w:rPr>
        <w:t xml:space="preserve"> </w:t>
      </w:r>
      <w:r w:rsidR="006F77E2" w:rsidRPr="000A7305">
        <w:rPr>
          <w:sz w:val="20"/>
          <w:szCs w:val="20"/>
        </w:rPr>
        <w:t>for</w:t>
      </w:r>
      <w:r w:rsidR="002547BB" w:rsidRPr="000A7305">
        <w:rPr>
          <w:sz w:val="20"/>
          <w:szCs w:val="20"/>
        </w:rPr>
        <w:t xml:space="preserve"> </w:t>
      </w:r>
      <w:r w:rsidR="006F77E2" w:rsidRPr="000A7305">
        <w:rPr>
          <w:sz w:val="20"/>
          <w:szCs w:val="20"/>
        </w:rPr>
        <w:t>Predicting</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Fibrosis</w:t>
      </w:r>
      <w:r w:rsidR="002547BB" w:rsidRPr="000A7305">
        <w:rPr>
          <w:sz w:val="20"/>
          <w:szCs w:val="20"/>
        </w:rPr>
        <w:t xml:space="preserve"> </w:t>
      </w:r>
      <w:r w:rsidR="006F77E2" w:rsidRPr="000A7305">
        <w:rPr>
          <w:sz w:val="20"/>
          <w:szCs w:val="20"/>
        </w:rPr>
        <w:t>Stages</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Patients</w:t>
      </w:r>
      <w:r w:rsidR="002547BB" w:rsidRPr="000A7305">
        <w:rPr>
          <w:sz w:val="20"/>
          <w:szCs w:val="20"/>
        </w:rPr>
        <w:t xml:space="preserve"> </w:t>
      </w:r>
      <w:r w:rsidR="006F77E2" w:rsidRPr="000A7305">
        <w:rPr>
          <w:sz w:val="20"/>
          <w:szCs w:val="20"/>
        </w:rPr>
        <w:t>with</w:t>
      </w:r>
      <w:r w:rsidR="002547BB" w:rsidRPr="000A7305">
        <w:rPr>
          <w:sz w:val="20"/>
          <w:szCs w:val="20"/>
        </w:rPr>
        <w:t xml:space="preserve"> </w:t>
      </w:r>
      <w:r w:rsidR="006F77E2" w:rsidRPr="000A7305">
        <w:rPr>
          <w:sz w:val="20"/>
          <w:szCs w:val="20"/>
        </w:rPr>
        <w:t>Hepatitis</w:t>
      </w:r>
      <w:r w:rsidR="002547BB" w:rsidRPr="000A7305">
        <w:rPr>
          <w:sz w:val="20"/>
          <w:szCs w:val="20"/>
        </w:rPr>
        <w:t xml:space="preserve"> </w:t>
      </w:r>
      <w:r w:rsidR="006F77E2" w:rsidRPr="000A7305">
        <w:rPr>
          <w:sz w:val="20"/>
          <w:szCs w:val="20"/>
        </w:rPr>
        <w:t>C</w:t>
      </w:r>
      <w:r w:rsidR="002547BB" w:rsidRPr="000A7305">
        <w:rPr>
          <w:sz w:val="20"/>
          <w:szCs w:val="20"/>
        </w:rPr>
        <w:t xml:space="preserve"> </w:t>
      </w:r>
      <w:r w:rsidR="006F77E2" w:rsidRPr="000A7305">
        <w:rPr>
          <w:sz w:val="20"/>
          <w:szCs w:val="20"/>
        </w:rPr>
        <w:t>Virus.</w:t>
      </w:r>
      <w:r w:rsidR="002547BB" w:rsidRPr="000A7305">
        <w:rPr>
          <w:sz w:val="20"/>
          <w:szCs w:val="20"/>
        </w:rPr>
        <w:t xml:space="preserve"> </w:t>
      </w:r>
      <w:r w:rsidR="006F77E2" w:rsidRPr="000A7305">
        <w:rPr>
          <w:sz w:val="20"/>
          <w:szCs w:val="20"/>
        </w:rPr>
        <w:t>Comparative</w:t>
      </w:r>
      <w:r w:rsidR="002547BB" w:rsidRPr="000A7305">
        <w:rPr>
          <w:sz w:val="20"/>
          <w:szCs w:val="20"/>
        </w:rPr>
        <w:t xml:space="preserve"> </w:t>
      </w:r>
      <w:r w:rsidR="006F77E2" w:rsidRPr="000A7305">
        <w:rPr>
          <w:sz w:val="20"/>
          <w:szCs w:val="20"/>
        </w:rPr>
        <w:t>hepatology.</w:t>
      </w:r>
      <w:r w:rsidR="002547BB" w:rsidRPr="000A7305">
        <w:rPr>
          <w:sz w:val="20"/>
          <w:szCs w:val="20"/>
        </w:rPr>
        <w:t xml:space="preserve"> </w:t>
      </w:r>
      <w:r w:rsidR="006F77E2" w:rsidRPr="000A7305">
        <w:rPr>
          <w:sz w:val="20"/>
          <w:szCs w:val="20"/>
        </w:rPr>
        <w:t>2005;4(1):6.</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Z</w:t>
      </w:r>
      <w:r w:rsidR="006F77E2" w:rsidRPr="000A7305">
        <w:rPr>
          <w:i/>
          <w:sz w:val="20"/>
          <w:szCs w:val="20"/>
        </w:rPr>
        <w:t>heng</w:t>
      </w:r>
      <w:r w:rsidR="002547BB" w:rsidRPr="000A7305">
        <w:rPr>
          <w:i/>
          <w:sz w:val="20"/>
          <w:szCs w:val="20"/>
        </w:rPr>
        <w:t xml:space="preserve"> </w:t>
      </w:r>
      <w:r w:rsidR="006F77E2" w:rsidRPr="000A7305">
        <w:rPr>
          <w:i/>
          <w:sz w:val="20"/>
          <w:szCs w:val="20"/>
        </w:rPr>
        <w:t>M,</w:t>
      </w:r>
      <w:r w:rsidR="002547BB" w:rsidRPr="000A7305">
        <w:rPr>
          <w:i/>
          <w:sz w:val="20"/>
          <w:szCs w:val="20"/>
        </w:rPr>
        <w:t xml:space="preserve"> </w:t>
      </w:r>
      <w:r w:rsidR="006F77E2" w:rsidRPr="000A7305">
        <w:rPr>
          <w:i/>
          <w:sz w:val="20"/>
          <w:szCs w:val="20"/>
        </w:rPr>
        <w:t>Cai</w:t>
      </w:r>
      <w:r w:rsidR="002547BB" w:rsidRPr="000A7305">
        <w:rPr>
          <w:i/>
          <w:sz w:val="20"/>
          <w:szCs w:val="20"/>
        </w:rPr>
        <w:t xml:space="preserve"> </w:t>
      </w:r>
      <w:r w:rsidR="006F77E2" w:rsidRPr="000A7305">
        <w:rPr>
          <w:i/>
          <w:sz w:val="20"/>
          <w:szCs w:val="20"/>
        </w:rPr>
        <w:t>W,</w:t>
      </w:r>
      <w:r w:rsidR="002547BB" w:rsidRPr="000A7305">
        <w:rPr>
          <w:i/>
          <w:sz w:val="20"/>
          <w:szCs w:val="20"/>
        </w:rPr>
        <w:t xml:space="preserve"> </w:t>
      </w:r>
      <w:r w:rsidR="006F77E2" w:rsidRPr="000A7305">
        <w:rPr>
          <w:i/>
          <w:sz w:val="20"/>
          <w:szCs w:val="20"/>
        </w:rPr>
        <w:t>Weng</w:t>
      </w:r>
      <w:r w:rsidR="002547BB" w:rsidRPr="000A7305">
        <w:rPr>
          <w:i/>
          <w:sz w:val="20"/>
          <w:szCs w:val="20"/>
        </w:rPr>
        <w:t xml:space="preserve"> </w:t>
      </w:r>
      <w:r w:rsidR="006F77E2" w:rsidRPr="000A7305">
        <w:rPr>
          <w:i/>
          <w:sz w:val="20"/>
          <w:szCs w:val="20"/>
        </w:rPr>
        <w:t>H,</w:t>
      </w:r>
      <w:r w:rsidR="002547BB" w:rsidRPr="000A7305">
        <w:rPr>
          <w:i/>
          <w:sz w:val="20"/>
          <w:szCs w:val="20"/>
        </w:rPr>
        <w:t xml:space="preserve"> </w:t>
      </w:r>
      <w:r w:rsidR="006F77E2" w:rsidRPr="000A7305">
        <w:rPr>
          <w:i/>
          <w:sz w:val="20"/>
          <w:szCs w:val="20"/>
        </w:rPr>
        <w:t>and</w:t>
      </w:r>
      <w:r w:rsidR="002547BB" w:rsidRPr="000A7305">
        <w:rPr>
          <w:i/>
          <w:sz w:val="20"/>
          <w:szCs w:val="20"/>
        </w:rPr>
        <w:t xml:space="preserve"> </w:t>
      </w:r>
      <w:r w:rsidR="006F77E2" w:rsidRPr="000A7305">
        <w:rPr>
          <w:i/>
          <w:sz w:val="20"/>
          <w:szCs w:val="20"/>
        </w:rPr>
        <w:t>Liu</w:t>
      </w:r>
      <w:r w:rsidR="002547BB" w:rsidRPr="000A7305">
        <w:rPr>
          <w:i/>
          <w:sz w:val="20"/>
          <w:szCs w:val="20"/>
        </w:rPr>
        <w:t xml:space="preserve"> </w:t>
      </w:r>
      <w:r w:rsidR="006F77E2" w:rsidRPr="000A7305">
        <w:rPr>
          <w:i/>
          <w:sz w:val="20"/>
          <w:szCs w:val="20"/>
        </w:rPr>
        <w:t>R</w:t>
      </w:r>
      <w:r w:rsidR="006F77E2" w:rsidRPr="000A7305">
        <w:rPr>
          <w:sz w:val="20"/>
          <w:szCs w:val="20"/>
        </w:rPr>
        <w:t>.</w:t>
      </w:r>
      <w:r w:rsidR="002547BB" w:rsidRPr="000A7305">
        <w:rPr>
          <w:sz w:val="20"/>
          <w:szCs w:val="20"/>
        </w:rPr>
        <w:t xml:space="preserve"> </w:t>
      </w:r>
      <w:r w:rsidR="006F77E2" w:rsidRPr="000A7305">
        <w:rPr>
          <w:sz w:val="20"/>
          <w:szCs w:val="20"/>
        </w:rPr>
        <w:t>Determination</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Serum</w:t>
      </w:r>
      <w:r w:rsidR="002547BB" w:rsidRPr="000A7305">
        <w:rPr>
          <w:sz w:val="20"/>
          <w:szCs w:val="20"/>
        </w:rPr>
        <w:t xml:space="preserve"> </w:t>
      </w:r>
      <w:r w:rsidR="006F77E2" w:rsidRPr="000A7305">
        <w:rPr>
          <w:sz w:val="20"/>
          <w:szCs w:val="20"/>
        </w:rPr>
        <w:t>Fibrosis</w:t>
      </w:r>
      <w:r w:rsidR="002547BB" w:rsidRPr="000A7305">
        <w:rPr>
          <w:sz w:val="20"/>
          <w:szCs w:val="20"/>
        </w:rPr>
        <w:t xml:space="preserve"> </w:t>
      </w:r>
      <w:r w:rsidR="006F77E2" w:rsidRPr="000A7305">
        <w:rPr>
          <w:sz w:val="20"/>
          <w:szCs w:val="20"/>
        </w:rPr>
        <w:t>Indexes</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Patients</w:t>
      </w:r>
      <w:r w:rsidR="002547BB" w:rsidRPr="000A7305">
        <w:rPr>
          <w:sz w:val="20"/>
          <w:szCs w:val="20"/>
        </w:rPr>
        <w:t xml:space="preserve"> </w:t>
      </w:r>
      <w:r w:rsidR="006F77E2" w:rsidRPr="000A7305">
        <w:rPr>
          <w:sz w:val="20"/>
          <w:szCs w:val="20"/>
        </w:rPr>
        <w:t>with</w:t>
      </w:r>
      <w:r w:rsidR="002547BB" w:rsidRPr="000A7305">
        <w:rPr>
          <w:sz w:val="20"/>
          <w:szCs w:val="20"/>
        </w:rPr>
        <w:t xml:space="preserve"> </w:t>
      </w:r>
      <w:r w:rsidR="006F77E2" w:rsidRPr="000A7305">
        <w:rPr>
          <w:sz w:val="20"/>
          <w:szCs w:val="20"/>
        </w:rPr>
        <w:t>Chronic</w:t>
      </w:r>
      <w:r w:rsidR="002547BB" w:rsidRPr="000A7305">
        <w:rPr>
          <w:sz w:val="20"/>
          <w:szCs w:val="20"/>
        </w:rPr>
        <w:t xml:space="preserve"> </w:t>
      </w:r>
      <w:r w:rsidR="006F77E2" w:rsidRPr="000A7305">
        <w:rPr>
          <w:sz w:val="20"/>
          <w:szCs w:val="20"/>
        </w:rPr>
        <w:t>Hepatitis</w:t>
      </w:r>
      <w:r w:rsidR="002547BB" w:rsidRPr="000A7305">
        <w:rPr>
          <w:sz w:val="20"/>
          <w:szCs w:val="20"/>
        </w:rPr>
        <w:t xml:space="preserve"> </w:t>
      </w:r>
      <w:r w:rsidR="006F77E2" w:rsidRPr="000A7305">
        <w:rPr>
          <w:sz w:val="20"/>
          <w:szCs w:val="20"/>
        </w:rPr>
        <w:t>and</w:t>
      </w:r>
      <w:r w:rsidR="002547BB" w:rsidRPr="000A7305">
        <w:rPr>
          <w:sz w:val="20"/>
          <w:szCs w:val="20"/>
        </w:rPr>
        <w:t xml:space="preserve"> </w:t>
      </w:r>
      <w:r w:rsidR="006F77E2" w:rsidRPr="000A7305">
        <w:rPr>
          <w:sz w:val="20"/>
          <w:szCs w:val="20"/>
        </w:rPr>
        <w:t>Its</w:t>
      </w:r>
      <w:r w:rsidR="002547BB" w:rsidRPr="000A7305">
        <w:rPr>
          <w:sz w:val="20"/>
          <w:szCs w:val="20"/>
        </w:rPr>
        <w:t xml:space="preserve"> </w:t>
      </w:r>
      <w:r w:rsidR="006F77E2" w:rsidRPr="000A7305">
        <w:rPr>
          <w:sz w:val="20"/>
          <w:szCs w:val="20"/>
        </w:rPr>
        <w:t>Significance.</w:t>
      </w:r>
      <w:r w:rsidR="002547BB" w:rsidRPr="000A7305">
        <w:rPr>
          <w:sz w:val="20"/>
          <w:szCs w:val="20"/>
        </w:rPr>
        <w:t xml:space="preserve"> </w:t>
      </w:r>
      <w:r w:rsidR="006F77E2" w:rsidRPr="000A7305">
        <w:rPr>
          <w:sz w:val="20"/>
          <w:szCs w:val="20"/>
        </w:rPr>
        <w:t>Chinese</w:t>
      </w:r>
      <w:r w:rsidR="002547BB" w:rsidRPr="000A7305">
        <w:rPr>
          <w:sz w:val="20"/>
          <w:szCs w:val="20"/>
        </w:rPr>
        <w:t xml:space="preserve"> </w:t>
      </w:r>
      <w:r w:rsidR="006F77E2" w:rsidRPr="000A7305">
        <w:rPr>
          <w:sz w:val="20"/>
          <w:szCs w:val="20"/>
        </w:rPr>
        <w:t>medical</w:t>
      </w:r>
      <w:r w:rsidR="002547BB" w:rsidRPr="000A7305">
        <w:rPr>
          <w:sz w:val="20"/>
          <w:szCs w:val="20"/>
        </w:rPr>
        <w:t xml:space="preserve"> </w:t>
      </w:r>
      <w:r w:rsidR="006F77E2" w:rsidRPr="000A7305">
        <w:rPr>
          <w:sz w:val="20"/>
          <w:szCs w:val="20"/>
        </w:rPr>
        <w:t>journal.</w:t>
      </w:r>
      <w:r w:rsidR="002547BB" w:rsidRPr="000A7305">
        <w:rPr>
          <w:sz w:val="20"/>
          <w:szCs w:val="20"/>
        </w:rPr>
        <w:t xml:space="preserve"> </w:t>
      </w:r>
      <w:r w:rsidR="006F77E2" w:rsidRPr="000A7305">
        <w:rPr>
          <w:sz w:val="20"/>
          <w:szCs w:val="20"/>
        </w:rPr>
        <w:t>2003;116(3):346-349.</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P</w:t>
      </w:r>
      <w:r w:rsidR="006F77E2" w:rsidRPr="000A7305">
        <w:rPr>
          <w:i/>
          <w:sz w:val="20"/>
          <w:szCs w:val="20"/>
        </w:rPr>
        <w:t>arise</w:t>
      </w:r>
      <w:r w:rsidR="002547BB" w:rsidRPr="000A7305">
        <w:rPr>
          <w:i/>
          <w:sz w:val="20"/>
          <w:szCs w:val="20"/>
        </w:rPr>
        <w:t xml:space="preserve"> </w:t>
      </w:r>
      <w:r w:rsidR="006F77E2" w:rsidRPr="000A7305">
        <w:rPr>
          <w:i/>
          <w:sz w:val="20"/>
          <w:szCs w:val="20"/>
        </w:rPr>
        <w:t>ER,</w:t>
      </w:r>
      <w:r w:rsidR="002547BB" w:rsidRPr="000A7305">
        <w:rPr>
          <w:i/>
          <w:sz w:val="20"/>
          <w:szCs w:val="20"/>
        </w:rPr>
        <w:t xml:space="preserve"> </w:t>
      </w:r>
      <w:r w:rsidR="006F77E2" w:rsidRPr="000A7305">
        <w:rPr>
          <w:i/>
          <w:sz w:val="20"/>
          <w:szCs w:val="20"/>
        </w:rPr>
        <w:t>Oliveira</w:t>
      </w:r>
      <w:r w:rsidR="002547BB" w:rsidRPr="000A7305">
        <w:rPr>
          <w:i/>
          <w:sz w:val="20"/>
          <w:szCs w:val="20"/>
        </w:rPr>
        <w:t xml:space="preserve"> </w:t>
      </w:r>
      <w:r w:rsidR="006F77E2" w:rsidRPr="000A7305">
        <w:rPr>
          <w:i/>
          <w:sz w:val="20"/>
          <w:szCs w:val="20"/>
        </w:rPr>
        <w:t>AC,</w:t>
      </w:r>
      <w:r w:rsidR="002547BB" w:rsidRPr="000A7305">
        <w:rPr>
          <w:i/>
          <w:sz w:val="20"/>
          <w:szCs w:val="20"/>
        </w:rPr>
        <w:t xml:space="preserve"> </w:t>
      </w:r>
      <w:r w:rsidR="006F77E2" w:rsidRPr="000A7305">
        <w:rPr>
          <w:i/>
          <w:sz w:val="20"/>
          <w:szCs w:val="20"/>
        </w:rPr>
        <w:t>Figueiredo‐Mendes</w:t>
      </w:r>
      <w:r w:rsidR="002547BB" w:rsidRPr="000A7305">
        <w:rPr>
          <w:i/>
          <w:sz w:val="20"/>
          <w:szCs w:val="20"/>
        </w:rPr>
        <w:t xml:space="preserve"> </w:t>
      </w:r>
      <w:r w:rsidR="006F77E2" w:rsidRPr="000A7305">
        <w:rPr>
          <w:i/>
          <w:sz w:val="20"/>
          <w:szCs w:val="20"/>
        </w:rPr>
        <w:t>C,</w:t>
      </w:r>
      <w:r w:rsidR="002547BB" w:rsidRPr="000A7305">
        <w:rPr>
          <w:i/>
          <w:sz w:val="20"/>
          <w:szCs w:val="20"/>
        </w:rPr>
        <w:t xml:space="preserve"> </w:t>
      </w:r>
      <w:r w:rsidR="006F77E2" w:rsidRPr="000A7305">
        <w:rPr>
          <w:i/>
          <w:sz w:val="20"/>
          <w:szCs w:val="20"/>
        </w:rPr>
        <w:t>Lanzoni</w:t>
      </w:r>
      <w:r w:rsidR="002547BB" w:rsidRPr="000A7305">
        <w:rPr>
          <w:i/>
          <w:sz w:val="20"/>
          <w:szCs w:val="20"/>
        </w:rPr>
        <w:t xml:space="preserve"> </w:t>
      </w:r>
      <w:r w:rsidR="006F77E2" w:rsidRPr="000A7305">
        <w:rPr>
          <w:i/>
          <w:sz w:val="20"/>
          <w:szCs w:val="20"/>
        </w:rPr>
        <w:t>V,</w:t>
      </w:r>
      <w:r w:rsidR="002547BB" w:rsidRPr="000A7305">
        <w:rPr>
          <w:i/>
          <w:sz w:val="20"/>
          <w:szCs w:val="20"/>
        </w:rPr>
        <w:t xml:space="preserve"> </w:t>
      </w:r>
      <w:r w:rsidR="006F77E2" w:rsidRPr="000A7305">
        <w:rPr>
          <w:i/>
          <w:sz w:val="20"/>
          <w:szCs w:val="20"/>
        </w:rPr>
        <w:t>Martins</w:t>
      </w:r>
      <w:r w:rsidR="002547BB" w:rsidRPr="000A7305">
        <w:rPr>
          <w:i/>
          <w:sz w:val="20"/>
          <w:szCs w:val="20"/>
        </w:rPr>
        <w:t xml:space="preserve"> </w:t>
      </w:r>
      <w:r w:rsidR="006F77E2" w:rsidRPr="000A7305">
        <w:rPr>
          <w:i/>
          <w:sz w:val="20"/>
          <w:szCs w:val="20"/>
        </w:rPr>
        <w:t>J,</w:t>
      </w:r>
      <w:r w:rsidR="002547BB" w:rsidRPr="000A7305">
        <w:rPr>
          <w:i/>
          <w:sz w:val="20"/>
          <w:szCs w:val="20"/>
        </w:rPr>
        <w:t xml:space="preserve"> </w:t>
      </w:r>
      <w:r w:rsidR="006F77E2" w:rsidRPr="000A7305">
        <w:rPr>
          <w:i/>
          <w:sz w:val="20"/>
          <w:szCs w:val="20"/>
        </w:rPr>
        <w:t>Nader</w:t>
      </w:r>
      <w:r w:rsidR="002547BB" w:rsidRPr="000A7305">
        <w:rPr>
          <w:i/>
          <w:sz w:val="20"/>
          <w:szCs w:val="20"/>
        </w:rPr>
        <w:t xml:space="preserve"> </w:t>
      </w:r>
      <w:r w:rsidR="006F77E2" w:rsidRPr="000A7305">
        <w:rPr>
          <w:i/>
          <w:sz w:val="20"/>
          <w:szCs w:val="20"/>
        </w:rPr>
        <w:t>H,</w:t>
      </w:r>
      <w:r w:rsidR="002547BB" w:rsidRPr="000A7305">
        <w:rPr>
          <w:i/>
          <w:sz w:val="20"/>
          <w:szCs w:val="20"/>
        </w:rPr>
        <w:t xml:space="preserve"> </w:t>
      </w:r>
      <w:r w:rsidR="00E60F6A" w:rsidRPr="000A7305">
        <w:rPr>
          <w:i/>
          <w:sz w:val="20"/>
          <w:szCs w:val="20"/>
        </w:rPr>
        <w:t>and</w:t>
      </w:r>
      <w:r w:rsidR="002547BB" w:rsidRPr="000A7305">
        <w:rPr>
          <w:i/>
          <w:sz w:val="20"/>
          <w:szCs w:val="20"/>
        </w:rPr>
        <w:t xml:space="preserve"> </w:t>
      </w:r>
      <w:r w:rsidR="00E60F6A" w:rsidRPr="000A7305">
        <w:rPr>
          <w:i/>
          <w:sz w:val="20"/>
          <w:szCs w:val="20"/>
        </w:rPr>
        <w:t>Ferraz</w:t>
      </w:r>
      <w:r w:rsidR="002547BB" w:rsidRPr="000A7305">
        <w:rPr>
          <w:i/>
          <w:sz w:val="20"/>
          <w:szCs w:val="20"/>
        </w:rPr>
        <w:t xml:space="preserve"> </w:t>
      </w:r>
      <w:r w:rsidR="00E60F6A" w:rsidRPr="000A7305">
        <w:rPr>
          <w:i/>
          <w:sz w:val="20"/>
          <w:szCs w:val="20"/>
        </w:rPr>
        <w:t>ML</w:t>
      </w:r>
      <w:r w:rsidR="006F77E2" w:rsidRPr="000A7305">
        <w:rPr>
          <w:i/>
          <w:sz w:val="20"/>
          <w:szCs w:val="20"/>
        </w:rPr>
        <w:t>.</w:t>
      </w:r>
      <w:r w:rsidR="002547BB" w:rsidRPr="000A7305">
        <w:rPr>
          <w:sz w:val="20"/>
          <w:szCs w:val="20"/>
        </w:rPr>
        <w:t xml:space="preserve"> </w:t>
      </w:r>
      <w:r w:rsidR="006F77E2" w:rsidRPr="000A7305">
        <w:rPr>
          <w:sz w:val="20"/>
          <w:szCs w:val="20"/>
        </w:rPr>
        <w:t>Noninvasive</w:t>
      </w:r>
      <w:r w:rsidR="002547BB" w:rsidRPr="000A7305">
        <w:rPr>
          <w:sz w:val="20"/>
          <w:szCs w:val="20"/>
        </w:rPr>
        <w:t xml:space="preserve"> </w:t>
      </w:r>
      <w:r w:rsidR="006F77E2" w:rsidRPr="000A7305">
        <w:rPr>
          <w:sz w:val="20"/>
          <w:szCs w:val="20"/>
        </w:rPr>
        <w:t>Serum</w:t>
      </w:r>
      <w:r w:rsidR="002547BB" w:rsidRPr="000A7305">
        <w:rPr>
          <w:sz w:val="20"/>
          <w:szCs w:val="20"/>
        </w:rPr>
        <w:t xml:space="preserve"> </w:t>
      </w:r>
      <w:r w:rsidR="006F77E2" w:rsidRPr="000A7305">
        <w:rPr>
          <w:sz w:val="20"/>
          <w:szCs w:val="20"/>
        </w:rPr>
        <w:t>Markers</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the</w:t>
      </w:r>
      <w:r w:rsidR="002547BB" w:rsidRPr="000A7305">
        <w:rPr>
          <w:sz w:val="20"/>
          <w:szCs w:val="20"/>
        </w:rPr>
        <w:t xml:space="preserve"> </w:t>
      </w:r>
      <w:r w:rsidR="006F77E2" w:rsidRPr="000A7305">
        <w:rPr>
          <w:sz w:val="20"/>
          <w:szCs w:val="20"/>
        </w:rPr>
        <w:t>Diagnosis</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Structural</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Damage</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Chronic</w:t>
      </w:r>
      <w:r w:rsidR="002547BB" w:rsidRPr="000A7305">
        <w:rPr>
          <w:sz w:val="20"/>
          <w:szCs w:val="20"/>
        </w:rPr>
        <w:t xml:space="preserve"> </w:t>
      </w:r>
      <w:r w:rsidR="006F77E2" w:rsidRPr="000A7305">
        <w:rPr>
          <w:sz w:val="20"/>
          <w:szCs w:val="20"/>
        </w:rPr>
        <w:t>Hepatitis</w:t>
      </w:r>
      <w:r w:rsidR="002547BB" w:rsidRPr="000A7305">
        <w:rPr>
          <w:sz w:val="20"/>
          <w:szCs w:val="20"/>
        </w:rPr>
        <w:t xml:space="preserve"> </w:t>
      </w:r>
      <w:r w:rsidR="006F77E2" w:rsidRPr="000A7305">
        <w:rPr>
          <w:sz w:val="20"/>
          <w:szCs w:val="20"/>
        </w:rPr>
        <w:t>C</w:t>
      </w:r>
      <w:r w:rsidR="002547BB" w:rsidRPr="000A7305">
        <w:rPr>
          <w:sz w:val="20"/>
          <w:szCs w:val="20"/>
        </w:rPr>
        <w:t xml:space="preserve"> </w:t>
      </w:r>
      <w:r w:rsidR="006F77E2" w:rsidRPr="000A7305">
        <w:rPr>
          <w:sz w:val="20"/>
          <w:szCs w:val="20"/>
        </w:rPr>
        <w:t>Virus</w:t>
      </w:r>
      <w:r w:rsidR="002547BB" w:rsidRPr="000A7305">
        <w:rPr>
          <w:sz w:val="20"/>
          <w:szCs w:val="20"/>
        </w:rPr>
        <w:t xml:space="preserve"> </w:t>
      </w:r>
      <w:r w:rsidR="006F77E2" w:rsidRPr="000A7305">
        <w:rPr>
          <w:sz w:val="20"/>
          <w:szCs w:val="20"/>
        </w:rPr>
        <w:t>Infection.</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International.</w:t>
      </w:r>
      <w:r w:rsidR="002547BB" w:rsidRPr="000A7305">
        <w:rPr>
          <w:sz w:val="20"/>
          <w:szCs w:val="20"/>
        </w:rPr>
        <w:t xml:space="preserve"> </w:t>
      </w:r>
      <w:r w:rsidR="006F77E2" w:rsidRPr="000A7305">
        <w:rPr>
          <w:sz w:val="20"/>
          <w:szCs w:val="20"/>
        </w:rPr>
        <w:t>2006;26(9):1095-1099.</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O</w:t>
      </w:r>
      <w:r w:rsidR="009E5488" w:rsidRPr="000A7305">
        <w:rPr>
          <w:i/>
          <w:sz w:val="20"/>
          <w:szCs w:val="20"/>
        </w:rPr>
        <w:t>rasan</w:t>
      </w:r>
      <w:r w:rsidR="002547BB" w:rsidRPr="000A7305">
        <w:rPr>
          <w:i/>
          <w:sz w:val="20"/>
          <w:szCs w:val="20"/>
        </w:rPr>
        <w:t xml:space="preserve"> </w:t>
      </w:r>
      <w:r w:rsidR="009E5488" w:rsidRPr="000A7305">
        <w:rPr>
          <w:i/>
          <w:sz w:val="20"/>
          <w:szCs w:val="20"/>
        </w:rPr>
        <w:t>OH,</w:t>
      </w:r>
      <w:r w:rsidR="002547BB" w:rsidRPr="000A7305">
        <w:rPr>
          <w:i/>
          <w:sz w:val="20"/>
          <w:szCs w:val="20"/>
        </w:rPr>
        <w:t xml:space="preserve"> </w:t>
      </w:r>
      <w:r w:rsidR="009E5488" w:rsidRPr="000A7305">
        <w:rPr>
          <w:i/>
          <w:sz w:val="20"/>
          <w:szCs w:val="20"/>
        </w:rPr>
        <w:t>Ciulei</w:t>
      </w:r>
      <w:r w:rsidR="002547BB" w:rsidRPr="000A7305">
        <w:rPr>
          <w:i/>
          <w:sz w:val="20"/>
          <w:szCs w:val="20"/>
        </w:rPr>
        <w:t xml:space="preserve"> </w:t>
      </w:r>
      <w:r w:rsidR="009E5488" w:rsidRPr="000A7305">
        <w:rPr>
          <w:i/>
          <w:sz w:val="20"/>
          <w:szCs w:val="20"/>
        </w:rPr>
        <w:t>G,</w:t>
      </w:r>
      <w:r w:rsidR="002547BB" w:rsidRPr="000A7305">
        <w:rPr>
          <w:i/>
          <w:sz w:val="20"/>
          <w:szCs w:val="20"/>
        </w:rPr>
        <w:t xml:space="preserve"> </w:t>
      </w:r>
      <w:r w:rsidR="009E5488" w:rsidRPr="000A7305">
        <w:rPr>
          <w:i/>
          <w:sz w:val="20"/>
          <w:szCs w:val="20"/>
        </w:rPr>
        <w:t>Cozma</w:t>
      </w:r>
      <w:r w:rsidR="002547BB" w:rsidRPr="000A7305">
        <w:rPr>
          <w:i/>
          <w:sz w:val="20"/>
          <w:szCs w:val="20"/>
        </w:rPr>
        <w:t xml:space="preserve"> </w:t>
      </w:r>
      <w:r w:rsidR="009E5488" w:rsidRPr="000A7305">
        <w:rPr>
          <w:i/>
          <w:sz w:val="20"/>
          <w:szCs w:val="20"/>
        </w:rPr>
        <w:t>A,</w:t>
      </w:r>
      <w:r w:rsidR="002547BB" w:rsidRPr="000A7305">
        <w:rPr>
          <w:i/>
          <w:sz w:val="20"/>
          <w:szCs w:val="20"/>
        </w:rPr>
        <w:t xml:space="preserve"> </w:t>
      </w:r>
      <w:r w:rsidR="009E5488" w:rsidRPr="000A7305">
        <w:rPr>
          <w:i/>
          <w:sz w:val="20"/>
          <w:szCs w:val="20"/>
        </w:rPr>
        <w:t>Sava</w:t>
      </w:r>
      <w:r w:rsidR="002547BB" w:rsidRPr="000A7305">
        <w:rPr>
          <w:i/>
          <w:sz w:val="20"/>
          <w:szCs w:val="20"/>
        </w:rPr>
        <w:t xml:space="preserve"> </w:t>
      </w:r>
      <w:r w:rsidR="009E5488" w:rsidRPr="000A7305">
        <w:rPr>
          <w:i/>
          <w:sz w:val="20"/>
          <w:szCs w:val="20"/>
        </w:rPr>
        <w:t>M,</w:t>
      </w:r>
      <w:r w:rsidR="002547BB" w:rsidRPr="000A7305">
        <w:rPr>
          <w:i/>
          <w:sz w:val="20"/>
          <w:szCs w:val="20"/>
        </w:rPr>
        <w:t xml:space="preserve"> </w:t>
      </w:r>
      <w:r w:rsidR="009E5488" w:rsidRPr="000A7305">
        <w:rPr>
          <w:i/>
          <w:sz w:val="20"/>
          <w:szCs w:val="20"/>
        </w:rPr>
        <w:t>and</w:t>
      </w:r>
      <w:r w:rsidR="002547BB" w:rsidRPr="000A7305">
        <w:rPr>
          <w:i/>
          <w:sz w:val="20"/>
          <w:szCs w:val="20"/>
        </w:rPr>
        <w:t xml:space="preserve"> </w:t>
      </w:r>
      <w:r w:rsidR="009E5488" w:rsidRPr="000A7305">
        <w:rPr>
          <w:i/>
          <w:sz w:val="20"/>
          <w:szCs w:val="20"/>
        </w:rPr>
        <w:t>Dumitrascu</w:t>
      </w:r>
      <w:r w:rsidR="002547BB" w:rsidRPr="000A7305">
        <w:rPr>
          <w:i/>
          <w:sz w:val="20"/>
          <w:szCs w:val="20"/>
        </w:rPr>
        <w:t xml:space="preserve"> </w:t>
      </w:r>
      <w:r w:rsidR="009E5488" w:rsidRPr="000A7305">
        <w:rPr>
          <w:i/>
          <w:sz w:val="20"/>
          <w:szCs w:val="20"/>
        </w:rPr>
        <w:t>DL.</w:t>
      </w:r>
      <w:r w:rsidR="002547BB" w:rsidRPr="000A7305">
        <w:rPr>
          <w:i/>
          <w:sz w:val="20"/>
          <w:szCs w:val="20"/>
        </w:rPr>
        <w:t xml:space="preserve"> </w:t>
      </w:r>
      <w:r w:rsidR="009E5488" w:rsidRPr="000A7305">
        <w:rPr>
          <w:sz w:val="20"/>
          <w:szCs w:val="20"/>
        </w:rPr>
        <w:t>Hyaluronic</w:t>
      </w:r>
      <w:r w:rsidR="002547BB" w:rsidRPr="000A7305">
        <w:rPr>
          <w:sz w:val="20"/>
          <w:szCs w:val="20"/>
        </w:rPr>
        <w:t xml:space="preserve"> </w:t>
      </w:r>
      <w:r w:rsidR="009E5488" w:rsidRPr="000A7305">
        <w:rPr>
          <w:sz w:val="20"/>
          <w:szCs w:val="20"/>
        </w:rPr>
        <w:t>acid</w:t>
      </w:r>
      <w:r w:rsidR="002547BB" w:rsidRPr="000A7305">
        <w:rPr>
          <w:sz w:val="20"/>
          <w:szCs w:val="20"/>
        </w:rPr>
        <w:t xml:space="preserve"> </w:t>
      </w:r>
      <w:r w:rsidR="009E5488" w:rsidRPr="000A7305">
        <w:rPr>
          <w:sz w:val="20"/>
          <w:szCs w:val="20"/>
        </w:rPr>
        <w:t>as</w:t>
      </w:r>
      <w:r w:rsidR="002547BB" w:rsidRPr="000A7305">
        <w:rPr>
          <w:sz w:val="20"/>
          <w:szCs w:val="20"/>
        </w:rPr>
        <w:t xml:space="preserve"> </w:t>
      </w:r>
      <w:r w:rsidR="009E5488" w:rsidRPr="000A7305">
        <w:rPr>
          <w:sz w:val="20"/>
          <w:szCs w:val="20"/>
        </w:rPr>
        <w:t>a</w:t>
      </w:r>
      <w:r w:rsidR="002547BB" w:rsidRPr="000A7305">
        <w:rPr>
          <w:sz w:val="20"/>
          <w:szCs w:val="20"/>
        </w:rPr>
        <w:t xml:space="preserve"> </w:t>
      </w:r>
      <w:r w:rsidR="009E5488" w:rsidRPr="000A7305">
        <w:rPr>
          <w:sz w:val="20"/>
          <w:szCs w:val="20"/>
        </w:rPr>
        <w:t>biomarker</w:t>
      </w:r>
      <w:r w:rsidR="002547BB" w:rsidRPr="000A7305">
        <w:rPr>
          <w:sz w:val="20"/>
          <w:szCs w:val="20"/>
        </w:rPr>
        <w:t xml:space="preserve"> </w:t>
      </w:r>
      <w:r w:rsidR="009E5488" w:rsidRPr="000A7305">
        <w:rPr>
          <w:sz w:val="20"/>
          <w:szCs w:val="20"/>
        </w:rPr>
        <w:t>of</w:t>
      </w:r>
      <w:r w:rsidR="002547BB" w:rsidRPr="000A7305">
        <w:rPr>
          <w:sz w:val="20"/>
          <w:szCs w:val="20"/>
        </w:rPr>
        <w:t xml:space="preserve"> </w:t>
      </w:r>
      <w:r w:rsidR="009E5488" w:rsidRPr="000A7305">
        <w:rPr>
          <w:sz w:val="20"/>
          <w:szCs w:val="20"/>
        </w:rPr>
        <w:t>fibrosis</w:t>
      </w:r>
      <w:r w:rsidR="002547BB" w:rsidRPr="000A7305">
        <w:rPr>
          <w:sz w:val="20"/>
          <w:szCs w:val="20"/>
        </w:rPr>
        <w:t xml:space="preserve"> </w:t>
      </w:r>
      <w:r w:rsidR="009E5488" w:rsidRPr="000A7305">
        <w:rPr>
          <w:sz w:val="20"/>
          <w:szCs w:val="20"/>
        </w:rPr>
        <w:t>in</w:t>
      </w:r>
      <w:r w:rsidR="002547BB" w:rsidRPr="000A7305">
        <w:rPr>
          <w:sz w:val="20"/>
          <w:szCs w:val="20"/>
        </w:rPr>
        <w:t xml:space="preserve"> </w:t>
      </w:r>
      <w:r w:rsidR="009E5488" w:rsidRPr="000A7305">
        <w:rPr>
          <w:sz w:val="20"/>
          <w:szCs w:val="20"/>
        </w:rPr>
        <w:t>chronic</w:t>
      </w:r>
      <w:r w:rsidR="002547BB" w:rsidRPr="000A7305">
        <w:rPr>
          <w:sz w:val="20"/>
          <w:szCs w:val="20"/>
        </w:rPr>
        <w:t xml:space="preserve"> </w:t>
      </w:r>
      <w:r w:rsidR="009E5488" w:rsidRPr="000A7305">
        <w:rPr>
          <w:sz w:val="20"/>
          <w:szCs w:val="20"/>
        </w:rPr>
        <w:t>liver</w:t>
      </w:r>
      <w:r w:rsidR="002547BB" w:rsidRPr="000A7305">
        <w:rPr>
          <w:sz w:val="20"/>
          <w:szCs w:val="20"/>
        </w:rPr>
        <w:t xml:space="preserve"> </w:t>
      </w:r>
      <w:r w:rsidR="009E5488" w:rsidRPr="000A7305">
        <w:rPr>
          <w:sz w:val="20"/>
          <w:szCs w:val="20"/>
        </w:rPr>
        <w:t>diseases</w:t>
      </w:r>
      <w:r w:rsidR="002547BB" w:rsidRPr="000A7305">
        <w:rPr>
          <w:sz w:val="20"/>
          <w:szCs w:val="20"/>
        </w:rPr>
        <w:t xml:space="preserve"> </w:t>
      </w:r>
      <w:r w:rsidR="009E5488" w:rsidRPr="000A7305">
        <w:rPr>
          <w:sz w:val="20"/>
          <w:szCs w:val="20"/>
        </w:rPr>
        <w:t>of</w:t>
      </w:r>
      <w:r w:rsidR="002547BB" w:rsidRPr="000A7305">
        <w:rPr>
          <w:sz w:val="20"/>
          <w:szCs w:val="20"/>
        </w:rPr>
        <w:t xml:space="preserve"> </w:t>
      </w:r>
      <w:r w:rsidR="009E5488" w:rsidRPr="000A7305">
        <w:rPr>
          <w:sz w:val="20"/>
          <w:szCs w:val="20"/>
        </w:rPr>
        <w:t>different</w:t>
      </w:r>
      <w:r w:rsidR="002547BB" w:rsidRPr="000A7305">
        <w:rPr>
          <w:sz w:val="20"/>
          <w:szCs w:val="20"/>
        </w:rPr>
        <w:t xml:space="preserve"> </w:t>
      </w:r>
      <w:r w:rsidR="009E5488" w:rsidRPr="000A7305">
        <w:rPr>
          <w:sz w:val="20"/>
          <w:szCs w:val="20"/>
        </w:rPr>
        <w:t>etiologies.</w:t>
      </w:r>
      <w:r w:rsidR="002547BB" w:rsidRPr="000A7305">
        <w:rPr>
          <w:sz w:val="20"/>
          <w:szCs w:val="20"/>
        </w:rPr>
        <w:t xml:space="preserve"> </w:t>
      </w:r>
      <w:r w:rsidR="009E5488" w:rsidRPr="000A7305">
        <w:rPr>
          <w:sz w:val="20"/>
          <w:szCs w:val="20"/>
        </w:rPr>
        <w:t>Clujul</w:t>
      </w:r>
      <w:r w:rsidR="002547BB" w:rsidRPr="000A7305">
        <w:rPr>
          <w:sz w:val="20"/>
          <w:szCs w:val="20"/>
        </w:rPr>
        <w:t xml:space="preserve"> </w:t>
      </w:r>
      <w:r w:rsidR="009E5488" w:rsidRPr="000A7305">
        <w:rPr>
          <w:sz w:val="20"/>
          <w:szCs w:val="20"/>
        </w:rPr>
        <w:t>Medical.</w:t>
      </w:r>
      <w:r w:rsidR="002547BB" w:rsidRPr="000A7305">
        <w:rPr>
          <w:sz w:val="20"/>
          <w:szCs w:val="20"/>
        </w:rPr>
        <w:t xml:space="preserve"> </w:t>
      </w:r>
      <w:r w:rsidR="009E5488" w:rsidRPr="000A7305">
        <w:rPr>
          <w:sz w:val="20"/>
          <w:szCs w:val="20"/>
        </w:rPr>
        <w:t>2016;89(1):24</w:t>
      </w:r>
      <w:r w:rsidR="00666DFC" w:rsidRPr="000A7305">
        <w:rPr>
          <w:rFonts w:hint="eastAsia"/>
          <w:sz w:val="20"/>
          <w:szCs w:val="20"/>
          <w:lang w:eastAsia="zh-CN"/>
        </w:rPr>
        <w:t>.</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B</w:t>
      </w:r>
      <w:r w:rsidR="006F77E2" w:rsidRPr="000A7305">
        <w:rPr>
          <w:i/>
          <w:sz w:val="20"/>
          <w:szCs w:val="20"/>
        </w:rPr>
        <w:t>oursier</w:t>
      </w:r>
      <w:r w:rsidR="002547BB" w:rsidRPr="000A7305">
        <w:rPr>
          <w:i/>
          <w:sz w:val="20"/>
          <w:szCs w:val="20"/>
        </w:rPr>
        <w:t xml:space="preserve"> </w:t>
      </w:r>
      <w:r w:rsidR="006F77E2" w:rsidRPr="000A7305">
        <w:rPr>
          <w:i/>
          <w:sz w:val="20"/>
          <w:szCs w:val="20"/>
        </w:rPr>
        <w:t>J,</w:t>
      </w:r>
      <w:r w:rsidR="002547BB" w:rsidRPr="000A7305">
        <w:rPr>
          <w:i/>
          <w:sz w:val="20"/>
          <w:szCs w:val="20"/>
        </w:rPr>
        <w:t xml:space="preserve"> </w:t>
      </w:r>
      <w:r w:rsidR="006F77E2" w:rsidRPr="000A7305">
        <w:rPr>
          <w:i/>
          <w:sz w:val="20"/>
          <w:szCs w:val="20"/>
        </w:rPr>
        <w:t>Vergniol</w:t>
      </w:r>
      <w:r w:rsidR="002547BB" w:rsidRPr="000A7305">
        <w:rPr>
          <w:i/>
          <w:sz w:val="20"/>
          <w:szCs w:val="20"/>
        </w:rPr>
        <w:t xml:space="preserve"> </w:t>
      </w:r>
      <w:r w:rsidR="006F77E2" w:rsidRPr="000A7305">
        <w:rPr>
          <w:i/>
          <w:sz w:val="20"/>
          <w:szCs w:val="20"/>
        </w:rPr>
        <w:t>J,</w:t>
      </w:r>
      <w:r w:rsidR="002547BB" w:rsidRPr="000A7305">
        <w:rPr>
          <w:i/>
          <w:sz w:val="20"/>
          <w:szCs w:val="20"/>
        </w:rPr>
        <w:t xml:space="preserve"> </w:t>
      </w:r>
      <w:r w:rsidR="006F77E2" w:rsidRPr="000A7305">
        <w:rPr>
          <w:i/>
          <w:sz w:val="20"/>
          <w:szCs w:val="20"/>
        </w:rPr>
        <w:t>Guillet</w:t>
      </w:r>
      <w:r w:rsidR="002547BB" w:rsidRPr="000A7305">
        <w:rPr>
          <w:i/>
          <w:sz w:val="20"/>
          <w:szCs w:val="20"/>
        </w:rPr>
        <w:t xml:space="preserve"> </w:t>
      </w:r>
      <w:r w:rsidR="006F77E2" w:rsidRPr="000A7305">
        <w:rPr>
          <w:i/>
          <w:sz w:val="20"/>
          <w:szCs w:val="20"/>
        </w:rPr>
        <w:t>A,</w:t>
      </w:r>
      <w:r w:rsidR="002547BB" w:rsidRPr="000A7305">
        <w:rPr>
          <w:i/>
          <w:sz w:val="20"/>
          <w:szCs w:val="20"/>
        </w:rPr>
        <w:t xml:space="preserve"> </w:t>
      </w:r>
      <w:r w:rsidR="006F77E2" w:rsidRPr="000A7305">
        <w:rPr>
          <w:i/>
          <w:sz w:val="20"/>
          <w:szCs w:val="20"/>
        </w:rPr>
        <w:t>Hiriart</w:t>
      </w:r>
      <w:r w:rsidR="002547BB" w:rsidRPr="000A7305">
        <w:rPr>
          <w:i/>
          <w:sz w:val="20"/>
          <w:szCs w:val="20"/>
        </w:rPr>
        <w:t xml:space="preserve"> </w:t>
      </w:r>
      <w:r w:rsidR="006F77E2" w:rsidRPr="000A7305">
        <w:rPr>
          <w:i/>
          <w:sz w:val="20"/>
          <w:szCs w:val="20"/>
        </w:rPr>
        <w:t>J-B,</w:t>
      </w:r>
      <w:r w:rsidR="002547BB" w:rsidRPr="000A7305">
        <w:rPr>
          <w:i/>
          <w:sz w:val="20"/>
          <w:szCs w:val="20"/>
        </w:rPr>
        <w:t xml:space="preserve"> </w:t>
      </w:r>
      <w:r w:rsidR="006F77E2" w:rsidRPr="000A7305">
        <w:rPr>
          <w:i/>
          <w:sz w:val="20"/>
          <w:szCs w:val="20"/>
        </w:rPr>
        <w:t>Lannes</w:t>
      </w:r>
      <w:r w:rsidR="002547BB" w:rsidRPr="000A7305">
        <w:rPr>
          <w:i/>
          <w:sz w:val="20"/>
          <w:szCs w:val="20"/>
        </w:rPr>
        <w:t xml:space="preserve"> </w:t>
      </w:r>
      <w:r w:rsidR="006F77E2" w:rsidRPr="000A7305">
        <w:rPr>
          <w:i/>
          <w:sz w:val="20"/>
          <w:szCs w:val="20"/>
        </w:rPr>
        <w:t>A,</w:t>
      </w:r>
      <w:r w:rsidR="002547BB" w:rsidRPr="000A7305">
        <w:rPr>
          <w:i/>
          <w:sz w:val="20"/>
          <w:szCs w:val="20"/>
        </w:rPr>
        <w:t xml:space="preserve"> </w:t>
      </w:r>
      <w:r w:rsidR="006F77E2" w:rsidRPr="000A7305">
        <w:rPr>
          <w:i/>
          <w:sz w:val="20"/>
          <w:szCs w:val="20"/>
        </w:rPr>
        <w:t>Le</w:t>
      </w:r>
      <w:r w:rsidR="002547BB" w:rsidRPr="000A7305">
        <w:rPr>
          <w:i/>
          <w:sz w:val="20"/>
          <w:szCs w:val="20"/>
        </w:rPr>
        <w:t xml:space="preserve"> </w:t>
      </w:r>
      <w:r w:rsidR="006F77E2" w:rsidRPr="000A7305">
        <w:rPr>
          <w:i/>
          <w:sz w:val="20"/>
          <w:szCs w:val="20"/>
        </w:rPr>
        <w:t>Bail</w:t>
      </w:r>
      <w:r w:rsidR="002547BB" w:rsidRPr="000A7305">
        <w:rPr>
          <w:i/>
          <w:sz w:val="20"/>
          <w:szCs w:val="20"/>
        </w:rPr>
        <w:t xml:space="preserve"> </w:t>
      </w:r>
      <w:r w:rsidR="006F77E2" w:rsidRPr="000A7305">
        <w:rPr>
          <w:i/>
          <w:sz w:val="20"/>
          <w:szCs w:val="20"/>
        </w:rPr>
        <w:t>B</w:t>
      </w:r>
      <w:r w:rsidR="00666DFC" w:rsidRPr="000A7305">
        <w:rPr>
          <w:rFonts w:hint="eastAsia"/>
          <w:i/>
          <w:sz w:val="20"/>
          <w:szCs w:val="20"/>
          <w:lang w:eastAsia="zh-CN"/>
        </w:rPr>
        <w:t>,</w:t>
      </w:r>
      <w:r w:rsidR="002547BB" w:rsidRPr="000A7305">
        <w:rPr>
          <w:i/>
          <w:sz w:val="20"/>
          <w:szCs w:val="20"/>
        </w:rPr>
        <w:t xml:space="preserve"> </w:t>
      </w:r>
      <w:r w:rsidR="00E60F6A" w:rsidRPr="000A7305">
        <w:rPr>
          <w:i/>
          <w:sz w:val="20"/>
          <w:szCs w:val="20"/>
        </w:rPr>
        <w:t>Michalak</w:t>
      </w:r>
      <w:r w:rsidR="002547BB" w:rsidRPr="000A7305">
        <w:rPr>
          <w:i/>
          <w:sz w:val="20"/>
          <w:szCs w:val="20"/>
        </w:rPr>
        <w:t xml:space="preserve"> </w:t>
      </w:r>
      <w:r w:rsidR="00E60F6A" w:rsidRPr="000A7305">
        <w:rPr>
          <w:i/>
          <w:sz w:val="20"/>
          <w:szCs w:val="20"/>
        </w:rPr>
        <w:t>S5,</w:t>
      </w:r>
      <w:r w:rsidR="002547BB" w:rsidRPr="000A7305">
        <w:rPr>
          <w:i/>
          <w:sz w:val="20"/>
          <w:szCs w:val="20"/>
        </w:rPr>
        <w:t xml:space="preserve"> </w:t>
      </w:r>
      <w:r w:rsidR="00E60F6A" w:rsidRPr="000A7305">
        <w:rPr>
          <w:i/>
          <w:sz w:val="20"/>
          <w:szCs w:val="20"/>
        </w:rPr>
        <w:t>Chermak</w:t>
      </w:r>
      <w:r w:rsidR="002547BB" w:rsidRPr="000A7305">
        <w:rPr>
          <w:i/>
          <w:sz w:val="20"/>
          <w:szCs w:val="20"/>
        </w:rPr>
        <w:t xml:space="preserve"> </w:t>
      </w:r>
      <w:r w:rsidR="00E60F6A" w:rsidRPr="000A7305">
        <w:rPr>
          <w:i/>
          <w:sz w:val="20"/>
          <w:szCs w:val="20"/>
        </w:rPr>
        <w:t>F2,</w:t>
      </w:r>
      <w:r w:rsidR="002547BB" w:rsidRPr="000A7305">
        <w:rPr>
          <w:i/>
          <w:sz w:val="20"/>
          <w:szCs w:val="20"/>
        </w:rPr>
        <w:t xml:space="preserve"> </w:t>
      </w:r>
      <w:r w:rsidR="00E60F6A" w:rsidRPr="000A7305">
        <w:rPr>
          <w:i/>
          <w:sz w:val="20"/>
          <w:szCs w:val="20"/>
        </w:rPr>
        <w:t>Bertrais</w:t>
      </w:r>
      <w:r w:rsidR="002547BB" w:rsidRPr="000A7305">
        <w:rPr>
          <w:i/>
          <w:sz w:val="20"/>
          <w:szCs w:val="20"/>
        </w:rPr>
        <w:t xml:space="preserve"> </w:t>
      </w:r>
      <w:r w:rsidR="00E60F6A" w:rsidRPr="000A7305">
        <w:rPr>
          <w:i/>
          <w:sz w:val="20"/>
          <w:szCs w:val="20"/>
        </w:rPr>
        <w:t>S,</w:t>
      </w:r>
      <w:r w:rsidR="002547BB" w:rsidRPr="000A7305">
        <w:rPr>
          <w:i/>
          <w:sz w:val="20"/>
          <w:szCs w:val="20"/>
        </w:rPr>
        <w:t xml:space="preserve"> </w:t>
      </w:r>
      <w:r w:rsidR="00E60F6A" w:rsidRPr="000A7305">
        <w:rPr>
          <w:i/>
          <w:sz w:val="20"/>
          <w:szCs w:val="20"/>
        </w:rPr>
        <w:t>Foucher</w:t>
      </w:r>
      <w:r w:rsidR="002547BB" w:rsidRPr="000A7305">
        <w:rPr>
          <w:i/>
          <w:sz w:val="20"/>
          <w:szCs w:val="20"/>
        </w:rPr>
        <w:t xml:space="preserve"> </w:t>
      </w:r>
      <w:r w:rsidR="00E60F6A" w:rsidRPr="000A7305">
        <w:rPr>
          <w:i/>
          <w:sz w:val="20"/>
          <w:szCs w:val="20"/>
        </w:rPr>
        <w:t>J,</w:t>
      </w:r>
      <w:r w:rsidR="002547BB" w:rsidRPr="000A7305">
        <w:rPr>
          <w:i/>
          <w:sz w:val="20"/>
          <w:szCs w:val="20"/>
        </w:rPr>
        <w:t xml:space="preserve"> </w:t>
      </w:r>
      <w:r w:rsidR="00E60F6A" w:rsidRPr="000A7305">
        <w:rPr>
          <w:i/>
          <w:sz w:val="20"/>
          <w:szCs w:val="20"/>
        </w:rPr>
        <w:t>Oberti</w:t>
      </w:r>
      <w:r w:rsidR="002547BB" w:rsidRPr="000A7305">
        <w:rPr>
          <w:i/>
          <w:sz w:val="20"/>
          <w:szCs w:val="20"/>
        </w:rPr>
        <w:t xml:space="preserve"> </w:t>
      </w:r>
      <w:r w:rsidR="00E60F6A" w:rsidRPr="000A7305">
        <w:rPr>
          <w:i/>
          <w:sz w:val="20"/>
          <w:szCs w:val="20"/>
        </w:rPr>
        <w:t>F,</w:t>
      </w:r>
      <w:r w:rsidR="002547BB" w:rsidRPr="000A7305">
        <w:rPr>
          <w:i/>
          <w:sz w:val="20"/>
          <w:szCs w:val="20"/>
        </w:rPr>
        <w:t xml:space="preserve"> </w:t>
      </w:r>
      <w:r w:rsidR="00E60F6A" w:rsidRPr="000A7305">
        <w:rPr>
          <w:i/>
          <w:sz w:val="20"/>
          <w:szCs w:val="20"/>
        </w:rPr>
        <w:t>Charbonnier</w:t>
      </w:r>
      <w:r w:rsidR="002547BB" w:rsidRPr="000A7305">
        <w:rPr>
          <w:i/>
          <w:sz w:val="20"/>
          <w:szCs w:val="20"/>
        </w:rPr>
        <w:t xml:space="preserve"> </w:t>
      </w:r>
      <w:r w:rsidR="00E60F6A" w:rsidRPr="000A7305">
        <w:rPr>
          <w:i/>
          <w:sz w:val="20"/>
          <w:szCs w:val="20"/>
        </w:rPr>
        <w:t>M,</w:t>
      </w:r>
      <w:r w:rsidR="002547BB" w:rsidRPr="000A7305">
        <w:rPr>
          <w:i/>
          <w:sz w:val="20"/>
          <w:szCs w:val="20"/>
        </w:rPr>
        <w:t xml:space="preserve"> </w:t>
      </w:r>
      <w:r w:rsidR="00E60F6A" w:rsidRPr="000A7305">
        <w:rPr>
          <w:i/>
          <w:sz w:val="20"/>
          <w:szCs w:val="20"/>
        </w:rPr>
        <w:t>Fouchard-Hubert</w:t>
      </w:r>
      <w:r w:rsidR="002547BB" w:rsidRPr="000A7305">
        <w:rPr>
          <w:i/>
          <w:sz w:val="20"/>
          <w:szCs w:val="20"/>
        </w:rPr>
        <w:t xml:space="preserve"> </w:t>
      </w:r>
      <w:r w:rsidR="00E60F6A" w:rsidRPr="000A7305">
        <w:rPr>
          <w:i/>
          <w:sz w:val="20"/>
          <w:szCs w:val="20"/>
        </w:rPr>
        <w:t>I,</w:t>
      </w:r>
      <w:r w:rsidR="002547BB" w:rsidRPr="000A7305">
        <w:rPr>
          <w:i/>
          <w:sz w:val="20"/>
          <w:szCs w:val="20"/>
        </w:rPr>
        <w:t xml:space="preserve"> </w:t>
      </w:r>
      <w:r w:rsidR="00E60F6A" w:rsidRPr="000A7305">
        <w:rPr>
          <w:i/>
          <w:sz w:val="20"/>
          <w:szCs w:val="20"/>
        </w:rPr>
        <w:t>Rousselet</w:t>
      </w:r>
      <w:r w:rsidR="002547BB" w:rsidRPr="000A7305">
        <w:rPr>
          <w:i/>
          <w:sz w:val="20"/>
          <w:szCs w:val="20"/>
        </w:rPr>
        <w:t xml:space="preserve"> </w:t>
      </w:r>
      <w:r w:rsidR="00E60F6A" w:rsidRPr="000A7305">
        <w:rPr>
          <w:i/>
          <w:sz w:val="20"/>
          <w:szCs w:val="20"/>
        </w:rPr>
        <w:t>MC,</w:t>
      </w:r>
      <w:r w:rsidR="002547BB" w:rsidRPr="000A7305">
        <w:rPr>
          <w:i/>
          <w:sz w:val="20"/>
          <w:szCs w:val="20"/>
        </w:rPr>
        <w:t xml:space="preserve"> </w:t>
      </w:r>
      <w:r w:rsidR="00E60F6A" w:rsidRPr="000A7305">
        <w:rPr>
          <w:i/>
          <w:sz w:val="20"/>
          <w:szCs w:val="20"/>
        </w:rPr>
        <w:t>Calès</w:t>
      </w:r>
      <w:r w:rsidR="002547BB" w:rsidRPr="000A7305">
        <w:rPr>
          <w:i/>
          <w:sz w:val="20"/>
          <w:szCs w:val="20"/>
        </w:rPr>
        <w:t xml:space="preserve"> </w:t>
      </w:r>
      <w:r w:rsidR="00E60F6A" w:rsidRPr="000A7305">
        <w:rPr>
          <w:i/>
          <w:sz w:val="20"/>
          <w:szCs w:val="20"/>
        </w:rPr>
        <w:t>P,</w:t>
      </w:r>
      <w:r w:rsidR="002547BB" w:rsidRPr="000A7305">
        <w:rPr>
          <w:i/>
          <w:sz w:val="20"/>
          <w:szCs w:val="20"/>
        </w:rPr>
        <w:t xml:space="preserve"> </w:t>
      </w:r>
      <w:r w:rsidR="00E60F6A" w:rsidRPr="000A7305">
        <w:rPr>
          <w:i/>
          <w:sz w:val="20"/>
          <w:szCs w:val="20"/>
        </w:rPr>
        <w:t>and</w:t>
      </w:r>
      <w:r w:rsidR="002547BB" w:rsidRPr="000A7305">
        <w:rPr>
          <w:i/>
          <w:sz w:val="20"/>
          <w:szCs w:val="20"/>
        </w:rPr>
        <w:t xml:space="preserve"> </w:t>
      </w:r>
      <w:r w:rsidR="00E60F6A" w:rsidRPr="000A7305">
        <w:rPr>
          <w:i/>
          <w:sz w:val="20"/>
          <w:szCs w:val="20"/>
        </w:rPr>
        <w:t>de</w:t>
      </w:r>
      <w:r w:rsidR="002547BB" w:rsidRPr="000A7305">
        <w:rPr>
          <w:i/>
          <w:sz w:val="20"/>
          <w:szCs w:val="20"/>
        </w:rPr>
        <w:t xml:space="preserve"> </w:t>
      </w:r>
      <w:r w:rsidR="00E60F6A" w:rsidRPr="000A7305">
        <w:rPr>
          <w:i/>
          <w:sz w:val="20"/>
          <w:szCs w:val="20"/>
        </w:rPr>
        <w:t>Lédinghen</w:t>
      </w:r>
      <w:r w:rsidR="002547BB" w:rsidRPr="000A7305">
        <w:rPr>
          <w:i/>
          <w:sz w:val="20"/>
          <w:szCs w:val="20"/>
        </w:rPr>
        <w:t xml:space="preserve"> </w:t>
      </w:r>
      <w:r w:rsidR="00E60F6A" w:rsidRPr="000A7305">
        <w:rPr>
          <w:i/>
          <w:sz w:val="20"/>
          <w:szCs w:val="20"/>
        </w:rPr>
        <w:t>V</w:t>
      </w:r>
      <w:r w:rsidR="006F77E2" w:rsidRPr="000A7305">
        <w:rPr>
          <w:i/>
          <w:sz w:val="20"/>
          <w:szCs w:val="20"/>
        </w:rPr>
        <w:t>.</w:t>
      </w:r>
      <w:r w:rsidR="002547BB" w:rsidRPr="000A7305">
        <w:rPr>
          <w:sz w:val="20"/>
          <w:szCs w:val="20"/>
        </w:rPr>
        <w:t xml:space="preserve"> </w:t>
      </w:r>
      <w:r w:rsidR="006F77E2" w:rsidRPr="000A7305">
        <w:rPr>
          <w:sz w:val="20"/>
          <w:szCs w:val="20"/>
        </w:rPr>
        <w:t>Diagnostic</w:t>
      </w:r>
      <w:r w:rsidR="002547BB" w:rsidRPr="000A7305">
        <w:rPr>
          <w:sz w:val="20"/>
          <w:szCs w:val="20"/>
        </w:rPr>
        <w:t xml:space="preserve"> </w:t>
      </w:r>
      <w:r w:rsidR="006F77E2" w:rsidRPr="000A7305">
        <w:rPr>
          <w:sz w:val="20"/>
          <w:szCs w:val="20"/>
        </w:rPr>
        <w:t>Accuracy</w:t>
      </w:r>
      <w:r w:rsidR="002547BB" w:rsidRPr="000A7305">
        <w:rPr>
          <w:sz w:val="20"/>
          <w:szCs w:val="20"/>
        </w:rPr>
        <w:t xml:space="preserve"> </w:t>
      </w:r>
      <w:r w:rsidR="006F77E2" w:rsidRPr="000A7305">
        <w:rPr>
          <w:sz w:val="20"/>
          <w:szCs w:val="20"/>
        </w:rPr>
        <w:t>and</w:t>
      </w:r>
      <w:r w:rsidR="002547BB" w:rsidRPr="000A7305">
        <w:rPr>
          <w:sz w:val="20"/>
          <w:szCs w:val="20"/>
        </w:rPr>
        <w:t xml:space="preserve"> </w:t>
      </w:r>
      <w:r w:rsidR="006F77E2" w:rsidRPr="000A7305">
        <w:rPr>
          <w:sz w:val="20"/>
          <w:szCs w:val="20"/>
        </w:rPr>
        <w:t>Prognostic</w:t>
      </w:r>
      <w:r w:rsidR="002547BB" w:rsidRPr="000A7305">
        <w:rPr>
          <w:sz w:val="20"/>
          <w:szCs w:val="20"/>
        </w:rPr>
        <w:t xml:space="preserve"> </w:t>
      </w:r>
      <w:r w:rsidR="006F77E2" w:rsidRPr="000A7305">
        <w:rPr>
          <w:sz w:val="20"/>
          <w:szCs w:val="20"/>
        </w:rPr>
        <w:t>Significance</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Blood</w:t>
      </w:r>
      <w:r w:rsidR="002547BB" w:rsidRPr="000A7305">
        <w:rPr>
          <w:sz w:val="20"/>
          <w:szCs w:val="20"/>
        </w:rPr>
        <w:t xml:space="preserve"> </w:t>
      </w:r>
      <w:r w:rsidR="006F77E2" w:rsidRPr="000A7305">
        <w:rPr>
          <w:sz w:val="20"/>
          <w:szCs w:val="20"/>
        </w:rPr>
        <w:t>Fibrosis</w:t>
      </w:r>
      <w:r w:rsidR="002547BB" w:rsidRPr="000A7305">
        <w:rPr>
          <w:sz w:val="20"/>
          <w:szCs w:val="20"/>
        </w:rPr>
        <w:t xml:space="preserve"> </w:t>
      </w:r>
      <w:r w:rsidR="006F77E2" w:rsidRPr="000A7305">
        <w:rPr>
          <w:sz w:val="20"/>
          <w:szCs w:val="20"/>
        </w:rPr>
        <w:t>Tests</w:t>
      </w:r>
      <w:r w:rsidR="002547BB" w:rsidRPr="000A7305">
        <w:rPr>
          <w:sz w:val="20"/>
          <w:szCs w:val="20"/>
        </w:rPr>
        <w:t xml:space="preserve"> </w:t>
      </w:r>
      <w:r w:rsidR="006F77E2" w:rsidRPr="000A7305">
        <w:rPr>
          <w:sz w:val="20"/>
          <w:szCs w:val="20"/>
        </w:rPr>
        <w:t>and</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Stiffness</w:t>
      </w:r>
      <w:r w:rsidR="002547BB" w:rsidRPr="000A7305">
        <w:rPr>
          <w:sz w:val="20"/>
          <w:szCs w:val="20"/>
        </w:rPr>
        <w:t xml:space="preserve"> </w:t>
      </w:r>
      <w:r w:rsidR="006F77E2" w:rsidRPr="000A7305">
        <w:rPr>
          <w:sz w:val="20"/>
          <w:szCs w:val="20"/>
        </w:rPr>
        <w:t>Measurement</w:t>
      </w:r>
      <w:r w:rsidR="002547BB" w:rsidRPr="000A7305">
        <w:rPr>
          <w:sz w:val="20"/>
          <w:szCs w:val="20"/>
        </w:rPr>
        <w:t xml:space="preserve"> </w:t>
      </w:r>
      <w:r w:rsidR="006F77E2" w:rsidRPr="000A7305">
        <w:rPr>
          <w:sz w:val="20"/>
          <w:szCs w:val="20"/>
        </w:rPr>
        <w:t>by</w:t>
      </w:r>
      <w:r w:rsidR="002547BB" w:rsidRPr="000A7305">
        <w:rPr>
          <w:sz w:val="20"/>
          <w:szCs w:val="20"/>
        </w:rPr>
        <w:t xml:space="preserve"> </w:t>
      </w:r>
      <w:r w:rsidR="006F77E2" w:rsidRPr="000A7305">
        <w:rPr>
          <w:sz w:val="20"/>
          <w:szCs w:val="20"/>
        </w:rPr>
        <w:t>Fibroscan</w:t>
      </w:r>
      <w:r w:rsidR="002547BB" w:rsidRPr="000A7305">
        <w:rPr>
          <w:sz w:val="20"/>
          <w:szCs w:val="20"/>
        </w:rPr>
        <w:t xml:space="preserve"> </w:t>
      </w:r>
      <w:r w:rsidR="006F77E2" w:rsidRPr="000A7305">
        <w:rPr>
          <w:sz w:val="20"/>
          <w:szCs w:val="20"/>
        </w:rPr>
        <w:t>in</w:t>
      </w:r>
      <w:r w:rsidR="002547BB" w:rsidRPr="000A7305">
        <w:rPr>
          <w:sz w:val="20"/>
          <w:szCs w:val="20"/>
        </w:rPr>
        <w:t xml:space="preserve"> </w:t>
      </w:r>
      <w:r w:rsidR="006F77E2" w:rsidRPr="000A7305">
        <w:rPr>
          <w:sz w:val="20"/>
          <w:szCs w:val="20"/>
        </w:rPr>
        <w:t>Non-Alcoholic</w:t>
      </w:r>
      <w:r w:rsidR="002547BB" w:rsidRPr="000A7305">
        <w:rPr>
          <w:sz w:val="20"/>
          <w:szCs w:val="20"/>
        </w:rPr>
        <w:t xml:space="preserve"> </w:t>
      </w:r>
      <w:r w:rsidR="006F77E2" w:rsidRPr="000A7305">
        <w:rPr>
          <w:sz w:val="20"/>
          <w:szCs w:val="20"/>
        </w:rPr>
        <w:t>Fatty</w:t>
      </w:r>
      <w:r w:rsidR="002547BB" w:rsidRPr="000A7305">
        <w:rPr>
          <w:sz w:val="20"/>
          <w:szCs w:val="20"/>
        </w:rPr>
        <w:t xml:space="preserve"> </w:t>
      </w:r>
      <w:r w:rsidR="006F77E2" w:rsidRPr="000A7305">
        <w:rPr>
          <w:sz w:val="20"/>
          <w:szCs w:val="20"/>
        </w:rPr>
        <w:t>Liver</w:t>
      </w:r>
      <w:r w:rsidR="002547BB" w:rsidRPr="000A7305">
        <w:rPr>
          <w:sz w:val="20"/>
          <w:szCs w:val="20"/>
        </w:rPr>
        <w:t xml:space="preserve"> </w:t>
      </w:r>
      <w:r w:rsidR="006F77E2" w:rsidRPr="000A7305">
        <w:rPr>
          <w:sz w:val="20"/>
          <w:szCs w:val="20"/>
        </w:rPr>
        <w:t>Disease.</w:t>
      </w:r>
      <w:r w:rsidR="002547BB" w:rsidRPr="000A7305">
        <w:rPr>
          <w:sz w:val="20"/>
          <w:szCs w:val="20"/>
        </w:rPr>
        <w:t xml:space="preserve"> </w:t>
      </w:r>
      <w:r w:rsidR="006F77E2" w:rsidRPr="000A7305">
        <w:rPr>
          <w:sz w:val="20"/>
          <w:szCs w:val="20"/>
        </w:rPr>
        <w:t>Journal</w:t>
      </w:r>
      <w:r w:rsidR="002547BB" w:rsidRPr="000A7305">
        <w:rPr>
          <w:sz w:val="20"/>
          <w:szCs w:val="20"/>
        </w:rPr>
        <w:t xml:space="preserve"> </w:t>
      </w:r>
      <w:r w:rsidR="006F77E2" w:rsidRPr="000A7305">
        <w:rPr>
          <w:sz w:val="20"/>
          <w:szCs w:val="20"/>
        </w:rPr>
        <w:t>of</w:t>
      </w:r>
      <w:r w:rsidR="002547BB" w:rsidRPr="000A7305">
        <w:rPr>
          <w:sz w:val="20"/>
          <w:szCs w:val="20"/>
        </w:rPr>
        <w:t xml:space="preserve"> </w:t>
      </w:r>
      <w:r w:rsidR="006F77E2" w:rsidRPr="000A7305">
        <w:rPr>
          <w:sz w:val="20"/>
          <w:szCs w:val="20"/>
        </w:rPr>
        <w:t>hepatology.</w:t>
      </w:r>
      <w:r w:rsidR="002547BB" w:rsidRPr="000A7305">
        <w:rPr>
          <w:sz w:val="20"/>
          <w:szCs w:val="20"/>
        </w:rPr>
        <w:t xml:space="preserve"> </w:t>
      </w:r>
      <w:r w:rsidR="006F77E2" w:rsidRPr="000A7305">
        <w:rPr>
          <w:sz w:val="20"/>
          <w:szCs w:val="20"/>
        </w:rPr>
        <w:t>2016;65(3):570-578.</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i/>
          <w:sz w:val="20"/>
          <w:szCs w:val="20"/>
        </w:rPr>
        <w:t>S</w:t>
      </w:r>
      <w:r w:rsidR="00AC3B9C" w:rsidRPr="000A7305">
        <w:rPr>
          <w:i/>
          <w:sz w:val="20"/>
          <w:szCs w:val="20"/>
        </w:rPr>
        <w:t>terling</w:t>
      </w:r>
      <w:r w:rsidR="002547BB" w:rsidRPr="000A7305">
        <w:rPr>
          <w:i/>
          <w:sz w:val="20"/>
          <w:szCs w:val="20"/>
        </w:rPr>
        <w:t xml:space="preserve"> </w:t>
      </w:r>
      <w:r w:rsidR="00AC3B9C" w:rsidRPr="000A7305">
        <w:rPr>
          <w:i/>
          <w:sz w:val="20"/>
          <w:szCs w:val="20"/>
        </w:rPr>
        <w:t>RK,</w:t>
      </w:r>
      <w:r w:rsidR="002547BB" w:rsidRPr="000A7305">
        <w:rPr>
          <w:i/>
          <w:sz w:val="20"/>
          <w:szCs w:val="20"/>
        </w:rPr>
        <w:t xml:space="preserve"> </w:t>
      </w:r>
      <w:r w:rsidR="00AC3B9C" w:rsidRPr="000A7305">
        <w:rPr>
          <w:i/>
          <w:sz w:val="20"/>
          <w:szCs w:val="20"/>
        </w:rPr>
        <w:t>Lissen</w:t>
      </w:r>
      <w:r w:rsidR="002547BB" w:rsidRPr="000A7305">
        <w:rPr>
          <w:i/>
          <w:sz w:val="20"/>
          <w:szCs w:val="20"/>
        </w:rPr>
        <w:t xml:space="preserve"> </w:t>
      </w:r>
      <w:r w:rsidR="00AC3B9C" w:rsidRPr="000A7305">
        <w:rPr>
          <w:i/>
          <w:sz w:val="20"/>
          <w:szCs w:val="20"/>
        </w:rPr>
        <w:t>E,</w:t>
      </w:r>
      <w:r w:rsidR="002547BB" w:rsidRPr="000A7305">
        <w:rPr>
          <w:i/>
          <w:sz w:val="20"/>
          <w:szCs w:val="20"/>
        </w:rPr>
        <w:t xml:space="preserve"> </w:t>
      </w:r>
      <w:r w:rsidR="00AC3B9C" w:rsidRPr="000A7305">
        <w:rPr>
          <w:i/>
          <w:sz w:val="20"/>
          <w:szCs w:val="20"/>
        </w:rPr>
        <w:t>Clumeck</w:t>
      </w:r>
      <w:r w:rsidR="002547BB" w:rsidRPr="000A7305">
        <w:rPr>
          <w:i/>
          <w:sz w:val="20"/>
          <w:szCs w:val="20"/>
        </w:rPr>
        <w:t xml:space="preserve"> </w:t>
      </w:r>
      <w:r w:rsidR="00AC3B9C" w:rsidRPr="000A7305">
        <w:rPr>
          <w:i/>
          <w:sz w:val="20"/>
          <w:szCs w:val="20"/>
        </w:rPr>
        <w:t>N,</w:t>
      </w:r>
      <w:r w:rsidR="002547BB" w:rsidRPr="000A7305">
        <w:rPr>
          <w:i/>
          <w:sz w:val="20"/>
          <w:szCs w:val="20"/>
        </w:rPr>
        <w:t xml:space="preserve"> </w:t>
      </w:r>
      <w:r w:rsidR="00AC3B9C" w:rsidRPr="000A7305">
        <w:rPr>
          <w:i/>
          <w:sz w:val="20"/>
          <w:szCs w:val="20"/>
        </w:rPr>
        <w:t>et</w:t>
      </w:r>
      <w:r w:rsidR="002547BB" w:rsidRPr="000A7305">
        <w:rPr>
          <w:i/>
          <w:sz w:val="20"/>
          <w:szCs w:val="20"/>
        </w:rPr>
        <w:t xml:space="preserve"> </w:t>
      </w:r>
      <w:r w:rsidR="00AC3B9C" w:rsidRPr="000A7305">
        <w:rPr>
          <w:i/>
          <w:sz w:val="20"/>
          <w:szCs w:val="20"/>
        </w:rPr>
        <w:t>al.</w:t>
      </w:r>
      <w:r w:rsidR="002547BB" w:rsidRPr="000A7305">
        <w:rPr>
          <w:sz w:val="20"/>
          <w:szCs w:val="20"/>
        </w:rPr>
        <w:t xml:space="preserve"> </w:t>
      </w:r>
      <w:r w:rsidR="00AC3B9C" w:rsidRPr="000A7305">
        <w:rPr>
          <w:sz w:val="20"/>
          <w:szCs w:val="20"/>
        </w:rPr>
        <w:t>Development</w:t>
      </w:r>
      <w:r w:rsidR="002547BB" w:rsidRPr="000A7305">
        <w:rPr>
          <w:sz w:val="20"/>
          <w:szCs w:val="20"/>
        </w:rPr>
        <w:t xml:space="preserve"> </w:t>
      </w:r>
      <w:r w:rsidR="00AC3B9C" w:rsidRPr="000A7305">
        <w:rPr>
          <w:sz w:val="20"/>
          <w:szCs w:val="20"/>
        </w:rPr>
        <w:t>of</w:t>
      </w:r>
      <w:r w:rsidR="002547BB" w:rsidRPr="000A7305">
        <w:rPr>
          <w:sz w:val="20"/>
          <w:szCs w:val="20"/>
        </w:rPr>
        <w:t xml:space="preserve"> </w:t>
      </w:r>
      <w:r w:rsidR="00AC3B9C" w:rsidRPr="000A7305">
        <w:rPr>
          <w:sz w:val="20"/>
          <w:szCs w:val="20"/>
        </w:rPr>
        <w:t>a</w:t>
      </w:r>
      <w:r w:rsidR="002547BB" w:rsidRPr="000A7305">
        <w:rPr>
          <w:sz w:val="20"/>
          <w:szCs w:val="20"/>
        </w:rPr>
        <w:t xml:space="preserve"> </w:t>
      </w:r>
      <w:r w:rsidR="00AC3B9C" w:rsidRPr="000A7305">
        <w:rPr>
          <w:sz w:val="20"/>
          <w:szCs w:val="20"/>
        </w:rPr>
        <w:t>simple</w:t>
      </w:r>
      <w:r w:rsidR="002547BB" w:rsidRPr="000A7305">
        <w:rPr>
          <w:sz w:val="20"/>
          <w:szCs w:val="20"/>
        </w:rPr>
        <w:t xml:space="preserve"> </w:t>
      </w:r>
      <w:r w:rsidR="00AC3B9C" w:rsidRPr="000A7305">
        <w:rPr>
          <w:sz w:val="20"/>
          <w:szCs w:val="20"/>
        </w:rPr>
        <w:t>noninvasive</w:t>
      </w:r>
      <w:r w:rsidR="002547BB" w:rsidRPr="000A7305">
        <w:rPr>
          <w:sz w:val="20"/>
          <w:szCs w:val="20"/>
        </w:rPr>
        <w:t xml:space="preserve"> </w:t>
      </w:r>
      <w:r w:rsidR="00AC3B9C" w:rsidRPr="000A7305">
        <w:rPr>
          <w:sz w:val="20"/>
          <w:szCs w:val="20"/>
        </w:rPr>
        <w:t>index</w:t>
      </w:r>
      <w:r w:rsidR="002547BB" w:rsidRPr="000A7305">
        <w:rPr>
          <w:sz w:val="20"/>
          <w:szCs w:val="20"/>
        </w:rPr>
        <w:t xml:space="preserve"> </w:t>
      </w:r>
      <w:r w:rsidR="00AC3B9C" w:rsidRPr="000A7305">
        <w:rPr>
          <w:sz w:val="20"/>
          <w:szCs w:val="20"/>
        </w:rPr>
        <w:t>to</w:t>
      </w:r>
      <w:r w:rsidR="002547BB" w:rsidRPr="000A7305">
        <w:rPr>
          <w:sz w:val="20"/>
          <w:szCs w:val="20"/>
        </w:rPr>
        <w:t xml:space="preserve"> </w:t>
      </w:r>
      <w:r w:rsidR="00AC3B9C" w:rsidRPr="000A7305">
        <w:rPr>
          <w:sz w:val="20"/>
          <w:szCs w:val="20"/>
        </w:rPr>
        <w:t>predict</w:t>
      </w:r>
      <w:r w:rsidR="002547BB" w:rsidRPr="000A7305">
        <w:rPr>
          <w:sz w:val="20"/>
          <w:szCs w:val="20"/>
        </w:rPr>
        <w:t xml:space="preserve"> </w:t>
      </w:r>
      <w:r w:rsidR="00AC3B9C" w:rsidRPr="000A7305">
        <w:rPr>
          <w:sz w:val="20"/>
          <w:szCs w:val="20"/>
        </w:rPr>
        <w:t>significant</w:t>
      </w:r>
      <w:r w:rsidR="002547BB" w:rsidRPr="000A7305">
        <w:rPr>
          <w:sz w:val="20"/>
          <w:szCs w:val="20"/>
        </w:rPr>
        <w:t xml:space="preserve"> </w:t>
      </w:r>
      <w:r w:rsidR="00AC3B9C" w:rsidRPr="000A7305">
        <w:rPr>
          <w:sz w:val="20"/>
          <w:szCs w:val="20"/>
        </w:rPr>
        <w:t>fibrosis</w:t>
      </w:r>
      <w:r w:rsidR="002547BB" w:rsidRPr="000A7305">
        <w:rPr>
          <w:sz w:val="20"/>
          <w:szCs w:val="20"/>
        </w:rPr>
        <w:t xml:space="preserve"> </w:t>
      </w:r>
      <w:r w:rsidR="00AC3B9C" w:rsidRPr="000A7305">
        <w:rPr>
          <w:sz w:val="20"/>
          <w:szCs w:val="20"/>
        </w:rPr>
        <w:t>in</w:t>
      </w:r>
      <w:r w:rsidR="002547BB" w:rsidRPr="000A7305">
        <w:rPr>
          <w:sz w:val="20"/>
          <w:szCs w:val="20"/>
        </w:rPr>
        <w:t xml:space="preserve"> </w:t>
      </w:r>
      <w:r w:rsidR="00AC3B9C" w:rsidRPr="000A7305">
        <w:rPr>
          <w:sz w:val="20"/>
          <w:szCs w:val="20"/>
        </w:rPr>
        <w:t>patients</w:t>
      </w:r>
      <w:r w:rsidR="002547BB" w:rsidRPr="000A7305">
        <w:rPr>
          <w:sz w:val="20"/>
          <w:szCs w:val="20"/>
        </w:rPr>
        <w:t xml:space="preserve"> </w:t>
      </w:r>
      <w:r w:rsidR="00AC3B9C" w:rsidRPr="000A7305">
        <w:rPr>
          <w:sz w:val="20"/>
          <w:szCs w:val="20"/>
        </w:rPr>
        <w:t>with</w:t>
      </w:r>
      <w:r w:rsidR="002547BB" w:rsidRPr="000A7305">
        <w:rPr>
          <w:sz w:val="20"/>
          <w:szCs w:val="20"/>
        </w:rPr>
        <w:t xml:space="preserve"> </w:t>
      </w:r>
      <w:r w:rsidR="00AC3B9C" w:rsidRPr="000A7305">
        <w:rPr>
          <w:sz w:val="20"/>
          <w:szCs w:val="20"/>
        </w:rPr>
        <w:t>HIV/HCV</w:t>
      </w:r>
      <w:r w:rsidR="002547BB" w:rsidRPr="000A7305">
        <w:rPr>
          <w:sz w:val="20"/>
          <w:szCs w:val="20"/>
        </w:rPr>
        <w:t xml:space="preserve"> </w:t>
      </w:r>
      <w:r w:rsidR="00AC3B9C" w:rsidRPr="000A7305">
        <w:rPr>
          <w:sz w:val="20"/>
          <w:szCs w:val="20"/>
        </w:rPr>
        <w:t>coinfection.</w:t>
      </w:r>
      <w:r w:rsidR="002547BB" w:rsidRPr="000A7305">
        <w:rPr>
          <w:sz w:val="20"/>
          <w:szCs w:val="20"/>
        </w:rPr>
        <w:t xml:space="preserve"> </w:t>
      </w:r>
      <w:r w:rsidR="00AC3B9C" w:rsidRPr="000A7305">
        <w:rPr>
          <w:sz w:val="20"/>
          <w:szCs w:val="20"/>
        </w:rPr>
        <w:t>Hepatology,</w:t>
      </w:r>
      <w:r w:rsidR="002547BB" w:rsidRPr="000A7305">
        <w:rPr>
          <w:sz w:val="20"/>
          <w:szCs w:val="20"/>
        </w:rPr>
        <w:t xml:space="preserve"> </w:t>
      </w:r>
      <w:r w:rsidR="00AC3B9C" w:rsidRPr="000A7305">
        <w:rPr>
          <w:sz w:val="20"/>
          <w:szCs w:val="20"/>
        </w:rPr>
        <w:t>2006;</w:t>
      </w:r>
      <w:r w:rsidR="002547BB" w:rsidRPr="000A7305">
        <w:rPr>
          <w:sz w:val="20"/>
          <w:szCs w:val="20"/>
        </w:rPr>
        <w:t xml:space="preserve"> </w:t>
      </w:r>
      <w:r w:rsidR="00AC3B9C" w:rsidRPr="000A7305">
        <w:rPr>
          <w:sz w:val="20"/>
          <w:szCs w:val="20"/>
        </w:rPr>
        <w:t>43(6):</w:t>
      </w:r>
      <w:r w:rsidR="002547BB" w:rsidRPr="000A7305">
        <w:rPr>
          <w:sz w:val="20"/>
          <w:szCs w:val="20"/>
        </w:rPr>
        <w:t xml:space="preserve"> </w:t>
      </w:r>
      <w:r w:rsidR="00AC3B9C" w:rsidRPr="000A7305">
        <w:rPr>
          <w:sz w:val="20"/>
          <w:szCs w:val="20"/>
        </w:rPr>
        <w:t>1317-1325.</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t>E</w:t>
      </w:r>
      <w:r w:rsidR="00CE0C0C" w:rsidRPr="000A7305">
        <w:rPr>
          <w:bCs/>
          <w:i/>
          <w:iCs/>
          <w:sz w:val="20"/>
          <w:szCs w:val="20"/>
        </w:rPr>
        <w:t>lsharkawy</w:t>
      </w:r>
      <w:r w:rsidR="002547BB" w:rsidRPr="000A7305">
        <w:rPr>
          <w:bCs/>
          <w:i/>
          <w:iCs/>
          <w:sz w:val="20"/>
          <w:szCs w:val="20"/>
        </w:rPr>
        <w:t xml:space="preserve"> </w:t>
      </w:r>
      <w:r w:rsidR="00CE0C0C" w:rsidRPr="000A7305">
        <w:rPr>
          <w:bCs/>
          <w:i/>
          <w:iCs/>
          <w:sz w:val="20"/>
          <w:szCs w:val="20"/>
        </w:rPr>
        <w:t>A,</w:t>
      </w:r>
      <w:r w:rsidR="002547BB" w:rsidRPr="000A7305">
        <w:rPr>
          <w:bCs/>
          <w:i/>
          <w:iCs/>
          <w:sz w:val="20"/>
          <w:szCs w:val="20"/>
        </w:rPr>
        <w:t xml:space="preserve"> </w:t>
      </w:r>
      <w:r w:rsidR="00CE0C0C" w:rsidRPr="000A7305">
        <w:rPr>
          <w:bCs/>
          <w:i/>
          <w:iCs/>
          <w:sz w:val="20"/>
          <w:szCs w:val="20"/>
        </w:rPr>
        <w:t>Alem</w:t>
      </w:r>
      <w:r w:rsidR="002547BB" w:rsidRPr="000A7305">
        <w:rPr>
          <w:bCs/>
          <w:i/>
          <w:iCs/>
          <w:sz w:val="20"/>
          <w:szCs w:val="20"/>
        </w:rPr>
        <w:t xml:space="preserve"> </w:t>
      </w:r>
      <w:r w:rsidR="00CE0C0C" w:rsidRPr="000A7305">
        <w:rPr>
          <w:bCs/>
          <w:i/>
          <w:iCs/>
          <w:sz w:val="20"/>
          <w:szCs w:val="20"/>
        </w:rPr>
        <w:t>SA,</w:t>
      </w:r>
      <w:r w:rsidR="002547BB" w:rsidRPr="000A7305">
        <w:rPr>
          <w:bCs/>
          <w:i/>
          <w:iCs/>
          <w:sz w:val="20"/>
          <w:szCs w:val="20"/>
        </w:rPr>
        <w:t xml:space="preserve"> </w:t>
      </w:r>
      <w:r w:rsidR="00CE0C0C" w:rsidRPr="000A7305">
        <w:rPr>
          <w:bCs/>
          <w:i/>
          <w:iCs/>
          <w:sz w:val="20"/>
          <w:szCs w:val="20"/>
        </w:rPr>
        <w:t>Fouad</w:t>
      </w:r>
      <w:r w:rsidR="002547BB" w:rsidRPr="000A7305">
        <w:rPr>
          <w:bCs/>
          <w:i/>
          <w:iCs/>
          <w:sz w:val="20"/>
          <w:szCs w:val="20"/>
        </w:rPr>
        <w:t xml:space="preserve"> </w:t>
      </w:r>
      <w:r w:rsidR="00CE0C0C" w:rsidRPr="000A7305">
        <w:rPr>
          <w:bCs/>
          <w:i/>
          <w:iCs/>
          <w:sz w:val="20"/>
          <w:szCs w:val="20"/>
        </w:rPr>
        <w:t>R,</w:t>
      </w:r>
      <w:r w:rsidR="002547BB" w:rsidRPr="000A7305">
        <w:rPr>
          <w:bCs/>
          <w:i/>
          <w:iCs/>
          <w:sz w:val="20"/>
          <w:szCs w:val="20"/>
        </w:rPr>
        <w:t xml:space="preserve"> </w:t>
      </w:r>
      <w:r w:rsidR="00CE0C0C" w:rsidRPr="000A7305">
        <w:rPr>
          <w:bCs/>
          <w:i/>
          <w:iCs/>
          <w:sz w:val="20"/>
          <w:szCs w:val="20"/>
        </w:rPr>
        <w:t>El</w:t>
      </w:r>
      <w:r w:rsidR="002547BB" w:rsidRPr="000A7305">
        <w:rPr>
          <w:bCs/>
          <w:i/>
          <w:iCs/>
          <w:sz w:val="20"/>
          <w:szCs w:val="20"/>
        </w:rPr>
        <w:t xml:space="preserve"> </w:t>
      </w:r>
      <w:r w:rsidR="00CE0C0C" w:rsidRPr="000A7305">
        <w:rPr>
          <w:bCs/>
          <w:i/>
          <w:iCs/>
          <w:sz w:val="20"/>
          <w:szCs w:val="20"/>
        </w:rPr>
        <w:t>Raziky</w:t>
      </w:r>
      <w:r w:rsidR="002547BB" w:rsidRPr="000A7305">
        <w:rPr>
          <w:bCs/>
          <w:i/>
          <w:iCs/>
          <w:sz w:val="20"/>
          <w:szCs w:val="20"/>
        </w:rPr>
        <w:t xml:space="preserve"> </w:t>
      </w:r>
      <w:r w:rsidR="00CE0C0C" w:rsidRPr="000A7305">
        <w:rPr>
          <w:bCs/>
          <w:i/>
          <w:iCs/>
          <w:sz w:val="20"/>
          <w:szCs w:val="20"/>
        </w:rPr>
        <w:t>M,</w:t>
      </w:r>
      <w:r w:rsidR="002547BB" w:rsidRPr="000A7305">
        <w:rPr>
          <w:bCs/>
          <w:i/>
          <w:iCs/>
          <w:sz w:val="20"/>
          <w:szCs w:val="20"/>
        </w:rPr>
        <w:t xml:space="preserve"> </w:t>
      </w:r>
      <w:r w:rsidR="00CE0C0C" w:rsidRPr="000A7305">
        <w:rPr>
          <w:bCs/>
          <w:i/>
          <w:iCs/>
          <w:sz w:val="20"/>
          <w:szCs w:val="20"/>
        </w:rPr>
        <w:t>El</w:t>
      </w:r>
      <w:r w:rsidR="002547BB" w:rsidRPr="000A7305">
        <w:rPr>
          <w:bCs/>
          <w:i/>
          <w:iCs/>
          <w:sz w:val="20"/>
          <w:szCs w:val="20"/>
        </w:rPr>
        <w:t xml:space="preserve"> </w:t>
      </w:r>
      <w:r w:rsidR="00CE0C0C" w:rsidRPr="000A7305">
        <w:rPr>
          <w:bCs/>
          <w:i/>
          <w:iCs/>
          <w:sz w:val="20"/>
          <w:szCs w:val="20"/>
        </w:rPr>
        <w:t>Akel</w:t>
      </w:r>
      <w:r w:rsidR="002547BB" w:rsidRPr="000A7305">
        <w:rPr>
          <w:sz w:val="20"/>
          <w:szCs w:val="20"/>
        </w:rPr>
        <w:t xml:space="preserve"> </w:t>
      </w:r>
      <w:r w:rsidR="00CE0C0C" w:rsidRPr="000A7305">
        <w:rPr>
          <w:bCs/>
          <w:i/>
          <w:iCs/>
          <w:sz w:val="20"/>
          <w:szCs w:val="20"/>
        </w:rPr>
        <w:t>W,</w:t>
      </w:r>
      <w:r w:rsidR="002547BB" w:rsidRPr="000A7305">
        <w:rPr>
          <w:bCs/>
          <w:i/>
          <w:iCs/>
          <w:sz w:val="20"/>
          <w:szCs w:val="20"/>
        </w:rPr>
        <w:t xml:space="preserve"> </w:t>
      </w:r>
      <w:r w:rsidR="00CE0C0C" w:rsidRPr="000A7305">
        <w:rPr>
          <w:bCs/>
          <w:i/>
          <w:iCs/>
          <w:sz w:val="20"/>
          <w:szCs w:val="20"/>
        </w:rPr>
        <w:t>Abdo</w:t>
      </w:r>
      <w:r w:rsidR="002547BB" w:rsidRPr="000A7305">
        <w:rPr>
          <w:bCs/>
          <w:i/>
          <w:iCs/>
          <w:sz w:val="20"/>
          <w:szCs w:val="20"/>
        </w:rPr>
        <w:t xml:space="preserve"> </w:t>
      </w:r>
      <w:r w:rsidR="00CE0C0C" w:rsidRPr="000A7305">
        <w:rPr>
          <w:bCs/>
          <w:i/>
          <w:iCs/>
          <w:sz w:val="20"/>
          <w:szCs w:val="20"/>
        </w:rPr>
        <w:t>M,</w:t>
      </w:r>
      <w:r w:rsidR="002547BB" w:rsidRPr="000A7305">
        <w:rPr>
          <w:bCs/>
          <w:i/>
          <w:iCs/>
          <w:sz w:val="20"/>
          <w:szCs w:val="20"/>
        </w:rPr>
        <w:t xml:space="preserve"> </w:t>
      </w:r>
      <w:r w:rsidR="008B38C2" w:rsidRPr="000A7305">
        <w:rPr>
          <w:bCs/>
          <w:i/>
          <w:iCs/>
          <w:sz w:val="20"/>
          <w:szCs w:val="20"/>
        </w:rPr>
        <w:t>Tantawi</w:t>
      </w:r>
      <w:r w:rsidR="002547BB" w:rsidRPr="000A7305">
        <w:rPr>
          <w:bCs/>
          <w:i/>
          <w:iCs/>
          <w:sz w:val="20"/>
          <w:szCs w:val="20"/>
        </w:rPr>
        <w:t xml:space="preserve"> </w:t>
      </w:r>
      <w:r w:rsidR="008B38C2" w:rsidRPr="000A7305">
        <w:rPr>
          <w:bCs/>
          <w:i/>
          <w:iCs/>
          <w:sz w:val="20"/>
          <w:szCs w:val="20"/>
        </w:rPr>
        <w:t>O,</w:t>
      </w:r>
      <w:r w:rsidR="002547BB" w:rsidRPr="000A7305">
        <w:rPr>
          <w:bCs/>
          <w:i/>
          <w:iCs/>
          <w:sz w:val="20"/>
          <w:szCs w:val="20"/>
        </w:rPr>
        <w:t xml:space="preserve"> </w:t>
      </w:r>
      <w:r w:rsidR="008B38C2" w:rsidRPr="000A7305">
        <w:rPr>
          <w:bCs/>
          <w:i/>
          <w:iCs/>
          <w:sz w:val="20"/>
          <w:szCs w:val="20"/>
        </w:rPr>
        <w:t>AbdAllah</w:t>
      </w:r>
      <w:r w:rsidR="002547BB" w:rsidRPr="000A7305">
        <w:rPr>
          <w:bCs/>
          <w:i/>
          <w:iCs/>
          <w:sz w:val="20"/>
          <w:szCs w:val="20"/>
        </w:rPr>
        <w:t xml:space="preserve"> </w:t>
      </w:r>
      <w:r w:rsidR="008B38C2" w:rsidRPr="000A7305">
        <w:rPr>
          <w:bCs/>
          <w:i/>
          <w:iCs/>
          <w:sz w:val="20"/>
          <w:szCs w:val="20"/>
        </w:rPr>
        <w:t>M,</w:t>
      </w:r>
      <w:r w:rsidR="002547BB" w:rsidRPr="000A7305">
        <w:rPr>
          <w:bCs/>
          <w:i/>
          <w:iCs/>
          <w:sz w:val="20"/>
          <w:szCs w:val="20"/>
        </w:rPr>
        <w:t xml:space="preserve"> </w:t>
      </w:r>
      <w:r w:rsidR="008B38C2" w:rsidRPr="000A7305">
        <w:rPr>
          <w:bCs/>
          <w:i/>
          <w:iCs/>
          <w:sz w:val="20"/>
          <w:szCs w:val="20"/>
        </w:rPr>
        <w:t>Bourliere</w:t>
      </w:r>
      <w:r w:rsidR="002547BB" w:rsidRPr="000A7305">
        <w:rPr>
          <w:bCs/>
          <w:i/>
          <w:iCs/>
          <w:sz w:val="20"/>
          <w:szCs w:val="20"/>
        </w:rPr>
        <w:t xml:space="preserve"> </w:t>
      </w:r>
      <w:r w:rsidR="008B38C2" w:rsidRPr="000A7305">
        <w:rPr>
          <w:bCs/>
          <w:i/>
          <w:iCs/>
          <w:sz w:val="20"/>
          <w:szCs w:val="20"/>
        </w:rPr>
        <w:t>M,</w:t>
      </w:r>
      <w:r w:rsidR="002547BB" w:rsidRPr="000A7305">
        <w:rPr>
          <w:bCs/>
          <w:i/>
          <w:iCs/>
          <w:sz w:val="20"/>
          <w:szCs w:val="20"/>
        </w:rPr>
        <w:t xml:space="preserve"> </w:t>
      </w:r>
      <w:r w:rsidR="008B38C2" w:rsidRPr="000A7305">
        <w:rPr>
          <w:bCs/>
          <w:i/>
          <w:iCs/>
          <w:sz w:val="20"/>
          <w:szCs w:val="20"/>
        </w:rPr>
        <w:t>and</w:t>
      </w:r>
      <w:r w:rsidR="002547BB" w:rsidRPr="000A7305">
        <w:rPr>
          <w:bCs/>
          <w:i/>
          <w:iCs/>
          <w:sz w:val="20"/>
          <w:szCs w:val="20"/>
        </w:rPr>
        <w:t xml:space="preserve"> </w:t>
      </w:r>
      <w:r w:rsidR="008B38C2" w:rsidRPr="000A7305">
        <w:rPr>
          <w:bCs/>
          <w:i/>
          <w:iCs/>
          <w:sz w:val="20"/>
          <w:szCs w:val="20"/>
        </w:rPr>
        <w:t>Esmat</w:t>
      </w:r>
      <w:r w:rsidR="002547BB" w:rsidRPr="000A7305">
        <w:rPr>
          <w:bCs/>
          <w:i/>
          <w:iCs/>
          <w:sz w:val="20"/>
          <w:szCs w:val="20"/>
        </w:rPr>
        <w:t xml:space="preserve"> </w:t>
      </w:r>
      <w:r w:rsidR="008B38C2" w:rsidRPr="000A7305">
        <w:rPr>
          <w:bCs/>
          <w:i/>
          <w:iCs/>
          <w:sz w:val="20"/>
          <w:szCs w:val="20"/>
        </w:rPr>
        <w:t>G</w:t>
      </w:r>
      <w:r w:rsidR="00CE0C0C" w:rsidRPr="000A7305">
        <w:rPr>
          <w:bCs/>
          <w:i/>
          <w:iCs/>
          <w:sz w:val="20"/>
          <w:szCs w:val="20"/>
        </w:rPr>
        <w:t>.</w:t>
      </w:r>
      <w:r w:rsidR="002547BB" w:rsidRPr="000A7305">
        <w:rPr>
          <w:bCs/>
          <w:i/>
          <w:iCs/>
          <w:sz w:val="20"/>
          <w:szCs w:val="20"/>
        </w:rPr>
        <w:t xml:space="preserve"> </w:t>
      </w:r>
      <w:r w:rsidR="00CE0C0C" w:rsidRPr="000A7305">
        <w:rPr>
          <w:sz w:val="20"/>
          <w:szCs w:val="20"/>
        </w:rPr>
        <w:t>Changes</w:t>
      </w:r>
      <w:r w:rsidR="002547BB" w:rsidRPr="000A7305">
        <w:rPr>
          <w:sz w:val="20"/>
          <w:szCs w:val="20"/>
        </w:rPr>
        <w:t xml:space="preserve"> </w:t>
      </w:r>
      <w:r w:rsidR="00CE0C0C" w:rsidRPr="000A7305">
        <w:rPr>
          <w:sz w:val="20"/>
          <w:szCs w:val="20"/>
        </w:rPr>
        <w:t>in</w:t>
      </w:r>
      <w:r w:rsidR="002547BB" w:rsidRPr="000A7305">
        <w:rPr>
          <w:sz w:val="20"/>
          <w:szCs w:val="20"/>
        </w:rPr>
        <w:t xml:space="preserve"> </w:t>
      </w:r>
      <w:r w:rsidR="00CE0C0C" w:rsidRPr="000A7305">
        <w:rPr>
          <w:sz w:val="20"/>
          <w:szCs w:val="20"/>
        </w:rPr>
        <w:t>liver</w:t>
      </w:r>
      <w:r w:rsidR="002547BB" w:rsidRPr="000A7305">
        <w:rPr>
          <w:sz w:val="20"/>
          <w:szCs w:val="20"/>
        </w:rPr>
        <w:t xml:space="preserve"> </w:t>
      </w:r>
      <w:r w:rsidR="00CE0C0C" w:rsidRPr="000A7305">
        <w:rPr>
          <w:sz w:val="20"/>
          <w:szCs w:val="20"/>
        </w:rPr>
        <w:t>stiffness</w:t>
      </w:r>
      <w:r w:rsidR="002547BB" w:rsidRPr="000A7305">
        <w:rPr>
          <w:sz w:val="20"/>
          <w:szCs w:val="20"/>
        </w:rPr>
        <w:t xml:space="preserve"> </w:t>
      </w:r>
      <w:r w:rsidR="00CE0C0C" w:rsidRPr="000A7305">
        <w:rPr>
          <w:sz w:val="20"/>
          <w:szCs w:val="20"/>
        </w:rPr>
        <w:t>measurements</w:t>
      </w:r>
      <w:r w:rsidR="002547BB" w:rsidRPr="000A7305">
        <w:rPr>
          <w:sz w:val="20"/>
          <w:szCs w:val="20"/>
        </w:rPr>
        <w:t xml:space="preserve"> </w:t>
      </w:r>
      <w:r w:rsidR="00CE0C0C" w:rsidRPr="000A7305">
        <w:rPr>
          <w:sz w:val="20"/>
          <w:szCs w:val="20"/>
        </w:rPr>
        <w:t>and</w:t>
      </w:r>
      <w:r w:rsidR="002547BB" w:rsidRPr="000A7305">
        <w:rPr>
          <w:sz w:val="20"/>
          <w:szCs w:val="20"/>
        </w:rPr>
        <w:t xml:space="preserve"> </w:t>
      </w:r>
      <w:r w:rsidR="00CE0C0C" w:rsidRPr="000A7305">
        <w:rPr>
          <w:sz w:val="20"/>
          <w:szCs w:val="20"/>
        </w:rPr>
        <w:t>fibrosis</w:t>
      </w:r>
      <w:r w:rsidR="002547BB" w:rsidRPr="000A7305">
        <w:rPr>
          <w:sz w:val="20"/>
          <w:szCs w:val="20"/>
        </w:rPr>
        <w:t xml:space="preserve"> </w:t>
      </w:r>
      <w:r w:rsidR="00CE0C0C" w:rsidRPr="000A7305">
        <w:rPr>
          <w:sz w:val="20"/>
          <w:szCs w:val="20"/>
        </w:rPr>
        <w:t>scores</w:t>
      </w:r>
      <w:r w:rsidR="002547BB" w:rsidRPr="000A7305">
        <w:rPr>
          <w:sz w:val="20"/>
          <w:szCs w:val="20"/>
        </w:rPr>
        <w:t xml:space="preserve"> </w:t>
      </w:r>
      <w:r w:rsidR="00CE0C0C" w:rsidRPr="000A7305">
        <w:rPr>
          <w:sz w:val="20"/>
          <w:szCs w:val="20"/>
        </w:rPr>
        <w:t>following</w:t>
      </w:r>
      <w:r w:rsidR="002547BB" w:rsidRPr="000A7305">
        <w:rPr>
          <w:sz w:val="20"/>
          <w:szCs w:val="20"/>
        </w:rPr>
        <w:t xml:space="preserve"> </w:t>
      </w:r>
      <w:r w:rsidR="00CE0C0C" w:rsidRPr="000A7305">
        <w:rPr>
          <w:sz w:val="20"/>
          <w:szCs w:val="20"/>
        </w:rPr>
        <w:t>sofosbuvir</w:t>
      </w:r>
      <w:r w:rsidR="002547BB" w:rsidRPr="000A7305">
        <w:rPr>
          <w:sz w:val="20"/>
          <w:szCs w:val="20"/>
        </w:rPr>
        <w:t xml:space="preserve"> </w:t>
      </w:r>
      <w:r w:rsidR="00CE0C0C" w:rsidRPr="000A7305">
        <w:rPr>
          <w:sz w:val="20"/>
          <w:szCs w:val="20"/>
        </w:rPr>
        <w:t>based</w:t>
      </w:r>
      <w:r w:rsidR="002547BB" w:rsidRPr="000A7305">
        <w:rPr>
          <w:sz w:val="20"/>
          <w:szCs w:val="20"/>
        </w:rPr>
        <w:t xml:space="preserve"> </w:t>
      </w:r>
      <w:r w:rsidR="00CE0C0C" w:rsidRPr="000A7305">
        <w:rPr>
          <w:sz w:val="20"/>
          <w:szCs w:val="20"/>
        </w:rPr>
        <w:t>treatment</w:t>
      </w:r>
      <w:r w:rsidR="002547BB" w:rsidRPr="000A7305">
        <w:rPr>
          <w:sz w:val="20"/>
          <w:szCs w:val="20"/>
        </w:rPr>
        <w:t xml:space="preserve"> </w:t>
      </w:r>
      <w:r w:rsidR="00CE0C0C" w:rsidRPr="000A7305">
        <w:rPr>
          <w:sz w:val="20"/>
          <w:szCs w:val="20"/>
        </w:rPr>
        <w:t>regimens</w:t>
      </w:r>
      <w:r w:rsidR="002547BB" w:rsidRPr="000A7305">
        <w:rPr>
          <w:sz w:val="20"/>
          <w:szCs w:val="20"/>
        </w:rPr>
        <w:t xml:space="preserve"> </w:t>
      </w:r>
      <w:r w:rsidR="00CE0C0C" w:rsidRPr="000A7305">
        <w:rPr>
          <w:sz w:val="20"/>
          <w:szCs w:val="20"/>
        </w:rPr>
        <w:lastRenderedPageBreak/>
        <w:t>without</w:t>
      </w:r>
      <w:r w:rsidR="002547BB" w:rsidRPr="000A7305">
        <w:rPr>
          <w:sz w:val="20"/>
          <w:szCs w:val="20"/>
        </w:rPr>
        <w:t xml:space="preserve"> </w:t>
      </w:r>
      <w:r w:rsidR="00CE0C0C" w:rsidRPr="000A7305">
        <w:rPr>
          <w:sz w:val="20"/>
          <w:szCs w:val="20"/>
        </w:rPr>
        <w:t>interferon.</w:t>
      </w:r>
      <w:r w:rsidR="002547BB" w:rsidRPr="000A7305">
        <w:rPr>
          <w:sz w:val="20"/>
          <w:szCs w:val="20"/>
        </w:rPr>
        <w:t xml:space="preserve"> </w:t>
      </w:r>
      <w:r w:rsidR="00CE0C0C" w:rsidRPr="000A7305">
        <w:rPr>
          <w:sz w:val="20"/>
          <w:szCs w:val="20"/>
        </w:rPr>
        <w:t>Journal</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gastroenterology</w:t>
      </w:r>
      <w:r w:rsidR="002547BB" w:rsidRPr="000A7305">
        <w:rPr>
          <w:sz w:val="20"/>
          <w:szCs w:val="20"/>
        </w:rPr>
        <w:t xml:space="preserve"> </w:t>
      </w:r>
      <w:r w:rsidR="00CE0C0C" w:rsidRPr="000A7305">
        <w:rPr>
          <w:sz w:val="20"/>
          <w:szCs w:val="20"/>
        </w:rPr>
        <w:t>and</w:t>
      </w:r>
      <w:r w:rsidR="002547BB" w:rsidRPr="000A7305">
        <w:rPr>
          <w:sz w:val="20"/>
          <w:szCs w:val="20"/>
        </w:rPr>
        <w:t xml:space="preserve"> </w:t>
      </w:r>
      <w:r w:rsidR="00CE0C0C" w:rsidRPr="000A7305">
        <w:rPr>
          <w:sz w:val="20"/>
          <w:szCs w:val="20"/>
        </w:rPr>
        <w:t>hepatology.</w:t>
      </w:r>
      <w:r w:rsidR="002547BB" w:rsidRPr="000A7305">
        <w:rPr>
          <w:sz w:val="20"/>
          <w:szCs w:val="20"/>
        </w:rPr>
        <w:t xml:space="preserve"> </w:t>
      </w:r>
      <w:r w:rsidR="00CE0C0C" w:rsidRPr="000A7305">
        <w:rPr>
          <w:sz w:val="20"/>
          <w:szCs w:val="20"/>
        </w:rPr>
        <w:t>2017;32(9):1624-1630.</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t>S</w:t>
      </w:r>
      <w:r w:rsidR="00CE0C0C" w:rsidRPr="000A7305">
        <w:rPr>
          <w:bCs/>
          <w:i/>
          <w:iCs/>
          <w:sz w:val="20"/>
          <w:szCs w:val="20"/>
        </w:rPr>
        <w:t>housha</w:t>
      </w:r>
      <w:r w:rsidR="002547BB" w:rsidRPr="000A7305">
        <w:rPr>
          <w:bCs/>
          <w:i/>
          <w:iCs/>
          <w:sz w:val="20"/>
          <w:szCs w:val="20"/>
        </w:rPr>
        <w:t xml:space="preserve"> </w:t>
      </w:r>
      <w:r w:rsidR="00CE0C0C" w:rsidRPr="000A7305">
        <w:rPr>
          <w:bCs/>
          <w:i/>
          <w:iCs/>
          <w:sz w:val="20"/>
          <w:szCs w:val="20"/>
        </w:rPr>
        <w:t>HI,</w:t>
      </w:r>
      <w:r w:rsidR="002547BB" w:rsidRPr="000A7305">
        <w:rPr>
          <w:bCs/>
          <w:i/>
          <w:iCs/>
          <w:sz w:val="20"/>
          <w:szCs w:val="20"/>
        </w:rPr>
        <w:t xml:space="preserve"> </w:t>
      </w:r>
      <w:r w:rsidR="00CE0C0C" w:rsidRPr="000A7305">
        <w:rPr>
          <w:bCs/>
          <w:i/>
          <w:iCs/>
          <w:sz w:val="20"/>
          <w:szCs w:val="20"/>
        </w:rPr>
        <w:t>Mehassab</w:t>
      </w:r>
      <w:r w:rsidR="002547BB" w:rsidRPr="000A7305">
        <w:rPr>
          <w:bCs/>
          <w:i/>
          <w:iCs/>
          <w:sz w:val="20"/>
          <w:szCs w:val="20"/>
        </w:rPr>
        <w:t xml:space="preserve"> </w:t>
      </w:r>
      <w:r w:rsidR="00CE0C0C" w:rsidRPr="000A7305">
        <w:rPr>
          <w:bCs/>
          <w:i/>
          <w:iCs/>
          <w:sz w:val="20"/>
          <w:szCs w:val="20"/>
        </w:rPr>
        <w:t>MK,</w:t>
      </w:r>
      <w:r w:rsidR="002547BB" w:rsidRPr="000A7305">
        <w:rPr>
          <w:bCs/>
          <w:i/>
          <w:iCs/>
          <w:sz w:val="20"/>
          <w:szCs w:val="20"/>
        </w:rPr>
        <w:t xml:space="preserve"> </w:t>
      </w:r>
      <w:r w:rsidR="00CE0C0C" w:rsidRPr="000A7305">
        <w:rPr>
          <w:bCs/>
          <w:i/>
          <w:iCs/>
          <w:sz w:val="20"/>
          <w:szCs w:val="20"/>
        </w:rPr>
        <w:t>Mehrez</w:t>
      </w:r>
      <w:r w:rsidR="002547BB" w:rsidRPr="000A7305">
        <w:rPr>
          <w:bCs/>
          <w:i/>
          <w:iCs/>
          <w:sz w:val="20"/>
          <w:szCs w:val="20"/>
        </w:rPr>
        <w:t xml:space="preserve"> </w:t>
      </w:r>
      <w:r w:rsidR="00CE0C0C" w:rsidRPr="000A7305">
        <w:rPr>
          <w:bCs/>
          <w:i/>
          <w:iCs/>
          <w:sz w:val="20"/>
          <w:szCs w:val="20"/>
        </w:rPr>
        <w:t>MI,</w:t>
      </w:r>
      <w:r w:rsidR="002547BB" w:rsidRPr="000A7305">
        <w:rPr>
          <w:bCs/>
          <w:i/>
          <w:iCs/>
          <w:sz w:val="20"/>
          <w:szCs w:val="20"/>
        </w:rPr>
        <w:t xml:space="preserve"> </w:t>
      </w:r>
      <w:r w:rsidR="00CE0C0C" w:rsidRPr="000A7305">
        <w:rPr>
          <w:bCs/>
          <w:i/>
          <w:iCs/>
          <w:sz w:val="20"/>
          <w:szCs w:val="20"/>
        </w:rPr>
        <w:t>Afifi</w:t>
      </w:r>
      <w:r w:rsidR="002547BB" w:rsidRPr="000A7305">
        <w:rPr>
          <w:bCs/>
          <w:i/>
          <w:iCs/>
          <w:sz w:val="20"/>
          <w:szCs w:val="20"/>
        </w:rPr>
        <w:t xml:space="preserve"> </w:t>
      </w:r>
      <w:r w:rsidR="00CE0C0C" w:rsidRPr="000A7305">
        <w:rPr>
          <w:bCs/>
          <w:i/>
          <w:iCs/>
          <w:sz w:val="20"/>
          <w:szCs w:val="20"/>
        </w:rPr>
        <w:t>SA,</w:t>
      </w:r>
      <w:r w:rsidR="002547BB" w:rsidRPr="000A7305">
        <w:rPr>
          <w:bCs/>
          <w:i/>
          <w:iCs/>
          <w:sz w:val="20"/>
          <w:szCs w:val="20"/>
        </w:rPr>
        <w:t xml:space="preserve"> </w:t>
      </w:r>
      <w:r w:rsidR="00CE0C0C" w:rsidRPr="000A7305">
        <w:rPr>
          <w:bCs/>
          <w:i/>
          <w:iCs/>
          <w:sz w:val="20"/>
          <w:szCs w:val="20"/>
        </w:rPr>
        <w:t>Elsharkawy</w:t>
      </w:r>
      <w:r w:rsidR="002547BB" w:rsidRPr="000A7305">
        <w:rPr>
          <w:bCs/>
          <w:i/>
          <w:iCs/>
          <w:sz w:val="20"/>
          <w:szCs w:val="20"/>
        </w:rPr>
        <w:t xml:space="preserve"> </w:t>
      </w:r>
      <w:r w:rsidR="00CE0C0C" w:rsidRPr="000A7305">
        <w:rPr>
          <w:bCs/>
          <w:i/>
          <w:iCs/>
          <w:sz w:val="20"/>
          <w:szCs w:val="20"/>
        </w:rPr>
        <w:t>M,</w:t>
      </w:r>
      <w:r w:rsidR="002547BB" w:rsidRPr="000A7305">
        <w:rPr>
          <w:bCs/>
          <w:i/>
          <w:iCs/>
          <w:sz w:val="20"/>
          <w:szCs w:val="20"/>
        </w:rPr>
        <w:t xml:space="preserve"> </w:t>
      </w:r>
      <w:r w:rsidR="00CE0C0C" w:rsidRPr="000A7305">
        <w:rPr>
          <w:bCs/>
          <w:i/>
          <w:iCs/>
          <w:sz w:val="20"/>
          <w:szCs w:val="20"/>
        </w:rPr>
        <w:t>Hamed</w:t>
      </w:r>
      <w:r w:rsidR="002547BB" w:rsidRPr="000A7305">
        <w:rPr>
          <w:bCs/>
          <w:i/>
          <w:iCs/>
          <w:sz w:val="20"/>
          <w:szCs w:val="20"/>
        </w:rPr>
        <w:t xml:space="preserve"> </w:t>
      </w:r>
      <w:r w:rsidR="00CE0C0C" w:rsidRPr="000A7305">
        <w:rPr>
          <w:bCs/>
          <w:i/>
          <w:iCs/>
          <w:sz w:val="20"/>
          <w:szCs w:val="20"/>
        </w:rPr>
        <w:t>M,</w:t>
      </w:r>
      <w:r w:rsidR="002547BB" w:rsidRPr="000A7305">
        <w:rPr>
          <w:bCs/>
          <w:i/>
          <w:iCs/>
          <w:sz w:val="20"/>
          <w:szCs w:val="20"/>
        </w:rPr>
        <w:t xml:space="preserve"> </w:t>
      </w:r>
      <w:r w:rsidR="008B38C2" w:rsidRPr="000A7305">
        <w:rPr>
          <w:bCs/>
          <w:i/>
          <w:iCs/>
          <w:sz w:val="20"/>
          <w:szCs w:val="20"/>
        </w:rPr>
        <w:t>and</w:t>
      </w:r>
      <w:r w:rsidR="002547BB" w:rsidRPr="000A7305">
        <w:rPr>
          <w:bCs/>
          <w:i/>
          <w:iCs/>
          <w:sz w:val="20"/>
          <w:szCs w:val="20"/>
        </w:rPr>
        <w:t xml:space="preserve"> </w:t>
      </w:r>
      <w:r w:rsidR="008B38C2" w:rsidRPr="000A7305">
        <w:rPr>
          <w:bCs/>
          <w:i/>
          <w:iCs/>
          <w:sz w:val="20"/>
          <w:szCs w:val="20"/>
        </w:rPr>
        <w:t>Abdelaziz</w:t>
      </w:r>
      <w:r w:rsidR="002547BB" w:rsidRPr="000A7305">
        <w:rPr>
          <w:bCs/>
          <w:i/>
          <w:iCs/>
          <w:sz w:val="20"/>
          <w:szCs w:val="20"/>
        </w:rPr>
        <w:t xml:space="preserve"> </w:t>
      </w:r>
      <w:r w:rsidR="008B38C2" w:rsidRPr="000A7305">
        <w:rPr>
          <w:bCs/>
          <w:i/>
          <w:iCs/>
          <w:sz w:val="20"/>
          <w:szCs w:val="20"/>
        </w:rPr>
        <w:t>RA</w:t>
      </w:r>
      <w:r w:rsidR="00CE0C0C" w:rsidRPr="000A7305">
        <w:rPr>
          <w:bCs/>
          <w:i/>
          <w:iCs/>
          <w:sz w:val="20"/>
          <w:szCs w:val="20"/>
        </w:rPr>
        <w:t>.</w:t>
      </w:r>
      <w:r w:rsidR="002547BB" w:rsidRPr="000A7305">
        <w:rPr>
          <w:bCs/>
          <w:i/>
          <w:iCs/>
          <w:sz w:val="20"/>
          <w:szCs w:val="20"/>
        </w:rPr>
        <w:t xml:space="preserve"> </w:t>
      </w:r>
      <w:r w:rsidR="00CE0C0C" w:rsidRPr="000A7305">
        <w:rPr>
          <w:sz w:val="20"/>
          <w:szCs w:val="20"/>
        </w:rPr>
        <w:t>Non-invasive</w:t>
      </w:r>
      <w:r w:rsidR="002547BB" w:rsidRPr="000A7305">
        <w:rPr>
          <w:sz w:val="20"/>
          <w:szCs w:val="20"/>
        </w:rPr>
        <w:t xml:space="preserve"> </w:t>
      </w:r>
      <w:r w:rsidR="00CE0C0C" w:rsidRPr="000A7305">
        <w:rPr>
          <w:sz w:val="20"/>
          <w:szCs w:val="20"/>
        </w:rPr>
        <w:t>fibrosis</w:t>
      </w:r>
      <w:r w:rsidR="002547BB" w:rsidRPr="000A7305">
        <w:rPr>
          <w:sz w:val="20"/>
          <w:szCs w:val="20"/>
        </w:rPr>
        <w:t xml:space="preserve"> </w:t>
      </w:r>
      <w:r w:rsidR="00CE0C0C" w:rsidRPr="000A7305">
        <w:rPr>
          <w:sz w:val="20"/>
          <w:szCs w:val="20"/>
        </w:rPr>
        <w:t>scores</w:t>
      </w:r>
      <w:r w:rsidR="002547BB" w:rsidRPr="000A7305">
        <w:rPr>
          <w:sz w:val="20"/>
          <w:szCs w:val="20"/>
        </w:rPr>
        <w:t xml:space="preserve"> </w:t>
      </w:r>
      <w:r w:rsidR="00CE0C0C" w:rsidRPr="000A7305">
        <w:rPr>
          <w:sz w:val="20"/>
          <w:szCs w:val="20"/>
        </w:rPr>
        <w:t>and</w:t>
      </w:r>
      <w:r w:rsidR="002547BB" w:rsidRPr="000A7305">
        <w:rPr>
          <w:sz w:val="20"/>
          <w:szCs w:val="20"/>
        </w:rPr>
        <w:t xml:space="preserve"> </w:t>
      </w:r>
      <w:r w:rsidR="00CE0C0C" w:rsidRPr="000A7305">
        <w:rPr>
          <w:sz w:val="20"/>
          <w:szCs w:val="20"/>
        </w:rPr>
        <w:t>liver</w:t>
      </w:r>
      <w:r w:rsidR="002547BB" w:rsidRPr="000A7305">
        <w:rPr>
          <w:sz w:val="20"/>
          <w:szCs w:val="20"/>
        </w:rPr>
        <w:t xml:space="preserve"> </w:t>
      </w:r>
      <w:r w:rsidR="00CE0C0C" w:rsidRPr="000A7305">
        <w:rPr>
          <w:sz w:val="20"/>
          <w:szCs w:val="20"/>
        </w:rPr>
        <w:t>stiffness</w:t>
      </w:r>
      <w:r w:rsidR="002547BB" w:rsidRPr="000A7305">
        <w:rPr>
          <w:sz w:val="20"/>
          <w:szCs w:val="20"/>
        </w:rPr>
        <w:t xml:space="preserve"> </w:t>
      </w:r>
      <w:r w:rsidR="00CE0C0C" w:rsidRPr="000A7305">
        <w:rPr>
          <w:sz w:val="20"/>
          <w:szCs w:val="20"/>
        </w:rPr>
        <w:t>changes</w:t>
      </w:r>
      <w:r w:rsidR="002547BB" w:rsidRPr="000A7305">
        <w:rPr>
          <w:sz w:val="20"/>
          <w:szCs w:val="20"/>
        </w:rPr>
        <w:t xml:space="preserve"> </w:t>
      </w:r>
      <w:r w:rsidR="00CE0C0C" w:rsidRPr="000A7305">
        <w:rPr>
          <w:sz w:val="20"/>
          <w:szCs w:val="20"/>
        </w:rPr>
        <w:t>in</w:t>
      </w:r>
      <w:r w:rsidR="002547BB" w:rsidRPr="000A7305">
        <w:rPr>
          <w:sz w:val="20"/>
          <w:szCs w:val="20"/>
        </w:rPr>
        <w:t xml:space="preserve"> </w:t>
      </w:r>
      <w:r w:rsidR="00CE0C0C" w:rsidRPr="000A7305">
        <w:rPr>
          <w:sz w:val="20"/>
          <w:szCs w:val="20"/>
        </w:rPr>
        <w:t>chronic</w:t>
      </w:r>
      <w:r w:rsidR="002547BB" w:rsidRPr="000A7305">
        <w:rPr>
          <w:sz w:val="20"/>
          <w:szCs w:val="20"/>
        </w:rPr>
        <w:t xml:space="preserve"> </w:t>
      </w:r>
      <w:r w:rsidR="00CE0C0C" w:rsidRPr="000A7305">
        <w:rPr>
          <w:sz w:val="20"/>
          <w:szCs w:val="20"/>
        </w:rPr>
        <w:t>hepatitis</w:t>
      </w:r>
      <w:r w:rsidR="002547BB" w:rsidRPr="000A7305">
        <w:rPr>
          <w:sz w:val="20"/>
          <w:szCs w:val="20"/>
        </w:rPr>
        <w:t xml:space="preserve"> </w:t>
      </w:r>
      <w:r w:rsidR="00CE0C0C" w:rsidRPr="000A7305">
        <w:rPr>
          <w:sz w:val="20"/>
          <w:szCs w:val="20"/>
        </w:rPr>
        <w:t>C</w:t>
      </w:r>
      <w:r w:rsidR="002547BB" w:rsidRPr="000A7305">
        <w:rPr>
          <w:sz w:val="20"/>
          <w:szCs w:val="20"/>
        </w:rPr>
        <w:t xml:space="preserve"> </w:t>
      </w:r>
      <w:r w:rsidR="00CE0C0C" w:rsidRPr="000A7305">
        <w:rPr>
          <w:sz w:val="20"/>
          <w:szCs w:val="20"/>
        </w:rPr>
        <w:t>after</w:t>
      </w:r>
      <w:r w:rsidR="002547BB" w:rsidRPr="000A7305">
        <w:rPr>
          <w:sz w:val="20"/>
          <w:szCs w:val="20"/>
        </w:rPr>
        <w:t xml:space="preserve"> </w:t>
      </w:r>
      <w:r w:rsidR="00CE0C0C" w:rsidRPr="000A7305">
        <w:rPr>
          <w:sz w:val="20"/>
          <w:szCs w:val="20"/>
        </w:rPr>
        <w:t>Sofosbuvir-based</w:t>
      </w:r>
      <w:r w:rsidR="002547BB" w:rsidRPr="000A7305">
        <w:rPr>
          <w:sz w:val="20"/>
          <w:szCs w:val="20"/>
        </w:rPr>
        <w:t xml:space="preserve"> </w:t>
      </w:r>
      <w:r w:rsidR="00CE0C0C" w:rsidRPr="000A7305">
        <w:rPr>
          <w:sz w:val="20"/>
          <w:szCs w:val="20"/>
        </w:rPr>
        <w:t>treatment.</w:t>
      </w:r>
      <w:r w:rsidR="002547BB" w:rsidRPr="000A7305">
        <w:rPr>
          <w:sz w:val="20"/>
          <w:szCs w:val="20"/>
        </w:rPr>
        <w:t xml:space="preserve"> </w:t>
      </w:r>
      <w:r w:rsidR="00CE0C0C" w:rsidRPr="000A7305">
        <w:rPr>
          <w:sz w:val="20"/>
          <w:szCs w:val="20"/>
        </w:rPr>
        <w:t>International</w:t>
      </w:r>
      <w:r w:rsidR="002547BB" w:rsidRPr="000A7305">
        <w:rPr>
          <w:sz w:val="20"/>
          <w:szCs w:val="20"/>
        </w:rPr>
        <w:t xml:space="preserve"> </w:t>
      </w:r>
      <w:r w:rsidR="00CE0C0C" w:rsidRPr="000A7305">
        <w:rPr>
          <w:sz w:val="20"/>
          <w:szCs w:val="20"/>
        </w:rPr>
        <w:t>Journal</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Hepatology</w:t>
      </w:r>
      <w:r w:rsidR="002547BB" w:rsidRPr="000A7305">
        <w:rPr>
          <w:sz w:val="20"/>
          <w:szCs w:val="20"/>
        </w:rPr>
        <w:t xml:space="preserve"> </w:t>
      </w:r>
      <w:r w:rsidR="00CE0C0C" w:rsidRPr="000A7305">
        <w:rPr>
          <w:sz w:val="20"/>
          <w:szCs w:val="20"/>
        </w:rPr>
        <w:t>Gastroenterology.</w:t>
      </w:r>
      <w:r w:rsidR="002547BB" w:rsidRPr="000A7305">
        <w:rPr>
          <w:sz w:val="20"/>
          <w:szCs w:val="20"/>
        </w:rPr>
        <w:t xml:space="preserve"> </w:t>
      </w:r>
      <w:r w:rsidR="00CE0C0C" w:rsidRPr="000A7305">
        <w:rPr>
          <w:sz w:val="20"/>
          <w:szCs w:val="20"/>
        </w:rPr>
        <w:t>2017;3(4):85-90.</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t>M</w:t>
      </w:r>
      <w:r w:rsidR="00CE0C0C" w:rsidRPr="000A7305">
        <w:rPr>
          <w:bCs/>
          <w:i/>
          <w:iCs/>
          <w:sz w:val="20"/>
          <w:szCs w:val="20"/>
        </w:rPr>
        <w:t>iyaki</w:t>
      </w:r>
      <w:r w:rsidR="002547BB" w:rsidRPr="000A7305">
        <w:rPr>
          <w:bCs/>
          <w:i/>
          <w:iCs/>
          <w:sz w:val="20"/>
          <w:szCs w:val="20"/>
        </w:rPr>
        <w:t xml:space="preserve"> </w:t>
      </w:r>
      <w:r w:rsidR="00CE0C0C" w:rsidRPr="000A7305">
        <w:rPr>
          <w:bCs/>
          <w:i/>
          <w:iCs/>
          <w:sz w:val="20"/>
          <w:szCs w:val="20"/>
        </w:rPr>
        <w:t>E,</w:t>
      </w:r>
      <w:r w:rsidR="002547BB" w:rsidRPr="000A7305">
        <w:rPr>
          <w:bCs/>
          <w:i/>
          <w:iCs/>
          <w:sz w:val="20"/>
          <w:szCs w:val="20"/>
        </w:rPr>
        <w:t xml:space="preserve"> </w:t>
      </w:r>
      <w:r w:rsidR="00CE0C0C" w:rsidRPr="000A7305">
        <w:rPr>
          <w:bCs/>
          <w:i/>
          <w:iCs/>
          <w:sz w:val="20"/>
          <w:szCs w:val="20"/>
        </w:rPr>
        <w:t>Imamura</w:t>
      </w:r>
      <w:r w:rsidR="002547BB" w:rsidRPr="000A7305">
        <w:rPr>
          <w:bCs/>
          <w:i/>
          <w:iCs/>
          <w:sz w:val="20"/>
          <w:szCs w:val="20"/>
        </w:rPr>
        <w:t xml:space="preserve"> </w:t>
      </w:r>
      <w:r w:rsidR="00CE0C0C" w:rsidRPr="000A7305">
        <w:rPr>
          <w:bCs/>
          <w:i/>
          <w:iCs/>
          <w:sz w:val="20"/>
          <w:szCs w:val="20"/>
        </w:rPr>
        <w:t>M,</w:t>
      </w:r>
      <w:r w:rsidR="002547BB" w:rsidRPr="000A7305">
        <w:rPr>
          <w:bCs/>
          <w:i/>
          <w:iCs/>
          <w:sz w:val="20"/>
          <w:szCs w:val="20"/>
        </w:rPr>
        <w:t xml:space="preserve"> </w:t>
      </w:r>
      <w:r w:rsidR="00CE0C0C" w:rsidRPr="000A7305">
        <w:rPr>
          <w:bCs/>
          <w:i/>
          <w:iCs/>
          <w:sz w:val="20"/>
          <w:szCs w:val="20"/>
        </w:rPr>
        <w:t>Hiraga</w:t>
      </w:r>
      <w:r w:rsidR="002547BB" w:rsidRPr="000A7305">
        <w:rPr>
          <w:bCs/>
          <w:i/>
          <w:iCs/>
          <w:sz w:val="20"/>
          <w:szCs w:val="20"/>
        </w:rPr>
        <w:t xml:space="preserve"> </w:t>
      </w:r>
      <w:r w:rsidR="00CE0C0C" w:rsidRPr="000A7305">
        <w:rPr>
          <w:bCs/>
          <w:i/>
          <w:iCs/>
          <w:sz w:val="20"/>
          <w:szCs w:val="20"/>
        </w:rPr>
        <w:t>N,</w:t>
      </w:r>
      <w:r w:rsidR="002547BB" w:rsidRPr="000A7305">
        <w:rPr>
          <w:bCs/>
          <w:i/>
          <w:iCs/>
          <w:sz w:val="20"/>
          <w:szCs w:val="20"/>
        </w:rPr>
        <w:t xml:space="preserve"> </w:t>
      </w:r>
      <w:r w:rsidR="00CE0C0C" w:rsidRPr="000A7305">
        <w:rPr>
          <w:bCs/>
          <w:i/>
          <w:iCs/>
          <w:sz w:val="20"/>
          <w:szCs w:val="20"/>
        </w:rPr>
        <w:t>Murakami</w:t>
      </w:r>
      <w:r w:rsidR="002547BB" w:rsidRPr="000A7305">
        <w:rPr>
          <w:bCs/>
          <w:i/>
          <w:iCs/>
          <w:sz w:val="20"/>
          <w:szCs w:val="20"/>
        </w:rPr>
        <w:t xml:space="preserve"> </w:t>
      </w:r>
      <w:r w:rsidR="00CE0C0C" w:rsidRPr="000A7305">
        <w:rPr>
          <w:bCs/>
          <w:i/>
          <w:iCs/>
          <w:sz w:val="20"/>
          <w:szCs w:val="20"/>
        </w:rPr>
        <w:t>E,</w:t>
      </w:r>
      <w:r w:rsidR="002547BB" w:rsidRPr="000A7305">
        <w:rPr>
          <w:bCs/>
          <w:i/>
          <w:iCs/>
          <w:sz w:val="20"/>
          <w:szCs w:val="20"/>
        </w:rPr>
        <w:t xml:space="preserve"> </w:t>
      </w:r>
      <w:r w:rsidR="00CE0C0C" w:rsidRPr="000A7305">
        <w:rPr>
          <w:bCs/>
          <w:i/>
          <w:iCs/>
          <w:sz w:val="20"/>
          <w:szCs w:val="20"/>
        </w:rPr>
        <w:t>Kawaoka</w:t>
      </w:r>
      <w:r w:rsidR="002547BB" w:rsidRPr="000A7305">
        <w:rPr>
          <w:bCs/>
          <w:i/>
          <w:iCs/>
          <w:sz w:val="20"/>
          <w:szCs w:val="20"/>
        </w:rPr>
        <w:t xml:space="preserve"> </w:t>
      </w:r>
      <w:r w:rsidR="00CE0C0C" w:rsidRPr="000A7305">
        <w:rPr>
          <w:bCs/>
          <w:i/>
          <w:iCs/>
          <w:sz w:val="20"/>
          <w:szCs w:val="20"/>
        </w:rPr>
        <w:t>T,</w:t>
      </w:r>
      <w:r w:rsidR="002547BB" w:rsidRPr="000A7305">
        <w:rPr>
          <w:bCs/>
          <w:i/>
          <w:iCs/>
          <w:sz w:val="20"/>
          <w:szCs w:val="20"/>
        </w:rPr>
        <w:t xml:space="preserve"> </w:t>
      </w:r>
      <w:r w:rsidR="00CE0C0C" w:rsidRPr="000A7305">
        <w:rPr>
          <w:bCs/>
          <w:i/>
          <w:iCs/>
          <w:sz w:val="20"/>
          <w:szCs w:val="20"/>
        </w:rPr>
        <w:t>Tsuge</w:t>
      </w:r>
      <w:r w:rsidR="002547BB" w:rsidRPr="000A7305">
        <w:rPr>
          <w:bCs/>
          <w:i/>
          <w:iCs/>
          <w:sz w:val="20"/>
          <w:szCs w:val="20"/>
        </w:rPr>
        <w:t xml:space="preserve"> </w:t>
      </w:r>
      <w:r w:rsidR="00CE0C0C" w:rsidRPr="000A7305">
        <w:rPr>
          <w:bCs/>
          <w:i/>
          <w:iCs/>
          <w:sz w:val="20"/>
          <w:szCs w:val="20"/>
        </w:rPr>
        <w:t>M,</w:t>
      </w:r>
      <w:r w:rsidR="002547BB" w:rsidRPr="000A7305">
        <w:rPr>
          <w:bCs/>
          <w:i/>
          <w:iCs/>
          <w:sz w:val="20"/>
          <w:szCs w:val="20"/>
        </w:rPr>
        <w:t xml:space="preserve"> </w:t>
      </w:r>
      <w:r w:rsidR="008B38C2" w:rsidRPr="000A7305">
        <w:rPr>
          <w:bCs/>
          <w:i/>
          <w:iCs/>
          <w:sz w:val="20"/>
          <w:szCs w:val="20"/>
        </w:rPr>
        <w:t>Hiramatsu</w:t>
      </w:r>
      <w:r w:rsidR="002547BB" w:rsidRPr="000A7305">
        <w:rPr>
          <w:bCs/>
          <w:i/>
          <w:iCs/>
          <w:sz w:val="20"/>
          <w:szCs w:val="20"/>
        </w:rPr>
        <w:t xml:space="preserve"> </w:t>
      </w:r>
      <w:r w:rsidR="008B38C2" w:rsidRPr="000A7305">
        <w:rPr>
          <w:bCs/>
          <w:i/>
          <w:iCs/>
          <w:sz w:val="20"/>
          <w:szCs w:val="20"/>
        </w:rPr>
        <w:t>A,</w:t>
      </w:r>
      <w:r w:rsidR="002547BB" w:rsidRPr="000A7305">
        <w:rPr>
          <w:bCs/>
          <w:i/>
          <w:iCs/>
          <w:sz w:val="20"/>
          <w:szCs w:val="20"/>
        </w:rPr>
        <w:t xml:space="preserve"> </w:t>
      </w:r>
      <w:r w:rsidR="008B38C2" w:rsidRPr="000A7305">
        <w:rPr>
          <w:bCs/>
          <w:i/>
          <w:iCs/>
          <w:sz w:val="20"/>
          <w:szCs w:val="20"/>
        </w:rPr>
        <w:t>Kawakami</w:t>
      </w:r>
      <w:r w:rsidR="002547BB" w:rsidRPr="000A7305">
        <w:rPr>
          <w:bCs/>
          <w:i/>
          <w:iCs/>
          <w:sz w:val="20"/>
          <w:szCs w:val="20"/>
        </w:rPr>
        <w:t xml:space="preserve"> </w:t>
      </w:r>
      <w:r w:rsidR="008B38C2" w:rsidRPr="000A7305">
        <w:rPr>
          <w:bCs/>
          <w:i/>
          <w:iCs/>
          <w:sz w:val="20"/>
          <w:szCs w:val="20"/>
        </w:rPr>
        <w:t>Y,</w:t>
      </w:r>
      <w:r w:rsidR="002547BB" w:rsidRPr="000A7305">
        <w:rPr>
          <w:bCs/>
          <w:i/>
          <w:iCs/>
          <w:sz w:val="20"/>
          <w:szCs w:val="20"/>
        </w:rPr>
        <w:t xml:space="preserve"> </w:t>
      </w:r>
      <w:r w:rsidR="008B38C2" w:rsidRPr="000A7305">
        <w:rPr>
          <w:bCs/>
          <w:i/>
          <w:iCs/>
          <w:sz w:val="20"/>
          <w:szCs w:val="20"/>
        </w:rPr>
        <w:t>Aikata</w:t>
      </w:r>
      <w:r w:rsidR="002547BB" w:rsidRPr="000A7305">
        <w:rPr>
          <w:bCs/>
          <w:i/>
          <w:iCs/>
          <w:sz w:val="20"/>
          <w:szCs w:val="20"/>
        </w:rPr>
        <w:t xml:space="preserve"> </w:t>
      </w:r>
      <w:r w:rsidR="008B38C2" w:rsidRPr="000A7305">
        <w:rPr>
          <w:bCs/>
          <w:i/>
          <w:iCs/>
          <w:sz w:val="20"/>
          <w:szCs w:val="20"/>
        </w:rPr>
        <w:t>H,</w:t>
      </w:r>
      <w:r w:rsidR="002547BB" w:rsidRPr="000A7305">
        <w:rPr>
          <w:bCs/>
          <w:i/>
          <w:iCs/>
          <w:sz w:val="20"/>
          <w:szCs w:val="20"/>
        </w:rPr>
        <w:t xml:space="preserve"> </w:t>
      </w:r>
      <w:r w:rsidR="008B38C2" w:rsidRPr="000A7305">
        <w:rPr>
          <w:bCs/>
          <w:i/>
          <w:iCs/>
          <w:sz w:val="20"/>
          <w:szCs w:val="20"/>
        </w:rPr>
        <w:t>Hayes</w:t>
      </w:r>
      <w:r w:rsidR="002547BB" w:rsidRPr="000A7305">
        <w:rPr>
          <w:bCs/>
          <w:i/>
          <w:iCs/>
          <w:sz w:val="20"/>
          <w:szCs w:val="20"/>
        </w:rPr>
        <w:t xml:space="preserve"> </w:t>
      </w:r>
      <w:r w:rsidR="008B38C2" w:rsidRPr="000A7305">
        <w:rPr>
          <w:bCs/>
          <w:i/>
          <w:iCs/>
          <w:sz w:val="20"/>
          <w:szCs w:val="20"/>
        </w:rPr>
        <w:t>CN,</w:t>
      </w:r>
      <w:r w:rsidR="002547BB" w:rsidRPr="000A7305">
        <w:rPr>
          <w:bCs/>
          <w:i/>
          <w:iCs/>
          <w:sz w:val="20"/>
          <w:szCs w:val="20"/>
        </w:rPr>
        <w:t xml:space="preserve"> </w:t>
      </w:r>
      <w:r w:rsidR="008B38C2" w:rsidRPr="000A7305">
        <w:rPr>
          <w:bCs/>
          <w:i/>
          <w:iCs/>
          <w:sz w:val="20"/>
          <w:szCs w:val="20"/>
        </w:rPr>
        <w:t>and</w:t>
      </w:r>
      <w:r w:rsidR="002547BB" w:rsidRPr="000A7305">
        <w:rPr>
          <w:bCs/>
          <w:i/>
          <w:iCs/>
          <w:sz w:val="20"/>
          <w:szCs w:val="20"/>
        </w:rPr>
        <w:t xml:space="preserve"> </w:t>
      </w:r>
      <w:r w:rsidR="008B38C2" w:rsidRPr="000A7305">
        <w:rPr>
          <w:bCs/>
          <w:i/>
          <w:iCs/>
          <w:sz w:val="20"/>
          <w:szCs w:val="20"/>
        </w:rPr>
        <w:t>Chayama</w:t>
      </w:r>
      <w:r w:rsidR="002547BB" w:rsidRPr="000A7305">
        <w:rPr>
          <w:bCs/>
          <w:i/>
          <w:iCs/>
          <w:sz w:val="20"/>
          <w:szCs w:val="20"/>
        </w:rPr>
        <w:t xml:space="preserve"> </w:t>
      </w:r>
      <w:r w:rsidR="008B38C2" w:rsidRPr="000A7305">
        <w:rPr>
          <w:bCs/>
          <w:i/>
          <w:iCs/>
          <w:sz w:val="20"/>
          <w:szCs w:val="20"/>
        </w:rPr>
        <w:t>K</w:t>
      </w:r>
      <w:r w:rsidR="00CE0C0C" w:rsidRPr="000A7305">
        <w:rPr>
          <w:bCs/>
          <w:i/>
          <w:iCs/>
          <w:sz w:val="20"/>
          <w:szCs w:val="20"/>
        </w:rPr>
        <w:t>.</w:t>
      </w:r>
      <w:r w:rsidR="002547BB" w:rsidRPr="000A7305">
        <w:rPr>
          <w:bCs/>
          <w:i/>
          <w:iCs/>
          <w:sz w:val="20"/>
          <w:szCs w:val="20"/>
        </w:rPr>
        <w:t xml:space="preserve"> </w:t>
      </w:r>
      <w:r w:rsidR="00CE0C0C" w:rsidRPr="000A7305">
        <w:rPr>
          <w:sz w:val="20"/>
          <w:szCs w:val="20"/>
        </w:rPr>
        <w:t>Daclatasvir</w:t>
      </w:r>
      <w:r w:rsidR="002547BB" w:rsidRPr="000A7305">
        <w:rPr>
          <w:sz w:val="20"/>
          <w:szCs w:val="20"/>
        </w:rPr>
        <w:t xml:space="preserve"> </w:t>
      </w:r>
      <w:r w:rsidR="00CE0C0C" w:rsidRPr="000A7305">
        <w:rPr>
          <w:sz w:val="20"/>
          <w:szCs w:val="20"/>
        </w:rPr>
        <w:t>and</w:t>
      </w:r>
      <w:r w:rsidR="002547BB" w:rsidRPr="000A7305">
        <w:rPr>
          <w:sz w:val="20"/>
          <w:szCs w:val="20"/>
        </w:rPr>
        <w:t xml:space="preserve"> </w:t>
      </w:r>
      <w:r w:rsidR="00CE0C0C" w:rsidRPr="000A7305">
        <w:rPr>
          <w:sz w:val="20"/>
          <w:szCs w:val="20"/>
        </w:rPr>
        <w:t>Asunaprevir</w:t>
      </w:r>
      <w:r w:rsidR="002547BB" w:rsidRPr="000A7305">
        <w:rPr>
          <w:sz w:val="20"/>
          <w:szCs w:val="20"/>
        </w:rPr>
        <w:t xml:space="preserve"> </w:t>
      </w:r>
      <w:r w:rsidR="00CE0C0C" w:rsidRPr="000A7305">
        <w:rPr>
          <w:sz w:val="20"/>
          <w:szCs w:val="20"/>
        </w:rPr>
        <w:t>treatment</w:t>
      </w:r>
      <w:r w:rsidR="002547BB" w:rsidRPr="000A7305">
        <w:rPr>
          <w:sz w:val="20"/>
          <w:szCs w:val="20"/>
        </w:rPr>
        <w:t xml:space="preserve"> </w:t>
      </w:r>
      <w:r w:rsidR="00CE0C0C" w:rsidRPr="000A7305">
        <w:rPr>
          <w:sz w:val="20"/>
          <w:szCs w:val="20"/>
        </w:rPr>
        <w:t>Improves</w:t>
      </w:r>
      <w:r w:rsidR="002547BB" w:rsidRPr="000A7305">
        <w:rPr>
          <w:sz w:val="20"/>
          <w:szCs w:val="20"/>
        </w:rPr>
        <w:t xml:space="preserve"> </w:t>
      </w:r>
      <w:r w:rsidR="00CE0C0C" w:rsidRPr="000A7305">
        <w:rPr>
          <w:sz w:val="20"/>
          <w:szCs w:val="20"/>
        </w:rPr>
        <w:t>liver</w:t>
      </w:r>
      <w:r w:rsidR="002547BB" w:rsidRPr="000A7305">
        <w:rPr>
          <w:sz w:val="20"/>
          <w:szCs w:val="20"/>
        </w:rPr>
        <w:t xml:space="preserve"> </w:t>
      </w:r>
      <w:r w:rsidR="00CE0C0C" w:rsidRPr="000A7305">
        <w:rPr>
          <w:sz w:val="20"/>
          <w:szCs w:val="20"/>
        </w:rPr>
        <w:t>function</w:t>
      </w:r>
      <w:r w:rsidR="002547BB" w:rsidRPr="000A7305">
        <w:rPr>
          <w:sz w:val="20"/>
          <w:szCs w:val="20"/>
        </w:rPr>
        <w:t xml:space="preserve"> </w:t>
      </w:r>
      <w:r w:rsidR="00CE0C0C" w:rsidRPr="000A7305">
        <w:rPr>
          <w:sz w:val="20"/>
          <w:szCs w:val="20"/>
        </w:rPr>
        <w:t>parameters</w:t>
      </w:r>
      <w:r w:rsidR="002547BB" w:rsidRPr="000A7305">
        <w:rPr>
          <w:sz w:val="20"/>
          <w:szCs w:val="20"/>
        </w:rPr>
        <w:t xml:space="preserve"> </w:t>
      </w:r>
      <w:r w:rsidR="00CE0C0C" w:rsidRPr="000A7305">
        <w:rPr>
          <w:sz w:val="20"/>
          <w:szCs w:val="20"/>
        </w:rPr>
        <w:t>and</w:t>
      </w:r>
      <w:r w:rsidR="002547BB" w:rsidRPr="000A7305">
        <w:rPr>
          <w:sz w:val="20"/>
          <w:szCs w:val="20"/>
        </w:rPr>
        <w:t xml:space="preserve"> </w:t>
      </w:r>
      <w:r w:rsidR="00CE0C0C" w:rsidRPr="000A7305">
        <w:rPr>
          <w:sz w:val="20"/>
          <w:szCs w:val="20"/>
        </w:rPr>
        <w:t>reduces</w:t>
      </w:r>
      <w:r w:rsidR="002547BB" w:rsidRPr="000A7305">
        <w:rPr>
          <w:sz w:val="20"/>
          <w:szCs w:val="20"/>
        </w:rPr>
        <w:t xml:space="preserve"> </w:t>
      </w:r>
      <w:r w:rsidR="00CE0C0C" w:rsidRPr="000A7305">
        <w:rPr>
          <w:sz w:val="20"/>
          <w:szCs w:val="20"/>
        </w:rPr>
        <w:t>liver</w:t>
      </w:r>
      <w:r w:rsidR="002547BB" w:rsidRPr="000A7305">
        <w:rPr>
          <w:sz w:val="20"/>
          <w:szCs w:val="20"/>
        </w:rPr>
        <w:t xml:space="preserve"> </w:t>
      </w:r>
      <w:r w:rsidR="00CE0C0C" w:rsidRPr="000A7305">
        <w:rPr>
          <w:sz w:val="20"/>
          <w:szCs w:val="20"/>
        </w:rPr>
        <w:t>fibrosis</w:t>
      </w:r>
      <w:r w:rsidR="002547BB" w:rsidRPr="000A7305">
        <w:rPr>
          <w:sz w:val="20"/>
          <w:szCs w:val="20"/>
        </w:rPr>
        <w:t xml:space="preserve"> </w:t>
      </w:r>
      <w:r w:rsidR="00CE0C0C" w:rsidRPr="000A7305">
        <w:rPr>
          <w:sz w:val="20"/>
          <w:szCs w:val="20"/>
        </w:rPr>
        <w:t>markers</w:t>
      </w:r>
      <w:r w:rsidR="002547BB" w:rsidRPr="000A7305">
        <w:rPr>
          <w:sz w:val="20"/>
          <w:szCs w:val="20"/>
        </w:rPr>
        <w:t xml:space="preserve"> </w:t>
      </w:r>
      <w:r w:rsidR="00CE0C0C" w:rsidRPr="000A7305">
        <w:rPr>
          <w:sz w:val="20"/>
          <w:szCs w:val="20"/>
        </w:rPr>
        <w:t>in</w:t>
      </w:r>
      <w:r w:rsidR="002547BB" w:rsidRPr="000A7305">
        <w:rPr>
          <w:sz w:val="20"/>
          <w:szCs w:val="20"/>
        </w:rPr>
        <w:t xml:space="preserve"> </w:t>
      </w:r>
      <w:r w:rsidR="00CE0C0C" w:rsidRPr="000A7305">
        <w:rPr>
          <w:sz w:val="20"/>
          <w:szCs w:val="20"/>
        </w:rPr>
        <w:t>chronic</w:t>
      </w:r>
      <w:r w:rsidR="002547BB" w:rsidRPr="000A7305">
        <w:rPr>
          <w:sz w:val="20"/>
          <w:szCs w:val="20"/>
        </w:rPr>
        <w:t xml:space="preserve"> </w:t>
      </w:r>
      <w:r w:rsidR="00CE0C0C" w:rsidRPr="000A7305">
        <w:rPr>
          <w:sz w:val="20"/>
          <w:szCs w:val="20"/>
        </w:rPr>
        <w:t>hepatitis</w:t>
      </w:r>
      <w:r w:rsidR="002547BB" w:rsidRPr="000A7305">
        <w:rPr>
          <w:sz w:val="20"/>
          <w:szCs w:val="20"/>
        </w:rPr>
        <w:t xml:space="preserve"> </w:t>
      </w:r>
      <w:r w:rsidR="00CE0C0C" w:rsidRPr="000A7305">
        <w:rPr>
          <w:sz w:val="20"/>
          <w:szCs w:val="20"/>
        </w:rPr>
        <w:t>C</w:t>
      </w:r>
      <w:r w:rsidR="002547BB" w:rsidRPr="000A7305">
        <w:rPr>
          <w:sz w:val="20"/>
          <w:szCs w:val="20"/>
        </w:rPr>
        <w:t xml:space="preserve"> </w:t>
      </w:r>
      <w:r w:rsidR="00CE0C0C" w:rsidRPr="000A7305">
        <w:rPr>
          <w:sz w:val="20"/>
          <w:szCs w:val="20"/>
        </w:rPr>
        <w:t>patients.</w:t>
      </w:r>
      <w:r w:rsidR="002547BB" w:rsidRPr="000A7305">
        <w:rPr>
          <w:sz w:val="20"/>
          <w:szCs w:val="20"/>
        </w:rPr>
        <w:t xml:space="preserve"> </w:t>
      </w:r>
      <w:r w:rsidR="00CE0C0C" w:rsidRPr="000A7305">
        <w:rPr>
          <w:sz w:val="20"/>
          <w:szCs w:val="20"/>
        </w:rPr>
        <w:t>Hepatology</w:t>
      </w:r>
      <w:r w:rsidR="002547BB" w:rsidRPr="000A7305">
        <w:rPr>
          <w:sz w:val="20"/>
          <w:szCs w:val="20"/>
        </w:rPr>
        <w:t xml:space="preserve"> </w:t>
      </w:r>
      <w:r w:rsidR="00CE0C0C" w:rsidRPr="000A7305">
        <w:rPr>
          <w:sz w:val="20"/>
          <w:szCs w:val="20"/>
        </w:rPr>
        <w:t>Research.</w:t>
      </w:r>
      <w:r w:rsidR="002547BB" w:rsidRPr="000A7305">
        <w:rPr>
          <w:sz w:val="20"/>
          <w:szCs w:val="20"/>
        </w:rPr>
        <w:t xml:space="preserve"> </w:t>
      </w:r>
      <w:r w:rsidR="00CE0C0C" w:rsidRPr="000A7305">
        <w:rPr>
          <w:sz w:val="20"/>
          <w:szCs w:val="20"/>
        </w:rPr>
        <w:t>2016;46(8):758-764.</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t>N</w:t>
      </w:r>
      <w:r w:rsidR="00CE0C0C" w:rsidRPr="000A7305">
        <w:rPr>
          <w:bCs/>
          <w:i/>
          <w:iCs/>
          <w:sz w:val="20"/>
          <w:szCs w:val="20"/>
        </w:rPr>
        <w:t>euman</w:t>
      </w:r>
      <w:r w:rsidR="002547BB" w:rsidRPr="000A7305">
        <w:rPr>
          <w:bCs/>
          <w:i/>
          <w:iCs/>
          <w:sz w:val="20"/>
          <w:szCs w:val="20"/>
        </w:rPr>
        <w:t xml:space="preserve"> </w:t>
      </w:r>
      <w:r w:rsidR="00CE0C0C" w:rsidRPr="000A7305">
        <w:rPr>
          <w:bCs/>
          <w:i/>
          <w:iCs/>
          <w:sz w:val="20"/>
          <w:szCs w:val="20"/>
        </w:rPr>
        <w:t>MG,</w:t>
      </w:r>
      <w:r w:rsidR="002547BB" w:rsidRPr="000A7305">
        <w:rPr>
          <w:bCs/>
          <w:i/>
          <w:iCs/>
          <w:sz w:val="20"/>
          <w:szCs w:val="20"/>
        </w:rPr>
        <w:t xml:space="preserve"> </w:t>
      </w:r>
      <w:r w:rsidR="00CE0C0C" w:rsidRPr="000A7305">
        <w:rPr>
          <w:bCs/>
          <w:i/>
          <w:iCs/>
          <w:sz w:val="20"/>
          <w:szCs w:val="20"/>
        </w:rPr>
        <w:t>Cohen</w:t>
      </w:r>
      <w:r w:rsidR="002547BB" w:rsidRPr="000A7305">
        <w:rPr>
          <w:bCs/>
          <w:i/>
          <w:iCs/>
          <w:sz w:val="20"/>
          <w:szCs w:val="20"/>
        </w:rPr>
        <w:t xml:space="preserve"> </w:t>
      </w:r>
      <w:r w:rsidR="00CE0C0C" w:rsidRPr="000A7305">
        <w:rPr>
          <w:bCs/>
          <w:i/>
          <w:iCs/>
          <w:sz w:val="20"/>
          <w:szCs w:val="20"/>
        </w:rPr>
        <w:t>LB,</w:t>
      </w:r>
      <w:r w:rsidR="002547BB" w:rsidRPr="000A7305">
        <w:rPr>
          <w:bCs/>
          <w:i/>
          <w:iCs/>
          <w:sz w:val="20"/>
          <w:szCs w:val="20"/>
        </w:rPr>
        <w:t xml:space="preserve"> </w:t>
      </w:r>
      <w:r w:rsidR="00CE0C0C" w:rsidRPr="000A7305">
        <w:rPr>
          <w:bCs/>
          <w:i/>
          <w:iCs/>
          <w:sz w:val="20"/>
          <w:szCs w:val="20"/>
        </w:rPr>
        <w:t>and</w:t>
      </w:r>
      <w:r w:rsidR="002547BB" w:rsidRPr="000A7305">
        <w:rPr>
          <w:bCs/>
          <w:i/>
          <w:iCs/>
          <w:sz w:val="20"/>
          <w:szCs w:val="20"/>
        </w:rPr>
        <w:t xml:space="preserve"> </w:t>
      </w:r>
      <w:r w:rsidR="00CE0C0C" w:rsidRPr="000A7305">
        <w:rPr>
          <w:bCs/>
          <w:i/>
          <w:iCs/>
          <w:sz w:val="20"/>
          <w:szCs w:val="20"/>
        </w:rPr>
        <w:t>Nanau</w:t>
      </w:r>
      <w:r w:rsidR="002547BB" w:rsidRPr="000A7305">
        <w:rPr>
          <w:bCs/>
          <w:i/>
          <w:iCs/>
          <w:sz w:val="20"/>
          <w:szCs w:val="20"/>
        </w:rPr>
        <w:t xml:space="preserve"> </w:t>
      </w:r>
      <w:r w:rsidR="00CE0C0C" w:rsidRPr="000A7305">
        <w:rPr>
          <w:bCs/>
          <w:i/>
          <w:iCs/>
          <w:sz w:val="20"/>
          <w:szCs w:val="20"/>
        </w:rPr>
        <w:t>RM</w:t>
      </w:r>
      <w:r w:rsidR="00CE0C0C" w:rsidRPr="000A7305">
        <w:rPr>
          <w:sz w:val="20"/>
          <w:szCs w:val="20"/>
        </w:rPr>
        <w:t>.</w:t>
      </w:r>
      <w:r w:rsidR="002547BB" w:rsidRPr="000A7305">
        <w:rPr>
          <w:sz w:val="20"/>
          <w:szCs w:val="20"/>
        </w:rPr>
        <w:t xml:space="preserve"> </w:t>
      </w:r>
      <w:r w:rsidR="00CE0C0C" w:rsidRPr="000A7305">
        <w:rPr>
          <w:sz w:val="20"/>
          <w:szCs w:val="20"/>
        </w:rPr>
        <w:t>Hyaluronic</w:t>
      </w:r>
      <w:r w:rsidR="002547BB" w:rsidRPr="000A7305">
        <w:rPr>
          <w:sz w:val="20"/>
          <w:szCs w:val="20"/>
        </w:rPr>
        <w:t xml:space="preserve"> </w:t>
      </w:r>
      <w:r w:rsidR="00CE0C0C" w:rsidRPr="000A7305">
        <w:rPr>
          <w:sz w:val="20"/>
          <w:szCs w:val="20"/>
        </w:rPr>
        <w:t>acid</w:t>
      </w:r>
      <w:r w:rsidR="002547BB" w:rsidRPr="000A7305">
        <w:rPr>
          <w:sz w:val="20"/>
          <w:szCs w:val="20"/>
        </w:rPr>
        <w:t xml:space="preserve"> </w:t>
      </w:r>
      <w:r w:rsidR="00CE0C0C" w:rsidRPr="000A7305">
        <w:rPr>
          <w:sz w:val="20"/>
          <w:szCs w:val="20"/>
        </w:rPr>
        <w:t>as</w:t>
      </w:r>
      <w:r w:rsidR="002547BB" w:rsidRPr="000A7305">
        <w:rPr>
          <w:sz w:val="20"/>
          <w:szCs w:val="20"/>
        </w:rPr>
        <w:t xml:space="preserve"> </w:t>
      </w:r>
      <w:r w:rsidR="00CE0C0C" w:rsidRPr="000A7305">
        <w:rPr>
          <w:sz w:val="20"/>
          <w:szCs w:val="20"/>
        </w:rPr>
        <w:t>a</w:t>
      </w:r>
      <w:r w:rsidR="002547BB" w:rsidRPr="000A7305">
        <w:rPr>
          <w:sz w:val="20"/>
          <w:szCs w:val="20"/>
        </w:rPr>
        <w:t xml:space="preserve"> </w:t>
      </w:r>
      <w:r w:rsidR="00CE0C0C" w:rsidRPr="000A7305">
        <w:rPr>
          <w:sz w:val="20"/>
          <w:szCs w:val="20"/>
        </w:rPr>
        <w:t>non-invasive</w:t>
      </w:r>
      <w:r w:rsidR="002547BB" w:rsidRPr="000A7305">
        <w:rPr>
          <w:sz w:val="20"/>
          <w:szCs w:val="20"/>
        </w:rPr>
        <w:t xml:space="preserve"> </w:t>
      </w:r>
      <w:r w:rsidR="00CE0C0C" w:rsidRPr="000A7305">
        <w:rPr>
          <w:sz w:val="20"/>
          <w:szCs w:val="20"/>
        </w:rPr>
        <w:t>biomarker</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liver</w:t>
      </w:r>
      <w:r w:rsidR="002547BB" w:rsidRPr="000A7305">
        <w:rPr>
          <w:sz w:val="20"/>
          <w:szCs w:val="20"/>
        </w:rPr>
        <w:t xml:space="preserve"> </w:t>
      </w:r>
      <w:r w:rsidR="00CE0C0C" w:rsidRPr="000A7305">
        <w:rPr>
          <w:sz w:val="20"/>
          <w:szCs w:val="20"/>
        </w:rPr>
        <w:t>fibrosis.</w:t>
      </w:r>
      <w:r w:rsidR="002547BB" w:rsidRPr="000A7305">
        <w:rPr>
          <w:sz w:val="20"/>
          <w:szCs w:val="20"/>
        </w:rPr>
        <w:t xml:space="preserve"> </w:t>
      </w:r>
      <w:r w:rsidR="00CE0C0C" w:rsidRPr="000A7305">
        <w:rPr>
          <w:sz w:val="20"/>
          <w:szCs w:val="20"/>
        </w:rPr>
        <w:t>Clinical</w:t>
      </w:r>
      <w:r w:rsidR="002547BB" w:rsidRPr="000A7305">
        <w:rPr>
          <w:sz w:val="20"/>
          <w:szCs w:val="20"/>
        </w:rPr>
        <w:t xml:space="preserve"> </w:t>
      </w:r>
      <w:r w:rsidR="00CE0C0C" w:rsidRPr="000A7305">
        <w:rPr>
          <w:sz w:val="20"/>
          <w:szCs w:val="20"/>
        </w:rPr>
        <w:t>biochemistry.</w:t>
      </w:r>
      <w:r w:rsidR="002547BB" w:rsidRPr="000A7305">
        <w:rPr>
          <w:sz w:val="20"/>
          <w:szCs w:val="20"/>
        </w:rPr>
        <w:t xml:space="preserve"> </w:t>
      </w:r>
      <w:r w:rsidR="00CE0C0C" w:rsidRPr="000A7305">
        <w:rPr>
          <w:sz w:val="20"/>
          <w:szCs w:val="20"/>
        </w:rPr>
        <w:t>2016;49(3):302-315.</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lastRenderedPageBreak/>
        <w:t>D</w:t>
      </w:r>
      <w:r w:rsidR="00CE0C0C" w:rsidRPr="000A7305">
        <w:rPr>
          <w:bCs/>
          <w:i/>
          <w:iCs/>
          <w:sz w:val="20"/>
          <w:szCs w:val="20"/>
        </w:rPr>
        <w:t>e</w:t>
      </w:r>
      <w:r w:rsidR="002547BB" w:rsidRPr="000A7305">
        <w:rPr>
          <w:bCs/>
          <w:i/>
          <w:iCs/>
          <w:sz w:val="20"/>
          <w:szCs w:val="20"/>
        </w:rPr>
        <w:t xml:space="preserve"> </w:t>
      </w:r>
      <w:r w:rsidR="00CE0C0C" w:rsidRPr="000A7305">
        <w:rPr>
          <w:bCs/>
          <w:i/>
          <w:iCs/>
          <w:sz w:val="20"/>
          <w:szCs w:val="20"/>
        </w:rPr>
        <w:t>Lucca</w:t>
      </w:r>
      <w:r w:rsidR="002547BB" w:rsidRPr="000A7305">
        <w:rPr>
          <w:bCs/>
          <w:i/>
          <w:iCs/>
          <w:sz w:val="20"/>
          <w:szCs w:val="20"/>
        </w:rPr>
        <w:t xml:space="preserve"> </w:t>
      </w:r>
      <w:r w:rsidR="00CE0C0C" w:rsidRPr="000A7305">
        <w:rPr>
          <w:bCs/>
          <w:i/>
          <w:iCs/>
          <w:sz w:val="20"/>
          <w:szCs w:val="20"/>
        </w:rPr>
        <w:t>Schiavon</w:t>
      </w:r>
      <w:r w:rsidR="002547BB" w:rsidRPr="000A7305">
        <w:rPr>
          <w:bCs/>
          <w:i/>
          <w:iCs/>
          <w:sz w:val="20"/>
          <w:szCs w:val="20"/>
        </w:rPr>
        <w:t xml:space="preserve"> </w:t>
      </w:r>
      <w:r w:rsidR="00CE0C0C" w:rsidRPr="000A7305">
        <w:rPr>
          <w:bCs/>
          <w:i/>
          <w:iCs/>
          <w:sz w:val="20"/>
          <w:szCs w:val="20"/>
        </w:rPr>
        <w:t>L,</w:t>
      </w:r>
      <w:r w:rsidR="002547BB" w:rsidRPr="000A7305">
        <w:rPr>
          <w:bCs/>
          <w:i/>
          <w:iCs/>
          <w:sz w:val="20"/>
          <w:szCs w:val="20"/>
        </w:rPr>
        <w:t xml:space="preserve"> </w:t>
      </w:r>
      <w:r w:rsidR="00CE0C0C" w:rsidRPr="000A7305">
        <w:rPr>
          <w:bCs/>
          <w:i/>
          <w:iCs/>
          <w:sz w:val="20"/>
          <w:szCs w:val="20"/>
        </w:rPr>
        <w:t>Narciso-Schiavon</w:t>
      </w:r>
      <w:r w:rsidR="002547BB" w:rsidRPr="000A7305">
        <w:rPr>
          <w:bCs/>
          <w:i/>
          <w:iCs/>
          <w:sz w:val="20"/>
          <w:szCs w:val="20"/>
        </w:rPr>
        <w:t xml:space="preserve"> </w:t>
      </w:r>
      <w:r w:rsidR="00CE0C0C" w:rsidRPr="000A7305">
        <w:rPr>
          <w:bCs/>
          <w:i/>
          <w:iCs/>
          <w:sz w:val="20"/>
          <w:szCs w:val="20"/>
        </w:rPr>
        <w:t>JL,</w:t>
      </w:r>
      <w:r w:rsidR="002547BB" w:rsidRPr="000A7305">
        <w:rPr>
          <w:bCs/>
          <w:i/>
          <w:iCs/>
          <w:sz w:val="20"/>
          <w:szCs w:val="20"/>
        </w:rPr>
        <w:t xml:space="preserve"> </w:t>
      </w:r>
      <w:r w:rsidR="00CE0C0C" w:rsidRPr="000A7305">
        <w:rPr>
          <w:bCs/>
          <w:i/>
          <w:iCs/>
          <w:sz w:val="20"/>
          <w:szCs w:val="20"/>
        </w:rPr>
        <w:t>and</w:t>
      </w:r>
      <w:r w:rsidR="002547BB" w:rsidRPr="000A7305">
        <w:rPr>
          <w:bCs/>
          <w:i/>
          <w:iCs/>
          <w:sz w:val="20"/>
          <w:szCs w:val="20"/>
        </w:rPr>
        <w:t xml:space="preserve"> </w:t>
      </w:r>
      <w:r w:rsidR="00CE0C0C" w:rsidRPr="000A7305">
        <w:rPr>
          <w:bCs/>
          <w:i/>
          <w:iCs/>
          <w:sz w:val="20"/>
          <w:szCs w:val="20"/>
        </w:rPr>
        <w:t>De</w:t>
      </w:r>
      <w:r w:rsidR="002547BB" w:rsidRPr="000A7305">
        <w:rPr>
          <w:bCs/>
          <w:i/>
          <w:iCs/>
          <w:sz w:val="20"/>
          <w:szCs w:val="20"/>
        </w:rPr>
        <w:t xml:space="preserve"> </w:t>
      </w:r>
      <w:r w:rsidR="00CE0C0C" w:rsidRPr="000A7305">
        <w:rPr>
          <w:bCs/>
          <w:i/>
          <w:iCs/>
          <w:sz w:val="20"/>
          <w:szCs w:val="20"/>
        </w:rPr>
        <w:t>Carvalho-Filho</w:t>
      </w:r>
      <w:r w:rsidR="002547BB" w:rsidRPr="000A7305">
        <w:rPr>
          <w:bCs/>
          <w:i/>
          <w:iCs/>
          <w:sz w:val="20"/>
          <w:szCs w:val="20"/>
        </w:rPr>
        <w:t xml:space="preserve"> </w:t>
      </w:r>
      <w:r w:rsidR="00CE0C0C" w:rsidRPr="000A7305">
        <w:rPr>
          <w:bCs/>
          <w:i/>
          <w:iCs/>
          <w:sz w:val="20"/>
          <w:szCs w:val="20"/>
        </w:rPr>
        <w:t>RJ</w:t>
      </w:r>
      <w:r w:rsidR="00CE0C0C" w:rsidRPr="000A7305">
        <w:rPr>
          <w:sz w:val="20"/>
          <w:szCs w:val="20"/>
        </w:rPr>
        <w:t>.</w:t>
      </w:r>
      <w:r w:rsidR="002547BB" w:rsidRPr="000A7305">
        <w:rPr>
          <w:sz w:val="20"/>
          <w:szCs w:val="20"/>
        </w:rPr>
        <w:t xml:space="preserve"> </w:t>
      </w:r>
      <w:r w:rsidR="00CE0C0C" w:rsidRPr="000A7305">
        <w:rPr>
          <w:sz w:val="20"/>
          <w:szCs w:val="20"/>
        </w:rPr>
        <w:t>Non-invasive</w:t>
      </w:r>
      <w:r w:rsidR="002547BB" w:rsidRPr="000A7305">
        <w:rPr>
          <w:sz w:val="20"/>
          <w:szCs w:val="20"/>
        </w:rPr>
        <w:t xml:space="preserve"> </w:t>
      </w:r>
      <w:r w:rsidR="00CE0C0C" w:rsidRPr="000A7305">
        <w:rPr>
          <w:sz w:val="20"/>
          <w:szCs w:val="20"/>
        </w:rPr>
        <w:t>diagnosis</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liver</w:t>
      </w:r>
      <w:r w:rsidR="002547BB" w:rsidRPr="000A7305">
        <w:rPr>
          <w:sz w:val="20"/>
          <w:szCs w:val="20"/>
        </w:rPr>
        <w:t xml:space="preserve"> </w:t>
      </w:r>
      <w:r w:rsidR="00CE0C0C" w:rsidRPr="000A7305">
        <w:rPr>
          <w:sz w:val="20"/>
          <w:szCs w:val="20"/>
        </w:rPr>
        <w:t>fibrosis</w:t>
      </w:r>
      <w:r w:rsidR="002547BB" w:rsidRPr="000A7305">
        <w:rPr>
          <w:sz w:val="20"/>
          <w:szCs w:val="20"/>
        </w:rPr>
        <w:t xml:space="preserve"> </w:t>
      </w:r>
      <w:r w:rsidR="00CE0C0C" w:rsidRPr="000A7305">
        <w:rPr>
          <w:sz w:val="20"/>
          <w:szCs w:val="20"/>
        </w:rPr>
        <w:t>in</w:t>
      </w:r>
      <w:r w:rsidR="002547BB" w:rsidRPr="000A7305">
        <w:rPr>
          <w:sz w:val="20"/>
          <w:szCs w:val="20"/>
        </w:rPr>
        <w:t xml:space="preserve"> </w:t>
      </w:r>
      <w:r w:rsidR="00CE0C0C" w:rsidRPr="000A7305">
        <w:rPr>
          <w:sz w:val="20"/>
          <w:szCs w:val="20"/>
        </w:rPr>
        <w:t>chronic</w:t>
      </w:r>
      <w:r w:rsidR="002547BB" w:rsidRPr="000A7305">
        <w:rPr>
          <w:sz w:val="20"/>
          <w:szCs w:val="20"/>
        </w:rPr>
        <w:t xml:space="preserve"> </w:t>
      </w:r>
      <w:r w:rsidR="00CE0C0C" w:rsidRPr="000A7305">
        <w:rPr>
          <w:sz w:val="20"/>
          <w:szCs w:val="20"/>
        </w:rPr>
        <w:t>hepatitis</w:t>
      </w:r>
      <w:r w:rsidR="002547BB" w:rsidRPr="000A7305">
        <w:rPr>
          <w:sz w:val="20"/>
          <w:szCs w:val="20"/>
        </w:rPr>
        <w:t xml:space="preserve"> </w:t>
      </w:r>
      <w:r w:rsidR="00CE0C0C" w:rsidRPr="000A7305">
        <w:rPr>
          <w:sz w:val="20"/>
          <w:szCs w:val="20"/>
        </w:rPr>
        <w:t>C.</w:t>
      </w:r>
      <w:r w:rsidR="002547BB" w:rsidRPr="000A7305">
        <w:rPr>
          <w:sz w:val="20"/>
          <w:szCs w:val="20"/>
        </w:rPr>
        <w:t xml:space="preserve"> </w:t>
      </w:r>
      <w:r w:rsidR="00CE0C0C" w:rsidRPr="000A7305">
        <w:rPr>
          <w:sz w:val="20"/>
          <w:szCs w:val="20"/>
        </w:rPr>
        <w:t>World</w:t>
      </w:r>
      <w:r w:rsidR="002547BB" w:rsidRPr="000A7305">
        <w:rPr>
          <w:sz w:val="20"/>
          <w:szCs w:val="20"/>
        </w:rPr>
        <w:t xml:space="preserve"> </w:t>
      </w:r>
      <w:r w:rsidR="00CE0C0C" w:rsidRPr="000A7305">
        <w:rPr>
          <w:sz w:val="20"/>
          <w:szCs w:val="20"/>
        </w:rPr>
        <w:t>Journal</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Gastroenterology:</w:t>
      </w:r>
      <w:r w:rsidR="002547BB" w:rsidRPr="000A7305">
        <w:rPr>
          <w:sz w:val="20"/>
          <w:szCs w:val="20"/>
        </w:rPr>
        <w:t xml:space="preserve"> </w:t>
      </w:r>
      <w:r w:rsidR="00CE0C0C" w:rsidRPr="000A7305">
        <w:rPr>
          <w:sz w:val="20"/>
          <w:szCs w:val="20"/>
        </w:rPr>
        <w:t>WJG.</w:t>
      </w:r>
      <w:r w:rsidR="002547BB" w:rsidRPr="000A7305">
        <w:rPr>
          <w:sz w:val="20"/>
          <w:szCs w:val="20"/>
        </w:rPr>
        <w:t xml:space="preserve"> </w:t>
      </w:r>
      <w:r w:rsidR="00CE0C0C" w:rsidRPr="000A7305">
        <w:rPr>
          <w:sz w:val="20"/>
          <w:szCs w:val="20"/>
        </w:rPr>
        <w:t>2014;20(11):2854.</w:t>
      </w:r>
    </w:p>
    <w:p w:rsidR="00E5246E"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t>S</w:t>
      </w:r>
      <w:r w:rsidR="00866E6F" w:rsidRPr="000A7305">
        <w:rPr>
          <w:bCs/>
          <w:i/>
          <w:iCs/>
          <w:sz w:val="20"/>
          <w:szCs w:val="20"/>
        </w:rPr>
        <w:t>ebastiani</w:t>
      </w:r>
      <w:r w:rsidR="002547BB" w:rsidRPr="000A7305">
        <w:rPr>
          <w:bCs/>
          <w:i/>
          <w:iCs/>
          <w:sz w:val="20"/>
          <w:szCs w:val="20"/>
        </w:rPr>
        <w:t xml:space="preserve"> </w:t>
      </w:r>
      <w:r w:rsidR="00866E6F" w:rsidRPr="000A7305">
        <w:rPr>
          <w:bCs/>
          <w:i/>
          <w:iCs/>
          <w:sz w:val="20"/>
          <w:szCs w:val="20"/>
        </w:rPr>
        <w:t>G,</w:t>
      </w:r>
      <w:r w:rsidR="002547BB" w:rsidRPr="000A7305">
        <w:rPr>
          <w:bCs/>
          <w:i/>
          <w:iCs/>
          <w:sz w:val="20"/>
          <w:szCs w:val="20"/>
        </w:rPr>
        <w:t xml:space="preserve"> </w:t>
      </w:r>
      <w:r w:rsidR="00866E6F" w:rsidRPr="000A7305">
        <w:rPr>
          <w:bCs/>
          <w:i/>
          <w:iCs/>
          <w:sz w:val="20"/>
          <w:szCs w:val="20"/>
        </w:rPr>
        <w:t>and</w:t>
      </w:r>
      <w:r w:rsidR="002547BB" w:rsidRPr="000A7305">
        <w:rPr>
          <w:bCs/>
          <w:i/>
          <w:iCs/>
          <w:sz w:val="20"/>
          <w:szCs w:val="20"/>
        </w:rPr>
        <w:t xml:space="preserve"> </w:t>
      </w:r>
      <w:r w:rsidR="00866E6F" w:rsidRPr="000A7305">
        <w:rPr>
          <w:bCs/>
          <w:i/>
          <w:iCs/>
          <w:sz w:val="20"/>
          <w:szCs w:val="20"/>
        </w:rPr>
        <w:t>Alberti</w:t>
      </w:r>
      <w:r w:rsidR="002547BB" w:rsidRPr="000A7305">
        <w:rPr>
          <w:bCs/>
          <w:i/>
          <w:iCs/>
          <w:sz w:val="20"/>
          <w:szCs w:val="20"/>
        </w:rPr>
        <w:t xml:space="preserve"> </w:t>
      </w:r>
      <w:r w:rsidR="00866E6F" w:rsidRPr="000A7305">
        <w:rPr>
          <w:bCs/>
          <w:i/>
          <w:iCs/>
          <w:sz w:val="20"/>
          <w:szCs w:val="20"/>
        </w:rPr>
        <w:t>A.</w:t>
      </w:r>
      <w:r w:rsidR="002547BB" w:rsidRPr="000A7305">
        <w:rPr>
          <w:bCs/>
          <w:i/>
          <w:iCs/>
          <w:sz w:val="20"/>
          <w:szCs w:val="20"/>
        </w:rPr>
        <w:t xml:space="preserve"> </w:t>
      </w:r>
      <w:r w:rsidR="00866E6F" w:rsidRPr="000A7305">
        <w:rPr>
          <w:sz w:val="20"/>
          <w:szCs w:val="20"/>
        </w:rPr>
        <w:t>How</w:t>
      </w:r>
      <w:r w:rsidR="002547BB" w:rsidRPr="000A7305">
        <w:rPr>
          <w:sz w:val="20"/>
          <w:szCs w:val="20"/>
        </w:rPr>
        <w:t xml:space="preserve"> </w:t>
      </w:r>
      <w:r w:rsidR="00866E6F" w:rsidRPr="000A7305">
        <w:rPr>
          <w:sz w:val="20"/>
          <w:szCs w:val="20"/>
        </w:rPr>
        <w:t>far</w:t>
      </w:r>
      <w:r w:rsidR="002547BB" w:rsidRPr="000A7305">
        <w:rPr>
          <w:sz w:val="20"/>
          <w:szCs w:val="20"/>
        </w:rPr>
        <w:t xml:space="preserve"> </w:t>
      </w:r>
      <w:r w:rsidR="00866E6F" w:rsidRPr="000A7305">
        <w:rPr>
          <w:sz w:val="20"/>
          <w:szCs w:val="20"/>
        </w:rPr>
        <w:t>is</w:t>
      </w:r>
      <w:r w:rsidR="002547BB" w:rsidRPr="000A7305">
        <w:rPr>
          <w:sz w:val="20"/>
          <w:szCs w:val="20"/>
        </w:rPr>
        <w:t xml:space="preserve"> </w:t>
      </w:r>
      <w:r w:rsidR="00866E6F" w:rsidRPr="000A7305">
        <w:rPr>
          <w:sz w:val="20"/>
          <w:szCs w:val="20"/>
        </w:rPr>
        <w:t>noninvasive</w:t>
      </w:r>
      <w:r w:rsidR="002547BB" w:rsidRPr="000A7305">
        <w:rPr>
          <w:sz w:val="20"/>
          <w:szCs w:val="20"/>
        </w:rPr>
        <w:t xml:space="preserve"> </w:t>
      </w:r>
      <w:r w:rsidR="00866E6F" w:rsidRPr="000A7305">
        <w:rPr>
          <w:sz w:val="20"/>
          <w:szCs w:val="20"/>
        </w:rPr>
        <w:t>assessment</w:t>
      </w:r>
      <w:r w:rsidR="002547BB" w:rsidRPr="000A7305">
        <w:rPr>
          <w:sz w:val="20"/>
          <w:szCs w:val="20"/>
        </w:rPr>
        <w:t xml:space="preserve"> </w:t>
      </w:r>
      <w:r w:rsidR="00866E6F" w:rsidRPr="000A7305">
        <w:rPr>
          <w:sz w:val="20"/>
          <w:szCs w:val="20"/>
        </w:rPr>
        <w:t>of</w:t>
      </w:r>
      <w:r w:rsidR="002547BB" w:rsidRPr="000A7305">
        <w:rPr>
          <w:sz w:val="20"/>
          <w:szCs w:val="20"/>
        </w:rPr>
        <w:t xml:space="preserve"> </w:t>
      </w:r>
      <w:r w:rsidR="00866E6F" w:rsidRPr="000A7305">
        <w:rPr>
          <w:sz w:val="20"/>
          <w:szCs w:val="20"/>
        </w:rPr>
        <w:t>liver</w:t>
      </w:r>
      <w:r w:rsidR="002547BB" w:rsidRPr="000A7305">
        <w:rPr>
          <w:sz w:val="20"/>
          <w:szCs w:val="20"/>
        </w:rPr>
        <w:t xml:space="preserve"> </w:t>
      </w:r>
      <w:r w:rsidR="00866E6F" w:rsidRPr="000A7305">
        <w:rPr>
          <w:sz w:val="20"/>
          <w:szCs w:val="20"/>
        </w:rPr>
        <w:t>fibrosis</w:t>
      </w:r>
      <w:r w:rsidR="002547BB" w:rsidRPr="000A7305">
        <w:rPr>
          <w:sz w:val="20"/>
          <w:szCs w:val="20"/>
        </w:rPr>
        <w:t xml:space="preserve"> </w:t>
      </w:r>
      <w:r w:rsidR="00866E6F" w:rsidRPr="000A7305">
        <w:rPr>
          <w:sz w:val="20"/>
          <w:szCs w:val="20"/>
        </w:rPr>
        <w:t>from</w:t>
      </w:r>
      <w:r w:rsidR="002547BB" w:rsidRPr="000A7305">
        <w:rPr>
          <w:sz w:val="20"/>
          <w:szCs w:val="20"/>
        </w:rPr>
        <w:t xml:space="preserve"> </w:t>
      </w:r>
      <w:r w:rsidR="00866E6F" w:rsidRPr="000A7305">
        <w:rPr>
          <w:sz w:val="20"/>
          <w:szCs w:val="20"/>
        </w:rPr>
        <w:t>replacing</w:t>
      </w:r>
      <w:r w:rsidR="002547BB" w:rsidRPr="000A7305">
        <w:rPr>
          <w:sz w:val="20"/>
          <w:szCs w:val="20"/>
        </w:rPr>
        <w:t xml:space="preserve"> </w:t>
      </w:r>
      <w:r w:rsidR="00866E6F" w:rsidRPr="000A7305">
        <w:rPr>
          <w:sz w:val="20"/>
          <w:szCs w:val="20"/>
        </w:rPr>
        <w:t>liver</w:t>
      </w:r>
      <w:r w:rsidR="002547BB" w:rsidRPr="000A7305">
        <w:rPr>
          <w:sz w:val="20"/>
          <w:szCs w:val="20"/>
        </w:rPr>
        <w:t xml:space="preserve"> </w:t>
      </w:r>
      <w:r w:rsidR="00866E6F" w:rsidRPr="000A7305">
        <w:rPr>
          <w:sz w:val="20"/>
          <w:szCs w:val="20"/>
        </w:rPr>
        <w:t>biopsy</w:t>
      </w:r>
      <w:r w:rsidR="002547BB" w:rsidRPr="000A7305">
        <w:rPr>
          <w:sz w:val="20"/>
          <w:szCs w:val="20"/>
        </w:rPr>
        <w:t xml:space="preserve"> </w:t>
      </w:r>
      <w:r w:rsidR="00866E6F" w:rsidRPr="000A7305">
        <w:rPr>
          <w:sz w:val="20"/>
          <w:szCs w:val="20"/>
        </w:rPr>
        <w:t>in</w:t>
      </w:r>
      <w:r w:rsidR="002547BB" w:rsidRPr="000A7305">
        <w:rPr>
          <w:sz w:val="20"/>
          <w:szCs w:val="20"/>
        </w:rPr>
        <w:t xml:space="preserve"> </w:t>
      </w:r>
      <w:r w:rsidR="00866E6F" w:rsidRPr="000A7305">
        <w:rPr>
          <w:sz w:val="20"/>
          <w:szCs w:val="20"/>
        </w:rPr>
        <w:t>hepatitis</w:t>
      </w:r>
      <w:r w:rsidR="002547BB" w:rsidRPr="000A7305">
        <w:rPr>
          <w:sz w:val="20"/>
          <w:szCs w:val="20"/>
        </w:rPr>
        <w:t xml:space="preserve"> </w:t>
      </w:r>
      <w:r w:rsidR="00866E6F" w:rsidRPr="000A7305">
        <w:rPr>
          <w:sz w:val="20"/>
          <w:szCs w:val="20"/>
        </w:rPr>
        <w:t>C?</w:t>
      </w:r>
      <w:r w:rsidR="002547BB" w:rsidRPr="000A7305">
        <w:rPr>
          <w:sz w:val="20"/>
          <w:szCs w:val="20"/>
        </w:rPr>
        <w:t xml:space="preserve"> </w:t>
      </w:r>
      <w:r w:rsidR="00866E6F" w:rsidRPr="000A7305">
        <w:rPr>
          <w:sz w:val="20"/>
          <w:szCs w:val="20"/>
        </w:rPr>
        <w:t>Journal</w:t>
      </w:r>
      <w:r w:rsidR="002547BB" w:rsidRPr="000A7305">
        <w:rPr>
          <w:sz w:val="20"/>
          <w:szCs w:val="20"/>
        </w:rPr>
        <w:t xml:space="preserve"> </w:t>
      </w:r>
      <w:r w:rsidR="00866E6F" w:rsidRPr="000A7305">
        <w:rPr>
          <w:sz w:val="20"/>
          <w:szCs w:val="20"/>
        </w:rPr>
        <w:t>of</w:t>
      </w:r>
      <w:r w:rsidR="002547BB" w:rsidRPr="000A7305">
        <w:rPr>
          <w:sz w:val="20"/>
          <w:szCs w:val="20"/>
        </w:rPr>
        <w:t xml:space="preserve"> </w:t>
      </w:r>
      <w:r w:rsidR="00866E6F" w:rsidRPr="000A7305">
        <w:rPr>
          <w:sz w:val="20"/>
          <w:szCs w:val="20"/>
        </w:rPr>
        <w:t>viral</w:t>
      </w:r>
      <w:r w:rsidR="002547BB" w:rsidRPr="000A7305">
        <w:rPr>
          <w:sz w:val="20"/>
          <w:szCs w:val="20"/>
        </w:rPr>
        <w:t xml:space="preserve"> </w:t>
      </w:r>
      <w:r w:rsidR="00866E6F" w:rsidRPr="000A7305">
        <w:rPr>
          <w:sz w:val="20"/>
          <w:szCs w:val="20"/>
        </w:rPr>
        <w:t>hepatitis.</w:t>
      </w:r>
      <w:r w:rsidR="002547BB" w:rsidRPr="000A7305">
        <w:rPr>
          <w:sz w:val="20"/>
          <w:szCs w:val="20"/>
        </w:rPr>
        <w:t xml:space="preserve"> </w:t>
      </w:r>
      <w:r w:rsidR="00866E6F" w:rsidRPr="000A7305">
        <w:rPr>
          <w:sz w:val="20"/>
          <w:szCs w:val="20"/>
        </w:rPr>
        <w:t>2012;19:18-32.</w:t>
      </w:r>
    </w:p>
    <w:p w:rsidR="00AC3B9C" w:rsidRPr="000A7305" w:rsidRDefault="00E5246E" w:rsidP="00666DFC">
      <w:pPr>
        <w:pStyle w:val="EndNoteBibliography"/>
        <w:numPr>
          <w:ilvl w:val="1"/>
          <w:numId w:val="31"/>
        </w:numPr>
        <w:snapToGrid w:val="0"/>
        <w:spacing w:after="0" w:line="240" w:lineRule="auto"/>
        <w:ind w:left="425" w:hanging="425"/>
        <w:rPr>
          <w:sz w:val="20"/>
          <w:szCs w:val="20"/>
        </w:rPr>
      </w:pPr>
      <w:r w:rsidRPr="000A7305">
        <w:rPr>
          <w:bCs/>
          <w:i/>
          <w:iCs/>
          <w:sz w:val="20"/>
          <w:szCs w:val="20"/>
        </w:rPr>
        <w:t>E</w:t>
      </w:r>
      <w:r w:rsidR="00CE0C0C" w:rsidRPr="000A7305">
        <w:rPr>
          <w:bCs/>
          <w:i/>
          <w:iCs/>
          <w:sz w:val="20"/>
          <w:szCs w:val="20"/>
        </w:rPr>
        <w:t>l-Shabrawi</w:t>
      </w:r>
      <w:r w:rsidR="002547BB" w:rsidRPr="000A7305">
        <w:rPr>
          <w:bCs/>
          <w:i/>
          <w:iCs/>
          <w:sz w:val="20"/>
          <w:szCs w:val="20"/>
        </w:rPr>
        <w:t xml:space="preserve"> </w:t>
      </w:r>
      <w:r w:rsidR="00CE0C0C" w:rsidRPr="000A7305">
        <w:rPr>
          <w:bCs/>
          <w:i/>
          <w:iCs/>
          <w:sz w:val="20"/>
          <w:szCs w:val="20"/>
        </w:rPr>
        <w:t>MH,</w:t>
      </w:r>
      <w:r w:rsidR="002547BB" w:rsidRPr="000A7305">
        <w:rPr>
          <w:bCs/>
          <w:i/>
          <w:iCs/>
          <w:sz w:val="20"/>
          <w:szCs w:val="20"/>
        </w:rPr>
        <w:t xml:space="preserve"> </w:t>
      </w:r>
      <w:r w:rsidR="00CE0C0C" w:rsidRPr="000A7305">
        <w:rPr>
          <w:bCs/>
          <w:i/>
          <w:iCs/>
          <w:sz w:val="20"/>
          <w:szCs w:val="20"/>
        </w:rPr>
        <w:t>El</w:t>
      </w:r>
      <w:r w:rsidR="002547BB" w:rsidRPr="000A7305">
        <w:rPr>
          <w:bCs/>
          <w:i/>
          <w:iCs/>
          <w:sz w:val="20"/>
          <w:szCs w:val="20"/>
        </w:rPr>
        <w:t xml:space="preserve"> </w:t>
      </w:r>
      <w:r w:rsidR="00CE0C0C" w:rsidRPr="000A7305">
        <w:rPr>
          <w:bCs/>
          <w:i/>
          <w:iCs/>
          <w:sz w:val="20"/>
          <w:szCs w:val="20"/>
        </w:rPr>
        <w:t>Abedin</w:t>
      </w:r>
      <w:r w:rsidR="002547BB" w:rsidRPr="000A7305">
        <w:rPr>
          <w:bCs/>
          <w:i/>
          <w:iCs/>
          <w:sz w:val="20"/>
          <w:szCs w:val="20"/>
        </w:rPr>
        <w:t xml:space="preserve"> </w:t>
      </w:r>
      <w:r w:rsidR="00CE0C0C" w:rsidRPr="000A7305">
        <w:rPr>
          <w:bCs/>
          <w:i/>
          <w:iCs/>
          <w:sz w:val="20"/>
          <w:szCs w:val="20"/>
        </w:rPr>
        <w:t>MYZ,</w:t>
      </w:r>
      <w:r w:rsidR="002547BB" w:rsidRPr="000A7305">
        <w:rPr>
          <w:bCs/>
          <w:i/>
          <w:iCs/>
          <w:sz w:val="20"/>
          <w:szCs w:val="20"/>
        </w:rPr>
        <w:t xml:space="preserve"> </w:t>
      </w:r>
      <w:r w:rsidR="00CE0C0C" w:rsidRPr="000A7305">
        <w:rPr>
          <w:bCs/>
          <w:i/>
          <w:iCs/>
          <w:sz w:val="20"/>
          <w:szCs w:val="20"/>
        </w:rPr>
        <w:t>Omar</w:t>
      </w:r>
      <w:r w:rsidR="002547BB" w:rsidRPr="000A7305">
        <w:rPr>
          <w:bCs/>
          <w:i/>
          <w:iCs/>
          <w:sz w:val="20"/>
          <w:szCs w:val="20"/>
        </w:rPr>
        <w:t xml:space="preserve"> </w:t>
      </w:r>
      <w:r w:rsidR="00CE0C0C" w:rsidRPr="000A7305">
        <w:rPr>
          <w:bCs/>
          <w:i/>
          <w:iCs/>
          <w:sz w:val="20"/>
          <w:szCs w:val="20"/>
        </w:rPr>
        <w:t>N,</w:t>
      </w:r>
      <w:r w:rsidR="002547BB" w:rsidRPr="000A7305">
        <w:rPr>
          <w:bCs/>
          <w:i/>
          <w:iCs/>
          <w:sz w:val="20"/>
          <w:szCs w:val="20"/>
        </w:rPr>
        <w:t xml:space="preserve"> </w:t>
      </w:r>
      <w:r w:rsidR="00CE0C0C" w:rsidRPr="000A7305">
        <w:rPr>
          <w:bCs/>
          <w:i/>
          <w:iCs/>
          <w:sz w:val="20"/>
          <w:szCs w:val="20"/>
        </w:rPr>
        <w:t>Kamal</w:t>
      </w:r>
      <w:r w:rsidR="002547BB" w:rsidRPr="000A7305">
        <w:rPr>
          <w:bCs/>
          <w:i/>
          <w:iCs/>
          <w:sz w:val="20"/>
          <w:szCs w:val="20"/>
        </w:rPr>
        <w:t xml:space="preserve"> </w:t>
      </w:r>
      <w:r w:rsidR="00CE0C0C" w:rsidRPr="000A7305">
        <w:rPr>
          <w:bCs/>
          <w:i/>
          <w:iCs/>
          <w:sz w:val="20"/>
          <w:szCs w:val="20"/>
        </w:rPr>
        <w:t>NM,</w:t>
      </w:r>
      <w:r w:rsidR="002547BB" w:rsidRPr="000A7305">
        <w:rPr>
          <w:bCs/>
          <w:i/>
          <w:iCs/>
          <w:sz w:val="20"/>
          <w:szCs w:val="20"/>
        </w:rPr>
        <w:t xml:space="preserve"> </w:t>
      </w:r>
      <w:r w:rsidR="00CE0C0C" w:rsidRPr="000A7305">
        <w:rPr>
          <w:bCs/>
          <w:i/>
          <w:iCs/>
          <w:sz w:val="20"/>
          <w:szCs w:val="20"/>
        </w:rPr>
        <w:t>Elmakarem</w:t>
      </w:r>
      <w:r w:rsidR="002547BB" w:rsidRPr="000A7305">
        <w:rPr>
          <w:bCs/>
          <w:i/>
          <w:iCs/>
          <w:sz w:val="20"/>
          <w:szCs w:val="20"/>
        </w:rPr>
        <w:t xml:space="preserve"> </w:t>
      </w:r>
      <w:r w:rsidR="00CE0C0C" w:rsidRPr="000A7305">
        <w:rPr>
          <w:bCs/>
          <w:i/>
          <w:iCs/>
          <w:sz w:val="20"/>
          <w:szCs w:val="20"/>
        </w:rPr>
        <w:t>SA,</w:t>
      </w:r>
      <w:r w:rsidR="002547BB" w:rsidRPr="000A7305">
        <w:rPr>
          <w:bCs/>
          <w:i/>
          <w:iCs/>
          <w:sz w:val="20"/>
          <w:szCs w:val="20"/>
        </w:rPr>
        <w:t xml:space="preserve"> </w:t>
      </w:r>
      <w:r w:rsidR="00CE0C0C" w:rsidRPr="000A7305">
        <w:rPr>
          <w:bCs/>
          <w:i/>
          <w:iCs/>
          <w:sz w:val="20"/>
          <w:szCs w:val="20"/>
        </w:rPr>
        <w:t>Khattab</w:t>
      </w:r>
      <w:r w:rsidR="002547BB" w:rsidRPr="000A7305">
        <w:rPr>
          <w:bCs/>
          <w:i/>
          <w:iCs/>
          <w:sz w:val="20"/>
          <w:szCs w:val="20"/>
        </w:rPr>
        <w:t xml:space="preserve"> </w:t>
      </w:r>
      <w:r w:rsidR="00CE0C0C" w:rsidRPr="000A7305">
        <w:rPr>
          <w:bCs/>
          <w:i/>
          <w:iCs/>
          <w:sz w:val="20"/>
          <w:szCs w:val="20"/>
        </w:rPr>
        <w:t>S,</w:t>
      </w:r>
      <w:r w:rsidR="002547BB" w:rsidRPr="000A7305">
        <w:rPr>
          <w:bCs/>
          <w:i/>
          <w:iCs/>
          <w:sz w:val="20"/>
          <w:szCs w:val="20"/>
        </w:rPr>
        <w:t xml:space="preserve"> </w:t>
      </w:r>
      <w:r w:rsidR="00185D01" w:rsidRPr="000A7305">
        <w:rPr>
          <w:bCs/>
          <w:i/>
          <w:iCs/>
          <w:sz w:val="20"/>
          <w:szCs w:val="20"/>
        </w:rPr>
        <w:t>El-Sayed</w:t>
      </w:r>
      <w:r w:rsidR="002547BB" w:rsidRPr="000A7305">
        <w:rPr>
          <w:bCs/>
          <w:i/>
          <w:iCs/>
          <w:sz w:val="20"/>
          <w:szCs w:val="20"/>
        </w:rPr>
        <w:t xml:space="preserve"> </w:t>
      </w:r>
      <w:r w:rsidR="00185D01" w:rsidRPr="000A7305">
        <w:rPr>
          <w:bCs/>
          <w:i/>
          <w:iCs/>
          <w:sz w:val="20"/>
          <w:szCs w:val="20"/>
        </w:rPr>
        <w:t>HM,</w:t>
      </w:r>
      <w:r w:rsidR="002547BB" w:rsidRPr="000A7305">
        <w:rPr>
          <w:bCs/>
          <w:i/>
          <w:iCs/>
          <w:sz w:val="20"/>
          <w:szCs w:val="20"/>
        </w:rPr>
        <w:t xml:space="preserve"> </w:t>
      </w:r>
      <w:r w:rsidR="00185D01" w:rsidRPr="000A7305">
        <w:rPr>
          <w:bCs/>
          <w:i/>
          <w:iCs/>
          <w:sz w:val="20"/>
          <w:szCs w:val="20"/>
        </w:rPr>
        <w:t>El-Hennawy</w:t>
      </w:r>
      <w:r w:rsidR="002547BB" w:rsidRPr="000A7305">
        <w:rPr>
          <w:bCs/>
          <w:i/>
          <w:iCs/>
          <w:sz w:val="20"/>
          <w:szCs w:val="20"/>
        </w:rPr>
        <w:t xml:space="preserve"> </w:t>
      </w:r>
      <w:r w:rsidR="00185D01" w:rsidRPr="000A7305">
        <w:rPr>
          <w:bCs/>
          <w:i/>
          <w:iCs/>
          <w:sz w:val="20"/>
          <w:szCs w:val="20"/>
        </w:rPr>
        <w:t>A,</w:t>
      </w:r>
      <w:r w:rsidR="002547BB" w:rsidRPr="000A7305">
        <w:rPr>
          <w:bCs/>
          <w:i/>
          <w:iCs/>
          <w:sz w:val="20"/>
          <w:szCs w:val="20"/>
        </w:rPr>
        <w:t xml:space="preserve"> </w:t>
      </w:r>
      <w:r w:rsidR="00185D01" w:rsidRPr="000A7305">
        <w:rPr>
          <w:bCs/>
          <w:i/>
          <w:iCs/>
          <w:sz w:val="20"/>
          <w:szCs w:val="20"/>
        </w:rPr>
        <w:t>and</w:t>
      </w:r>
      <w:r w:rsidR="002547BB" w:rsidRPr="000A7305">
        <w:rPr>
          <w:bCs/>
          <w:i/>
          <w:iCs/>
          <w:sz w:val="20"/>
          <w:szCs w:val="20"/>
        </w:rPr>
        <w:t xml:space="preserve"> </w:t>
      </w:r>
      <w:r w:rsidR="00185D01" w:rsidRPr="000A7305">
        <w:rPr>
          <w:bCs/>
          <w:i/>
          <w:iCs/>
          <w:sz w:val="20"/>
          <w:szCs w:val="20"/>
        </w:rPr>
        <w:t>Ali</w:t>
      </w:r>
      <w:r w:rsidR="002547BB" w:rsidRPr="000A7305">
        <w:rPr>
          <w:bCs/>
          <w:i/>
          <w:iCs/>
          <w:sz w:val="20"/>
          <w:szCs w:val="20"/>
        </w:rPr>
        <w:t xml:space="preserve"> </w:t>
      </w:r>
      <w:r w:rsidR="00185D01" w:rsidRPr="000A7305">
        <w:rPr>
          <w:bCs/>
          <w:i/>
          <w:iCs/>
          <w:sz w:val="20"/>
          <w:szCs w:val="20"/>
        </w:rPr>
        <w:t>AS</w:t>
      </w:r>
      <w:r w:rsidR="00CE0C0C" w:rsidRPr="000A7305">
        <w:rPr>
          <w:bCs/>
          <w:i/>
          <w:iCs/>
          <w:sz w:val="20"/>
          <w:szCs w:val="20"/>
        </w:rPr>
        <w:t>.</w:t>
      </w:r>
      <w:r w:rsidR="002547BB" w:rsidRPr="000A7305">
        <w:rPr>
          <w:bCs/>
          <w:i/>
          <w:iCs/>
          <w:sz w:val="20"/>
          <w:szCs w:val="20"/>
        </w:rPr>
        <w:t xml:space="preserve"> </w:t>
      </w:r>
      <w:r w:rsidR="00CE0C0C" w:rsidRPr="000A7305">
        <w:rPr>
          <w:sz w:val="20"/>
          <w:szCs w:val="20"/>
        </w:rPr>
        <w:t>Predictive</w:t>
      </w:r>
      <w:r w:rsidR="002547BB" w:rsidRPr="000A7305">
        <w:rPr>
          <w:sz w:val="20"/>
          <w:szCs w:val="20"/>
        </w:rPr>
        <w:t xml:space="preserve"> </w:t>
      </w:r>
      <w:r w:rsidR="00CE0C0C" w:rsidRPr="000A7305">
        <w:rPr>
          <w:sz w:val="20"/>
          <w:szCs w:val="20"/>
        </w:rPr>
        <w:t>accuracy</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serum</w:t>
      </w:r>
      <w:r w:rsidR="002547BB" w:rsidRPr="000A7305">
        <w:rPr>
          <w:sz w:val="20"/>
          <w:szCs w:val="20"/>
        </w:rPr>
        <w:t xml:space="preserve"> </w:t>
      </w:r>
      <w:r w:rsidR="00CE0C0C" w:rsidRPr="000A7305">
        <w:rPr>
          <w:sz w:val="20"/>
          <w:szCs w:val="20"/>
        </w:rPr>
        <w:t>hyaluronic</w:t>
      </w:r>
      <w:r w:rsidR="002547BB" w:rsidRPr="000A7305">
        <w:rPr>
          <w:sz w:val="20"/>
          <w:szCs w:val="20"/>
        </w:rPr>
        <w:t xml:space="preserve"> </w:t>
      </w:r>
      <w:r w:rsidR="00CE0C0C" w:rsidRPr="000A7305">
        <w:rPr>
          <w:sz w:val="20"/>
          <w:szCs w:val="20"/>
        </w:rPr>
        <w:t>acid</w:t>
      </w:r>
      <w:r w:rsidR="002547BB" w:rsidRPr="000A7305">
        <w:rPr>
          <w:sz w:val="20"/>
          <w:szCs w:val="20"/>
        </w:rPr>
        <w:t xml:space="preserve"> </w:t>
      </w:r>
      <w:r w:rsidR="00CE0C0C" w:rsidRPr="000A7305">
        <w:rPr>
          <w:sz w:val="20"/>
          <w:szCs w:val="20"/>
        </w:rPr>
        <w:t>as</w:t>
      </w:r>
      <w:r w:rsidR="002547BB" w:rsidRPr="000A7305">
        <w:rPr>
          <w:sz w:val="20"/>
          <w:szCs w:val="20"/>
        </w:rPr>
        <w:t xml:space="preserve"> </w:t>
      </w:r>
      <w:r w:rsidR="00CE0C0C" w:rsidRPr="000A7305">
        <w:rPr>
          <w:sz w:val="20"/>
          <w:szCs w:val="20"/>
        </w:rPr>
        <w:t>a</w:t>
      </w:r>
      <w:r w:rsidR="002547BB" w:rsidRPr="000A7305">
        <w:rPr>
          <w:sz w:val="20"/>
          <w:szCs w:val="20"/>
        </w:rPr>
        <w:t xml:space="preserve"> </w:t>
      </w:r>
      <w:r w:rsidR="00CE0C0C" w:rsidRPr="000A7305">
        <w:rPr>
          <w:sz w:val="20"/>
          <w:szCs w:val="20"/>
        </w:rPr>
        <w:t>non-invasive</w:t>
      </w:r>
      <w:r w:rsidR="002547BB" w:rsidRPr="000A7305">
        <w:rPr>
          <w:sz w:val="20"/>
          <w:szCs w:val="20"/>
        </w:rPr>
        <w:t xml:space="preserve"> </w:t>
      </w:r>
      <w:r w:rsidR="00CE0C0C" w:rsidRPr="000A7305">
        <w:rPr>
          <w:sz w:val="20"/>
          <w:szCs w:val="20"/>
        </w:rPr>
        <w:t>marker</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fibrosis</w:t>
      </w:r>
      <w:r w:rsidR="002547BB" w:rsidRPr="000A7305">
        <w:rPr>
          <w:sz w:val="20"/>
          <w:szCs w:val="20"/>
        </w:rPr>
        <w:t xml:space="preserve"> </w:t>
      </w:r>
      <w:r w:rsidR="00CE0C0C" w:rsidRPr="000A7305">
        <w:rPr>
          <w:sz w:val="20"/>
          <w:szCs w:val="20"/>
        </w:rPr>
        <w:t>in</w:t>
      </w:r>
      <w:r w:rsidR="002547BB" w:rsidRPr="000A7305">
        <w:rPr>
          <w:sz w:val="20"/>
          <w:szCs w:val="20"/>
        </w:rPr>
        <w:t xml:space="preserve"> </w:t>
      </w:r>
      <w:r w:rsidR="00CE0C0C" w:rsidRPr="000A7305">
        <w:rPr>
          <w:sz w:val="20"/>
          <w:szCs w:val="20"/>
        </w:rPr>
        <w:t>a</w:t>
      </w:r>
      <w:r w:rsidR="002547BB" w:rsidRPr="000A7305">
        <w:rPr>
          <w:sz w:val="20"/>
          <w:szCs w:val="20"/>
        </w:rPr>
        <w:t xml:space="preserve"> </w:t>
      </w:r>
      <w:r w:rsidR="00CE0C0C" w:rsidRPr="000A7305">
        <w:rPr>
          <w:sz w:val="20"/>
          <w:szCs w:val="20"/>
        </w:rPr>
        <w:t>cohort</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multi-transfused</w:t>
      </w:r>
      <w:r w:rsidR="002547BB" w:rsidRPr="000A7305">
        <w:rPr>
          <w:sz w:val="20"/>
          <w:szCs w:val="20"/>
        </w:rPr>
        <w:t xml:space="preserve"> </w:t>
      </w:r>
      <w:r w:rsidR="00CE0C0C" w:rsidRPr="000A7305">
        <w:rPr>
          <w:sz w:val="20"/>
          <w:szCs w:val="20"/>
        </w:rPr>
        <w:t>egyptian</w:t>
      </w:r>
      <w:r w:rsidR="002547BB" w:rsidRPr="000A7305">
        <w:rPr>
          <w:sz w:val="20"/>
          <w:szCs w:val="20"/>
        </w:rPr>
        <w:t xml:space="preserve"> </w:t>
      </w:r>
      <w:r w:rsidR="00CE0C0C" w:rsidRPr="000A7305">
        <w:rPr>
          <w:sz w:val="20"/>
          <w:szCs w:val="20"/>
        </w:rPr>
        <w:t>children</w:t>
      </w:r>
      <w:r w:rsidR="002547BB" w:rsidRPr="000A7305">
        <w:rPr>
          <w:sz w:val="20"/>
          <w:szCs w:val="20"/>
        </w:rPr>
        <w:t xml:space="preserve"> </w:t>
      </w:r>
      <w:r w:rsidR="00CE0C0C" w:rsidRPr="000A7305">
        <w:rPr>
          <w:sz w:val="20"/>
          <w:szCs w:val="20"/>
        </w:rPr>
        <w:t>with</w:t>
      </w:r>
      <w:r w:rsidR="002547BB" w:rsidRPr="000A7305">
        <w:rPr>
          <w:sz w:val="20"/>
          <w:szCs w:val="20"/>
        </w:rPr>
        <w:t xml:space="preserve"> </w:t>
      </w:r>
      <w:r w:rsidR="00CE0C0C" w:rsidRPr="000A7305">
        <w:rPr>
          <w:sz w:val="20"/>
          <w:szCs w:val="20"/>
        </w:rPr>
        <w:t>Β-</w:t>
      </w:r>
      <w:r w:rsidR="002547BB" w:rsidRPr="000A7305">
        <w:rPr>
          <w:sz w:val="20"/>
          <w:szCs w:val="20"/>
        </w:rPr>
        <w:t xml:space="preserve"> </w:t>
      </w:r>
      <w:r w:rsidR="00CE0C0C" w:rsidRPr="000A7305">
        <w:rPr>
          <w:sz w:val="20"/>
          <w:szCs w:val="20"/>
        </w:rPr>
        <w:t>thalassaemia</w:t>
      </w:r>
      <w:r w:rsidR="002547BB" w:rsidRPr="000A7305">
        <w:rPr>
          <w:sz w:val="20"/>
          <w:szCs w:val="20"/>
        </w:rPr>
        <w:t xml:space="preserve"> </w:t>
      </w:r>
      <w:r w:rsidR="00CE0C0C" w:rsidRPr="000A7305">
        <w:rPr>
          <w:sz w:val="20"/>
          <w:szCs w:val="20"/>
        </w:rPr>
        <w:t>major.</w:t>
      </w:r>
      <w:r w:rsidR="002547BB" w:rsidRPr="000A7305">
        <w:rPr>
          <w:sz w:val="20"/>
          <w:szCs w:val="20"/>
        </w:rPr>
        <w:t xml:space="preserve"> </w:t>
      </w:r>
      <w:r w:rsidR="00CE0C0C" w:rsidRPr="000A7305">
        <w:rPr>
          <w:sz w:val="20"/>
          <w:szCs w:val="20"/>
        </w:rPr>
        <w:t>Arab</w:t>
      </w:r>
      <w:r w:rsidR="002547BB" w:rsidRPr="000A7305">
        <w:rPr>
          <w:sz w:val="20"/>
          <w:szCs w:val="20"/>
        </w:rPr>
        <w:t xml:space="preserve"> </w:t>
      </w:r>
      <w:r w:rsidR="00CE0C0C" w:rsidRPr="000A7305">
        <w:rPr>
          <w:sz w:val="20"/>
          <w:szCs w:val="20"/>
        </w:rPr>
        <w:t>Journal</w:t>
      </w:r>
      <w:r w:rsidR="002547BB" w:rsidRPr="000A7305">
        <w:rPr>
          <w:sz w:val="20"/>
          <w:szCs w:val="20"/>
        </w:rPr>
        <w:t xml:space="preserve"> </w:t>
      </w:r>
      <w:r w:rsidR="00CE0C0C" w:rsidRPr="000A7305">
        <w:rPr>
          <w:sz w:val="20"/>
          <w:szCs w:val="20"/>
        </w:rPr>
        <w:t>of</w:t>
      </w:r>
      <w:r w:rsidR="002547BB" w:rsidRPr="000A7305">
        <w:rPr>
          <w:sz w:val="20"/>
          <w:szCs w:val="20"/>
        </w:rPr>
        <w:t xml:space="preserve"> </w:t>
      </w:r>
      <w:r w:rsidR="00CE0C0C" w:rsidRPr="000A7305">
        <w:rPr>
          <w:sz w:val="20"/>
          <w:szCs w:val="20"/>
        </w:rPr>
        <w:t>Gastroenterology.</w:t>
      </w:r>
      <w:r w:rsidR="002547BB" w:rsidRPr="000A7305">
        <w:rPr>
          <w:sz w:val="20"/>
          <w:szCs w:val="20"/>
        </w:rPr>
        <w:t xml:space="preserve"> </w:t>
      </w:r>
      <w:r w:rsidR="00CE0C0C" w:rsidRPr="000A7305">
        <w:rPr>
          <w:sz w:val="20"/>
          <w:szCs w:val="20"/>
        </w:rPr>
        <w:t>2012;13(2):45-48.</w:t>
      </w:r>
    </w:p>
    <w:p w:rsidR="00E5246E" w:rsidRPr="000A7305" w:rsidRDefault="00E5246E" w:rsidP="00666DFC">
      <w:pPr>
        <w:snapToGrid w:val="0"/>
        <w:spacing w:after="0" w:line="240" w:lineRule="auto"/>
        <w:ind w:left="425" w:hanging="425"/>
        <w:rPr>
          <w:rFonts w:cs="Times New Roman"/>
          <w:sz w:val="20"/>
          <w:szCs w:val="20"/>
        </w:rPr>
        <w:sectPr w:rsidR="00E5246E" w:rsidRPr="000A7305" w:rsidSect="00E938A6">
          <w:type w:val="continuous"/>
          <w:pgSz w:w="12240" w:h="15840" w:code="9"/>
          <w:pgMar w:top="1440" w:right="1440" w:bottom="1440" w:left="1440" w:header="720" w:footer="720" w:gutter="0"/>
          <w:cols w:num="2" w:space="600"/>
          <w:docGrid w:linePitch="360"/>
        </w:sectPr>
      </w:pPr>
    </w:p>
    <w:p w:rsidR="002547BB" w:rsidRPr="000A7305" w:rsidRDefault="002547BB" w:rsidP="00666DFC">
      <w:pPr>
        <w:snapToGrid w:val="0"/>
        <w:spacing w:after="0" w:line="240" w:lineRule="auto"/>
        <w:ind w:left="425" w:hanging="425"/>
        <w:rPr>
          <w:rFonts w:cs="Times New Roman"/>
          <w:sz w:val="20"/>
          <w:szCs w:val="20"/>
          <w:lang w:eastAsia="zh-CN"/>
        </w:rPr>
      </w:pPr>
    </w:p>
    <w:p w:rsidR="00E5246E" w:rsidRPr="000A7305" w:rsidRDefault="00666DFC" w:rsidP="00666DFC">
      <w:pPr>
        <w:snapToGrid w:val="0"/>
        <w:spacing w:after="0" w:line="240" w:lineRule="auto"/>
        <w:ind w:left="425" w:hanging="425"/>
        <w:rPr>
          <w:rFonts w:cs="Times New Roman"/>
          <w:sz w:val="20"/>
          <w:szCs w:val="20"/>
          <w:lang w:eastAsia="zh-CN"/>
        </w:rPr>
      </w:pPr>
      <w:r w:rsidRPr="000A7305">
        <w:rPr>
          <w:rFonts w:cs="Times New Roman" w:hint="eastAsia"/>
          <w:sz w:val="20"/>
          <w:szCs w:val="20"/>
          <w:lang w:eastAsia="zh-CN"/>
        </w:rPr>
        <w:t xml:space="preserve"> </w:t>
      </w:r>
    </w:p>
    <w:p w:rsidR="00E5246E" w:rsidRPr="000A7305" w:rsidRDefault="00E5246E" w:rsidP="00666DFC">
      <w:pPr>
        <w:snapToGrid w:val="0"/>
        <w:spacing w:after="0" w:line="240" w:lineRule="auto"/>
        <w:ind w:firstLine="425"/>
        <w:rPr>
          <w:rFonts w:cs="Times New Roman"/>
          <w:sz w:val="20"/>
          <w:szCs w:val="20"/>
          <w:lang w:eastAsia="zh-CN"/>
        </w:rPr>
      </w:pPr>
    </w:p>
    <w:p w:rsidR="005028A4" w:rsidRPr="000A7305" w:rsidRDefault="002547BB" w:rsidP="00666DFC">
      <w:pPr>
        <w:snapToGrid w:val="0"/>
        <w:spacing w:after="0" w:line="240" w:lineRule="auto"/>
        <w:ind w:firstLine="0"/>
        <w:rPr>
          <w:rFonts w:cs="Times New Roman"/>
          <w:sz w:val="20"/>
          <w:szCs w:val="20"/>
        </w:rPr>
      </w:pPr>
      <w:r w:rsidRPr="000A7305">
        <w:rPr>
          <w:rFonts w:cs="Times New Roman"/>
          <w:sz w:val="20"/>
          <w:szCs w:val="20"/>
        </w:rPr>
        <w:t>6/20/2020</w:t>
      </w:r>
    </w:p>
    <w:sectPr w:rsidR="005028A4" w:rsidRPr="000A7305" w:rsidSect="00E938A6">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0B" w:rsidRDefault="00C9690B" w:rsidP="008E5E50">
      <w:r>
        <w:separator/>
      </w:r>
    </w:p>
    <w:p w:rsidR="00C9690B" w:rsidRDefault="00C9690B" w:rsidP="008E5E50"/>
  </w:endnote>
  <w:endnote w:type="continuationSeparator" w:id="0">
    <w:p w:rsidR="00C9690B" w:rsidRDefault="00C9690B" w:rsidP="008E5E50">
      <w:r>
        <w:continuationSeparator/>
      </w:r>
    </w:p>
    <w:p w:rsidR="00C9690B" w:rsidRDefault="00C9690B" w:rsidP="008E5E5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6E" w:rsidRPr="00E938A6" w:rsidRDefault="00777256" w:rsidP="00E938A6">
    <w:pPr>
      <w:spacing w:after="0" w:line="240" w:lineRule="auto"/>
      <w:jc w:val="center"/>
      <w:rPr>
        <w:rFonts w:cs="Times New Roman"/>
        <w:sz w:val="20"/>
      </w:rPr>
    </w:pPr>
    <w:r w:rsidRPr="00E938A6">
      <w:rPr>
        <w:rFonts w:cs="Times New Roman"/>
        <w:sz w:val="20"/>
      </w:rPr>
      <w:fldChar w:fldCharType="begin"/>
    </w:r>
    <w:r w:rsidR="00E938A6" w:rsidRPr="00E938A6">
      <w:rPr>
        <w:rFonts w:cs="Times New Roman"/>
        <w:sz w:val="20"/>
      </w:rPr>
      <w:instrText xml:space="preserve"> page </w:instrText>
    </w:r>
    <w:r w:rsidRPr="00E938A6">
      <w:rPr>
        <w:rFonts w:cs="Times New Roman"/>
        <w:sz w:val="20"/>
      </w:rPr>
      <w:fldChar w:fldCharType="separate"/>
    </w:r>
    <w:r w:rsidR="001C016A">
      <w:rPr>
        <w:rFonts w:cs="Times New Roman"/>
        <w:noProof/>
        <w:sz w:val="20"/>
      </w:rPr>
      <w:t>38</w:t>
    </w:r>
    <w:r w:rsidRPr="00E938A6">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0B" w:rsidRDefault="00C9690B" w:rsidP="008E5E50">
      <w:r>
        <w:separator/>
      </w:r>
    </w:p>
    <w:p w:rsidR="00C9690B" w:rsidRDefault="00C9690B" w:rsidP="008E5E50"/>
  </w:footnote>
  <w:footnote w:type="continuationSeparator" w:id="0">
    <w:p w:rsidR="00C9690B" w:rsidRDefault="00C9690B" w:rsidP="008E5E50">
      <w:r>
        <w:continuationSeparator/>
      </w:r>
    </w:p>
    <w:p w:rsidR="00C9690B" w:rsidRDefault="00C9690B" w:rsidP="008E5E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A6" w:rsidRPr="00B015B7" w:rsidRDefault="00B015B7" w:rsidP="00B015B7">
    <w:pPr>
      <w:pStyle w:val="Header"/>
      <w:ind w:firstLine="0"/>
      <w:rPr>
        <w:szCs w:val="20"/>
      </w:rPr>
    </w:pPr>
    <w:r>
      <w:rPr>
        <w:noProof/>
        <w:szCs w:val="20"/>
        <w:lang w:eastAsia="zh-CN"/>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B7" w:rsidRPr="00E938A6" w:rsidRDefault="00B015B7" w:rsidP="00E938A6">
    <w:pPr>
      <w:pBdr>
        <w:bottom w:val="thinThickMediumGap" w:sz="12" w:space="1" w:color="auto"/>
      </w:pBdr>
      <w:tabs>
        <w:tab w:val="left" w:pos="851"/>
        <w:tab w:val="right" w:pos="8364"/>
      </w:tabs>
      <w:adjustRightInd w:val="0"/>
      <w:snapToGrid w:val="0"/>
      <w:spacing w:after="0" w:line="240" w:lineRule="auto"/>
      <w:rPr>
        <w:rFonts w:cs="Times New Roman"/>
        <w:iCs/>
        <w:sz w:val="20"/>
        <w:szCs w:val="20"/>
      </w:rPr>
    </w:pPr>
    <w:r w:rsidRPr="00E938A6">
      <w:rPr>
        <w:rFonts w:cs="Times New Roman" w:hint="eastAsia"/>
        <w:iCs/>
        <w:color w:val="000000"/>
        <w:sz w:val="20"/>
        <w:szCs w:val="20"/>
      </w:rPr>
      <w:tab/>
    </w:r>
    <w:r w:rsidRPr="00E938A6">
      <w:rPr>
        <w:rFonts w:cs="Times New Roman"/>
        <w:iCs/>
        <w:color w:val="000000"/>
        <w:sz w:val="20"/>
        <w:szCs w:val="20"/>
      </w:rPr>
      <w:t xml:space="preserve">Researcher </w:t>
    </w:r>
    <w:r w:rsidRPr="00E938A6">
      <w:rPr>
        <w:rFonts w:cs="Times New Roman"/>
        <w:iCs/>
        <w:sz w:val="20"/>
        <w:szCs w:val="20"/>
      </w:rPr>
      <w:t>20</w:t>
    </w:r>
    <w:r w:rsidRPr="00E938A6">
      <w:rPr>
        <w:rFonts w:cs="Times New Roman" w:hint="eastAsia"/>
        <w:iCs/>
        <w:sz w:val="20"/>
        <w:szCs w:val="20"/>
      </w:rPr>
      <w:t>20</w:t>
    </w:r>
    <w:r w:rsidRPr="00E938A6">
      <w:rPr>
        <w:rFonts w:cs="Times New Roman"/>
        <w:iCs/>
        <w:sz w:val="20"/>
        <w:szCs w:val="20"/>
      </w:rPr>
      <w:t>;</w:t>
    </w:r>
    <w:r w:rsidRPr="00E938A6">
      <w:rPr>
        <w:rFonts w:cs="Times New Roman" w:hint="eastAsia"/>
        <w:iCs/>
        <w:sz w:val="20"/>
        <w:szCs w:val="20"/>
      </w:rPr>
      <w:t>12</w:t>
    </w:r>
    <w:r w:rsidRPr="00E938A6">
      <w:rPr>
        <w:rFonts w:cs="Times New Roman"/>
        <w:iCs/>
        <w:sz w:val="20"/>
        <w:szCs w:val="20"/>
      </w:rPr>
      <w:t>(</w:t>
    </w:r>
    <w:r w:rsidRPr="00E938A6">
      <w:rPr>
        <w:rFonts w:cs="Times New Roman" w:hint="eastAsia"/>
        <w:iCs/>
        <w:sz w:val="20"/>
        <w:szCs w:val="20"/>
      </w:rPr>
      <w:t>6</w:t>
    </w:r>
    <w:r w:rsidRPr="00E938A6">
      <w:rPr>
        <w:rFonts w:cs="Times New Roman"/>
        <w:iCs/>
        <w:sz w:val="20"/>
        <w:szCs w:val="20"/>
      </w:rPr>
      <w:t xml:space="preserve">)  </w:t>
    </w:r>
    <w:r w:rsidRPr="00E938A6">
      <w:rPr>
        <w:rFonts w:cs="Times New Roman" w:hint="eastAsia"/>
        <w:iCs/>
        <w:sz w:val="20"/>
        <w:szCs w:val="20"/>
      </w:rPr>
      <w:t xml:space="preserve"> </w:t>
    </w:r>
    <w:r w:rsidRPr="00E938A6">
      <w:rPr>
        <w:rFonts w:cs="Times New Roman"/>
        <w:iCs/>
        <w:sz w:val="20"/>
        <w:szCs w:val="20"/>
      </w:rPr>
      <w:t xml:space="preserve"> </w:t>
    </w:r>
    <w:r w:rsidRPr="00E938A6">
      <w:rPr>
        <w:rFonts w:cs="Times New Roman" w:hint="eastAsia"/>
        <w:iCs/>
        <w:sz w:val="20"/>
        <w:szCs w:val="20"/>
      </w:rPr>
      <w:tab/>
    </w:r>
    <w:r w:rsidRPr="00E938A6">
      <w:rPr>
        <w:rFonts w:cs="Times New Roman"/>
        <w:iCs/>
        <w:sz w:val="20"/>
        <w:szCs w:val="20"/>
      </w:rPr>
      <w:t xml:space="preserve">    </w:t>
    </w:r>
    <w:r w:rsidRPr="00E938A6">
      <w:rPr>
        <w:rFonts w:cs="Times New Roman"/>
        <w:sz w:val="20"/>
        <w:szCs w:val="20"/>
      </w:rPr>
      <w:t xml:space="preserve"> </w:t>
    </w:r>
    <w:hyperlink r:id="rId1" w:history="1">
      <w:r w:rsidRPr="00E938A6">
        <w:rPr>
          <w:rStyle w:val="Hyperlink"/>
          <w:rFonts w:cs="Times New Roman"/>
          <w:color w:val="0000FF"/>
          <w:sz w:val="20"/>
          <w:szCs w:val="20"/>
        </w:rPr>
        <w:t>http://www.sciencepub.net/researcher</w:t>
      </w:r>
    </w:hyperlink>
    <w:r w:rsidRPr="00E938A6">
      <w:rPr>
        <w:rFonts w:cs="Times New Roman" w:hint="eastAsia"/>
        <w:sz w:val="20"/>
      </w:rPr>
      <w:t xml:space="preserve">   </w:t>
    </w:r>
    <w:r w:rsidRPr="00E938A6">
      <w:rPr>
        <w:rFonts w:cs="Times New Roman" w:hint="eastAsia"/>
        <w:b/>
        <w:i/>
        <w:color w:val="FF0000"/>
        <w:sz w:val="20"/>
        <w:szCs w:val="20"/>
        <w:bdr w:val="single" w:sz="4" w:space="0" w:color="FF0000"/>
      </w:rPr>
      <w:t>RSJ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2F3"/>
    <w:multiLevelType w:val="hybridMultilevel"/>
    <w:tmpl w:val="2A10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51500"/>
    <w:multiLevelType w:val="hybridMultilevel"/>
    <w:tmpl w:val="8B2C843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E66B48"/>
    <w:multiLevelType w:val="hybridMultilevel"/>
    <w:tmpl w:val="4CFA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5178B"/>
    <w:multiLevelType w:val="hybridMultilevel"/>
    <w:tmpl w:val="9DBA9234"/>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C0070"/>
    <w:multiLevelType w:val="hybridMultilevel"/>
    <w:tmpl w:val="07909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CE2659"/>
    <w:multiLevelType w:val="hybridMultilevel"/>
    <w:tmpl w:val="B43CE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3A1B7F"/>
    <w:multiLevelType w:val="hybridMultilevel"/>
    <w:tmpl w:val="9DBA9234"/>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46E77"/>
    <w:multiLevelType w:val="hybridMultilevel"/>
    <w:tmpl w:val="814E0650"/>
    <w:lvl w:ilvl="0" w:tplc="874CFDEA">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DF636E5"/>
    <w:multiLevelType w:val="hybridMultilevel"/>
    <w:tmpl w:val="F99C9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F57C6"/>
    <w:multiLevelType w:val="hybridMultilevel"/>
    <w:tmpl w:val="1D14DE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EC0A8B"/>
    <w:multiLevelType w:val="hybridMultilevel"/>
    <w:tmpl w:val="C0D2A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03D75"/>
    <w:multiLevelType w:val="hybridMultilevel"/>
    <w:tmpl w:val="DB40C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DB0A26"/>
    <w:multiLevelType w:val="hybridMultilevel"/>
    <w:tmpl w:val="29F64962"/>
    <w:lvl w:ilvl="0" w:tplc="5FDCFE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42134"/>
    <w:multiLevelType w:val="hybridMultilevel"/>
    <w:tmpl w:val="161EB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91E21B7"/>
    <w:multiLevelType w:val="hybridMultilevel"/>
    <w:tmpl w:val="FDD6B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820969"/>
    <w:multiLevelType w:val="hybridMultilevel"/>
    <w:tmpl w:val="74C2D074"/>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6">
    <w:nsid w:val="59944837"/>
    <w:multiLevelType w:val="hybridMultilevel"/>
    <w:tmpl w:val="75F2389A"/>
    <w:lvl w:ilvl="0" w:tplc="D69A5B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DA2E39"/>
    <w:multiLevelType w:val="hybridMultilevel"/>
    <w:tmpl w:val="DE923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493C62"/>
    <w:multiLevelType w:val="hybridMultilevel"/>
    <w:tmpl w:val="5C92BBD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E77C95"/>
    <w:multiLevelType w:val="hybridMultilevel"/>
    <w:tmpl w:val="53704A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8C0B6E"/>
    <w:multiLevelType w:val="hybridMultilevel"/>
    <w:tmpl w:val="DC28AD9E"/>
    <w:lvl w:ilvl="0" w:tplc="5FDCFE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BBB2D6E"/>
    <w:multiLevelType w:val="hybridMultilevel"/>
    <w:tmpl w:val="2BAE2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EB6B9B"/>
    <w:multiLevelType w:val="hybridMultilevel"/>
    <w:tmpl w:val="D432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E96823"/>
    <w:multiLevelType w:val="hybridMultilevel"/>
    <w:tmpl w:val="DD4647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BD0693"/>
    <w:multiLevelType w:val="hybridMultilevel"/>
    <w:tmpl w:val="2A10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911CB"/>
    <w:multiLevelType w:val="hybridMultilevel"/>
    <w:tmpl w:val="EEDAC840"/>
    <w:lvl w:ilvl="0" w:tplc="0409000F">
      <w:start w:val="1"/>
      <w:numFmt w:val="decimal"/>
      <w:lvlText w:val="%1."/>
      <w:lvlJc w:val="left"/>
      <w:pPr>
        <w:ind w:left="2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82F2F"/>
    <w:multiLevelType w:val="hybridMultilevel"/>
    <w:tmpl w:val="BFF24B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6A5A44"/>
    <w:multiLevelType w:val="hybridMultilevel"/>
    <w:tmpl w:val="3CAAC9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2"/>
  </w:num>
  <w:num w:numId="3">
    <w:abstractNumId w:val="4"/>
  </w:num>
  <w:num w:numId="4">
    <w:abstractNumId w:val="23"/>
  </w:num>
  <w:num w:numId="5">
    <w:abstractNumId w:val="18"/>
  </w:num>
  <w:num w:numId="6">
    <w:abstractNumId w:val="11"/>
  </w:num>
  <w:num w:numId="7">
    <w:abstractNumId w:val="14"/>
  </w:num>
  <w:num w:numId="8">
    <w:abstractNumId w:val="20"/>
  </w:num>
  <w:num w:numId="9">
    <w:abstractNumId w:val="12"/>
  </w:num>
  <w:num w:numId="10">
    <w:abstractNumId w:val="6"/>
  </w:num>
  <w:num w:numId="11">
    <w:abstractNumId w:val="6"/>
    <w:lvlOverride w:ilvl="0">
      <w:startOverride w:val="1"/>
    </w:lvlOverride>
  </w:num>
  <w:num w:numId="12">
    <w:abstractNumId w:val="10"/>
  </w:num>
  <w:num w:numId="13">
    <w:abstractNumId w:val="26"/>
  </w:num>
  <w:num w:numId="14">
    <w:abstractNumId w:val="9"/>
  </w:num>
  <w:num w:numId="15">
    <w:abstractNumId w:val="19"/>
  </w:num>
  <w:num w:numId="16">
    <w:abstractNumId w:val="6"/>
  </w:num>
  <w:num w:numId="17">
    <w:abstractNumId w:val="6"/>
    <w:lvlOverride w:ilvl="0">
      <w:startOverride w:val="1"/>
    </w:lvlOverride>
  </w:num>
  <w:num w:numId="18">
    <w:abstractNumId w:val="8"/>
  </w:num>
  <w:num w:numId="19">
    <w:abstractNumId w:val="2"/>
  </w:num>
  <w:num w:numId="20">
    <w:abstractNumId w:val="0"/>
  </w:num>
  <w:num w:numId="21">
    <w:abstractNumId w:val="16"/>
  </w:num>
  <w:num w:numId="22">
    <w:abstractNumId w:val="24"/>
  </w:num>
  <w:num w:numId="23">
    <w:abstractNumId w:val="13"/>
  </w:num>
  <w:num w:numId="24">
    <w:abstractNumId w:val="3"/>
  </w:num>
  <w:num w:numId="25">
    <w:abstractNumId w:val="5"/>
  </w:num>
  <w:num w:numId="26">
    <w:abstractNumId w:val="21"/>
  </w:num>
  <w:num w:numId="27">
    <w:abstractNumId w:val="7"/>
  </w:num>
  <w:num w:numId="28">
    <w:abstractNumId w:val="25"/>
  </w:num>
  <w:num w:numId="29">
    <w:abstractNumId w:val="17"/>
  </w:num>
  <w:num w:numId="30">
    <w:abstractNumId w:val="27"/>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3&lt;/SpaceAfter&gt;&lt;HyperlinksEnabled&gt;1&lt;/HyperlinksEnabled&gt;&lt;HyperlinksVisible&gt;0&lt;/HyperlinksVisible&gt;&lt;EnableBibliographyCategories&gt;1&lt;/EnableBibliographyCategories&gt;&lt;/ENLayout&gt;"/>
    <w:docVar w:name="EN.Libraries" w:val="&lt;Libraries&gt;&lt;item db-id=&quot;d0zdardz7d2vpoerd06pxdvmrwv5s952sw20&quot;&gt;My EndNote Library&lt;record-ids&gt;&lt;item&gt;1&lt;/item&gt;&lt;item&gt;6&lt;/item&gt;&lt;item&gt;8&lt;/item&gt;&lt;item&gt;15&lt;/item&gt;&lt;item&gt;16&lt;/item&gt;&lt;item&gt;19&lt;/item&gt;&lt;/record-ids&gt;&lt;/item&gt;&lt;/Libraries&gt;"/>
    <w:docVar w:name="EN.ReferenceGroups" w:val="&lt;reference-groups&gt;&lt;reference-group&gt;&lt;kindrecords&gt;1&lt;/kindrecords&gt;&lt;heading&gt;Primary Sources&lt;/heading&gt;&lt;alignment&gt;-1&lt;/alignment&gt;&lt;reference-group&gt;&lt;/reference-group&gt;&lt;/reference-group&gt;&lt;reference-group&gt;&lt;kindrecords&gt;1&lt;/kindrecords&gt;&lt;heading&gt;Secondary Sources&lt;/heading&gt;&lt;alignment&gt;-1&lt;/alignment&gt;&lt;reference-group&gt;&lt;/reference-group&gt;&lt;/reference-group&gt;&lt;/reference-groups&gt;"/>
  </w:docVars>
  <w:rsids>
    <w:rsidRoot w:val="00676037"/>
    <w:rsid w:val="00001859"/>
    <w:rsid w:val="000054D9"/>
    <w:rsid w:val="00010156"/>
    <w:rsid w:val="00014867"/>
    <w:rsid w:val="00016C91"/>
    <w:rsid w:val="00017132"/>
    <w:rsid w:val="000200AB"/>
    <w:rsid w:val="000205FE"/>
    <w:rsid w:val="00020B3C"/>
    <w:rsid w:val="000275C4"/>
    <w:rsid w:val="00031627"/>
    <w:rsid w:val="000331CC"/>
    <w:rsid w:val="00035049"/>
    <w:rsid w:val="00047219"/>
    <w:rsid w:val="00062EF4"/>
    <w:rsid w:val="0006586F"/>
    <w:rsid w:val="00065AB4"/>
    <w:rsid w:val="000722B1"/>
    <w:rsid w:val="000A43E9"/>
    <w:rsid w:val="000A7305"/>
    <w:rsid w:val="000A7C9E"/>
    <w:rsid w:val="000B0107"/>
    <w:rsid w:val="000B4794"/>
    <w:rsid w:val="000C58CE"/>
    <w:rsid w:val="000D0325"/>
    <w:rsid w:val="000D2F9B"/>
    <w:rsid w:val="000E3540"/>
    <w:rsid w:val="000E57CB"/>
    <w:rsid w:val="000F10C0"/>
    <w:rsid w:val="000F4602"/>
    <w:rsid w:val="000F51B8"/>
    <w:rsid w:val="000F7BC0"/>
    <w:rsid w:val="001005CC"/>
    <w:rsid w:val="001101F3"/>
    <w:rsid w:val="001161FB"/>
    <w:rsid w:val="001205B0"/>
    <w:rsid w:val="0012119B"/>
    <w:rsid w:val="00122979"/>
    <w:rsid w:val="00122E3E"/>
    <w:rsid w:val="00127D20"/>
    <w:rsid w:val="00143F57"/>
    <w:rsid w:val="00152B5A"/>
    <w:rsid w:val="001537E3"/>
    <w:rsid w:val="001627B8"/>
    <w:rsid w:val="00162B81"/>
    <w:rsid w:val="00170E84"/>
    <w:rsid w:val="00173F1E"/>
    <w:rsid w:val="00174D0F"/>
    <w:rsid w:val="00174DAA"/>
    <w:rsid w:val="00175ED8"/>
    <w:rsid w:val="0018032B"/>
    <w:rsid w:val="00182E35"/>
    <w:rsid w:val="00185D01"/>
    <w:rsid w:val="001871A8"/>
    <w:rsid w:val="00196B07"/>
    <w:rsid w:val="001A0E4C"/>
    <w:rsid w:val="001A157A"/>
    <w:rsid w:val="001B143A"/>
    <w:rsid w:val="001B20F9"/>
    <w:rsid w:val="001B6470"/>
    <w:rsid w:val="001B7D27"/>
    <w:rsid w:val="001C016A"/>
    <w:rsid w:val="001C3165"/>
    <w:rsid w:val="001C4CF8"/>
    <w:rsid w:val="001D14AF"/>
    <w:rsid w:val="001D4C1C"/>
    <w:rsid w:val="001D6032"/>
    <w:rsid w:val="001F0683"/>
    <w:rsid w:val="001F4D5F"/>
    <w:rsid w:val="001F7307"/>
    <w:rsid w:val="00201550"/>
    <w:rsid w:val="00205FD9"/>
    <w:rsid w:val="00211AAB"/>
    <w:rsid w:val="00221FE9"/>
    <w:rsid w:val="002311CB"/>
    <w:rsid w:val="0023192B"/>
    <w:rsid w:val="002324E5"/>
    <w:rsid w:val="00235D19"/>
    <w:rsid w:val="00236879"/>
    <w:rsid w:val="0024346D"/>
    <w:rsid w:val="002445C7"/>
    <w:rsid w:val="00247969"/>
    <w:rsid w:val="002519D3"/>
    <w:rsid w:val="002547BB"/>
    <w:rsid w:val="0026422B"/>
    <w:rsid w:val="002644E7"/>
    <w:rsid w:val="002734C9"/>
    <w:rsid w:val="002757F4"/>
    <w:rsid w:val="00275F04"/>
    <w:rsid w:val="00282DAB"/>
    <w:rsid w:val="0028485F"/>
    <w:rsid w:val="00286005"/>
    <w:rsid w:val="002941DA"/>
    <w:rsid w:val="00297FF0"/>
    <w:rsid w:val="002A1551"/>
    <w:rsid w:val="002A4475"/>
    <w:rsid w:val="002C038F"/>
    <w:rsid w:val="002C16A4"/>
    <w:rsid w:val="002D7EE3"/>
    <w:rsid w:val="002E2AF1"/>
    <w:rsid w:val="002E3A28"/>
    <w:rsid w:val="002E71E7"/>
    <w:rsid w:val="002F04AB"/>
    <w:rsid w:val="002F12A0"/>
    <w:rsid w:val="002F18F7"/>
    <w:rsid w:val="00301A83"/>
    <w:rsid w:val="003037FD"/>
    <w:rsid w:val="003050B8"/>
    <w:rsid w:val="00306A32"/>
    <w:rsid w:val="00310786"/>
    <w:rsid w:val="003112EE"/>
    <w:rsid w:val="00312D86"/>
    <w:rsid w:val="00320CDD"/>
    <w:rsid w:val="00325B93"/>
    <w:rsid w:val="003323CF"/>
    <w:rsid w:val="00335CE9"/>
    <w:rsid w:val="0034001F"/>
    <w:rsid w:val="00357AB6"/>
    <w:rsid w:val="0036435A"/>
    <w:rsid w:val="00364A9D"/>
    <w:rsid w:val="003668CE"/>
    <w:rsid w:val="003705C3"/>
    <w:rsid w:val="00370D98"/>
    <w:rsid w:val="00375050"/>
    <w:rsid w:val="00375626"/>
    <w:rsid w:val="00377EC5"/>
    <w:rsid w:val="003848E5"/>
    <w:rsid w:val="003A7C41"/>
    <w:rsid w:val="003B006C"/>
    <w:rsid w:val="003B58C8"/>
    <w:rsid w:val="003B7397"/>
    <w:rsid w:val="003C542D"/>
    <w:rsid w:val="003D0640"/>
    <w:rsid w:val="003D072B"/>
    <w:rsid w:val="003D165E"/>
    <w:rsid w:val="003D2A96"/>
    <w:rsid w:val="003E0C46"/>
    <w:rsid w:val="003E510D"/>
    <w:rsid w:val="003E5E09"/>
    <w:rsid w:val="003E6387"/>
    <w:rsid w:val="003F098B"/>
    <w:rsid w:val="003F2794"/>
    <w:rsid w:val="00401625"/>
    <w:rsid w:val="00401787"/>
    <w:rsid w:val="00407B7B"/>
    <w:rsid w:val="00411F9A"/>
    <w:rsid w:val="00415E40"/>
    <w:rsid w:val="00427F64"/>
    <w:rsid w:val="004312C2"/>
    <w:rsid w:val="00431624"/>
    <w:rsid w:val="00440042"/>
    <w:rsid w:val="00441541"/>
    <w:rsid w:val="00442036"/>
    <w:rsid w:val="00442647"/>
    <w:rsid w:val="00450D77"/>
    <w:rsid w:val="004547C9"/>
    <w:rsid w:val="00457365"/>
    <w:rsid w:val="00460FA3"/>
    <w:rsid w:val="00462273"/>
    <w:rsid w:val="00462D08"/>
    <w:rsid w:val="00466874"/>
    <w:rsid w:val="0046756B"/>
    <w:rsid w:val="00470945"/>
    <w:rsid w:val="004721DF"/>
    <w:rsid w:val="00473712"/>
    <w:rsid w:val="00476C09"/>
    <w:rsid w:val="00487C4F"/>
    <w:rsid w:val="00492264"/>
    <w:rsid w:val="004941F6"/>
    <w:rsid w:val="0049587F"/>
    <w:rsid w:val="0049711F"/>
    <w:rsid w:val="00497DA2"/>
    <w:rsid w:val="004A1FD0"/>
    <w:rsid w:val="004A385C"/>
    <w:rsid w:val="004A680D"/>
    <w:rsid w:val="004B0F9A"/>
    <w:rsid w:val="004D7BB7"/>
    <w:rsid w:val="004E0B73"/>
    <w:rsid w:val="004E6D5F"/>
    <w:rsid w:val="004F65EE"/>
    <w:rsid w:val="004F716F"/>
    <w:rsid w:val="005028A4"/>
    <w:rsid w:val="00513B92"/>
    <w:rsid w:val="00515B12"/>
    <w:rsid w:val="0052245D"/>
    <w:rsid w:val="005256E7"/>
    <w:rsid w:val="00532217"/>
    <w:rsid w:val="00532FC8"/>
    <w:rsid w:val="00536998"/>
    <w:rsid w:val="005515A8"/>
    <w:rsid w:val="00551D5C"/>
    <w:rsid w:val="00555B87"/>
    <w:rsid w:val="00561E48"/>
    <w:rsid w:val="00572496"/>
    <w:rsid w:val="00574E86"/>
    <w:rsid w:val="005756FA"/>
    <w:rsid w:val="005758AB"/>
    <w:rsid w:val="00575A3F"/>
    <w:rsid w:val="00580BE2"/>
    <w:rsid w:val="00583B9B"/>
    <w:rsid w:val="00594C26"/>
    <w:rsid w:val="00595A6D"/>
    <w:rsid w:val="00595C79"/>
    <w:rsid w:val="00596246"/>
    <w:rsid w:val="005A1D9B"/>
    <w:rsid w:val="005A4579"/>
    <w:rsid w:val="005A778F"/>
    <w:rsid w:val="005B23AB"/>
    <w:rsid w:val="005B7B70"/>
    <w:rsid w:val="005C3966"/>
    <w:rsid w:val="005C5767"/>
    <w:rsid w:val="005C6728"/>
    <w:rsid w:val="005D274F"/>
    <w:rsid w:val="005D5BBD"/>
    <w:rsid w:val="005E0F8D"/>
    <w:rsid w:val="005E2051"/>
    <w:rsid w:val="005E67B5"/>
    <w:rsid w:val="005F0CB5"/>
    <w:rsid w:val="005F1270"/>
    <w:rsid w:val="005F35A7"/>
    <w:rsid w:val="005F4784"/>
    <w:rsid w:val="006003C6"/>
    <w:rsid w:val="00600CFE"/>
    <w:rsid w:val="0060372D"/>
    <w:rsid w:val="0060730F"/>
    <w:rsid w:val="00616170"/>
    <w:rsid w:val="00620B27"/>
    <w:rsid w:val="006275CD"/>
    <w:rsid w:val="00636829"/>
    <w:rsid w:val="006372D0"/>
    <w:rsid w:val="0064037B"/>
    <w:rsid w:val="006430B6"/>
    <w:rsid w:val="006437A3"/>
    <w:rsid w:val="006541E8"/>
    <w:rsid w:val="00663933"/>
    <w:rsid w:val="00664F93"/>
    <w:rsid w:val="00666DFC"/>
    <w:rsid w:val="006671DE"/>
    <w:rsid w:val="00667D68"/>
    <w:rsid w:val="0067418E"/>
    <w:rsid w:val="00676037"/>
    <w:rsid w:val="00684601"/>
    <w:rsid w:val="006928F8"/>
    <w:rsid w:val="006A345B"/>
    <w:rsid w:val="006A7AF3"/>
    <w:rsid w:val="006B409B"/>
    <w:rsid w:val="006C7773"/>
    <w:rsid w:val="006D220A"/>
    <w:rsid w:val="006D66E1"/>
    <w:rsid w:val="006E4BA3"/>
    <w:rsid w:val="006F0304"/>
    <w:rsid w:val="006F2884"/>
    <w:rsid w:val="006F3432"/>
    <w:rsid w:val="006F56EA"/>
    <w:rsid w:val="006F6749"/>
    <w:rsid w:val="006F77E2"/>
    <w:rsid w:val="00700D9F"/>
    <w:rsid w:val="007023CA"/>
    <w:rsid w:val="007027FA"/>
    <w:rsid w:val="00703036"/>
    <w:rsid w:val="007071A2"/>
    <w:rsid w:val="00716903"/>
    <w:rsid w:val="00717841"/>
    <w:rsid w:val="00721DB2"/>
    <w:rsid w:val="00725769"/>
    <w:rsid w:val="007331FE"/>
    <w:rsid w:val="00737793"/>
    <w:rsid w:val="0075224F"/>
    <w:rsid w:val="007532D4"/>
    <w:rsid w:val="007573C5"/>
    <w:rsid w:val="007617BC"/>
    <w:rsid w:val="007639C2"/>
    <w:rsid w:val="0077167A"/>
    <w:rsid w:val="00777256"/>
    <w:rsid w:val="00780857"/>
    <w:rsid w:val="00781ECF"/>
    <w:rsid w:val="0078247C"/>
    <w:rsid w:val="00782EA6"/>
    <w:rsid w:val="00784CAD"/>
    <w:rsid w:val="00792518"/>
    <w:rsid w:val="00794474"/>
    <w:rsid w:val="00797897"/>
    <w:rsid w:val="007A195D"/>
    <w:rsid w:val="007B1194"/>
    <w:rsid w:val="007B1618"/>
    <w:rsid w:val="007B6E22"/>
    <w:rsid w:val="007C4526"/>
    <w:rsid w:val="007D0CD5"/>
    <w:rsid w:val="007D5EC9"/>
    <w:rsid w:val="007D7733"/>
    <w:rsid w:val="007E18C1"/>
    <w:rsid w:val="007E4DE4"/>
    <w:rsid w:val="007E5D1A"/>
    <w:rsid w:val="007F427E"/>
    <w:rsid w:val="007F46FE"/>
    <w:rsid w:val="00801F0D"/>
    <w:rsid w:val="00804DF8"/>
    <w:rsid w:val="00807B32"/>
    <w:rsid w:val="0081045C"/>
    <w:rsid w:val="00811226"/>
    <w:rsid w:val="008123CE"/>
    <w:rsid w:val="00815761"/>
    <w:rsid w:val="008236C0"/>
    <w:rsid w:val="00823A10"/>
    <w:rsid w:val="00835A83"/>
    <w:rsid w:val="00836028"/>
    <w:rsid w:val="00837D1B"/>
    <w:rsid w:val="00841495"/>
    <w:rsid w:val="00842A80"/>
    <w:rsid w:val="0084602D"/>
    <w:rsid w:val="00846726"/>
    <w:rsid w:val="00850C69"/>
    <w:rsid w:val="008521FD"/>
    <w:rsid w:val="00852218"/>
    <w:rsid w:val="00853F32"/>
    <w:rsid w:val="00861D9B"/>
    <w:rsid w:val="00865771"/>
    <w:rsid w:val="00866D6F"/>
    <w:rsid w:val="00866E11"/>
    <w:rsid w:val="00866E6F"/>
    <w:rsid w:val="00876599"/>
    <w:rsid w:val="00883EC6"/>
    <w:rsid w:val="00885261"/>
    <w:rsid w:val="00886547"/>
    <w:rsid w:val="00895049"/>
    <w:rsid w:val="008A3952"/>
    <w:rsid w:val="008B07D0"/>
    <w:rsid w:val="008B1394"/>
    <w:rsid w:val="008B30ED"/>
    <w:rsid w:val="008B38C2"/>
    <w:rsid w:val="008B49BF"/>
    <w:rsid w:val="008D112C"/>
    <w:rsid w:val="008D148E"/>
    <w:rsid w:val="008D412F"/>
    <w:rsid w:val="008D6400"/>
    <w:rsid w:val="008D7D9D"/>
    <w:rsid w:val="008E17EA"/>
    <w:rsid w:val="008E50B4"/>
    <w:rsid w:val="008E5E50"/>
    <w:rsid w:val="008F39BF"/>
    <w:rsid w:val="008F4E37"/>
    <w:rsid w:val="008F7259"/>
    <w:rsid w:val="009014CB"/>
    <w:rsid w:val="00911716"/>
    <w:rsid w:val="00912E2F"/>
    <w:rsid w:val="009155AF"/>
    <w:rsid w:val="009202E6"/>
    <w:rsid w:val="00923DF2"/>
    <w:rsid w:val="0092605F"/>
    <w:rsid w:val="009300E6"/>
    <w:rsid w:val="00931DE1"/>
    <w:rsid w:val="0094000D"/>
    <w:rsid w:val="00940A88"/>
    <w:rsid w:val="009604D0"/>
    <w:rsid w:val="00960AF9"/>
    <w:rsid w:val="0096163E"/>
    <w:rsid w:val="00965ABA"/>
    <w:rsid w:val="00966695"/>
    <w:rsid w:val="00980527"/>
    <w:rsid w:val="009873CB"/>
    <w:rsid w:val="009968B6"/>
    <w:rsid w:val="009A1940"/>
    <w:rsid w:val="009A34BD"/>
    <w:rsid w:val="009A3C7D"/>
    <w:rsid w:val="009A4BFA"/>
    <w:rsid w:val="009A5697"/>
    <w:rsid w:val="009B4756"/>
    <w:rsid w:val="009B4E0A"/>
    <w:rsid w:val="009B591F"/>
    <w:rsid w:val="009C06A6"/>
    <w:rsid w:val="009C1085"/>
    <w:rsid w:val="009C49CB"/>
    <w:rsid w:val="009C665C"/>
    <w:rsid w:val="009D13D5"/>
    <w:rsid w:val="009E09F1"/>
    <w:rsid w:val="009E217B"/>
    <w:rsid w:val="009E5488"/>
    <w:rsid w:val="009E70E2"/>
    <w:rsid w:val="009E71F9"/>
    <w:rsid w:val="009F5170"/>
    <w:rsid w:val="009F735D"/>
    <w:rsid w:val="009F75FD"/>
    <w:rsid w:val="009F768C"/>
    <w:rsid w:val="00A04448"/>
    <w:rsid w:val="00A10DED"/>
    <w:rsid w:val="00A1341A"/>
    <w:rsid w:val="00A16EBC"/>
    <w:rsid w:val="00A229D5"/>
    <w:rsid w:val="00A26936"/>
    <w:rsid w:val="00A31BD8"/>
    <w:rsid w:val="00A33658"/>
    <w:rsid w:val="00A34178"/>
    <w:rsid w:val="00A34770"/>
    <w:rsid w:val="00A374F9"/>
    <w:rsid w:val="00A40526"/>
    <w:rsid w:val="00A419A3"/>
    <w:rsid w:val="00A518B6"/>
    <w:rsid w:val="00A51BE2"/>
    <w:rsid w:val="00A55311"/>
    <w:rsid w:val="00A56580"/>
    <w:rsid w:val="00A5736A"/>
    <w:rsid w:val="00A57C2A"/>
    <w:rsid w:val="00A61674"/>
    <w:rsid w:val="00A6387B"/>
    <w:rsid w:val="00A65FED"/>
    <w:rsid w:val="00A66A3A"/>
    <w:rsid w:val="00A8679C"/>
    <w:rsid w:val="00A87F4F"/>
    <w:rsid w:val="00A91246"/>
    <w:rsid w:val="00A91292"/>
    <w:rsid w:val="00A91B8B"/>
    <w:rsid w:val="00A939AE"/>
    <w:rsid w:val="00A93CE5"/>
    <w:rsid w:val="00A948A7"/>
    <w:rsid w:val="00A94950"/>
    <w:rsid w:val="00AA61E8"/>
    <w:rsid w:val="00AA6E32"/>
    <w:rsid w:val="00AB1A9A"/>
    <w:rsid w:val="00AB631A"/>
    <w:rsid w:val="00AC3B9C"/>
    <w:rsid w:val="00AE0478"/>
    <w:rsid w:val="00AE15F4"/>
    <w:rsid w:val="00AE573A"/>
    <w:rsid w:val="00AE75E9"/>
    <w:rsid w:val="00AF42B6"/>
    <w:rsid w:val="00B015B7"/>
    <w:rsid w:val="00B0203B"/>
    <w:rsid w:val="00B06D06"/>
    <w:rsid w:val="00B10AC1"/>
    <w:rsid w:val="00B24CE3"/>
    <w:rsid w:val="00B32AEC"/>
    <w:rsid w:val="00B33E3B"/>
    <w:rsid w:val="00B35FE7"/>
    <w:rsid w:val="00B4551A"/>
    <w:rsid w:val="00B52784"/>
    <w:rsid w:val="00B54599"/>
    <w:rsid w:val="00B565B2"/>
    <w:rsid w:val="00B565DA"/>
    <w:rsid w:val="00B620B4"/>
    <w:rsid w:val="00B64AC4"/>
    <w:rsid w:val="00B669C2"/>
    <w:rsid w:val="00B709B8"/>
    <w:rsid w:val="00B74E7B"/>
    <w:rsid w:val="00B75471"/>
    <w:rsid w:val="00B850B7"/>
    <w:rsid w:val="00B8784F"/>
    <w:rsid w:val="00B9108A"/>
    <w:rsid w:val="00B92B85"/>
    <w:rsid w:val="00B93AB7"/>
    <w:rsid w:val="00BA343F"/>
    <w:rsid w:val="00BA5015"/>
    <w:rsid w:val="00BB1B5F"/>
    <w:rsid w:val="00BB25C1"/>
    <w:rsid w:val="00BB6F21"/>
    <w:rsid w:val="00BE1F26"/>
    <w:rsid w:val="00BE4991"/>
    <w:rsid w:val="00BE530A"/>
    <w:rsid w:val="00BE7484"/>
    <w:rsid w:val="00BF4485"/>
    <w:rsid w:val="00C030C5"/>
    <w:rsid w:val="00C071A5"/>
    <w:rsid w:val="00C074F8"/>
    <w:rsid w:val="00C202E6"/>
    <w:rsid w:val="00C21111"/>
    <w:rsid w:val="00C21CA4"/>
    <w:rsid w:val="00C21EF5"/>
    <w:rsid w:val="00C24349"/>
    <w:rsid w:val="00C266E4"/>
    <w:rsid w:val="00C367FE"/>
    <w:rsid w:val="00C40BB2"/>
    <w:rsid w:val="00C56E9E"/>
    <w:rsid w:val="00C63204"/>
    <w:rsid w:val="00C679D4"/>
    <w:rsid w:val="00C7085E"/>
    <w:rsid w:val="00C73C11"/>
    <w:rsid w:val="00C73E7B"/>
    <w:rsid w:val="00C77DCF"/>
    <w:rsid w:val="00C92D2C"/>
    <w:rsid w:val="00C93522"/>
    <w:rsid w:val="00C939BA"/>
    <w:rsid w:val="00C93D56"/>
    <w:rsid w:val="00C943CC"/>
    <w:rsid w:val="00C9690B"/>
    <w:rsid w:val="00CA2FB3"/>
    <w:rsid w:val="00CB1EC5"/>
    <w:rsid w:val="00CC4440"/>
    <w:rsid w:val="00CC4ACF"/>
    <w:rsid w:val="00CD4B94"/>
    <w:rsid w:val="00CE0C0C"/>
    <w:rsid w:val="00CE281B"/>
    <w:rsid w:val="00CE62D1"/>
    <w:rsid w:val="00CF070D"/>
    <w:rsid w:val="00CF1629"/>
    <w:rsid w:val="00CF4A1C"/>
    <w:rsid w:val="00CF58DE"/>
    <w:rsid w:val="00D013EA"/>
    <w:rsid w:val="00D04D6D"/>
    <w:rsid w:val="00D04E0C"/>
    <w:rsid w:val="00D10CA2"/>
    <w:rsid w:val="00D11306"/>
    <w:rsid w:val="00D11FCF"/>
    <w:rsid w:val="00D174D3"/>
    <w:rsid w:val="00D25650"/>
    <w:rsid w:val="00D34107"/>
    <w:rsid w:val="00D40015"/>
    <w:rsid w:val="00D40C03"/>
    <w:rsid w:val="00D40FC4"/>
    <w:rsid w:val="00D41218"/>
    <w:rsid w:val="00D41832"/>
    <w:rsid w:val="00D4705B"/>
    <w:rsid w:val="00D516BB"/>
    <w:rsid w:val="00D61840"/>
    <w:rsid w:val="00D6421E"/>
    <w:rsid w:val="00D654F1"/>
    <w:rsid w:val="00D7617C"/>
    <w:rsid w:val="00D768C4"/>
    <w:rsid w:val="00D81744"/>
    <w:rsid w:val="00D848A7"/>
    <w:rsid w:val="00D91E3B"/>
    <w:rsid w:val="00D95426"/>
    <w:rsid w:val="00DA1433"/>
    <w:rsid w:val="00DA4643"/>
    <w:rsid w:val="00DA5479"/>
    <w:rsid w:val="00DB4684"/>
    <w:rsid w:val="00DB6521"/>
    <w:rsid w:val="00DC5D03"/>
    <w:rsid w:val="00DC7766"/>
    <w:rsid w:val="00DD0E55"/>
    <w:rsid w:val="00DD2CDD"/>
    <w:rsid w:val="00DE1DDA"/>
    <w:rsid w:val="00DE5E11"/>
    <w:rsid w:val="00DF430D"/>
    <w:rsid w:val="00DF5385"/>
    <w:rsid w:val="00E006A4"/>
    <w:rsid w:val="00E03FF0"/>
    <w:rsid w:val="00E11DFE"/>
    <w:rsid w:val="00E17E46"/>
    <w:rsid w:val="00E31F0D"/>
    <w:rsid w:val="00E320C5"/>
    <w:rsid w:val="00E36556"/>
    <w:rsid w:val="00E37F8E"/>
    <w:rsid w:val="00E42A88"/>
    <w:rsid w:val="00E5246E"/>
    <w:rsid w:val="00E55EE2"/>
    <w:rsid w:val="00E57452"/>
    <w:rsid w:val="00E60AE8"/>
    <w:rsid w:val="00E60F6A"/>
    <w:rsid w:val="00E618CB"/>
    <w:rsid w:val="00E67570"/>
    <w:rsid w:val="00E73E97"/>
    <w:rsid w:val="00E81A01"/>
    <w:rsid w:val="00E92805"/>
    <w:rsid w:val="00E929D3"/>
    <w:rsid w:val="00E93698"/>
    <w:rsid w:val="00E938A6"/>
    <w:rsid w:val="00E93D1D"/>
    <w:rsid w:val="00E94CE5"/>
    <w:rsid w:val="00E94D0F"/>
    <w:rsid w:val="00E95709"/>
    <w:rsid w:val="00EB7C33"/>
    <w:rsid w:val="00EB7D6B"/>
    <w:rsid w:val="00EC4C55"/>
    <w:rsid w:val="00EE2379"/>
    <w:rsid w:val="00EE2CD1"/>
    <w:rsid w:val="00EF461E"/>
    <w:rsid w:val="00EF571B"/>
    <w:rsid w:val="00EF582E"/>
    <w:rsid w:val="00F02DFA"/>
    <w:rsid w:val="00F03E3A"/>
    <w:rsid w:val="00F051CD"/>
    <w:rsid w:val="00F11163"/>
    <w:rsid w:val="00F1398B"/>
    <w:rsid w:val="00F231A8"/>
    <w:rsid w:val="00F240C1"/>
    <w:rsid w:val="00F249C9"/>
    <w:rsid w:val="00F27011"/>
    <w:rsid w:val="00F27A36"/>
    <w:rsid w:val="00F3218B"/>
    <w:rsid w:val="00F325BA"/>
    <w:rsid w:val="00F32A5E"/>
    <w:rsid w:val="00F362FD"/>
    <w:rsid w:val="00F44B8C"/>
    <w:rsid w:val="00F52309"/>
    <w:rsid w:val="00F61757"/>
    <w:rsid w:val="00F67D4B"/>
    <w:rsid w:val="00F72EE4"/>
    <w:rsid w:val="00F74EEA"/>
    <w:rsid w:val="00F761C8"/>
    <w:rsid w:val="00F767D3"/>
    <w:rsid w:val="00F8014D"/>
    <w:rsid w:val="00F80355"/>
    <w:rsid w:val="00F821C4"/>
    <w:rsid w:val="00F82DCF"/>
    <w:rsid w:val="00F83A76"/>
    <w:rsid w:val="00F92F0D"/>
    <w:rsid w:val="00F93948"/>
    <w:rsid w:val="00F9640B"/>
    <w:rsid w:val="00F97768"/>
    <w:rsid w:val="00F979AB"/>
    <w:rsid w:val="00FA4694"/>
    <w:rsid w:val="00FA5203"/>
    <w:rsid w:val="00FA586C"/>
    <w:rsid w:val="00FA5E96"/>
    <w:rsid w:val="00FB0FA5"/>
    <w:rsid w:val="00FB7BEB"/>
    <w:rsid w:val="00FC109E"/>
    <w:rsid w:val="00FC2727"/>
    <w:rsid w:val="00FC2C9B"/>
    <w:rsid w:val="00FD252A"/>
    <w:rsid w:val="00FE1EE1"/>
    <w:rsid w:val="00FE3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sz w:val="24"/>
        <w:szCs w:val="22"/>
        <w:lang w:val="en-US" w:eastAsia="en-US" w:bidi="ar-SA"/>
      </w:rPr>
    </w:rPrDefault>
    <w:pPrDefault>
      <w:pPr>
        <w:spacing w:after="16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945"/>
  </w:style>
  <w:style w:type="paragraph" w:styleId="Heading1">
    <w:name w:val="heading 1"/>
    <w:basedOn w:val="Normal"/>
    <w:next w:val="Normal"/>
    <w:link w:val="Heading1Char"/>
    <w:autoRedefine/>
    <w:uiPriority w:val="9"/>
    <w:qFormat/>
    <w:rsid w:val="00E5246E"/>
    <w:pPr>
      <w:snapToGrid w:val="0"/>
      <w:spacing w:after="0" w:line="240" w:lineRule="auto"/>
      <w:ind w:firstLine="0"/>
      <w:outlineLvl w:val="0"/>
    </w:pPr>
    <w:rPr>
      <w:rFonts w:eastAsiaTheme="minorHAnsi" w:cs="Times New Roman"/>
      <w:b/>
      <w:sz w:val="20"/>
    </w:rPr>
  </w:style>
  <w:style w:type="paragraph" w:styleId="Heading2">
    <w:name w:val="heading 2"/>
    <w:basedOn w:val="Normal"/>
    <w:next w:val="Normal"/>
    <w:link w:val="Heading2Char"/>
    <w:autoRedefine/>
    <w:uiPriority w:val="9"/>
    <w:unhideWhenUsed/>
    <w:qFormat/>
    <w:rsid w:val="002A1551"/>
    <w:pPr>
      <w:ind w:firstLine="0"/>
      <w:jc w:val="center"/>
      <w:outlineLvl w:val="1"/>
    </w:pPr>
    <w:rPr>
      <w:b/>
      <w:bCs/>
      <w:iCs/>
      <w:sz w:val="28"/>
      <w:szCs w:val="26"/>
    </w:rPr>
  </w:style>
  <w:style w:type="paragraph" w:styleId="Heading3">
    <w:name w:val="heading 3"/>
    <w:basedOn w:val="Heading2"/>
    <w:next w:val="Normal"/>
    <w:link w:val="Heading3Char"/>
    <w:autoRedefine/>
    <w:uiPriority w:val="9"/>
    <w:unhideWhenUsed/>
    <w:qFormat/>
    <w:rsid w:val="000E57CB"/>
    <w:pPr>
      <w:ind w:left="1440" w:hanging="720"/>
      <w:jc w:val="left"/>
      <w:outlineLvl w:val="2"/>
    </w:pPr>
  </w:style>
  <w:style w:type="paragraph" w:styleId="Heading4">
    <w:name w:val="heading 4"/>
    <w:basedOn w:val="Normal"/>
    <w:next w:val="Normal"/>
    <w:link w:val="Heading4Char"/>
    <w:uiPriority w:val="9"/>
    <w:unhideWhenUsed/>
    <w:qFormat/>
    <w:rsid w:val="00A57C2A"/>
    <w:pPr>
      <w:outlineLvl w:val="3"/>
    </w:pPr>
    <w:rPr>
      <w:b/>
      <w:bCs/>
      <w:i/>
      <w:iCs/>
    </w:rPr>
  </w:style>
  <w:style w:type="paragraph" w:styleId="Heading5">
    <w:name w:val="heading 5"/>
    <w:basedOn w:val="ListParagraph"/>
    <w:next w:val="Normal"/>
    <w:link w:val="Heading5Char"/>
    <w:uiPriority w:val="9"/>
    <w:unhideWhenUsed/>
    <w:qFormat/>
    <w:rsid w:val="00431624"/>
    <w:pPr>
      <w:ind w:left="0" w:firstLine="0"/>
      <w:outlineLvl w:val="4"/>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46E"/>
    <w:rPr>
      <w:rFonts w:eastAsiaTheme="minorHAnsi" w:cs="Times New Roman"/>
      <w:b/>
      <w:sz w:val="20"/>
    </w:rPr>
  </w:style>
  <w:style w:type="paragraph" w:styleId="Header">
    <w:name w:val="header"/>
    <w:basedOn w:val="Normal"/>
    <w:link w:val="HeaderChar"/>
    <w:uiPriority w:val="99"/>
    <w:unhideWhenUsed/>
    <w:rsid w:val="004721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21DF"/>
    <w:rPr>
      <w:rFonts w:ascii="Times New Roman" w:hAnsi="Times New Roman"/>
      <w:sz w:val="24"/>
    </w:rPr>
  </w:style>
  <w:style w:type="paragraph" w:styleId="Footer">
    <w:name w:val="footer"/>
    <w:basedOn w:val="Normal"/>
    <w:link w:val="FooterChar"/>
    <w:uiPriority w:val="99"/>
    <w:unhideWhenUsed/>
    <w:rsid w:val="004721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21DF"/>
    <w:rPr>
      <w:rFonts w:ascii="Times New Roman" w:hAnsi="Times New Roman"/>
      <w:sz w:val="24"/>
    </w:rPr>
  </w:style>
  <w:style w:type="paragraph" w:styleId="ListParagraph">
    <w:name w:val="List Paragraph"/>
    <w:basedOn w:val="Normal"/>
    <w:uiPriority w:val="34"/>
    <w:qFormat/>
    <w:rsid w:val="00D04D6D"/>
    <w:pPr>
      <w:ind w:left="720"/>
      <w:contextualSpacing/>
    </w:pPr>
  </w:style>
  <w:style w:type="character" w:customStyle="1" w:styleId="Heading2Char">
    <w:name w:val="Heading 2 Char"/>
    <w:basedOn w:val="DefaultParagraphFont"/>
    <w:link w:val="Heading2"/>
    <w:uiPriority w:val="9"/>
    <w:rsid w:val="002A1551"/>
    <w:rPr>
      <w:rFonts w:ascii="Times New Roman" w:hAnsi="Times New Roman"/>
      <w:b/>
      <w:bCs/>
      <w:iCs/>
      <w:sz w:val="28"/>
      <w:szCs w:val="26"/>
      <w:lang w:bidi="ar-EG"/>
    </w:rPr>
  </w:style>
  <w:style w:type="character" w:customStyle="1" w:styleId="Heading3Char">
    <w:name w:val="Heading 3 Char"/>
    <w:basedOn w:val="DefaultParagraphFont"/>
    <w:link w:val="Heading3"/>
    <w:uiPriority w:val="9"/>
    <w:rsid w:val="000E57CB"/>
    <w:rPr>
      <w:b/>
      <w:bCs/>
      <w:iCs/>
      <w:sz w:val="28"/>
      <w:szCs w:val="26"/>
    </w:rPr>
  </w:style>
  <w:style w:type="paragraph" w:styleId="Title">
    <w:name w:val="Title"/>
    <w:basedOn w:val="Normal"/>
    <w:next w:val="Normal"/>
    <w:link w:val="TitleChar"/>
    <w:uiPriority w:val="10"/>
    <w:qFormat/>
    <w:rsid w:val="00A57C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C2A"/>
    <w:rPr>
      <w:rFonts w:asciiTheme="majorHAnsi" w:eastAsiaTheme="majorEastAsia" w:hAnsiTheme="majorHAnsi" w:cstheme="majorBidi"/>
      <w:spacing w:val="-10"/>
      <w:kern w:val="28"/>
      <w:sz w:val="56"/>
      <w:szCs w:val="56"/>
      <w:lang w:bidi="ar-EG"/>
    </w:rPr>
  </w:style>
  <w:style w:type="character" w:customStyle="1" w:styleId="Heading4Char">
    <w:name w:val="Heading 4 Char"/>
    <w:basedOn w:val="DefaultParagraphFont"/>
    <w:link w:val="Heading4"/>
    <w:uiPriority w:val="9"/>
    <w:rsid w:val="00A57C2A"/>
    <w:rPr>
      <w:rFonts w:ascii="Times New Roman" w:hAnsi="Times New Roman"/>
      <w:b/>
      <w:bCs/>
      <w:i/>
      <w:iCs/>
      <w:sz w:val="24"/>
      <w:lang w:bidi="ar-EG"/>
    </w:rPr>
  </w:style>
  <w:style w:type="paragraph" w:styleId="TOC1">
    <w:name w:val="toc 1"/>
    <w:basedOn w:val="Normal"/>
    <w:next w:val="Normal"/>
    <w:autoRedefine/>
    <w:uiPriority w:val="39"/>
    <w:unhideWhenUsed/>
    <w:rsid w:val="00AB1A9A"/>
    <w:pPr>
      <w:spacing w:after="100"/>
    </w:pPr>
  </w:style>
  <w:style w:type="paragraph" w:styleId="TOC2">
    <w:name w:val="toc 2"/>
    <w:basedOn w:val="Normal"/>
    <w:next w:val="Normal"/>
    <w:autoRedefine/>
    <w:uiPriority w:val="39"/>
    <w:unhideWhenUsed/>
    <w:rsid w:val="00335CE9"/>
    <w:pPr>
      <w:tabs>
        <w:tab w:val="right" w:leader="dot" w:pos="7428"/>
      </w:tabs>
      <w:spacing w:after="100"/>
      <w:ind w:left="1440" w:firstLine="0"/>
    </w:pPr>
  </w:style>
  <w:style w:type="character" w:styleId="Hyperlink">
    <w:name w:val="Hyperlink"/>
    <w:basedOn w:val="DefaultParagraphFont"/>
    <w:uiPriority w:val="99"/>
    <w:unhideWhenUsed/>
    <w:rsid w:val="00AB1A9A"/>
    <w:rPr>
      <w:color w:val="0563C1" w:themeColor="hyperlink"/>
      <w:u w:val="single"/>
    </w:rPr>
  </w:style>
  <w:style w:type="paragraph" w:styleId="TOCHeading">
    <w:name w:val="TOC Heading"/>
    <w:basedOn w:val="Heading1"/>
    <w:next w:val="Normal"/>
    <w:uiPriority w:val="39"/>
    <w:unhideWhenUsed/>
    <w:qFormat/>
    <w:rsid w:val="00AB1A9A"/>
    <w:pPr>
      <w:spacing w:before="240" w:line="259" w:lineRule="auto"/>
      <w:jc w:val="left"/>
      <w:outlineLvl w:val="9"/>
    </w:pPr>
    <w:rPr>
      <w:rFonts w:asciiTheme="majorHAnsi" w:hAnsiTheme="majorHAnsi"/>
      <w:b w:val="0"/>
      <w:color w:val="2F5496" w:themeColor="accent1" w:themeShade="BF"/>
      <w:sz w:val="32"/>
    </w:rPr>
  </w:style>
  <w:style w:type="paragraph" w:styleId="TOC3">
    <w:name w:val="toc 3"/>
    <w:basedOn w:val="Normal"/>
    <w:next w:val="Normal"/>
    <w:autoRedefine/>
    <w:uiPriority w:val="39"/>
    <w:unhideWhenUsed/>
    <w:rsid w:val="00AB1A9A"/>
    <w:pPr>
      <w:spacing w:after="100"/>
      <w:ind w:left="480"/>
    </w:pPr>
  </w:style>
  <w:style w:type="paragraph" w:styleId="Caption">
    <w:name w:val="caption"/>
    <w:basedOn w:val="Normal"/>
    <w:next w:val="Normal"/>
    <w:autoRedefine/>
    <w:uiPriority w:val="35"/>
    <w:unhideWhenUsed/>
    <w:qFormat/>
    <w:rsid w:val="008A3952"/>
    <w:pPr>
      <w:spacing w:after="200" w:line="240" w:lineRule="auto"/>
      <w:ind w:firstLine="0"/>
    </w:pPr>
    <w:rPr>
      <w:b/>
      <w:i/>
      <w:iCs/>
      <w:noProof/>
      <w:szCs w:val="24"/>
    </w:rPr>
  </w:style>
  <w:style w:type="paragraph" w:styleId="TableofFigures">
    <w:name w:val="table of figures"/>
    <w:basedOn w:val="Normal"/>
    <w:next w:val="Normal"/>
    <w:uiPriority w:val="99"/>
    <w:unhideWhenUsed/>
    <w:rsid w:val="00B565B2"/>
    <w:pPr>
      <w:spacing w:after="0"/>
      <w:jc w:val="left"/>
    </w:pPr>
  </w:style>
  <w:style w:type="paragraph" w:styleId="FootnoteText">
    <w:name w:val="footnote text"/>
    <w:basedOn w:val="Normal"/>
    <w:link w:val="FootnoteTextChar"/>
    <w:uiPriority w:val="99"/>
    <w:semiHidden/>
    <w:unhideWhenUsed/>
    <w:rsid w:val="00502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8A4"/>
    <w:rPr>
      <w:rFonts w:ascii="Times New Roman" w:hAnsi="Times New Roman"/>
      <w:sz w:val="20"/>
      <w:szCs w:val="20"/>
      <w:lang w:bidi="ar-EG"/>
    </w:rPr>
  </w:style>
  <w:style w:type="character" w:styleId="FootnoteReference">
    <w:name w:val="footnote reference"/>
    <w:basedOn w:val="DefaultParagraphFont"/>
    <w:uiPriority w:val="99"/>
    <w:semiHidden/>
    <w:unhideWhenUsed/>
    <w:rsid w:val="005028A4"/>
    <w:rPr>
      <w:vertAlign w:val="superscript"/>
    </w:rPr>
  </w:style>
  <w:style w:type="table" w:styleId="TableGrid">
    <w:name w:val="Table Grid"/>
    <w:basedOn w:val="TableNormal"/>
    <w:uiPriority w:val="39"/>
    <w:rsid w:val="00801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E93D1D"/>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E93D1D"/>
    <w:rPr>
      <w:rFonts w:cs="Times New Roman"/>
      <w:noProof/>
    </w:rPr>
  </w:style>
  <w:style w:type="paragraph" w:customStyle="1" w:styleId="EndNoteBibliography">
    <w:name w:val="EndNote Bibliography"/>
    <w:basedOn w:val="Normal"/>
    <w:link w:val="EndNoteBibliographyChar"/>
    <w:rsid w:val="00E93D1D"/>
    <w:pPr>
      <w:spacing w:line="480" w:lineRule="auto"/>
    </w:pPr>
    <w:rPr>
      <w:rFonts w:cs="Times New Roman"/>
      <w:noProof/>
    </w:rPr>
  </w:style>
  <w:style w:type="character" w:customStyle="1" w:styleId="EndNoteBibliographyChar">
    <w:name w:val="EndNote Bibliography Char"/>
    <w:basedOn w:val="DefaultParagraphFont"/>
    <w:link w:val="EndNoteBibliography"/>
    <w:rsid w:val="00E93D1D"/>
    <w:rPr>
      <w:rFonts w:cs="Times New Roman"/>
      <w:noProof/>
    </w:rPr>
  </w:style>
  <w:style w:type="character" w:customStyle="1" w:styleId="Mention1">
    <w:name w:val="Mention1"/>
    <w:basedOn w:val="DefaultParagraphFont"/>
    <w:uiPriority w:val="99"/>
    <w:semiHidden/>
    <w:unhideWhenUsed/>
    <w:rsid w:val="00E93D1D"/>
    <w:rPr>
      <w:color w:val="2B579A"/>
      <w:shd w:val="clear" w:color="auto" w:fill="E6E6E6"/>
    </w:rPr>
  </w:style>
  <w:style w:type="paragraph" w:customStyle="1" w:styleId="Style1">
    <w:name w:val="Style1"/>
    <w:basedOn w:val="Normal"/>
    <w:next w:val="EndNoteBibliographyTitle"/>
    <w:link w:val="Style1Char"/>
    <w:qFormat/>
    <w:rsid w:val="00B669C2"/>
    <w:rPr>
      <w:b/>
      <w:i/>
      <w:noProof/>
    </w:rPr>
  </w:style>
  <w:style w:type="paragraph" w:styleId="EndnoteText">
    <w:name w:val="endnote text"/>
    <w:basedOn w:val="Normal"/>
    <w:link w:val="EndnoteTextChar"/>
    <w:uiPriority w:val="99"/>
    <w:semiHidden/>
    <w:unhideWhenUsed/>
    <w:rsid w:val="001F4D5F"/>
    <w:pPr>
      <w:spacing w:after="0" w:line="240" w:lineRule="auto"/>
    </w:pPr>
    <w:rPr>
      <w:sz w:val="20"/>
      <w:szCs w:val="20"/>
    </w:rPr>
  </w:style>
  <w:style w:type="character" w:customStyle="1" w:styleId="Style1Char">
    <w:name w:val="Style1 Char"/>
    <w:basedOn w:val="DefaultParagraphFont"/>
    <w:link w:val="Style1"/>
    <w:rsid w:val="00B669C2"/>
    <w:rPr>
      <w:rFonts w:ascii="Times New Roman" w:hAnsi="Times New Roman"/>
      <w:b/>
      <w:i/>
      <w:noProof/>
      <w:sz w:val="24"/>
      <w:lang w:bidi="ar-EG"/>
    </w:rPr>
  </w:style>
  <w:style w:type="character" w:customStyle="1" w:styleId="EndnoteTextChar">
    <w:name w:val="Endnote Text Char"/>
    <w:basedOn w:val="DefaultParagraphFont"/>
    <w:link w:val="EndnoteText"/>
    <w:uiPriority w:val="99"/>
    <w:semiHidden/>
    <w:rsid w:val="001F4D5F"/>
    <w:rPr>
      <w:rFonts w:ascii="Times New Roman" w:hAnsi="Times New Roman"/>
      <w:sz w:val="20"/>
      <w:szCs w:val="20"/>
      <w:lang w:bidi="ar-EG"/>
    </w:rPr>
  </w:style>
  <w:style w:type="character" w:styleId="EndnoteReference">
    <w:name w:val="endnote reference"/>
    <w:basedOn w:val="DefaultParagraphFont"/>
    <w:uiPriority w:val="99"/>
    <w:semiHidden/>
    <w:unhideWhenUsed/>
    <w:rsid w:val="001F4D5F"/>
    <w:rPr>
      <w:vertAlign w:val="superscript"/>
    </w:rPr>
  </w:style>
  <w:style w:type="character" w:customStyle="1" w:styleId="Heading5Char">
    <w:name w:val="Heading 5 Char"/>
    <w:basedOn w:val="DefaultParagraphFont"/>
    <w:link w:val="Heading5"/>
    <w:uiPriority w:val="9"/>
    <w:rsid w:val="00431624"/>
    <w:rPr>
      <w:b/>
      <w:bCs/>
      <w:i/>
      <w:iCs/>
      <w:u w:val="single"/>
    </w:rPr>
  </w:style>
  <w:style w:type="paragraph" w:styleId="NoSpacing">
    <w:name w:val="No Spacing"/>
    <w:link w:val="NoSpacingChar"/>
    <w:uiPriority w:val="1"/>
    <w:qFormat/>
    <w:rsid w:val="00D516BB"/>
    <w:pPr>
      <w:spacing w:after="0" w:line="240" w:lineRule="auto"/>
      <w:ind w:firstLine="0"/>
      <w:jc w:val="left"/>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D516BB"/>
    <w:rPr>
      <w:rFonts w:asciiTheme="minorHAnsi" w:eastAsiaTheme="minorEastAsia" w:hAnsiTheme="minorHAnsi"/>
      <w:sz w:val="22"/>
    </w:rPr>
  </w:style>
  <w:style w:type="character" w:styleId="CommentReference">
    <w:name w:val="annotation reference"/>
    <w:basedOn w:val="DefaultParagraphFont"/>
    <w:uiPriority w:val="99"/>
    <w:semiHidden/>
    <w:unhideWhenUsed/>
    <w:rsid w:val="00C7085E"/>
    <w:rPr>
      <w:sz w:val="16"/>
      <w:szCs w:val="16"/>
    </w:rPr>
  </w:style>
  <w:style w:type="paragraph" w:styleId="CommentText">
    <w:name w:val="annotation text"/>
    <w:basedOn w:val="Normal"/>
    <w:link w:val="CommentTextChar"/>
    <w:uiPriority w:val="99"/>
    <w:semiHidden/>
    <w:unhideWhenUsed/>
    <w:rsid w:val="00C7085E"/>
    <w:pPr>
      <w:spacing w:line="240" w:lineRule="auto"/>
    </w:pPr>
    <w:rPr>
      <w:sz w:val="20"/>
      <w:szCs w:val="20"/>
    </w:rPr>
  </w:style>
  <w:style w:type="character" w:customStyle="1" w:styleId="CommentTextChar">
    <w:name w:val="Comment Text Char"/>
    <w:basedOn w:val="DefaultParagraphFont"/>
    <w:link w:val="CommentText"/>
    <w:uiPriority w:val="99"/>
    <w:semiHidden/>
    <w:rsid w:val="00C7085E"/>
    <w:rPr>
      <w:sz w:val="20"/>
      <w:szCs w:val="20"/>
    </w:rPr>
  </w:style>
  <w:style w:type="paragraph" w:styleId="CommentSubject">
    <w:name w:val="annotation subject"/>
    <w:basedOn w:val="CommentText"/>
    <w:next w:val="CommentText"/>
    <w:link w:val="CommentSubjectChar"/>
    <w:uiPriority w:val="99"/>
    <w:semiHidden/>
    <w:unhideWhenUsed/>
    <w:rsid w:val="00C7085E"/>
    <w:rPr>
      <w:b/>
      <w:bCs/>
    </w:rPr>
  </w:style>
  <w:style w:type="character" w:customStyle="1" w:styleId="CommentSubjectChar">
    <w:name w:val="Comment Subject Char"/>
    <w:basedOn w:val="CommentTextChar"/>
    <w:link w:val="CommentSubject"/>
    <w:uiPriority w:val="99"/>
    <w:semiHidden/>
    <w:rsid w:val="00C7085E"/>
    <w:rPr>
      <w:b/>
      <w:bCs/>
      <w:sz w:val="20"/>
      <w:szCs w:val="20"/>
    </w:rPr>
  </w:style>
  <w:style w:type="paragraph" w:styleId="BalloonText">
    <w:name w:val="Balloon Text"/>
    <w:basedOn w:val="Normal"/>
    <w:link w:val="BalloonTextChar"/>
    <w:uiPriority w:val="99"/>
    <w:semiHidden/>
    <w:unhideWhenUsed/>
    <w:rsid w:val="00C70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85E"/>
    <w:rPr>
      <w:rFonts w:ascii="Segoe UI" w:hAnsi="Segoe UI" w:cs="Segoe UI"/>
      <w:sz w:val="18"/>
      <w:szCs w:val="18"/>
    </w:rPr>
  </w:style>
  <w:style w:type="table" w:customStyle="1" w:styleId="PlainTable21">
    <w:name w:val="Plain Table 21"/>
    <w:basedOn w:val="TableNormal"/>
    <w:uiPriority w:val="42"/>
    <w:rsid w:val="008236C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31">
    <w:name w:val="Grid Table 5 Dark - Accent 31"/>
    <w:basedOn w:val="TableNormal"/>
    <w:uiPriority w:val="50"/>
    <w:rsid w:val="00EC4C5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EndNoteCategoryHeading">
    <w:name w:val="EndNote Category Heading"/>
    <w:basedOn w:val="Normal"/>
    <w:link w:val="EndNoteCategoryHeadingChar"/>
    <w:rsid w:val="00C074F8"/>
    <w:pPr>
      <w:spacing w:before="120" w:after="120"/>
      <w:jc w:val="left"/>
    </w:pPr>
    <w:rPr>
      <w:b/>
      <w:noProof/>
    </w:rPr>
  </w:style>
  <w:style w:type="character" w:customStyle="1" w:styleId="EndNoteCategoryHeadingChar">
    <w:name w:val="EndNote Category Heading Char"/>
    <w:basedOn w:val="DefaultParagraphFont"/>
    <w:link w:val="EndNoteCategoryHeading"/>
    <w:rsid w:val="00C074F8"/>
    <w:rPr>
      <w:b/>
      <w:noProof/>
    </w:rPr>
  </w:style>
  <w:style w:type="character" w:customStyle="1" w:styleId="UnresolvedMention">
    <w:name w:val="Unresolved Mention"/>
    <w:basedOn w:val="DefaultParagraphFont"/>
    <w:uiPriority w:val="99"/>
    <w:semiHidden/>
    <w:unhideWhenUsed/>
    <w:rsid w:val="00C074F8"/>
    <w:rPr>
      <w:color w:val="605E5C"/>
      <w:shd w:val="clear" w:color="auto" w:fill="E1DFDD"/>
    </w:rPr>
  </w:style>
  <w:style w:type="character" w:styleId="FollowedHyperlink">
    <w:name w:val="FollowedHyperlink"/>
    <w:basedOn w:val="DefaultParagraphFont"/>
    <w:uiPriority w:val="99"/>
    <w:semiHidden/>
    <w:unhideWhenUsed/>
    <w:rsid w:val="00C73E7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4488245">
      <w:bodyDiv w:val="1"/>
      <w:marLeft w:val="0"/>
      <w:marRight w:val="0"/>
      <w:marTop w:val="0"/>
      <w:marBottom w:val="0"/>
      <w:divBdr>
        <w:top w:val="none" w:sz="0" w:space="0" w:color="auto"/>
        <w:left w:val="none" w:sz="0" w:space="0" w:color="auto"/>
        <w:bottom w:val="none" w:sz="0" w:space="0" w:color="auto"/>
        <w:right w:val="none" w:sz="0" w:space="0" w:color="auto"/>
      </w:divBdr>
      <w:divsChild>
        <w:div w:id="838615716">
          <w:marLeft w:val="547"/>
          <w:marRight w:val="0"/>
          <w:marTop w:val="134"/>
          <w:marBottom w:val="360"/>
          <w:divBdr>
            <w:top w:val="none" w:sz="0" w:space="0" w:color="auto"/>
            <w:left w:val="none" w:sz="0" w:space="0" w:color="auto"/>
            <w:bottom w:val="none" w:sz="0" w:space="0" w:color="auto"/>
            <w:right w:val="none" w:sz="0" w:space="0" w:color="auto"/>
          </w:divBdr>
        </w:div>
        <w:div w:id="1147865743">
          <w:marLeft w:val="547"/>
          <w:marRight w:val="0"/>
          <w:marTop w:val="134"/>
          <w:marBottom w:val="360"/>
          <w:divBdr>
            <w:top w:val="none" w:sz="0" w:space="0" w:color="auto"/>
            <w:left w:val="none" w:sz="0" w:space="0" w:color="auto"/>
            <w:bottom w:val="none" w:sz="0" w:space="0" w:color="auto"/>
            <w:right w:val="none" w:sz="0" w:space="0" w:color="auto"/>
          </w:divBdr>
        </w:div>
      </w:divsChild>
    </w:div>
    <w:div w:id="165942250">
      <w:bodyDiv w:val="1"/>
      <w:marLeft w:val="0"/>
      <w:marRight w:val="0"/>
      <w:marTop w:val="0"/>
      <w:marBottom w:val="0"/>
      <w:divBdr>
        <w:top w:val="none" w:sz="0" w:space="0" w:color="auto"/>
        <w:left w:val="none" w:sz="0" w:space="0" w:color="auto"/>
        <w:bottom w:val="none" w:sz="0" w:space="0" w:color="auto"/>
        <w:right w:val="none" w:sz="0" w:space="0" w:color="auto"/>
      </w:divBdr>
      <w:divsChild>
        <w:div w:id="232007029">
          <w:marLeft w:val="547"/>
          <w:marRight w:val="0"/>
          <w:marTop w:val="0"/>
          <w:marBottom w:val="0"/>
          <w:divBdr>
            <w:top w:val="none" w:sz="0" w:space="0" w:color="auto"/>
            <w:left w:val="none" w:sz="0" w:space="0" w:color="auto"/>
            <w:bottom w:val="none" w:sz="0" w:space="0" w:color="auto"/>
            <w:right w:val="none" w:sz="0" w:space="0" w:color="auto"/>
          </w:divBdr>
        </w:div>
      </w:divsChild>
    </w:div>
    <w:div w:id="178735321">
      <w:bodyDiv w:val="1"/>
      <w:marLeft w:val="0"/>
      <w:marRight w:val="0"/>
      <w:marTop w:val="0"/>
      <w:marBottom w:val="0"/>
      <w:divBdr>
        <w:top w:val="none" w:sz="0" w:space="0" w:color="auto"/>
        <w:left w:val="none" w:sz="0" w:space="0" w:color="auto"/>
        <w:bottom w:val="none" w:sz="0" w:space="0" w:color="auto"/>
        <w:right w:val="none" w:sz="0" w:space="0" w:color="auto"/>
      </w:divBdr>
    </w:div>
    <w:div w:id="358094700">
      <w:bodyDiv w:val="1"/>
      <w:marLeft w:val="0"/>
      <w:marRight w:val="0"/>
      <w:marTop w:val="0"/>
      <w:marBottom w:val="0"/>
      <w:divBdr>
        <w:top w:val="none" w:sz="0" w:space="0" w:color="auto"/>
        <w:left w:val="none" w:sz="0" w:space="0" w:color="auto"/>
        <w:bottom w:val="none" w:sz="0" w:space="0" w:color="auto"/>
        <w:right w:val="none" w:sz="0" w:space="0" w:color="auto"/>
      </w:divBdr>
    </w:div>
    <w:div w:id="456989009">
      <w:bodyDiv w:val="1"/>
      <w:marLeft w:val="0"/>
      <w:marRight w:val="0"/>
      <w:marTop w:val="0"/>
      <w:marBottom w:val="0"/>
      <w:divBdr>
        <w:top w:val="none" w:sz="0" w:space="0" w:color="auto"/>
        <w:left w:val="none" w:sz="0" w:space="0" w:color="auto"/>
        <w:bottom w:val="none" w:sz="0" w:space="0" w:color="auto"/>
        <w:right w:val="none" w:sz="0" w:space="0" w:color="auto"/>
      </w:divBdr>
      <w:divsChild>
        <w:div w:id="368532628">
          <w:marLeft w:val="1166"/>
          <w:marRight w:val="0"/>
          <w:marTop w:val="96"/>
          <w:marBottom w:val="360"/>
          <w:divBdr>
            <w:top w:val="none" w:sz="0" w:space="0" w:color="auto"/>
            <w:left w:val="none" w:sz="0" w:space="0" w:color="auto"/>
            <w:bottom w:val="none" w:sz="0" w:space="0" w:color="auto"/>
            <w:right w:val="none" w:sz="0" w:space="0" w:color="auto"/>
          </w:divBdr>
        </w:div>
        <w:div w:id="685980498">
          <w:marLeft w:val="1166"/>
          <w:marRight w:val="0"/>
          <w:marTop w:val="96"/>
          <w:marBottom w:val="360"/>
          <w:divBdr>
            <w:top w:val="none" w:sz="0" w:space="0" w:color="auto"/>
            <w:left w:val="none" w:sz="0" w:space="0" w:color="auto"/>
            <w:bottom w:val="none" w:sz="0" w:space="0" w:color="auto"/>
            <w:right w:val="none" w:sz="0" w:space="0" w:color="auto"/>
          </w:divBdr>
        </w:div>
        <w:div w:id="1232886067">
          <w:marLeft w:val="547"/>
          <w:marRight w:val="0"/>
          <w:marTop w:val="115"/>
          <w:marBottom w:val="360"/>
          <w:divBdr>
            <w:top w:val="none" w:sz="0" w:space="0" w:color="auto"/>
            <w:left w:val="none" w:sz="0" w:space="0" w:color="auto"/>
            <w:bottom w:val="none" w:sz="0" w:space="0" w:color="auto"/>
            <w:right w:val="none" w:sz="0" w:space="0" w:color="auto"/>
          </w:divBdr>
        </w:div>
        <w:div w:id="1985969583">
          <w:marLeft w:val="1166"/>
          <w:marRight w:val="0"/>
          <w:marTop w:val="96"/>
          <w:marBottom w:val="360"/>
          <w:divBdr>
            <w:top w:val="none" w:sz="0" w:space="0" w:color="auto"/>
            <w:left w:val="none" w:sz="0" w:space="0" w:color="auto"/>
            <w:bottom w:val="none" w:sz="0" w:space="0" w:color="auto"/>
            <w:right w:val="none" w:sz="0" w:space="0" w:color="auto"/>
          </w:divBdr>
        </w:div>
        <w:div w:id="2016302117">
          <w:marLeft w:val="547"/>
          <w:marRight w:val="0"/>
          <w:marTop w:val="115"/>
          <w:marBottom w:val="360"/>
          <w:divBdr>
            <w:top w:val="none" w:sz="0" w:space="0" w:color="auto"/>
            <w:left w:val="none" w:sz="0" w:space="0" w:color="auto"/>
            <w:bottom w:val="none" w:sz="0" w:space="0" w:color="auto"/>
            <w:right w:val="none" w:sz="0" w:space="0" w:color="auto"/>
          </w:divBdr>
        </w:div>
      </w:divsChild>
    </w:div>
    <w:div w:id="529420178">
      <w:bodyDiv w:val="1"/>
      <w:marLeft w:val="0"/>
      <w:marRight w:val="0"/>
      <w:marTop w:val="0"/>
      <w:marBottom w:val="0"/>
      <w:divBdr>
        <w:top w:val="none" w:sz="0" w:space="0" w:color="auto"/>
        <w:left w:val="none" w:sz="0" w:space="0" w:color="auto"/>
        <w:bottom w:val="none" w:sz="0" w:space="0" w:color="auto"/>
        <w:right w:val="none" w:sz="0" w:space="0" w:color="auto"/>
      </w:divBdr>
      <w:divsChild>
        <w:div w:id="654917846">
          <w:marLeft w:val="0"/>
          <w:marRight w:val="0"/>
          <w:marTop w:val="0"/>
          <w:marBottom w:val="0"/>
          <w:divBdr>
            <w:top w:val="none" w:sz="0" w:space="0" w:color="auto"/>
            <w:left w:val="none" w:sz="0" w:space="0" w:color="auto"/>
            <w:bottom w:val="none" w:sz="0" w:space="0" w:color="auto"/>
            <w:right w:val="none" w:sz="0" w:space="0" w:color="auto"/>
          </w:divBdr>
        </w:div>
        <w:div w:id="1770852360">
          <w:marLeft w:val="0"/>
          <w:marRight w:val="0"/>
          <w:marTop w:val="0"/>
          <w:marBottom w:val="0"/>
          <w:divBdr>
            <w:top w:val="none" w:sz="0" w:space="0" w:color="auto"/>
            <w:left w:val="none" w:sz="0" w:space="0" w:color="auto"/>
            <w:bottom w:val="none" w:sz="0" w:space="0" w:color="auto"/>
            <w:right w:val="none" w:sz="0" w:space="0" w:color="auto"/>
          </w:divBdr>
        </w:div>
        <w:div w:id="2141872265">
          <w:marLeft w:val="0"/>
          <w:marRight w:val="0"/>
          <w:marTop w:val="0"/>
          <w:marBottom w:val="0"/>
          <w:divBdr>
            <w:top w:val="none" w:sz="0" w:space="0" w:color="auto"/>
            <w:left w:val="none" w:sz="0" w:space="0" w:color="auto"/>
            <w:bottom w:val="none" w:sz="0" w:space="0" w:color="auto"/>
            <w:right w:val="none" w:sz="0" w:space="0" w:color="auto"/>
          </w:divBdr>
        </w:div>
      </w:divsChild>
    </w:div>
    <w:div w:id="661397267">
      <w:bodyDiv w:val="1"/>
      <w:marLeft w:val="0"/>
      <w:marRight w:val="0"/>
      <w:marTop w:val="0"/>
      <w:marBottom w:val="0"/>
      <w:divBdr>
        <w:top w:val="none" w:sz="0" w:space="0" w:color="auto"/>
        <w:left w:val="none" w:sz="0" w:space="0" w:color="auto"/>
        <w:bottom w:val="none" w:sz="0" w:space="0" w:color="auto"/>
        <w:right w:val="none" w:sz="0" w:space="0" w:color="auto"/>
      </w:divBdr>
      <w:divsChild>
        <w:div w:id="1080252860">
          <w:marLeft w:val="547"/>
          <w:marRight w:val="0"/>
          <w:marTop w:val="0"/>
          <w:marBottom w:val="0"/>
          <w:divBdr>
            <w:top w:val="none" w:sz="0" w:space="0" w:color="auto"/>
            <w:left w:val="none" w:sz="0" w:space="0" w:color="auto"/>
            <w:bottom w:val="none" w:sz="0" w:space="0" w:color="auto"/>
            <w:right w:val="none" w:sz="0" w:space="0" w:color="auto"/>
          </w:divBdr>
        </w:div>
      </w:divsChild>
    </w:div>
    <w:div w:id="662927990">
      <w:bodyDiv w:val="1"/>
      <w:marLeft w:val="0"/>
      <w:marRight w:val="0"/>
      <w:marTop w:val="0"/>
      <w:marBottom w:val="0"/>
      <w:divBdr>
        <w:top w:val="none" w:sz="0" w:space="0" w:color="auto"/>
        <w:left w:val="none" w:sz="0" w:space="0" w:color="auto"/>
        <w:bottom w:val="none" w:sz="0" w:space="0" w:color="auto"/>
        <w:right w:val="none" w:sz="0" w:space="0" w:color="auto"/>
      </w:divBdr>
    </w:div>
    <w:div w:id="665328762">
      <w:bodyDiv w:val="1"/>
      <w:marLeft w:val="0"/>
      <w:marRight w:val="0"/>
      <w:marTop w:val="0"/>
      <w:marBottom w:val="0"/>
      <w:divBdr>
        <w:top w:val="none" w:sz="0" w:space="0" w:color="auto"/>
        <w:left w:val="none" w:sz="0" w:space="0" w:color="auto"/>
        <w:bottom w:val="none" w:sz="0" w:space="0" w:color="auto"/>
        <w:right w:val="none" w:sz="0" w:space="0" w:color="auto"/>
      </w:divBdr>
    </w:div>
    <w:div w:id="945237114">
      <w:bodyDiv w:val="1"/>
      <w:marLeft w:val="0"/>
      <w:marRight w:val="0"/>
      <w:marTop w:val="0"/>
      <w:marBottom w:val="0"/>
      <w:divBdr>
        <w:top w:val="none" w:sz="0" w:space="0" w:color="auto"/>
        <w:left w:val="none" w:sz="0" w:space="0" w:color="auto"/>
        <w:bottom w:val="none" w:sz="0" w:space="0" w:color="auto"/>
        <w:right w:val="none" w:sz="0" w:space="0" w:color="auto"/>
      </w:divBdr>
      <w:divsChild>
        <w:div w:id="1283003628">
          <w:marLeft w:val="547"/>
          <w:marRight w:val="0"/>
          <w:marTop w:val="96"/>
          <w:marBottom w:val="360"/>
          <w:divBdr>
            <w:top w:val="none" w:sz="0" w:space="0" w:color="auto"/>
            <w:left w:val="none" w:sz="0" w:space="0" w:color="auto"/>
            <w:bottom w:val="none" w:sz="0" w:space="0" w:color="auto"/>
            <w:right w:val="none" w:sz="0" w:space="0" w:color="auto"/>
          </w:divBdr>
        </w:div>
      </w:divsChild>
    </w:div>
    <w:div w:id="949355944">
      <w:bodyDiv w:val="1"/>
      <w:marLeft w:val="0"/>
      <w:marRight w:val="0"/>
      <w:marTop w:val="0"/>
      <w:marBottom w:val="0"/>
      <w:divBdr>
        <w:top w:val="none" w:sz="0" w:space="0" w:color="auto"/>
        <w:left w:val="none" w:sz="0" w:space="0" w:color="auto"/>
        <w:bottom w:val="none" w:sz="0" w:space="0" w:color="auto"/>
        <w:right w:val="none" w:sz="0" w:space="0" w:color="auto"/>
      </w:divBdr>
      <w:divsChild>
        <w:div w:id="770048441">
          <w:marLeft w:val="0"/>
          <w:marRight w:val="0"/>
          <w:marTop w:val="0"/>
          <w:marBottom w:val="0"/>
          <w:divBdr>
            <w:top w:val="none" w:sz="0" w:space="0" w:color="auto"/>
            <w:left w:val="none" w:sz="0" w:space="0" w:color="auto"/>
            <w:bottom w:val="none" w:sz="0" w:space="0" w:color="auto"/>
            <w:right w:val="none" w:sz="0" w:space="0" w:color="auto"/>
          </w:divBdr>
          <w:divsChild>
            <w:div w:id="263150119">
              <w:marLeft w:val="0"/>
              <w:marRight w:val="0"/>
              <w:marTop w:val="0"/>
              <w:marBottom w:val="0"/>
              <w:divBdr>
                <w:top w:val="none" w:sz="0" w:space="0" w:color="auto"/>
                <w:left w:val="none" w:sz="0" w:space="0" w:color="auto"/>
                <w:bottom w:val="none" w:sz="0" w:space="0" w:color="auto"/>
                <w:right w:val="none" w:sz="0" w:space="0" w:color="auto"/>
              </w:divBdr>
              <w:divsChild>
                <w:div w:id="368920808">
                  <w:marLeft w:val="0"/>
                  <w:marRight w:val="0"/>
                  <w:marTop w:val="0"/>
                  <w:marBottom w:val="0"/>
                  <w:divBdr>
                    <w:top w:val="none" w:sz="0" w:space="0" w:color="auto"/>
                    <w:left w:val="none" w:sz="0" w:space="0" w:color="auto"/>
                    <w:bottom w:val="none" w:sz="0" w:space="0" w:color="auto"/>
                    <w:right w:val="none" w:sz="0" w:space="0" w:color="auto"/>
                  </w:divBdr>
                  <w:divsChild>
                    <w:div w:id="136604733">
                      <w:marLeft w:val="0"/>
                      <w:marRight w:val="0"/>
                      <w:marTop w:val="0"/>
                      <w:marBottom w:val="0"/>
                      <w:divBdr>
                        <w:top w:val="none" w:sz="0" w:space="0" w:color="auto"/>
                        <w:left w:val="none" w:sz="0" w:space="0" w:color="auto"/>
                        <w:bottom w:val="none" w:sz="0" w:space="0" w:color="auto"/>
                        <w:right w:val="none" w:sz="0" w:space="0" w:color="auto"/>
                      </w:divBdr>
                    </w:div>
                    <w:div w:id="8095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1927">
              <w:marLeft w:val="0"/>
              <w:marRight w:val="0"/>
              <w:marTop w:val="0"/>
              <w:marBottom w:val="0"/>
              <w:divBdr>
                <w:top w:val="none" w:sz="0" w:space="0" w:color="auto"/>
                <w:left w:val="none" w:sz="0" w:space="0" w:color="auto"/>
                <w:bottom w:val="none" w:sz="0" w:space="0" w:color="auto"/>
                <w:right w:val="none" w:sz="0" w:space="0" w:color="auto"/>
              </w:divBdr>
              <w:divsChild>
                <w:div w:id="1246525360">
                  <w:marLeft w:val="0"/>
                  <w:marRight w:val="0"/>
                  <w:marTop w:val="0"/>
                  <w:marBottom w:val="0"/>
                  <w:divBdr>
                    <w:top w:val="none" w:sz="0" w:space="0" w:color="auto"/>
                    <w:left w:val="none" w:sz="0" w:space="0" w:color="auto"/>
                    <w:bottom w:val="none" w:sz="0" w:space="0" w:color="auto"/>
                    <w:right w:val="none" w:sz="0" w:space="0" w:color="auto"/>
                  </w:divBdr>
                </w:div>
              </w:divsChild>
            </w:div>
            <w:div w:id="1914199479">
              <w:marLeft w:val="0"/>
              <w:marRight w:val="0"/>
              <w:marTop w:val="0"/>
              <w:marBottom w:val="0"/>
              <w:divBdr>
                <w:top w:val="none" w:sz="0" w:space="0" w:color="auto"/>
                <w:left w:val="none" w:sz="0" w:space="0" w:color="auto"/>
                <w:bottom w:val="none" w:sz="0" w:space="0" w:color="auto"/>
                <w:right w:val="none" w:sz="0" w:space="0" w:color="auto"/>
              </w:divBdr>
              <w:divsChild>
                <w:div w:id="2398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0401">
          <w:marLeft w:val="0"/>
          <w:marRight w:val="0"/>
          <w:marTop w:val="0"/>
          <w:marBottom w:val="0"/>
          <w:divBdr>
            <w:top w:val="none" w:sz="0" w:space="0" w:color="auto"/>
            <w:left w:val="none" w:sz="0" w:space="0" w:color="auto"/>
            <w:bottom w:val="none" w:sz="0" w:space="0" w:color="auto"/>
            <w:right w:val="none" w:sz="0" w:space="0" w:color="auto"/>
          </w:divBdr>
          <w:divsChild>
            <w:div w:id="1013993746">
              <w:marLeft w:val="0"/>
              <w:marRight w:val="0"/>
              <w:marTop w:val="0"/>
              <w:marBottom w:val="0"/>
              <w:divBdr>
                <w:top w:val="none" w:sz="0" w:space="0" w:color="auto"/>
                <w:left w:val="none" w:sz="0" w:space="0" w:color="auto"/>
                <w:bottom w:val="none" w:sz="0" w:space="0" w:color="auto"/>
                <w:right w:val="none" w:sz="0" w:space="0" w:color="auto"/>
              </w:divBdr>
              <w:divsChild>
                <w:div w:id="608202194">
                  <w:marLeft w:val="0"/>
                  <w:marRight w:val="0"/>
                  <w:marTop w:val="0"/>
                  <w:marBottom w:val="0"/>
                  <w:divBdr>
                    <w:top w:val="none" w:sz="0" w:space="0" w:color="auto"/>
                    <w:left w:val="none" w:sz="0" w:space="0" w:color="auto"/>
                    <w:bottom w:val="none" w:sz="0" w:space="0" w:color="auto"/>
                    <w:right w:val="none" w:sz="0" w:space="0" w:color="auto"/>
                  </w:divBdr>
                  <w:divsChild>
                    <w:div w:id="324355780">
                      <w:marLeft w:val="0"/>
                      <w:marRight w:val="0"/>
                      <w:marTop w:val="0"/>
                      <w:marBottom w:val="0"/>
                      <w:divBdr>
                        <w:top w:val="none" w:sz="0" w:space="0" w:color="auto"/>
                        <w:left w:val="none" w:sz="0" w:space="0" w:color="auto"/>
                        <w:bottom w:val="none" w:sz="0" w:space="0" w:color="auto"/>
                        <w:right w:val="none" w:sz="0" w:space="0" w:color="auto"/>
                      </w:divBdr>
                    </w:div>
                    <w:div w:id="17707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292">
              <w:marLeft w:val="0"/>
              <w:marRight w:val="0"/>
              <w:marTop w:val="0"/>
              <w:marBottom w:val="0"/>
              <w:divBdr>
                <w:top w:val="none" w:sz="0" w:space="0" w:color="auto"/>
                <w:left w:val="none" w:sz="0" w:space="0" w:color="auto"/>
                <w:bottom w:val="none" w:sz="0" w:space="0" w:color="auto"/>
                <w:right w:val="none" w:sz="0" w:space="0" w:color="auto"/>
              </w:divBdr>
            </w:div>
          </w:divsChild>
        </w:div>
        <w:div w:id="1343781032">
          <w:marLeft w:val="0"/>
          <w:marRight w:val="0"/>
          <w:marTop w:val="0"/>
          <w:marBottom w:val="0"/>
          <w:divBdr>
            <w:top w:val="none" w:sz="0" w:space="0" w:color="auto"/>
            <w:left w:val="none" w:sz="0" w:space="0" w:color="auto"/>
            <w:bottom w:val="none" w:sz="0" w:space="0" w:color="auto"/>
            <w:right w:val="none" w:sz="0" w:space="0" w:color="auto"/>
          </w:divBdr>
          <w:divsChild>
            <w:div w:id="1997109081">
              <w:marLeft w:val="0"/>
              <w:marRight w:val="0"/>
              <w:marTop w:val="0"/>
              <w:marBottom w:val="0"/>
              <w:divBdr>
                <w:top w:val="none" w:sz="0" w:space="0" w:color="auto"/>
                <w:left w:val="none" w:sz="0" w:space="0" w:color="auto"/>
                <w:bottom w:val="none" w:sz="0" w:space="0" w:color="auto"/>
                <w:right w:val="none" w:sz="0" w:space="0" w:color="auto"/>
              </w:divBdr>
            </w:div>
          </w:divsChild>
        </w:div>
        <w:div w:id="1768426275">
          <w:marLeft w:val="0"/>
          <w:marRight w:val="0"/>
          <w:marTop w:val="0"/>
          <w:marBottom w:val="0"/>
          <w:divBdr>
            <w:top w:val="none" w:sz="0" w:space="0" w:color="auto"/>
            <w:left w:val="none" w:sz="0" w:space="0" w:color="auto"/>
            <w:bottom w:val="none" w:sz="0" w:space="0" w:color="auto"/>
            <w:right w:val="none" w:sz="0" w:space="0" w:color="auto"/>
          </w:divBdr>
          <w:divsChild>
            <w:div w:id="2052488600">
              <w:marLeft w:val="0"/>
              <w:marRight w:val="0"/>
              <w:marTop w:val="0"/>
              <w:marBottom w:val="0"/>
              <w:divBdr>
                <w:top w:val="none" w:sz="0" w:space="0" w:color="auto"/>
                <w:left w:val="none" w:sz="0" w:space="0" w:color="auto"/>
                <w:bottom w:val="none" w:sz="0" w:space="0" w:color="auto"/>
                <w:right w:val="none" w:sz="0" w:space="0" w:color="auto"/>
              </w:divBdr>
            </w:div>
          </w:divsChild>
        </w:div>
        <w:div w:id="1845319832">
          <w:marLeft w:val="0"/>
          <w:marRight w:val="0"/>
          <w:marTop w:val="0"/>
          <w:marBottom w:val="0"/>
          <w:divBdr>
            <w:top w:val="none" w:sz="0" w:space="0" w:color="auto"/>
            <w:left w:val="none" w:sz="0" w:space="0" w:color="auto"/>
            <w:bottom w:val="none" w:sz="0" w:space="0" w:color="auto"/>
            <w:right w:val="none" w:sz="0" w:space="0" w:color="auto"/>
          </w:divBdr>
          <w:divsChild>
            <w:div w:id="717780253">
              <w:marLeft w:val="0"/>
              <w:marRight w:val="0"/>
              <w:marTop w:val="0"/>
              <w:marBottom w:val="0"/>
              <w:divBdr>
                <w:top w:val="none" w:sz="0" w:space="0" w:color="auto"/>
                <w:left w:val="none" w:sz="0" w:space="0" w:color="auto"/>
                <w:bottom w:val="none" w:sz="0" w:space="0" w:color="auto"/>
                <w:right w:val="none" w:sz="0" w:space="0" w:color="auto"/>
              </w:divBdr>
            </w:div>
            <w:div w:id="19720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40019">
      <w:bodyDiv w:val="1"/>
      <w:marLeft w:val="0"/>
      <w:marRight w:val="0"/>
      <w:marTop w:val="0"/>
      <w:marBottom w:val="0"/>
      <w:divBdr>
        <w:top w:val="none" w:sz="0" w:space="0" w:color="auto"/>
        <w:left w:val="none" w:sz="0" w:space="0" w:color="auto"/>
        <w:bottom w:val="none" w:sz="0" w:space="0" w:color="auto"/>
        <w:right w:val="none" w:sz="0" w:space="0" w:color="auto"/>
      </w:divBdr>
      <w:divsChild>
        <w:div w:id="687294933">
          <w:marLeft w:val="0"/>
          <w:marRight w:val="0"/>
          <w:marTop w:val="0"/>
          <w:marBottom w:val="0"/>
          <w:divBdr>
            <w:top w:val="none" w:sz="0" w:space="0" w:color="auto"/>
            <w:left w:val="none" w:sz="0" w:space="0" w:color="auto"/>
            <w:bottom w:val="none" w:sz="0" w:space="0" w:color="auto"/>
            <w:right w:val="none" w:sz="0" w:space="0" w:color="auto"/>
          </w:divBdr>
          <w:divsChild>
            <w:div w:id="1916668186">
              <w:marLeft w:val="0"/>
              <w:marRight w:val="0"/>
              <w:marTop w:val="0"/>
              <w:marBottom w:val="0"/>
              <w:divBdr>
                <w:top w:val="none" w:sz="0" w:space="0" w:color="auto"/>
                <w:left w:val="none" w:sz="0" w:space="0" w:color="auto"/>
                <w:bottom w:val="none" w:sz="0" w:space="0" w:color="auto"/>
                <w:right w:val="none" w:sz="0" w:space="0" w:color="auto"/>
              </w:divBdr>
              <w:divsChild>
                <w:div w:id="459808036">
                  <w:marLeft w:val="0"/>
                  <w:marRight w:val="0"/>
                  <w:marTop w:val="0"/>
                  <w:marBottom w:val="0"/>
                  <w:divBdr>
                    <w:top w:val="none" w:sz="0" w:space="0" w:color="auto"/>
                    <w:left w:val="none" w:sz="0" w:space="0" w:color="auto"/>
                    <w:bottom w:val="none" w:sz="0" w:space="0" w:color="auto"/>
                    <w:right w:val="none" w:sz="0" w:space="0" w:color="auto"/>
                  </w:divBdr>
                  <w:divsChild>
                    <w:div w:id="1747610769">
                      <w:marLeft w:val="0"/>
                      <w:marRight w:val="0"/>
                      <w:marTop w:val="0"/>
                      <w:marBottom w:val="0"/>
                      <w:divBdr>
                        <w:top w:val="none" w:sz="0" w:space="0" w:color="auto"/>
                        <w:left w:val="none" w:sz="0" w:space="0" w:color="auto"/>
                        <w:bottom w:val="none" w:sz="0" w:space="0" w:color="auto"/>
                        <w:right w:val="none" w:sz="0" w:space="0" w:color="auto"/>
                      </w:divBdr>
                      <w:divsChild>
                        <w:div w:id="4067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636">
                  <w:marLeft w:val="0"/>
                  <w:marRight w:val="0"/>
                  <w:marTop w:val="0"/>
                  <w:marBottom w:val="0"/>
                  <w:divBdr>
                    <w:top w:val="none" w:sz="0" w:space="0" w:color="auto"/>
                    <w:left w:val="none" w:sz="0" w:space="0" w:color="auto"/>
                    <w:bottom w:val="none" w:sz="0" w:space="0" w:color="auto"/>
                    <w:right w:val="none" w:sz="0" w:space="0" w:color="auto"/>
                  </w:divBdr>
                  <w:divsChild>
                    <w:div w:id="843396608">
                      <w:marLeft w:val="0"/>
                      <w:marRight w:val="0"/>
                      <w:marTop w:val="0"/>
                      <w:marBottom w:val="0"/>
                      <w:divBdr>
                        <w:top w:val="none" w:sz="0" w:space="0" w:color="auto"/>
                        <w:left w:val="none" w:sz="0" w:space="0" w:color="auto"/>
                        <w:bottom w:val="none" w:sz="0" w:space="0" w:color="auto"/>
                        <w:right w:val="none" w:sz="0" w:space="0" w:color="auto"/>
                      </w:divBdr>
                      <w:divsChild>
                        <w:div w:id="528881660">
                          <w:marLeft w:val="0"/>
                          <w:marRight w:val="0"/>
                          <w:marTop w:val="0"/>
                          <w:marBottom w:val="0"/>
                          <w:divBdr>
                            <w:top w:val="none" w:sz="0" w:space="0" w:color="auto"/>
                            <w:left w:val="none" w:sz="0" w:space="0" w:color="auto"/>
                            <w:bottom w:val="none" w:sz="0" w:space="0" w:color="auto"/>
                            <w:right w:val="none" w:sz="0" w:space="0" w:color="auto"/>
                          </w:divBdr>
                        </w:div>
                        <w:div w:id="10218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4688">
          <w:marLeft w:val="0"/>
          <w:marRight w:val="0"/>
          <w:marTop w:val="0"/>
          <w:marBottom w:val="0"/>
          <w:divBdr>
            <w:top w:val="none" w:sz="0" w:space="0" w:color="auto"/>
            <w:left w:val="none" w:sz="0" w:space="0" w:color="auto"/>
            <w:bottom w:val="none" w:sz="0" w:space="0" w:color="auto"/>
            <w:right w:val="none" w:sz="0" w:space="0" w:color="auto"/>
          </w:divBdr>
          <w:divsChild>
            <w:div w:id="1632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1786">
      <w:bodyDiv w:val="1"/>
      <w:marLeft w:val="0"/>
      <w:marRight w:val="0"/>
      <w:marTop w:val="0"/>
      <w:marBottom w:val="0"/>
      <w:divBdr>
        <w:top w:val="none" w:sz="0" w:space="0" w:color="auto"/>
        <w:left w:val="none" w:sz="0" w:space="0" w:color="auto"/>
        <w:bottom w:val="none" w:sz="0" w:space="0" w:color="auto"/>
        <w:right w:val="none" w:sz="0" w:space="0" w:color="auto"/>
      </w:divBdr>
    </w:div>
    <w:div w:id="1317109202">
      <w:bodyDiv w:val="1"/>
      <w:marLeft w:val="0"/>
      <w:marRight w:val="0"/>
      <w:marTop w:val="0"/>
      <w:marBottom w:val="0"/>
      <w:divBdr>
        <w:top w:val="none" w:sz="0" w:space="0" w:color="auto"/>
        <w:left w:val="none" w:sz="0" w:space="0" w:color="auto"/>
        <w:bottom w:val="none" w:sz="0" w:space="0" w:color="auto"/>
        <w:right w:val="none" w:sz="0" w:space="0" w:color="auto"/>
      </w:divBdr>
    </w:div>
    <w:div w:id="1343507798">
      <w:bodyDiv w:val="1"/>
      <w:marLeft w:val="0"/>
      <w:marRight w:val="0"/>
      <w:marTop w:val="0"/>
      <w:marBottom w:val="0"/>
      <w:divBdr>
        <w:top w:val="none" w:sz="0" w:space="0" w:color="auto"/>
        <w:left w:val="none" w:sz="0" w:space="0" w:color="auto"/>
        <w:bottom w:val="none" w:sz="0" w:space="0" w:color="auto"/>
        <w:right w:val="none" w:sz="0" w:space="0" w:color="auto"/>
      </w:divBdr>
      <w:divsChild>
        <w:div w:id="59446526">
          <w:marLeft w:val="0"/>
          <w:marRight w:val="0"/>
          <w:marTop w:val="0"/>
          <w:marBottom w:val="0"/>
          <w:divBdr>
            <w:top w:val="none" w:sz="0" w:space="0" w:color="auto"/>
            <w:left w:val="none" w:sz="0" w:space="0" w:color="auto"/>
            <w:bottom w:val="none" w:sz="0" w:space="0" w:color="auto"/>
            <w:right w:val="none" w:sz="0" w:space="0" w:color="auto"/>
          </w:divBdr>
          <w:divsChild>
            <w:div w:id="1329944479">
              <w:marLeft w:val="0"/>
              <w:marRight w:val="0"/>
              <w:marTop w:val="0"/>
              <w:marBottom w:val="0"/>
              <w:divBdr>
                <w:top w:val="none" w:sz="0" w:space="0" w:color="auto"/>
                <w:left w:val="none" w:sz="0" w:space="0" w:color="auto"/>
                <w:bottom w:val="none" w:sz="0" w:space="0" w:color="auto"/>
                <w:right w:val="none" w:sz="0" w:space="0" w:color="auto"/>
              </w:divBdr>
            </w:div>
          </w:divsChild>
        </w:div>
        <w:div w:id="305164505">
          <w:marLeft w:val="0"/>
          <w:marRight w:val="0"/>
          <w:marTop w:val="0"/>
          <w:marBottom w:val="0"/>
          <w:divBdr>
            <w:top w:val="none" w:sz="0" w:space="0" w:color="auto"/>
            <w:left w:val="none" w:sz="0" w:space="0" w:color="auto"/>
            <w:bottom w:val="none" w:sz="0" w:space="0" w:color="auto"/>
            <w:right w:val="none" w:sz="0" w:space="0" w:color="auto"/>
          </w:divBdr>
          <w:divsChild>
            <w:div w:id="754934939">
              <w:marLeft w:val="0"/>
              <w:marRight w:val="0"/>
              <w:marTop w:val="0"/>
              <w:marBottom w:val="0"/>
              <w:divBdr>
                <w:top w:val="none" w:sz="0" w:space="0" w:color="auto"/>
                <w:left w:val="none" w:sz="0" w:space="0" w:color="auto"/>
                <w:bottom w:val="none" w:sz="0" w:space="0" w:color="auto"/>
                <w:right w:val="none" w:sz="0" w:space="0" w:color="auto"/>
              </w:divBdr>
            </w:div>
            <w:div w:id="1647851701">
              <w:marLeft w:val="0"/>
              <w:marRight w:val="0"/>
              <w:marTop w:val="0"/>
              <w:marBottom w:val="0"/>
              <w:divBdr>
                <w:top w:val="none" w:sz="0" w:space="0" w:color="auto"/>
                <w:left w:val="none" w:sz="0" w:space="0" w:color="auto"/>
                <w:bottom w:val="none" w:sz="0" w:space="0" w:color="auto"/>
                <w:right w:val="none" w:sz="0" w:space="0" w:color="auto"/>
              </w:divBdr>
              <w:divsChild>
                <w:div w:id="1406680541">
                  <w:marLeft w:val="0"/>
                  <w:marRight w:val="0"/>
                  <w:marTop w:val="0"/>
                  <w:marBottom w:val="0"/>
                  <w:divBdr>
                    <w:top w:val="none" w:sz="0" w:space="0" w:color="auto"/>
                    <w:left w:val="none" w:sz="0" w:space="0" w:color="auto"/>
                    <w:bottom w:val="none" w:sz="0" w:space="0" w:color="auto"/>
                    <w:right w:val="none" w:sz="0" w:space="0" w:color="auto"/>
                  </w:divBdr>
                  <w:divsChild>
                    <w:div w:id="672996102">
                      <w:marLeft w:val="0"/>
                      <w:marRight w:val="0"/>
                      <w:marTop w:val="0"/>
                      <w:marBottom w:val="0"/>
                      <w:divBdr>
                        <w:top w:val="none" w:sz="0" w:space="0" w:color="auto"/>
                        <w:left w:val="none" w:sz="0" w:space="0" w:color="auto"/>
                        <w:bottom w:val="none" w:sz="0" w:space="0" w:color="auto"/>
                        <w:right w:val="none" w:sz="0" w:space="0" w:color="auto"/>
                      </w:divBdr>
                    </w:div>
                    <w:div w:id="10742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5243">
          <w:marLeft w:val="0"/>
          <w:marRight w:val="0"/>
          <w:marTop w:val="0"/>
          <w:marBottom w:val="0"/>
          <w:divBdr>
            <w:top w:val="none" w:sz="0" w:space="0" w:color="auto"/>
            <w:left w:val="none" w:sz="0" w:space="0" w:color="auto"/>
            <w:bottom w:val="none" w:sz="0" w:space="0" w:color="auto"/>
            <w:right w:val="none" w:sz="0" w:space="0" w:color="auto"/>
          </w:divBdr>
          <w:divsChild>
            <w:div w:id="380909633">
              <w:marLeft w:val="0"/>
              <w:marRight w:val="0"/>
              <w:marTop w:val="0"/>
              <w:marBottom w:val="0"/>
              <w:divBdr>
                <w:top w:val="none" w:sz="0" w:space="0" w:color="auto"/>
                <w:left w:val="none" w:sz="0" w:space="0" w:color="auto"/>
                <w:bottom w:val="none" w:sz="0" w:space="0" w:color="auto"/>
                <w:right w:val="none" w:sz="0" w:space="0" w:color="auto"/>
              </w:divBdr>
            </w:div>
          </w:divsChild>
        </w:div>
        <w:div w:id="924189267">
          <w:marLeft w:val="0"/>
          <w:marRight w:val="0"/>
          <w:marTop w:val="0"/>
          <w:marBottom w:val="0"/>
          <w:divBdr>
            <w:top w:val="none" w:sz="0" w:space="0" w:color="auto"/>
            <w:left w:val="none" w:sz="0" w:space="0" w:color="auto"/>
            <w:bottom w:val="none" w:sz="0" w:space="0" w:color="auto"/>
            <w:right w:val="none" w:sz="0" w:space="0" w:color="auto"/>
          </w:divBdr>
          <w:divsChild>
            <w:div w:id="1145705311">
              <w:marLeft w:val="0"/>
              <w:marRight w:val="0"/>
              <w:marTop w:val="0"/>
              <w:marBottom w:val="0"/>
              <w:divBdr>
                <w:top w:val="none" w:sz="0" w:space="0" w:color="auto"/>
                <w:left w:val="none" w:sz="0" w:space="0" w:color="auto"/>
                <w:bottom w:val="none" w:sz="0" w:space="0" w:color="auto"/>
                <w:right w:val="none" w:sz="0" w:space="0" w:color="auto"/>
              </w:divBdr>
            </w:div>
          </w:divsChild>
        </w:div>
        <w:div w:id="1043863617">
          <w:marLeft w:val="0"/>
          <w:marRight w:val="0"/>
          <w:marTop w:val="0"/>
          <w:marBottom w:val="0"/>
          <w:divBdr>
            <w:top w:val="none" w:sz="0" w:space="0" w:color="auto"/>
            <w:left w:val="none" w:sz="0" w:space="0" w:color="auto"/>
            <w:bottom w:val="none" w:sz="0" w:space="0" w:color="auto"/>
            <w:right w:val="none" w:sz="0" w:space="0" w:color="auto"/>
          </w:divBdr>
          <w:divsChild>
            <w:div w:id="731466575">
              <w:marLeft w:val="0"/>
              <w:marRight w:val="0"/>
              <w:marTop w:val="0"/>
              <w:marBottom w:val="0"/>
              <w:divBdr>
                <w:top w:val="none" w:sz="0" w:space="0" w:color="auto"/>
                <w:left w:val="none" w:sz="0" w:space="0" w:color="auto"/>
                <w:bottom w:val="none" w:sz="0" w:space="0" w:color="auto"/>
                <w:right w:val="none" w:sz="0" w:space="0" w:color="auto"/>
              </w:divBdr>
              <w:divsChild>
                <w:div w:id="1198813837">
                  <w:marLeft w:val="0"/>
                  <w:marRight w:val="0"/>
                  <w:marTop w:val="0"/>
                  <w:marBottom w:val="0"/>
                  <w:divBdr>
                    <w:top w:val="none" w:sz="0" w:space="0" w:color="auto"/>
                    <w:left w:val="none" w:sz="0" w:space="0" w:color="auto"/>
                    <w:bottom w:val="none" w:sz="0" w:space="0" w:color="auto"/>
                    <w:right w:val="none" w:sz="0" w:space="0" w:color="auto"/>
                  </w:divBdr>
                  <w:divsChild>
                    <w:div w:id="520976315">
                      <w:marLeft w:val="0"/>
                      <w:marRight w:val="0"/>
                      <w:marTop w:val="0"/>
                      <w:marBottom w:val="0"/>
                      <w:divBdr>
                        <w:top w:val="none" w:sz="0" w:space="0" w:color="auto"/>
                        <w:left w:val="none" w:sz="0" w:space="0" w:color="auto"/>
                        <w:bottom w:val="none" w:sz="0" w:space="0" w:color="auto"/>
                        <w:right w:val="none" w:sz="0" w:space="0" w:color="auto"/>
                      </w:divBdr>
                    </w:div>
                    <w:div w:id="16112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1628">
              <w:marLeft w:val="0"/>
              <w:marRight w:val="0"/>
              <w:marTop w:val="0"/>
              <w:marBottom w:val="0"/>
              <w:divBdr>
                <w:top w:val="none" w:sz="0" w:space="0" w:color="auto"/>
                <w:left w:val="none" w:sz="0" w:space="0" w:color="auto"/>
                <w:bottom w:val="none" w:sz="0" w:space="0" w:color="auto"/>
                <w:right w:val="none" w:sz="0" w:space="0" w:color="auto"/>
              </w:divBdr>
            </w:div>
          </w:divsChild>
        </w:div>
        <w:div w:id="1058748608">
          <w:marLeft w:val="0"/>
          <w:marRight w:val="0"/>
          <w:marTop w:val="0"/>
          <w:marBottom w:val="0"/>
          <w:divBdr>
            <w:top w:val="none" w:sz="0" w:space="0" w:color="auto"/>
            <w:left w:val="none" w:sz="0" w:space="0" w:color="auto"/>
            <w:bottom w:val="none" w:sz="0" w:space="0" w:color="auto"/>
            <w:right w:val="none" w:sz="0" w:space="0" w:color="auto"/>
          </w:divBdr>
          <w:divsChild>
            <w:div w:id="329142516">
              <w:marLeft w:val="0"/>
              <w:marRight w:val="0"/>
              <w:marTop w:val="0"/>
              <w:marBottom w:val="0"/>
              <w:divBdr>
                <w:top w:val="none" w:sz="0" w:space="0" w:color="auto"/>
                <w:left w:val="none" w:sz="0" w:space="0" w:color="auto"/>
                <w:bottom w:val="none" w:sz="0" w:space="0" w:color="auto"/>
                <w:right w:val="none" w:sz="0" w:space="0" w:color="auto"/>
              </w:divBdr>
            </w:div>
          </w:divsChild>
        </w:div>
        <w:div w:id="1943755307">
          <w:marLeft w:val="0"/>
          <w:marRight w:val="0"/>
          <w:marTop w:val="0"/>
          <w:marBottom w:val="0"/>
          <w:divBdr>
            <w:top w:val="none" w:sz="0" w:space="0" w:color="auto"/>
            <w:left w:val="none" w:sz="0" w:space="0" w:color="auto"/>
            <w:bottom w:val="none" w:sz="0" w:space="0" w:color="auto"/>
            <w:right w:val="none" w:sz="0" w:space="0" w:color="auto"/>
          </w:divBdr>
          <w:divsChild>
            <w:div w:id="439103311">
              <w:marLeft w:val="0"/>
              <w:marRight w:val="0"/>
              <w:marTop w:val="0"/>
              <w:marBottom w:val="0"/>
              <w:divBdr>
                <w:top w:val="none" w:sz="0" w:space="0" w:color="auto"/>
                <w:left w:val="none" w:sz="0" w:space="0" w:color="auto"/>
                <w:bottom w:val="none" w:sz="0" w:space="0" w:color="auto"/>
                <w:right w:val="none" w:sz="0" w:space="0" w:color="auto"/>
              </w:divBdr>
            </w:div>
          </w:divsChild>
        </w:div>
        <w:div w:id="1954749757">
          <w:marLeft w:val="0"/>
          <w:marRight w:val="0"/>
          <w:marTop w:val="0"/>
          <w:marBottom w:val="0"/>
          <w:divBdr>
            <w:top w:val="none" w:sz="0" w:space="0" w:color="auto"/>
            <w:left w:val="none" w:sz="0" w:space="0" w:color="auto"/>
            <w:bottom w:val="none" w:sz="0" w:space="0" w:color="auto"/>
            <w:right w:val="none" w:sz="0" w:space="0" w:color="auto"/>
          </w:divBdr>
          <w:divsChild>
            <w:div w:id="88088648">
              <w:marLeft w:val="0"/>
              <w:marRight w:val="0"/>
              <w:marTop w:val="0"/>
              <w:marBottom w:val="0"/>
              <w:divBdr>
                <w:top w:val="none" w:sz="0" w:space="0" w:color="auto"/>
                <w:left w:val="none" w:sz="0" w:space="0" w:color="auto"/>
                <w:bottom w:val="none" w:sz="0" w:space="0" w:color="auto"/>
                <w:right w:val="none" w:sz="0" w:space="0" w:color="auto"/>
              </w:divBdr>
              <w:divsChild>
                <w:div w:id="417137898">
                  <w:marLeft w:val="0"/>
                  <w:marRight w:val="0"/>
                  <w:marTop w:val="0"/>
                  <w:marBottom w:val="0"/>
                  <w:divBdr>
                    <w:top w:val="none" w:sz="0" w:space="0" w:color="auto"/>
                    <w:left w:val="none" w:sz="0" w:space="0" w:color="auto"/>
                    <w:bottom w:val="none" w:sz="0" w:space="0" w:color="auto"/>
                    <w:right w:val="none" w:sz="0" w:space="0" w:color="auto"/>
                  </w:divBdr>
                  <w:divsChild>
                    <w:div w:id="1017317199">
                      <w:marLeft w:val="0"/>
                      <w:marRight w:val="0"/>
                      <w:marTop w:val="0"/>
                      <w:marBottom w:val="0"/>
                      <w:divBdr>
                        <w:top w:val="none" w:sz="0" w:space="0" w:color="auto"/>
                        <w:left w:val="none" w:sz="0" w:space="0" w:color="auto"/>
                        <w:bottom w:val="none" w:sz="0" w:space="0" w:color="auto"/>
                        <w:right w:val="none" w:sz="0" w:space="0" w:color="auto"/>
                      </w:divBdr>
                    </w:div>
                    <w:div w:id="19638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2812">
              <w:marLeft w:val="0"/>
              <w:marRight w:val="0"/>
              <w:marTop w:val="0"/>
              <w:marBottom w:val="0"/>
              <w:divBdr>
                <w:top w:val="none" w:sz="0" w:space="0" w:color="auto"/>
                <w:left w:val="none" w:sz="0" w:space="0" w:color="auto"/>
                <w:bottom w:val="none" w:sz="0" w:space="0" w:color="auto"/>
                <w:right w:val="none" w:sz="0" w:space="0" w:color="auto"/>
              </w:divBdr>
            </w:div>
          </w:divsChild>
        </w:div>
        <w:div w:id="2040660206">
          <w:marLeft w:val="0"/>
          <w:marRight w:val="0"/>
          <w:marTop w:val="0"/>
          <w:marBottom w:val="0"/>
          <w:divBdr>
            <w:top w:val="none" w:sz="0" w:space="0" w:color="auto"/>
            <w:left w:val="none" w:sz="0" w:space="0" w:color="auto"/>
            <w:bottom w:val="none" w:sz="0" w:space="0" w:color="auto"/>
            <w:right w:val="none" w:sz="0" w:space="0" w:color="auto"/>
          </w:divBdr>
          <w:divsChild>
            <w:div w:id="369917921">
              <w:marLeft w:val="0"/>
              <w:marRight w:val="0"/>
              <w:marTop w:val="0"/>
              <w:marBottom w:val="0"/>
              <w:divBdr>
                <w:top w:val="none" w:sz="0" w:space="0" w:color="auto"/>
                <w:left w:val="none" w:sz="0" w:space="0" w:color="auto"/>
                <w:bottom w:val="none" w:sz="0" w:space="0" w:color="auto"/>
                <w:right w:val="none" w:sz="0" w:space="0" w:color="auto"/>
              </w:divBdr>
              <w:divsChild>
                <w:div w:id="1042555190">
                  <w:marLeft w:val="0"/>
                  <w:marRight w:val="0"/>
                  <w:marTop w:val="0"/>
                  <w:marBottom w:val="0"/>
                  <w:divBdr>
                    <w:top w:val="none" w:sz="0" w:space="0" w:color="auto"/>
                    <w:left w:val="none" w:sz="0" w:space="0" w:color="auto"/>
                    <w:bottom w:val="none" w:sz="0" w:space="0" w:color="auto"/>
                    <w:right w:val="none" w:sz="0" w:space="0" w:color="auto"/>
                  </w:divBdr>
                  <w:divsChild>
                    <w:div w:id="959337746">
                      <w:marLeft w:val="0"/>
                      <w:marRight w:val="0"/>
                      <w:marTop w:val="0"/>
                      <w:marBottom w:val="0"/>
                      <w:divBdr>
                        <w:top w:val="none" w:sz="0" w:space="0" w:color="auto"/>
                        <w:left w:val="none" w:sz="0" w:space="0" w:color="auto"/>
                        <w:bottom w:val="none" w:sz="0" w:space="0" w:color="auto"/>
                        <w:right w:val="none" w:sz="0" w:space="0" w:color="auto"/>
                      </w:divBdr>
                    </w:div>
                    <w:div w:id="1483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8910">
              <w:marLeft w:val="0"/>
              <w:marRight w:val="0"/>
              <w:marTop w:val="0"/>
              <w:marBottom w:val="0"/>
              <w:divBdr>
                <w:top w:val="none" w:sz="0" w:space="0" w:color="auto"/>
                <w:left w:val="none" w:sz="0" w:space="0" w:color="auto"/>
                <w:bottom w:val="none" w:sz="0" w:space="0" w:color="auto"/>
                <w:right w:val="none" w:sz="0" w:space="0" w:color="auto"/>
              </w:divBdr>
            </w:div>
            <w:div w:id="1371102247">
              <w:marLeft w:val="0"/>
              <w:marRight w:val="0"/>
              <w:marTop w:val="0"/>
              <w:marBottom w:val="0"/>
              <w:divBdr>
                <w:top w:val="none" w:sz="0" w:space="0" w:color="auto"/>
                <w:left w:val="none" w:sz="0" w:space="0" w:color="auto"/>
                <w:bottom w:val="none" w:sz="0" w:space="0" w:color="auto"/>
                <w:right w:val="none" w:sz="0" w:space="0" w:color="auto"/>
              </w:divBdr>
              <w:divsChild>
                <w:div w:id="1550796166">
                  <w:marLeft w:val="0"/>
                  <w:marRight w:val="0"/>
                  <w:marTop w:val="0"/>
                  <w:marBottom w:val="0"/>
                  <w:divBdr>
                    <w:top w:val="none" w:sz="0" w:space="0" w:color="auto"/>
                    <w:left w:val="none" w:sz="0" w:space="0" w:color="auto"/>
                    <w:bottom w:val="none" w:sz="0" w:space="0" w:color="auto"/>
                    <w:right w:val="none" w:sz="0" w:space="0" w:color="auto"/>
                  </w:divBdr>
                  <w:divsChild>
                    <w:div w:id="814301443">
                      <w:marLeft w:val="0"/>
                      <w:marRight w:val="0"/>
                      <w:marTop w:val="0"/>
                      <w:marBottom w:val="0"/>
                      <w:divBdr>
                        <w:top w:val="none" w:sz="0" w:space="0" w:color="auto"/>
                        <w:left w:val="none" w:sz="0" w:space="0" w:color="auto"/>
                        <w:bottom w:val="none" w:sz="0" w:space="0" w:color="auto"/>
                        <w:right w:val="none" w:sz="0" w:space="0" w:color="auto"/>
                      </w:divBdr>
                    </w:div>
                    <w:div w:id="9514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55428">
      <w:bodyDiv w:val="1"/>
      <w:marLeft w:val="0"/>
      <w:marRight w:val="0"/>
      <w:marTop w:val="0"/>
      <w:marBottom w:val="0"/>
      <w:divBdr>
        <w:top w:val="none" w:sz="0" w:space="0" w:color="auto"/>
        <w:left w:val="none" w:sz="0" w:space="0" w:color="auto"/>
        <w:bottom w:val="none" w:sz="0" w:space="0" w:color="auto"/>
        <w:right w:val="none" w:sz="0" w:space="0" w:color="auto"/>
      </w:divBdr>
    </w:div>
    <w:div w:id="1730877725">
      <w:bodyDiv w:val="1"/>
      <w:marLeft w:val="0"/>
      <w:marRight w:val="0"/>
      <w:marTop w:val="0"/>
      <w:marBottom w:val="0"/>
      <w:divBdr>
        <w:top w:val="none" w:sz="0" w:space="0" w:color="auto"/>
        <w:left w:val="none" w:sz="0" w:space="0" w:color="auto"/>
        <w:bottom w:val="none" w:sz="0" w:space="0" w:color="auto"/>
        <w:right w:val="none" w:sz="0" w:space="0" w:color="auto"/>
      </w:divBdr>
      <w:divsChild>
        <w:div w:id="1973051535">
          <w:marLeft w:val="0"/>
          <w:marRight w:val="0"/>
          <w:marTop w:val="0"/>
          <w:marBottom w:val="0"/>
          <w:divBdr>
            <w:top w:val="none" w:sz="0" w:space="0" w:color="auto"/>
            <w:left w:val="none" w:sz="0" w:space="0" w:color="auto"/>
            <w:bottom w:val="none" w:sz="0" w:space="0" w:color="auto"/>
            <w:right w:val="none" w:sz="0" w:space="0" w:color="auto"/>
          </w:divBdr>
        </w:div>
      </w:divsChild>
    </w:div>
    <w:div w:id="1751151732">
      <w:bodyDiv w:val="1"/>
      <w:marLeft w:val="0"/>
      <w:marRight w:val="0"/>
      <w:marTop w:val="0"/>
      <w:marBottom w:val="0"/>
      <w:divBdr>
        <w:top w:val="none" w:sz="0" w:space="0" w:color="auto"/>
        <w:left w:val="none" w:sz="0" w:space="0" w:color="auto"/>
        <w:bottom w:val="none" w:sz="0" w:space="0" w:color="auto"/>
        <w:right w:val="none" w:sz="0" w:space="0" w:color="auto"/>
      </w:divBdr>
      <w:divsChild>
        <w:div w:id="327053843">
          <w:marLeft w:val="547"/>
          <w:marRight w:val="0"/>
          <w:marTop w:val="0"/>
          <w:marBottom w:val="0"/>
          <w:divBdr>
            <w:top w:val="none" w:sz="0" w:space="0" w:color="auto"/>
            <w:left w:val="none" w:sz="0" w:space="0" w:color="auto"/>
            <w:bottom w:val="none" w:sz="0" w:space="0" w:color="auto"/>
            <w:right w:val="none" w:sz="0" w:space="0" w:color="auto"/>
          </w:divBdr>
        </w:div>
      </w:divsChild>
    </w:div>
    <w:div w:id="1876693974">
      <w:bodyDiv w:val="1"/>
      <w:marLeft w:val="0"/>
      <w:marRight w:val="0"/>
      <w:marTop w:val="0"/>
      <w:marBottom w:val="0"/>
      <w:divBdr>
        <w:top w:val="none" w:sz="0" w:space="0" w:color="auto"/>
        <w:left w:val="none" w:sz="0" w:space="0" w:color="auto"/>
        <w:bottom w:val="none" w:sz="0" w:space="0" w:color="auto"/>
        <w:right w:val="none" w:sz="0" w:space="0" w:color="auto"/>
      </w:divBdr>
    </w:div>
    <w:div w:id="2007047423">
      <w:bodyDiv w:val="1"/>
      <w:marLeft w:val="0"/>
      <w:marRight w:val="0"/>
      <w:marTop w:val="0"/>
      <w:marBottom w:val="0"/>
      <w:divBdr>
        <w:top w:val="none" w:sz="0" w:space="0" w:color="auto"/>
        <w:left w:val="none" w:sz="0" w:space="0" w:color="auto"/>
        <w:bottom w:val="none" w:sz="0" w:space="0" w:color="auto"/>
        <w:right w:val="none" w:sz="0" w:space="0" w:color="auto"/>
      </w:divBdr>
      <w:divsChild>
        <w:div w:id="169101660">
          <w:marLeft w:val="0"/>
          <w:marRight w:val="0"/>
          <w:marTop w:val="0"/>
          <w:marBottom w:val="0"/>
          <w:divBdr>
            <w:top w:val="none" w:sz="0" w:space="0" w:color="auto"/>
            <w:left w:val="none" w:sz="0" w:space="0" w:color="auto"/>
            <w:bottom w:val="none" w:sz="0" w:space="0" w:color="auto"/>
            <w:right w:val="none" w:sz="0" w:space="0" w:color="auto"/>
          </w:divBdr>
          <w:divsChild>
            <w:div w:id="532503798">
              <w:marLeft w:val="0"/>
              <w:marRight w:val="0"/>
              <w:marTop w:val="0"/>
              <w:marBottom w:val="0"/>
              <w:divBdr>
                <w:top w:val="none" w:sz="0" w:space="0" w:color="auto"/>
                <w:left w:val="none" w:sz="0" w:space="0" w:color="auto"/>
                <w:bottom w:val="none" w:sz="0" w:space="0" w:color="auto"/>
                <w:right w:val="none" w:sz="0" w:space="0" w:color="auto"/>
              </w:divBdr>
            </w:div>
            <w:div w:id="588537613">
              <w:marLeft w:val="0"/>
              <w:marRight w:val="0"/>
              <w:marTop w:val="0"/>
              <w:marBottom w:val="0"/>
              <w:divBdr>
                <w:top w:val="none" w:sz="0" w:space="0" w:color="auto"/>
                <w:left w:val="none" w:sz="0" w:space="0" w:color="auto"/>
                <w:bottom w:val="none" w:sz="0" w:space="0" w:color="auto"/>
                <w:right w:val="none" w:sz="0" w:space="0" w:color="auto"/>
              </w:divBdr>
            </w:div>
            <w:div w:id="636228228">
              <w:marLeft w:val="0"/>
              <w:marRight w:val="0"/>
              <w:marTop w:val="0"/>
              <w:marBottom w:val="0"/>
              <w:divBdr>
                <w:top w:val="none" w:sz="0" w:space="0" w:color="auto"/>
                <w:left w:val="none" w:sz="0" w:space="0" w:color="auto"/>
                <w:bottom w:val="none" w:sz="0" w:space="0" w:color="auto"/>
                <w:right w:val="none" w:sz="0" w:space="0" w:color="auto"/>
              </w:divBdr>
            </w:div>
            <w:div w:id="822742982">
              <w:marLeft w:val="0"/>
              <w:marRight w:val="0"/>
              <w:marTop w:val="0"/>
              <w:marBottom w:val="0"/>
              <w:divBdr>
                <w:top w:val="none" w:sz="0" w:space="0" w:color="auto"/>
                <w:left w:val="none" w:sz="0" w:space="0" w:color="auto"/>
                <w:bottom w:val="none" w:sz="0" w:space="0" w:color="auto"/>
                <w:right w:val="none" w:sz="0" w:space="0" w:color="auto"/>
              </w:divBdr>
            </w:div>
            <w:div w:id="1031154592">
              <w:marLeft w:val="0"/>
              <w:marRight w:val="0"/>
              <w:marTop w:val="0"/>
              <w:marBottom w:val="0"/>
              <w:divBdr>
                <w:top w:val="none" w:sz="0" w:space="0" w:color="auto"/>
                <w:left w:val="none" w:sz="0" w:space="0" w:color="auto"/>
                <w:bottom w:val="none" w:sz="0" w:space="0" w:color="auto"/>
                <w:right w:val="none" w:sz="0" w:space="0" w:color="auto"/>
              </w:divBdr>
            </w:div>
            <w:div w:id="1513255293">
              <w:marLeft w:val="0"/>
              <w:marRight w:val="0"/>
              <w:marTop w:val="0"/>
              <w:marBottom w:val="0"/>
              <w:divBdr>
                <w:top w:val="none" w:sz="0" w:space="0" w:color="auto"/>
                <w:left w:val="none" w:sz="0" w:space="0" w:color="auto"/>
                <w:bottom w:val="none" w:sz="0" w:space="0" w:color="auto"/>
                <w:right w:val="none" w:sz="0" w:space="0" w:color="auto"/>
              </w:divBdr>
            </w:div>
            <w:div w:id="1742948715">
              <w:marLeft w:val="0"/>
              <w:marRight w:val="0"/>
              <w:marTop w:val="0"/>
              <w:marBottom w:val="0"/>
              <w:divBdr>
                <w:top w:val="none" w:sz="0" w:space="0" w:color="auto"/>
                <w:left w:val="none" w:sz="0" w:space="0" w:color="auto"/>
                <w:bottom w:val="none" w:sz="0" w:space="0" w:color="auto"/>
                <w:right w:val="none" w:sz="0" w:space="0" w:color="auto"/>
              </w:divBdr>
            </w:div>
            <w:div w:id="1955402196">
              <w:marLeft w:val="0"/>
              <w:marRight w:val="0"/>
              <w:marTop w:val="0"/>
              <w:marBottom w:val="0"/>
              <w:divBdr>
                <w:top w:val="none" w:sz="0" w:space="0" w:color="auto"/>
                <w:left w:val="none" w:sz="0" w:space="0" w:color="auto"/>
                <w:bottom w:val="none" w:sz="0" w:space="0" w:color="auto"/>
                <w:right w:val="none" w:sz="0" w:space="0" w:color="auto"/>
              </w:divBdr>
            </w:div>
            <w:div w:id="2063409601">
              <w:marLeft w:val="0"/>
              <w:marRight w:val="0"/>
              <w:marTop w:val="0"/>
              <w:marBottom w:val="0"/>
              <w:divBdr>
                <w:top w:val="none" w:sz="0" w:space="0" w:color="auto"/>
                <w:left w:val="none" w:sz="0" w:space="0" w:color="auto"/>
                <w:bottom w:val="none" w:sz="0" w:space="0" w:color="auto"/>
                <w:right w:val="none" w:sz="0" w:space="0" w:color="auto"/>
              </w:divBdr>
            </w:div>
          </w:divsChild>
        </w:div>
        <w:div w:id="247353578">
          <w:marLeft w:val="0"/>
          <w:marRight w:val="0"/>
          <w:marTop w:val="0"/>
          <w:marBottom w:val="0"/>
          <w:divBdr>
            <w:top w:val="none" w:sz="0" w:space="0" w:color="auto"/>
            <w:left w:val="none" w:sz="0" w:space="0" w:color="auto"/>
            <w:bottom w:val="none" w:sz="0" w:space="0" w:color="auto"/>
            <w:right w:val="none" w:sz="0" w:space="0" w:color="auto"/>
          </w:divBdr>
          <w:divsChild>
            <w:div w:id="281688396">
              <w:marLeft w:val="0"/>
              <w:marRight w:val="0"/>
              <w:marTop w:val="0"/>
              <w:marBottom w:val="0"/>
              <w:divBdr>
                <w:top w:val="none" w:sz="0" w:space="0" w:color="auto"/>
                <w:left w:val="none" w:sz="0" w:space="0" w:color="auto"/>
                <w:bottom w:val="none" w:sz="0" w:space="0" w:color="auto"/>
                <w:right w:val="none" w:sz="0" w:space="0" w:color="auto"/>
              </w:divBdr>
            </w:div>
            <w:div w:id="842279087">
              <w:marLeft w:val="0"/>
              <w:marRight w:val="0"/>
              <w:marTop w:val="0"/>
              <w:marBottom w:val="0"/>
              <w:divBdr>
                <w:top w:val="none" w:sz="0" w:space="0" w:color="auto"/>
                <w:left w:val="none" w:sz="0" w:space="0" w:color="auto"/>
                <w:bottom w:val="none" w:sz="0" w:space="0" w:color="auto"/>
                <w:right w:val="none" w:sz="0" w:space="0" w:color="auto"/>
              </w:divBdr>
            </w:div>
            <w:div w:id="1663965156">
              <w:marLeft w:val="0"/>
              <w:marRight w:val="0"/>
              <w:marTop w:val="0"/>
              <w:marBottom w:val="0"/>
              <w:divBdr>
                <w:top w:val="none" w:sz="0" w:space="0" w:color="auto"/>
                <w:left w:val="none" w:sz="0" w:space="0" w:color="auto"/>
                <w:bottom w:val="none" w:sz="0" w:space="0" w:color="auto"/>
                <w:right w:val="none" w:sz="0" w:space="0" w:color="auto"/>
              </w:divBdr>
            </w:div>
          </w:divsChild>
        </w:div>
        <w:div w:id="392431478">
          <w:marLeft w:val="0"/>
          <w:marRight w:val="0"/>
          <w:marTop w:val="0"/>
          <w:marBottom w:val="0"/>
          <w:divBdr>
            <w:top w:val="none" w:sz="0" w:space="0" w:color="auto"/>
            <w:left w:val="none" w:sz="0" w:space="0" w:color="auto"/>
            <w:bottom w:val="none" w:sz="0" w:space="0" w:color="auto"/>
            <w:right w:val="none" w:sz="0" w:space="0" w:color="auto"/>
          </w:divBdr>
          <w:divsChild>
            <w:div w:id="629046368">
              <w:marLeft w:val="0"/>
              <w:marRight w:val="0"/>
              <w:marTop w:val="0"/>
              <w:marBottom w:val="0"/>
              <w:divBdr>
                <w:top w:val="none" w:sz="0" w:space="0" w:color="auto"/>
                <w:left w:val="none" w:sz="0" w:space="0" w:color="auto"/>
                <w:bottom w:val="none" w:sz="0" w:space="0" w:color="auto"/>
                <w:right w:val="none" w:sz="0" w:space="0" w:color="auto"/>
              </w:divBdr>
              <w:divsChild>
                <w:div w:id="483009483">
                  <w:marLeft w:val="0"/>
                  <w:marRight w:val="0"/>
                  <w:marTop w:val="0"/>
                  <w:marBottom w:val="0"/>
                  <w:divBdr>
                    <w:top w:val="none" w:sz="0" w:space="0" w:color="auto"/>
                    <w:left w:val="none" w:sz="0" w:space="0" w:color="auto"/>
                    <w:bottom w:val="none" w:sz="0" w:space="0" w:color="auto"/>
                    <w:right w:val="none" w:sz="0" w:space="0" w:color="auto"/>
                  </w:divBdr>
                  <w:divsChild>
                    <w:div w:id="732390830">
                      <w:marLeft w:val="0"/>
                      <w:marRight w:val="0"/>
                      <w:marTop w:val="0"/>
                      <w:marBottom w:val="0"/>
                      <w:divBdr>
                        <w:top w:val="none" w:sz="0" w:space="0" w:color="auto"/>
                        <w:left w:val="none" w:sz="0" w:space="0" w:color="auto"/>
                        <w:bottom w:val="none" w:sz="0" w:space="0" w:color="auto"/>
                        <w:right w:val="none" w:sz="0" w:space="0" w:color="auto"/>
                      </w:divBdr>
                    </w:div>
                    <w:div w:id="18217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235">
              <w:marLeft w:val="0"/>
              <w:marRight w:val="0"/>
              <w:marTop w:val="0"/>
              <w:marBottom w:val="0"/>
              <w:divBdr>
                <w:top w:val="none" w:sz="0" w:space="0" w:color="auto"/>
                <w:left w:val="none" w:sz="0" w:space="0" w:color="auto"/>
                <w:bottom w:val="none" w:sz="0" w:space="0" w:color="auto"/>
                <w:right w:val="none" w:sz="0" w:space="0" w:color="auto"/>
              </w:divBdr>
              <w:divsChild>
                <w:div w:id="353580294">
                  <w:marLeft w:val="0"/>
                  <w:marRight w:val="0"/>
                  <w:marTop w:val="0"/>
                  <w:marBottom w:val="0"/>
                  <w:divBdr>
                    <w:top w:val="none" w:sz="0" w:space="0" w:color="auto"/>
                    <w:left w:val="none" w:sz="0" w:space="0" w:color="auto"/>
                    <w:bottom w:val="none" w:sz="0" w:space="0" w:color="auto"/>
                    <w:right w:val="none" w:sz="0" w:space="0" w:color="auto"/>
                  </w:divBdr>
                  <w:divsChild>
                    <w:div w:id="85004501">
                      <w:marLeft w:val="0"/>
                      <w:marRight w:val="0"/>
                      <w:marTop w:val="0"/>
                      <w:marBottom w:val="0"/>
                      <w:divBdr>
                        <w:top w:val="none" w:sz="0" w:space="0" w:color="auto"/>
                        <w:left w:val="none" w:sz="0" w:space="0" w:color="auto"/>
                        <w:bottom w:val="none" w:sz="0" w:space="0" w:color="auto"/>
                        <w:right w:val="none" w:sz="0" w:space="0" w:color="auto"/>
                      </w:divBdr>
                    </w:div>
                    <w:div w:id="1494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553">
          <w:marLeft w:val="0"/>
          <w:marRight w:val="0"/>
          <w:marTop w:val="0"/>
          <w:marBottom w:val="0"/>
          <w:divBdr>
            <w:top w:val="none" w:sz="0" w:space="0" w:color="auto"/>
            <w:left w:val="none" w:sz="0" w:space="0" w:color="auto"/>
            <w:bottom w:val="none" w:sz="0" w:space="0" w:color="auto"/>
            <w:right w:val="none" w:sz="0" w:space="0" w:color="auto"/>
          </w:divBdr>
          <w:divsChild>
            <w:div w:id="1198619322">
              <w:marLeft w:val="0"/>
              <w:marRight w:val="0"/>
              <w:marTop w:val="0"/>
              <w:marBottom w:val="0"/>
              <w:divBdr>
                <w:top w:val="none" w:sz="0" w:space="0" w:color="auto"/>
                <w:left w:val="none" w:sz="0" w:space="0" w:color="auto"/>
                <w:bottom w:val="none" w:sz="0" w:space="0" w:color="auto"/>
                <w:right w:val="none" w:sz="0" w:space="0" w:color="auto"/>
              </w:divBdr>
            </w:div>
            <w:div w:id="1652246744">
              <w:marLeft w:val="0"/>
              <w:marRight w:val="0"/>
              <w:marTop w:val="0"/>
              <w:marBottom w:val="0"/>
              <w:divBdr>
                <w:top w:val="none" w:sz="0" w:space="0" w:color="auto"/>
                <w:left w:val="none" w:sz="0" w:space="0" w:color="auto"/>
                <w:bottom w:val="none" w:sz="0" w:space="0" w:color="auto"/>
                <w:right w:val="none" w:sz="0" w:space="0" w:color="auto"/>
              </w:divBdr>
            </w:div>
            <w:div w:id="1773427517">
              <w:marLeft w:val="0"/>
              <w:marRight w:val="0"/>
              <w:marTop w:val="0"/>
              <w:marBottom w:val="0"/>
              <w:divBdr>
                <w:top w:val="none" w:sz="0" w:space="0" w:color="auto"/>
                <w:left w:val="none" w:sz="0" w:space="0" w:color="auto"/>
                <w:bottom w:val="none" w:sz="0" w:space="0" w:color="auto"/>
                <w:right w:val="none" w:sz="0" w:space="0" w:color="auto"/>
              </w:divBdr>
            </w:div>
            <w:div w:id="2034186131">
              <w:marLeft w:val="0"/>
              <w:marRight w:val="0"/>
              <w:marTop w:val="0"/>
              <w:marBottom w:val="0"/>
              <w:divBdr>
                <w:top w:val="none" w:sz="0" w:space="0" w:color="auto"/>
                <w:left w:val="none" w:sz="0" w:space="0" w:color="auto"/>
                <w:bottom w:val="none" w:sz="0" w:space="0" w:color="auto"/>
                <w:right w:val="none" w:sz="0" w:space="0" w:color="auto"/>
              </w:divBdr>
            </w:div>
            <w:div w:id="2066835743">
              <w:marLeft w:val="0"/>
              <w:marRight w:val="0"/>
              <w:marTop w:val="0"/>
              <w:marBottom w:val="0"/>
              <w:divBdr>
                <w:top w:val="none" w:sz="0" w:space="0" w:color="auto"/>
                <w:left w:val="none" w:sz="0" w:space="0" w:color="auto"/>
                <w:bottom w:val="none" w:sz="0" w:space="0" w:color="auto"/>
                <w:right w:val="none" w:sz="0" w:space="0" w:color="auto"/>
              </w:divBdr>
              <w:divsChild>
                <w:div w:id="333648747">
                  <w:marLeft w:val="0"/>
                  <w:marRight w:val="0"/>
                  <w:marTop w:val="0"/>
                  <w:marBottom w:val="0"/>
                  <w:divBdr>
                    <w:top w:val="none" w:sz="0" w:space="0" w:color="auto"/>
                    <w:left w:val="none" w:sz="0" w:space="0" w:color="auto"/>
                    <w:bottom w:val="none" w:sz="0" w:space="0" w:color="auto"/>
                    <w:right w:val="none" w:sz="0" w:space="0" w:color="auto"/>
                  </w:divBdr>
                  <w:divsChild>
                    <w:div w:id="280260748">
                      <w:marLeft w:val="0"/>
                      <w:marRight w:val="0"/>
                      <w:marTop w:val="0"/>
                      <w:marBottom w:val="0"/>
                      <w:divBdr>
                        <w:top w:val="none" w:sz="0" w:space="0" w:color="auto"/>
                        <w:left w:val="none" w:sz="0" w:space="0" w:color="auto"/>
                        <w:bottom w:val="none" w:sz="0" w:space="0" w:color="auto"/>
                        <w:right w:val="none" w:sz="0" w:space="0" w:color="auto"/>
                      </w:divBdr>
                    </w:div>
                    <w:div w:id="13124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2350">
          <w:marLeft w:val="0"/>
          <w:marRight w:val="0"/>
          <w:marTop w:val="0"/>
          <w:marBottom w:val="0"/>
          <w:divBdr>
            <w:top w:val="none" w:sz="0" w:space="0" w:color="auto"/>
            <w:left w:val="none" w:sz="0" w:space="0" w:color="auto"/>
            <w:bottom w:val="none" w:sz="0" w:space="0" w:color="auto"/>
            <w:right w:val="none" w:sz="0" w:space="0" w:color="auto"/>
          </w:divBdr>
          <w:divsChild>
            <w:div w:id="883299284">
              <w:marLeft w:val="0"/>
              <w:marRight w:val="0"/>
              <w:marTop w:val="0"/>
              <w:marBottom w:val="0"/>
              <w:divBdr>
                <w:top w:val="none" w:sz="0" w:space="0" w:color="auto"/>
                <w:left w:val="none" w:sz="0" w:space="0" w:color="auto"/>
                <w:bottom w:val="none" w:sz="0" w:space="0" w:color="auto"/>
                <w:right w:val="none" w:sz="0" w:space="0" w:color="auto"/>
              </w:divBdr>
            </w:div>
            <w:div w:id="1449157619">
              <w:marLeft w:val="0"/>
              <w:marRight w:val="0"/>
              <w:marTop w:val="0"/>
              <w:marBottom w:val="0"/>
              <w:divBdr>
                <w:top w:val="none" w:sz="0" w:space="0" w:color="auto"/>
                <w:left w:val="none" w:sz="0" w:space="0" w:color="auto"/>
                <w:bottom w:val="none" w:sz="0" w:space="0" w:color="auto"/>
                <w:right w:val="none" w:sz="0" w:space="0" w:color="auto"/>
              </w:divBdr>
              <w:divsChild>
                <w:div w:id="1947881653">
                  <w:marLeft w:val="0"/>
                  <w:marRight w:val="0"/>
                  <w:marTop w:val="0"/>
                  <w:marBottom w:val="0"/>
                  <w:divBdr>
                    <w:top w:val="none" w:sz="0" w:space="0" w:color="auto"/>
                    <w:left w:val="none" w:sz="0" w:space="0" w:color="auto"/>
                    <w:bottom w:val="none" w:sz="0" w:space="0" w:color="auto"/>
                    <w:right w:val="none" w:sz="0" w:space="0" w:color="auto"/>
                  </w:divBdr>
                  <w:divsChild>
                    <w:div w:id="34277369">
                      <w:marLeft w:val="0"/>
                      <w:marRight w:val="0"/>
                      <w:marTop w:val="0"/>
                      <w:marBottom w:val="0"/>
                      <w:divBdr>
                        <w:top w:val="none" w:sz="0" w:space="0" w:color="auto"/>
                        <w:left w:val="none" w:sz="0" w:space="0" w:color="auto"/>
                        <w:bottom w:val="none" w:sz="0" w:space="0" w:color="auto"/>
                        <w:right w:val="none" w:sz="0" w:space="0" w:color="auto"/>
                      </w:divBdr>
                    </w:div>
                    <w:div w:id="10792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28632">
      <w:bodyDiv w:val="1"/>
      <w:marLeft w:val="0"/>
      <w:marRight w:val="0"/>
      <w:marTop w:val="0"/>
      <w:marBottom w:val="0"/>
      <w:divBdr>
        <w:top w:val="none" w:sz="0" w:space="0" w:color="auto"/>
        <w:left w:val="none" w:sz="0" w:space="0" w:color="auto"/>
        <w:bottom w:val="none" w:sz="0" w:space="0" w:color="auto"/>
        <w:right w:val="none" w:sz="0" w:space="0" w:color="auto"/>
      </w:divBdr>
    </w:div>
    <w:div w:id="2122334571">
      <w:bodyDiv w:val="1"/>
      <w:marLeft w:val="0"/>
      <w:marRight w:val="0"/>
      <w:marTop w:val="0"/>
      <w:marBottom w:val="0"/>
      <w:divBdr>
        <w:top w:val="none" w:sz="0" w:space="0" w:color="auto"/>
        <w:left w:val="none" w:sz="0" w:space="0" w:color="auto"/>
        <w:bottom w:val="none" w:sz="0" w:space="0" w:color="auto"/>
        <w:right w:val="none" w:sz="0" w:space="0" w:color="auto"/>
      </w:divBdr>
      <w:divsChild>
        <w:div w:id="818887581">
          <w:marLeft w:val="0"/>
          <w:marRight w:val="0"/>
          <w:marTop w:val="96"/>
          <w:marBottom w:val="360"/>
          <w:divBdr>
            <w:top w:val="none" w:sz="0" w:space="0" w:color="auto"/>
            <w:left w:val="none" w:sz="0" w:space="0" w:color="auto"/>
            <w:bottom w:val="none" w:sz="0" w:space="0" w:color="auto"/>
            <w:right w:val="none" w:sz="0" w:space="0" w:color="auto"/>
          </w:divBdr>
        </w:div>
        <w:div w:id="1049260746">
          <w:marLeft w:val="0"/>
          <w:marRight w:val="0"/>
          <w:marTop w:val="96"/>
          <w:marBottom w:val="360"/>
          <w:divBdr>
            <w:top w:val="none" w:sz="0" w:space="0" w:color="auto"/>
            <w:left w:val="none" w:sz="0" w:space="0" w:color="auto"/>
            <w:bottom w:val="none" w:sz="0" w:space="0" w:color="auto"/>
            <w:right w:val="none" w:sz="0" w:space="0" w:color="auto"/>
          </w:divBdr>
        </w:div>
        <w:div w:id="1168447679">
          <w:marLeft w:val="0"/>
          <w:marRight w:val="0"/>
          <w:marTop w:val="96"/>
          <w:marBottom w:val="360"/>
          <w:divBdr>
            <w:top w:val="none" w:sz="0" w:space="0" w:color="auto"/>
            <w:left w:val="none" w:sz="0" w:space="0" w:color="auto"/>
            <w:bottom w:val="none" w:sz="0" w:space="0" w:color="auto"/>
            <w:right w:val="none" w:sz="0" w:space="0" w:color="auto"/>
          </w:divBdr>
        </w:div>
      </w:divsChild>
    </w:div>
    <w:div w:id="21232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lam.elhawary@med.tanta.edu.e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slam.elhawary@med.tanta.ed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dx.doi.org/10.7537/marsrsj120620.07"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F7EE-3215-4999-8F5A-0813840B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2020-01-15T13:47:00Z</cp:lastPrinted>
  <dcterms:created xsi:type="dcterms:W3CDTF">2020-06-25T05:12:00Z</dcterms:created>
  <dcterms:modified xsi:type="dcterms:W3CDTF">2020-06-27T03:29:00Z</dcterms:modified>
</cp:coreProperties>
</file>